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1C5C520">
      <w:pPr>
        <w:adjustRightInd/>
        <w:spacing w:line="360" w:lineRule="auto"/>
        <w:jc w:val="both"/>
        <w:rPr>
          <w:rFonts w:hint="eastAsia" w:ascii="宋体" w:hAnsi="宋体" w:cs="宋体"/>
          <w:b/>
          <w:color w:val="auto"/>
          <w:sz w:val="40"/>
          <w:szCs w:val="40"/>
          <w:highlight w:val="none"/>
          <w:u w:val="none"/>
          <w:lang w:eastAsia="zh-CN"/>
        </w:rPr>
      </w:pPr>
    </w:p>
    <w:p w14:paraId="3FDDA2A2">
      <w:pPr>
        <w:adjustRightInd/>
        <w:jc w:val="center"/>
        <w:rPr>
          <w:rFonts w:hint="eastAsia" w:ascii="宋体" w:hAnsi="宋体" w:eastAsia="宋体" w:cs="宋体"/>
          <w:b/>
          <w:sz w:val="44"/>
          <w:szCs w:val="44"/>
          <w:highlight w:val="none"/>
        </w:rPr>
      </w:pPr>
      <w:r>
        <w:rPr>
          <w:rFonts w:hint="eastAsia" w:ascii="宋体" w:hAnsi="宋体" w:cs="宋体"/>
          <w:b/>
          <w:color w:val="auto"/>
          <w:sz w:val="48"/>
          <w:szCs w:val="48"/>
          <w:highlight w:val="none"/>
          <w:u w:val="none"/>
          <w:lang w:eastAsia="zh-CN"/>
        </w:rPr>
        <w:t>蒿东村2025年度环境卫生物业化外包项目</w:t>
      </w:r>
    </w:p>
    <w:p w14:paraId="69F4B9F3">
      <w:pPr>
        <w:adjustRightInd/>
        <w:jc w:val="center"/>
        <w:rPr>
          <w:rFonts w:hint="eastAsia" w:ascii="宋体" w:hAnsi="宋体" w:eastAsia="宋体" w:cs="宋体"/>
          <w:b/>
          <w:sz w:val="44"/>
          <w:szCs w:val="44"/>
          <w:highlight w:val="none"/>
        </w:rPr>
      </w:pPr>
    </w:p>
    <w:p w14:paraId="1457E075">
      <w:pPr>
        <w:pStyle w:val="4"/>
        <w:outlineLvl w:val="9"/>
        <w:rPr>
          <w:rFonts w:hint="eastAsia"/>
          <w:highlight w:val="none"/>
        </w:rPr>
      </w:pPr>
    </w:p>
    <w:p w14:paraId="57A683C2">
      <w:pPr>
        <w:spacing w:line="360" w:lineRule="auto"/>
        <w:jc w:val="center"/>
        <w:rPr>
          <w:rFonts w:hint="eastAsia" w:ascii="宋体" w:hAnsi="宋体" w:cs="宋体"/>
          <w:b/>
          <w:bCs/>
          <w:sz w:val="96"/>
          <w:szCs w:val="48"/>
          <w:highlight w:val="none"/>
        </w:rPr>
      </w:pPr>
    </w:p>
    <w:p w14:paraId="7CD47A25">
      <w:pPr>
        <w:spacing w:line="360" w:lineRule="auto"/>
        <w:jc w:val="center"/>
        <w:rPr>
          <w:rFonts w:hint="eastAsia" w:ascii="宋体" w:hAnsi="宋体" w:cs="宋体"/>
          <w:b/>
          <w:bCs/>
          <w:sz w:val="96"/>
          <w:szCs w:val="48"/>
          <w:highlight w:val="none"/>
        </w:rPr>
      </w:pPr>
    </w:p>
    <w:p w14:paraId="684FEB14">
      <w:pPr>
        <w:spacing w:line="360" w:lineRule="auto"/>
        <w:jc w:val="center"/>
        <w:rPr>
          <w:rFonts w:hint="eastAsia" w:ascii="宋体" w:hAnsi="宋体" w:cs="宋体"/>
          <w:b/>
          <w:bCs/>
          <w:sz w:val="84"/>
          <w:szCs w:val="84"/>
          <w:highlight w:val="none"/>
        </w:rPr>
      </w:pPr>
      <w:r>
        <w:rPr>
          <w:rFonts w:hint="eastAsia" w:ascii="宋体" w:hAnsi="宋体" w:cs="宋体"/>
          <w:b/>
          <w:bCs/>
          <w:sz w:val="84"/>
          <w:szCs w:val="84"/>
          <w:highlight w:val="none"/>
        </w:rPr>
        <w:t>招 标 文 件</w:t>
      </w:r>
    </w:p>
    <w:p w14:paraId="62F82530">
      <w:pPr>
        <w:spacing w:line="360" w:lineRule="auto"/>
        <w:jc w:val="center"/>
        <w:rPr>
          <w:rFonts w:hint="default" w:ascii="宋体" w:hAnsi="宋体" w:eastAsia="宋体" w:cs="宋体"/>
          <w:b/>
          <w:bCs/>
          <w:color w:val="auto"/>
          <w:sz w:val="36"/>
          <w:szCs w:val="28"/>
          <w:highlight w:val="none"/>
          <w:lang w:val="en-US" w:eastAsia="zh-CN"/>
        </w:rPr>
      </w:pPr>
      <w:r>
        <w:rPr>
          <w:rFonts w:hint="eastAsia" w:ascii="宋体" w:hAnsi="宋体" w:cs="宋体"/>
          <w:b/>
          <w:bCs/>
          <w:color w:val="auto"/>
          <w:sz w:val="36"/>
          <w:szCs w:val="28"/>
          <w:highlight w:val="none"/>
        </w:rPr>
        <w:t>招标编号：</w:t>
      </w:r>
      <w:r>
        <w:rPr>
          <w:rFonts w:hint="eastAsia" w:ascii="宋体" w:hAnsi="宋体" w:cs="宋体"/>
          <w:b/>
          <w:bCs/>
          <w:color w:val="auto"/>
          <w:sz w:val="36"/>
          <w:szCs w:val="28"/>
          <w:highlight w:val="none"/>
          <w:lang w:val="en-US" w:eastAsia="zh-CN"/>
        </w:rPr>
        <w:t>ZJGZ-2025-0318</w:t>
      </w:r>
    </w:p>
    <w:p w14:paraId="23C8D8EB">
      <w:pPr>
        <w:pStyle w:val="29"/>
        <w:ind w:left="0" w:leftChars="0" w:firstLine="0"/>
        <w:rPr>
          <w:rFonts w:hint="eastAsia" w:ascii="宋体" w:hAnsi="宋体"/>
          <w:b/>
          <w:bCs/>
          <w:sz w:val="52"/>
          <w:szCs w:val="44"/>
          <w:highlight w:val="none"/>
        </w:rPr>
      </w:pPr>
    </w:p>
    <w:p w14:paraId="64AE63FF">
      <w:pPr>
        <w:adjustRightInd/>
        <w:spacing w:line="360" w:lineRule="auto"/>
        <w:rPr>
          <w:rFonts w:hint="eastAsia" w:ascii="宋体" w:hAnsi="宋体" w:eastAsia="宋体" w:cs="宋体"/>
          <w:sz w:val="28"/>
          <w:szCs w:val="20"/>
          <w:highlight w:val="none"/>
          <w:lang w:eastAsia="zh-CN"/>
        </w:rPr>
      </w:pPr>
    </w:p>
    <w:p w14:paraId="67E92DB2">
      <w:pPr>
        <w:spacing w:line="360" w:lineRule="auto"/>
        <w:jc w:val="center"/>
        <w:rPr>
          <w:rFonts w:hint="eastAsia" w:ascii="宋体" w:hAnsi="宋体" w:eastAsia="宋体" w:cs="宋体"/>
          <w:sz w:val="24"/>
          <w:highlight w:val="none"/>
        </w:rPr>
      </w:pPr>
    </w:p>
    <w:p w14:paraId="47BE4254">
      <w:pPr>
        <w:spacing w:line="360" w:lineRule="auto"/>
        <w:jc w:val="center"/>
        <w:rPr>
          <w:rFonts w:hint="eastAsia" w:ascii="宋体" w:hAnsi="宋体" w:eastAsia="宋体" w:cs="宋体"/>
          <w:sz w:val="24"/>
          <w:highlight w:val="none"/>
        </w:rPr>
      </w:pPr>
    </w:p>
    <w:p w14:paraId="2828D559">
      <w:pPr>
        <w:spacing w:line="360" w:lineRule="auto"/>
        <w:jc w:val="center"/>
        <w:rPr>
          <w:rFonts w:hint="eastAsia" w:ascii="宋体" w:hAnsi="宋体" w:eastAsia="宋体" w:cs="宋体"/>
          <w:sz w:val="24"/>
          <w:highlight w:val="none"/>
        </w:rPr>
      </w:pPr>
    </w:p>
    <w:p w14:paraId="08FA7793">
      <w:pPr>
        <w:spacing w:line="360" w:lineRule="auto"/>
        <w:jc w:val="both"/>
        <w:rPr>
          <w:rFonts w:hint="eastAsia" w:ascii="宋体" w:hAnsi="宋体" w:eastAsia="宋体" w:cs="宋体"/>
          <w:sz w:val="24"/>
          <w:highlight w:val="none"/>
        </w:rPr>
      </w:pPr>
    </w:p>
    <w:p w14:paraId="473140E8">
      <w:pPr>
        <w:spacing w:line="360" w:lineRule="auto"/>
        <w:jc w:val="center"/>
        <w:rPr>
          <w:rFonts w:hint="eastAsia" w:ascii="宋体" w:hAnsi="宋体" w:eastAsia="宋体" w:cs="宋体"/>
          <w:sz w:val="24"/>
          <w:highlight w:val="none"/>
        </w:rPr>
      </w:pPr>
    </w:p>
    <w:p w14:paraId="2D90112B">
      <w:pPr>
        <w:spacing w:line="360" w:lineRule="auto"/>
        <w:jc w:val="center"/>
        <w:rPr>
          <w:rFonts w:hint="eastAsia" w:ascii="宋体" w:hAnsi="宋体" w:eastAsia="宋体" w:cs="宋体"/>
          <w:b/>
          <w:bCs/>
          <w:color w:val="000000"/>
          <w:sz w:val="36"/>
          <w:szCs w:val="36"/>
          <w:lang w:eastAsia="zh-CN"/>
        </w:rPr>
      </w:pPr>
      <w:r>
        <w:rPr>
          <w:rFonts w:hint="eastAsia" w:ascii="宋体" w:hAnsi="宋体" w:eastAsia="宋体" w:cs="宋体"/>
          <w:b/>
          <w:bCs/>
          <w:color w:val="000000"/>
          <w:sz w:val="36"/>
          <w:szCs w:val="36"/>
          <w:lang w:val="en-US" w:eastAsia="zh-CN"/>
        </w:rPr>
        <w:t>采购人</w:t>
      </w:r>
      <w:r>
        <w:rPr>
          <w:rFonts w:hint="eastAsia" w:ascii="宋体" w:hAnsi="宋体" w:eastAsia="宋体" w:cs="宋体"/>
          <w:b/>
          <w:bCs/>
          <w:color w:val="000000"/>
          <w:sz w:val="36"/>
          <w:szCs w:val="36"/>
          <w:lang w:eastAsia="zh-CN"/>
        </w:rPr>
        <w:t>：绍兴市上虞区曹娥街道蒿东村股份经济合作社</w:t>
      </w:r>
    </w:p>
    <w:p w14:paraId="37062C28">
      <w:pPr>
        <w:spacing w:line="360" w:lineRule="auto"/>
        <w:jc w:val="center"/>
        <w:rPr>
          <w:rFonts w:hint="eastAsia" w:ascii="宋体" w:hAnsi="宋体" w:eastAsia="宋体" w:cs="宋体"/>
          <w:color w:val="000000"/>
          <w:sz w:val="36"/>
          <w:szCs w:val="36"/>
          <w:lang w:eastAsia="zh-CN"/>
        </w:rPr>
      </w:pPr>
      <w:r>
        <w:rPr>
          <w:rFonts w:hint="eastAsia" w:ascii="宋体" w:hAnsi="宋体" w:eastAsia="宋体" w:cs="宋体"/>
          <w:b/>
          <w:bCs/>
          <w:color w:val="000000"/>
          <w:sz w:val="36"/>
          <w:szCs w:val="36"/>
          <w:lang w:eastAsia="zh-CN"/>
        </w:rPr>
        <w:t>代理机构：浙江广正建设项目管理有限公司</w:t>
      </w:r>
    </w:p>
    <w:p w14:paraId="34EC9221">
      <w:pPr>
        <w:spacing w:line="360" w:lineRule="auto"/>
        <w:ind w:firstLine="1285" w:firstLineChars="400"/>
        <w:jc w:val="center"/>
        <w:rPr>
          <w:rFonts w:hint="eastAsia" w:ascii="宋体" w:hAnsi="宋体" w:eastAsia="宋体" w:cs="宋体"/>
          <w:b/>
          <w:color w:val="000000"/>
          <w:sz w:val="32"/>
          <w:szCs w:val="32"/>
          <w:highlight w:val="none"/>
        </w:rPr>
      </w:pPr>
    </w:p>
    <w:p w14:paraId="1CA76654">
      <w:pPr>
        <w:snapToGrid w:val="0"/>
        <w:spacing w:line="360" w:lineRule="auto"/>
        <w:jc w:val="center"/>
        <w:rPr>
          <w:rFonts w:hint="eastAsia" w:ascii="宋体" w:hAnsi="宋体" w:eastAsia="宋体" w:cs="宋体"/>
          <w:sz w:val="30"/>
          <w:highlight w:val="none"/>
        </w:rPr>
      </w:pPr>
      <w:r>
        <w:rPr>
          <w:rFonts w:hint="eastAsia" w:ascii="宋体" w:hAnsi="宋体" w:eastAsia="宋体" w:cs="宋体"/>
          <w:b/>
          <w:sz w:val="32"/>
          <w:szCs w:val="24"/>
          <w:highlight w:val="none"/>
          <w:lang w:val="en-US" w:eastAsia="zh-CN"/>
        </w:rPr>
        <w:t>202</w:t>
      </w:r>
      <w:r>
        <w:rPr>
          <w:rFonts w:hint="eastAsia" w:ascii="宋体" w:hAnsi="宋体" w:cs="宋体"/>
          <w:b/>
          <w:sz w:val="32"/>
          <w:szCs w:val="24"/>
          <w:highlight w:val="none"/>
          <w:lang w:val="en-US" w:eastAsia="zh-CN"/>
        </w:rPr>
        <w:t>5</w:t>
      </w:r>
      <w:r>
        <w:rPr>
          <w:rFonts w:hint="eastAsia" w:ascii="宋体" w:hAnsi="宋体" w:eastAsia="宋体" w:cs="宋体"/>
          <w:b/>
          <w:sz w:val="32"/>
          <w:szCs w:val="24"/>
          <w:highlight w:val="none"/>
          <w:lang w:val="en-US" w:eastAsia="zh-CN"/>
        </w:rPr>
        <w:t>年</w:t>
      </w:r>
      <w:r>
        <w:rPr>
          <w:rFonts w:hint="eastAsia" w:ascii="宋体" w:hAnsi="宋体" w:cs="宋体"/>
          <w:b/>
          <w:sz w:val="32"/>
          <w:szCs w:val="24"/>
          <w:highlight w:val="none"/>
          <w:lang w:val="en-US" w:eastAsia="zh-CN"/>
        </w:rPr>
        <w:t xml:space="preserve"> 4 </w:t>
      </w:r>
      <w:r>
        <w:rPr>
          <w:rFonts w:hint="eastAsia" w:ascii="宋体" w:hAnsi="宋体" w:eastAsia="宋体" w:cs="宋体"/>
          <w:b/>
          <w:sz w:val="32"/>
          <w:szCs w:val="24"/>
          <w:highlight w:val="none"/>
          <w:lang w:val="en-US" w:eastAsia="zh-CN"/>
        </w:rPr>
        <w:t>月</w:t>
      </w:r>
    </w:p>
    <w:p w14:paraId="427CD2BB">
      <w:pPr>
        <w:snapToGrid w:val="0"/>
        <w:spacing w:line="360" w:lineRule="auto"/>
        <w:jc w:val="center"/>
        <w:rPr>
          <w:rFonts w:hint="default" w:ascii="宋体" w:hAnsi="宋体" w:eastAsia="宋体" w:cs="宋体"/>
          <w:sz w:val="24"/>
          <w:highlight w:val="none"/>
          <w:lang w:val="en-US" w:eastAsia="zh-CN"/>
        </w:rPr>
      </w:pPr>
      <w:bookmarkStart w:id="0" w:name="_Hlt67893495"/>
      <w:bookmarkEnd w:id="0"/>
    </w:p>
    <w:p w14:paraId="7218B703">
      <w:pPr>
        <w:spacing w:line="360" w:lineRule="auto"/>
        <w:jc w:val="center"/>
        <w:rPr>
          <w:rFonts w:hint="eastAsia" w:ascii="宋体" w:hAnsi="宋体" w:eastAsia="宋体" w:cs="宋体"/>
          <w:b/>
          <w:sz w:val="48"/>
          <w:szCs w:val="48"/>
          <w:highlight w:val="none"/>
        </w:rPr>
        <w:sectPr>
          <w:headerReference r:id="rId3" w:type="default"/>
          <w:footerReference r:id="rId4" w:type="default"/>
          <w:pgSz w:w="11906" w:h="16838"/>
          <w:pgMar w:top="1440" w:right="1417" w:bottom="1440" w:left="1417" w:header="851" w:footer="992" w:gutter="0"/>
          <w:cols w:space="0" w:num="1"/>
          <w:rtlGutter w:val="0"/>
          <w:docGrid w:type="lines" w:linePitch="312" w:charSpace="0"/>
        </w:sectPr>
      </w:pPr>
    </w:p>
    <w:sdt>
      <w:sdtPr>
        <w:rPr>
          <w:rFonts w:ascii="宋体" w:hAnsi="宋体" w:eastAsia="宋体" w:cs="Times New Roman"/>
          <w:b/>
          <w:bCs/>
          <w:kern w:val="2"/>
          <w:sz w:val="72"/>
          <w:szCs w:val="144"/>
          <w:highlight w:val="none"/>
          <w:lang w:val="en-US" w:eastAsia="zh-CN" w:bidi="ar-SA"/>
        </w:rPr>
        <w:id w:val="147477170"/>
        <w15:color w:val="DBDBDB"/>
        <w:docPartObj>
          <w:docPartGallery w:val="Table of Contents"/>
          <w:docPartUnique/>
        </w:docPartObj>
      </w:sdtPr>
      <w:sdtEndPr>
        <w:rPr>
          <w:rFonts w:hint="eastAsia" w:ascii="宋体" w:hAnsi="宋体" w:eastAsia="宋体" w:cs="宋体"/>
          <w:b/>
          <w:bCs/>
          <w:kern w:val="2"/>
          <w:sz w:val="21"/>
          <w:szCs w:val="24"/>
          <w:highlight w:val="none"/>
          <w:lang w:val="en-US" w:eastAsia="zh-CN" w:bidi="ar-SA"/>
        </w:rPr>
      </w:sdtEndPr>
      <w:sdtContent>
        <w:p w14:paraId="0924E8DC">
          <w:pPr>
            <w:spacing w:before="0" w:beforeLines="0" w:after="0" w:afterLines="0" w:line="240" w:lineRule="auto"/>
            <w:ind w:left="0" w:leftChars="0" w:right="0" w:rightChars="0" w:firstLine="0" w:firstLineChars="0"/>
            <w:jc w:val="center"/>
            <w:rPr>
              <w:b/>
              <w:bCs/>
              <w:sz w:val="72"/>
              <w:szCs w:val="144"/>
              <w:highlight w:val="none"/>
            </w:rPr>
          </w:pPr>
          <w:bookmarkStart w:id="1" w:name="_Hlt91233176"/>
          <w:bookmarkEnd w:id="1"/>
          <w:bookmarkStart w:id="2" w:name="_Toc91899869"/>
          <w:r>
            <w:rPr>
              <w:rFonts w:ascii="宋体" w:hAnsi="宋体" w:eastAsia="宋体"/>
              <w:b/>
              <w:bCs/>
              <w:sz w:val="72"/>
              <w:szCs w:val="144"/>
              <w:highlight w:val="none"/>
            </w:rPr>
            <w:t>目</w:t>
          </w:r>
          <w:r>
            <w:rPr>
              <w:rFonts w:hint="eastAsia" w:ascii="宋体" w:hAnsi="宋体" w:eastAsia="宋体"/>
              <w:b/>
              <w:bCs/>
              <w:sz w:val="72"/>
              <w:szCs w:val="144"/>
              <w:highlight w:val="none"/>
              <w:lang w:val="en-US" w:eastAsia="zh-CN"/>
            </w:rPr>
            <w:t xml:space="preserve"> </w:t>
          </w:r>
          <w:r>
            <w:rPr>
              <w:rFonts w:ascii="宋体" w:hAnsi="宋体" w:eastAsia="宋体"/>
              <w:b/>
              <w:bCs/>
              <w:sz w:val="72"/>
              <w:szCs w:val="144"/>
              <w:highlight w:val="none"/>
            </w:rPr>
            <w:t>录</w:t>
          </w:r>
        </w:p>
        <w:p w14:paraId="2DC04E54">
          <w:pPr>
            <w:pStyle w:val="54"/>
            <w:tabs>
              <w:tab w:val="right" w:leader="dot" w:pos="9072"/>
            </w:tabs>
            <w:rPr>
              <w:rFonts w:hint="eastAsia" w:asciiTheme="minorEastAsia" w:hAnsiTheme="minorEastAsia" w:eastAsiaTheme="minorEastAsia" w:cstheme="minorEastAsia"/>
              <w:sz w:val="28"/>
              <w:szCs w:val="28"/>
              <w:highlight w:val="none"/>
            </w:rPr>
          </w:pPr>
          <w:r>
            <w:rPr>
              <w:rFonts w:hint="eastAsia" w:ascii="宋体" w:hAnsi="宋体" w:eastAsia="宋体" w:cs="宋体"/>
              <w:sz w:val="24"/>
              <w:highlight w:val="none"/>
            </w:rPr>
            <w:fldChar w:fldCharType="begin"/>
          </w:r>
          <w:r>
            <w:rPr>
              <w:rFonts w:hint="eastAsia" w:ascii="宋体" w:hAnsi="宋体" w:eastAsia="宋体" w:cs="宋体"/>
              <w:sz w:val="24"/>
              <w:highlight w:val="none"/>
            </w:rPr>
            <w:instrText xml:space="preserve">TOC \o "1-3" \h \u </w:instrText>
          </w:r>
          <w:r>
            <w:rPr>
              <w:rFonts w:hint="eastAsia" w:ascii="宋体" w:hAnsi="宋体" w:eastAsia="宋体" w:cs="宋体"/>
              <w:sz w:val="24"/>
              <w:highlight w:val="none"/>
            </w:rPr>
            <w:fldChar w:fldCharType="separate"/>
          </w:r>
          <w:r>
            <w:rPr>
              <w:rFonts w:hint="eastAsia" w:asciiTheme="minorEastAsia" w:hAnsiTheme="minorEastAsia" w:eastAsiaTheme="minorEastAsia" w:cstheme="minorEastAsia"/>
              <w:sz w:val="28"/>
              <w:szCs w:val="28"/>
              <w:highlight w:val="none"/>
            </w:rPr>
            <w:fldChar w:fldCharType="begin"/>
          </w:r>
          <w:r>
            <w:rPr>
              <w:rFonts w:hint="eastAsia" w:asciiTheme="minorEastAsia" w:hAnsiTheme="minorEastAsia" w:eastAsiaTheme="minorEastAsia" w:cstheme="minorEastAsia"/>
              <w:sz w:val="28"/>
              <w:szCs w:val="28"/>
              <w:highlight w:val="none"/>
            </w:rPr>
            <w:instrText xml:space="preserve"> HYPERLINK \l _Toc7461 </w:instrText>
          </w:r>
          <w:r>
            <w:rPr>
              <w:rFonts w:hint="eastAsia" w:asciiTheme="minorEastAsia" w:hAnsiTheme="minorEastAsia" w:eastAsiaTheme="minorEastAsia" w:cstheme="minorEastAsia"/>
              <w:sz w:val="28"/>
              <w:szCs w:val="28"/>
              <w:highlight w:val="none"/>
            </w:rPr>
            <w:fldChar w:fldCharType="separate"/>
          </w:r>
          <w:r>
            <w:rPr>
              <w:rFonts w:hint="eastAsia" w:asciiTheme="minorEastAsia" w:hAnsiTheme="minorEastAsia" w:eastAsiaTheme="minorEastAsia" w:cstheme="minorEastAsia"/>
              <w:sz w:val="28"/>
              <w:szCs w:val="28"/>
              <w:highlight w:val="none"/>
            </w:rPr>
            <w:t>第一部分 招标公告</w:t>
          </w:r>
          <w:r>
            <w:rPr>
              <w:rFonts w:hint="eastAsia" w:asciiTheme="minorEastAsia" w:hAnsiTheme="minorEastAsia" w:eastAsiaTheme="minorEastAsia" w:cstheme="minorEastAsia"/>
              <w:sz w:val="28"/>
              <w:szCs w:val="28"/>
              <w:highlight w:val="none"/>
            </w:rPr>
            <w:tab/>
          </w:r>
          <w:r>
            <w:rPr>
              <w:rFonts w:hint="eastAsia" w:asciiTheme="minorEastAsia" w:hAnsiTheme="minorEastAsia" w:eastAsiaTheme="minorEastAsia" w:cstheme="minorEastAsia"/>
              <w:sz w:val="28"/>
              <w:szCs w:val="28"/>
              <w:highlight w:val="none"/>
            </w:rPr>
            <w:fldChar w:fldCharType="begin"/>
          </w:r>
          <w:r>
            <w:rPr>
              <w:rFonts w:hint="eastAsia" w:asciiTheme="minorEastAsia" w:hAnsiTheme="minorEastAsia" w:eastAsiaTheme="minorEastAsia" w:cstheme="minorEastAsia"/>
              <w:sz w:val="28"/>
              <w:szCs w:val="28"/>
              <w:highlight w:val="none"/>
            </w:rPr>
            <w:instrText xml:space="preserve"> PAGEREF _Toc7461 \h </w:instrText>
          </w:r>
          <w:r>
            <w:rPr>
              <w:rFonts w:hint="eastAsia" w:asciiTheme="minorEastAsia" w:hAnsiTheme="minorEastAsia" w:eastAsiaTheme="minorEastAsia" w:cstheme="minorEastAsia"/>
              <w:sz w:val="28"/>
              <w:szCs w:val="28"/>
              <w:highlight w:val="none"/>
            </w:rPr>
            <w:fldChar w:fldCharType="separate"/>
          </w:r>
          <w:r>
            <w:rPr>
              <w:rFonts w:hint="eastAsia" w:asciiTheme="minorEastAsia" w:hAnsiTheme="minorEastAsia" w:eastAsiaTheme="minorEastAsia" w:cstheme="minorEastAsia"/>
              <w:sz w:val="28"/>
              <w:szCs w:val="28"/>
              <w:highlight w:val="none"/>
            </w:rPr>
            <w:t>1</w:t>
          </w:r>
          <w:r>
            <w:rPr>
              <w:rFonts w:hint="eastAsia" w:asciiTheme="minorEastAsia" w:hAnsiTheme="minorEastAsia" w:eastAsiaTheme="minorEastAsia" w:cstheme="minorEastAsia"/>
              <w:sz w:val="28"/>
              <w:szCs w:val="28"/>
              <w:highlight w:val="none"/>
            </w:rPr>
            <w:fldChar w:fldCharType="end"/>
          </w:r>
          <w:r>
            <w:rPr>
              <w:rFonts w:hint="eastAsia" w:asciiTheme="minorEastAsia" w:hAnsiTheme="minorEastAsia" w:eastAsiaTheme="minorEastAsia" w:cstheme="minorEastAsia"/>
              <w:sz w:val="28"/>
              <w:szCs w:val="28"/>
              <w:highlight w:val="none"/>
            </w:rPr>
            <w:fldChar w:fldCharType="end"/>
          </w:r>
        </w:p>
        <w:p w14:paraId="35A1A36F">
          <w:pPr>
            <w:pStyle w:val="54"/>
            <w:tabs>
              <w:tab w:val="right" w:leader="dot" w:pos="9072"/>
            </w:tabs>
            <w:rPr>
              <w:rFonts w:hint="eastAsia"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fldChar w:fldCharType="begin"/>
          </w:r>
          <w:r>
            <w:rPr>
              <w:rFonts w:hint="eastAsia" w:asciiTheme="minorEastAsia" w:hAnsiTheme="minorEastAsia" w:eastAsiaTheme="minorEastAsia" w:cstheme="minorEastAsia"/>
              <w:sz w:val="28"/>
              <w:szCs w:val="28"/>
              <w:highlight w:val="none"/>
            </w:rPr>
            <w:instrText xml:space="preserve"> HYPERLINK \l _Toc25944 </w:instrText>
          </w:r>
          <w:r>
            <w:rPr>
              <w:rFonts w:hint="eastAsia" w:asciiTheme="minorEastAsia" w:hAnsiTheme="minorEastAsia" w:eastAsiaTheme="minorEastAsia" w:cstheme="minorEastAsia"/>
              <w:sz w:val="28"/>
              <w:szCs w:val="28"/>
              <w:highlight w:val="none"/>
            </w:rPr>
            <w:fldChar w:fldCharType="separate"/>
          </w:r>
          <w:r>
            <w:rPr>
              <w:rFonts w:hint="eastAsia" w:asciiTheme="minorEastAsia" w:hAnsiTheme="minorEastAsia" w:eastAsiaTheme="minorEastAsia" w:cstheme="minorEastAsia"/>
              <w:sz w:val="28"/>
              <w:szCs w:val="28"/>
              <w:highlight w:val="none"/>
            </w:rPr>
            <w:t xml:space="preserve">第二部分 </w:t>
          </w:r>
          <w:r>
            <w:rPr>
              <w:rFonts w:hint="eastAsia" w:asciiTheme="minorEastAsia" w:hAnsiTheme="minorEastAsia" w:eastAsiaTheme="minorEastAsia" w:cstheme="minorEastAsia"/>
              <w:sz w:val="28"/>
              <w:szCs w:val="28"/>
              <w:highlight w:val="none"/>
              <w:lang w:val="en-US" w:eastAsia="zh-CN"/>
            </w:rPr>
            <w:t>投标</w:t>
          </w:r>
          <w:r>
            <w:rPr>
              <w:rFonts w:hint="eastAsia" w:asciiTheme="minorEastAsia" w:hAnsiTheme="minorEastAsia" w:eastAsiaTheme="minorEastAsia" w:cstheme="minorEastAsia"/>
              <w:sz w:val="28"/>
              <w:szCs w:val="28"/>
              <w:highlight w:val="none"/>
            </w:rPr>
            <w:t>须知</w:t>
          </w:r>
          <w:r>
            <w:rPr>
              <w:rFonts w:hint="eastAsia" w:asciiTheme="minorEastAsia" w:hAnsiTheme="minorEastAsia" w:eastAsiaTheme="minorEastAsia" w:cstheme="minorEastAsia"/>
              <w:sz w:val="28"/>
              <w:szCs w:val="28"/>
              <w:highlight w:val="none"/>
            </w:rPr>
            <w:tab/>
          </w:r>
          <w:r>
            <w:rPr>
              <w:rFonts w:hint="eastAsia" w:asciiTheme="minorEastAsia" w:hAnsiTheme="minorEastAsia" w:eastAsiaTheme="minorEastAsia" w:cstheme="minorEastAsia"/>
              <w:sz w:val="28"/>
              <w:szCs w:val="28"/>
              <w:highlight w:val="none"/>
            </w:rPr>
            <w:fldChar w:fldCharType="begin"/>
          </w:r>
          <w:r>
            <w:rPr>
              <w:rFonts w:hint="eastAsia" w:asciiTheme="minorEastAsia" w:hAnsiTheme="minorEastAsia" w:eastAsiaTheme="minorEastAsia" w:cstheme="minorEastAsia"/>
              <w:sz w:val="28"/>
              <w:szCs w:val="28"/>
              <w:highlight w:val="none"/>
            </w:rPr>
            <w:instrText xml:space="preserve"> PAGEREF _Toc25944 \h </w:instrText>
          </w:r>
          <w:r>
            <w:rPr>
              <w:rFonts w:hint="eastAsia" w:asciiTheme="minorEastAsia" w:hAnsiTheme="minorEastAsia" w:eastAsiaTheme="minorEastAsia" w:cstheme="minorEastAsia"/>
              <w:sz w:val="28"/>
              <w:szCs w:val="28"/>
              <w:highlight w:val="none"/>
            </w:rPr>
            <w:fldChar w:fldCharType="separate"/>
          </w:r>
          <w:r>
            <w:rPr>
              <w:rFonts w:hint="eastAsia" w:asciiTheme="minorEastAsia" w:hAnsiTheme="minorEastAsia" w:eastAsiaTheme="minorEastAsia" w:cstheme="minorEastAsia"/>
              <w:sz w:val="28"/>
              <w:szCs w:val="28"/>
              <w:highlight w:val="none"/>
            </w:rPr>
            <w:t>4</w:t>
          </w:r>
          <w:r>
            <w:rPr>
              <w:rFonts w:hint="eastAsia" w:asciiTheme="minorEastAsia" w:hAnsiTheme="minorEastAsia" w:eastAsiaTheme="minorEastAsia" w:cstheme="minorEastAsia"/>
              <w:sz w:val="28"/>
              <w:szCs w:val="28"/>
              <w:highlight w:val="none"/>
            </w:rPr>
            <w:fldChar w:fldCharType="end"/>
          </w:r>
          <w:r>
            <w:rPr>
              <w:rFonts w:hint="eastAsia" w:asciiTheme="minorEastAsia" w:hAnsiTheme="minorEastAsia" w:eastAsiaTheme="minorEastAsia" w:cstheme="minorEastAsia"/>
              <w:sz w:val="28"/>
              <w:szCs w:val="28"/>
              <w:highlight w:val="none"/>
            </w:rPr>
            <w:fldChar w:fldCharType="end"/>
          </w:r>
        </w:p>
        <w:p w14:paraId="5239308D">
          <w:pPr>
            <w:pStyle w:val="55"/>
            <w:tabs>
              <w:tab w:val="right" w:leader="dot" w:pos="9072"/>
            </w:tabs>
            <w:rPr>
              <w:rFonts w:hint="eastAsia"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fldChar w:fldCharType="begin"/>
          </w:r>
          <w:r>
            <w:rPr>
              <w:rFonts w:hint="eastAsia" w:asciiTheme="minorEastAsia" w:hAnsiTheme="minorEastAsia" w:eastAsiaTheme="minorEastAsia" w:cstheme="minorEastAsia"/>
              <w:sz w:val="28"/>
              <w:szCs w:val="28"/>
              <w:highlight w:val="none"/>
            </w:rPr>
            <w:instrText xml:space="preserve"> HYPERLINK \l _Toc1496 </w:instrText>
          </w:r>
          <w:r>
            <w:rPr>
              <w:rFonts w:hint="eastAsia" w:asciiTheme="minorEastAsia" w:hAnsiTheme="minorEastAsia" w:eastAsiaTheme="minorEastAsia" w:cstheme="minorEastAsia"/>
              <w:sz w:val="28"/>
              <w:szCs w:val="28"/>
              <w:highlight w:val="none"/>
            </w:rPr>
            <w:fldChar w:fldCharType="separate"/>
          </w:r>
          <w:r>
            <w:rPr>
              <w:rFonts w:hint="eastAsia" w:asciiTheme="minorEastAsia" w:hAnsiTheme="minorEastAsia" w:eastAsiaTheme="minorEastAsia" w:cstheme="minorEastAsia"/>
              <w:sz w:val="28"/>
              <w:szCs w:val="28"/>
              <w:highlight w:val="none"/>
            </w:rPr>
            <w:t>一、总则</w:t>
          </w:r>
          <w:r>
            <w:rPr>
              <w:rFonts w:hint="eastAsia" w:asciiTheme="minorEastAsia" w:hAnsiTheme="minorEastAsia" w:eastAsiaTheme="minorEastAsia" w:cstheme="minorEastAsia"/>
              <w:sz w:val="28"/>
              <w:szCs w:val="28"/>
              <w:highlight w:val="none"/>
            </w:rPr>
            <w:tab/>
          </w:r>
          <w:r>
            <w:rPr>
              <w:rFonts w:hint="eastAsia" w:asciiTheme="minorEastAsia" w:hAnsiTheme="minorEastAsia" w:eastAsiaTheme="minorEastAsia" w:cstheme="minorEastAsia"/>
              <w:sz w:val="28"/>
              <w:szCs w:val="28"/>
              <w:highlight w:val="none"/>
            </w:rPr>
            <w:fldChar w:fldCharType="begin"/>
          </w:r>
          <w:r>
            <w:rPr>
              <w:rFonts w:hint="eastAsia" w:asciiTheme="minorEastAsia" w:hAnsiTheme="minorEastAsia" w:eastAsiaTheme="minorEastAsia" w:cstheme="minorEastAsia"/>
              <w:sz w:val="28"/>
              <w:szCs w:val="28"/>
              <w:highlight w:val="none"/>
            </w:rPr>
            <w:instrText xml:space="preserve"> PAGEREF _Toc1496 \h </w:instrText>
          </w:r>
          <w:r>
            <w:rPr>
              <w:rFonts w:hint="eastAsia" w:asciiTheme="minorEastAsia" w:hAnsiTheme="minorEastAsia" w:eastAsiaTheme="minorEastAsia" w:cstheme="minorEastAsia"/>
              <w:sz w:val="28"/>
              <w:szCs w:val="28"/>
              <w:highlight w:val="none"/>
            </w:rPr>
            <w:fldChar w:fldCharType="separate"/>
          </w:r>
          <w:r>
            <w:rPr>
              <w:rFonts w:hint="eastAsia" w:asciiTheme="minorEastAsia" w:hAnsiTheme="minorEastAsia" w:eastAsiaTheme="minorEastAsia" w:cstheme="minorEastAsia"/>
              <w:sz w:val="28"/>
              <w:szCs w:val="28"/>
              <w:highlight w:val="none"/>
            </w:rPr>
            <w:t>7</w:t>
          </w:r>
          <w:r>
            <w:rPr>
              <w:rFonts w:hint="eastAsia" w:asciiTheme="minorEastAsia" w:hAnsiTheme="minorEastAsia" w:eastAsiaTheme="minorEastAsia" w:cstheme="minorEastAsia"/>
              <w:sz w:val="28"/>
              <w:szCs w:val="28"/>
              <w:highlight w:val="none"/>
            </w:rPr>
            <w:fldChar w:fldCharType="end"/>
          </w:r>
          <w:r>
            <w:rPr>
              <w:rFonts w:hint="eastAsia" w:asciiTheme="minorEastAsia" w:hAnsiTheme="minorEastAsia" w:eastAsiaTheme="minorEastAsia" w:cstheme="minorEastAsia"/>
              <w:sz w:val="28"/>
              <w:szCs w:val="28"/>
              <w:highlight w:val="none"/>
            </w:rPr>
            <w:fldChar w:fldCharType="end"/>
          </w:r>
        </w:p>
        <w:p w14:paraId="7963D9E2">
          <w:pPr>
            <w:pStyle w:val="55"/>
            <w:tabs>
              <w:tab w:val="right" w:leader="dot" w:pos="9072"/>
            </w:tabs>
            <w:rPr>
              <w:rFonts w:hint="eastAsia"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fldChar w:fldCharType="begin"/>
          </w:r>
          <w:r>
            <w:rPr>
              <w:rFonts w:hint="eastAsia" w:asciiTheme="minorEastAsia" w:hAnsiTheme="minorEastAsia" w:eastAsiaTheme="minorEastAsia" w:cstheme="minorEastAsia"/>
              <w:sz w:val="28"/>
              <w:szCs w:val="28"/>
              <w:highlight w:val="none"/>
            </w:rPr>
            <w:instrText xml:space="preserve"> HYPERLINK \l _Toc24925 </w:instrText>
          </w:r>
          <w:r>
            <w:rPr>
              <w:rFonts w:hint="eastAsia" w:asciiTheme="minorEastAsia" w:hAnsiTheme="minorEastAsia" w:eastAsiaTheme="minorEastAsia" w:cstheme="minorEastAsia"/>
              <w:sz w:val="28"/>
              <w:szCs w:val="28"/>
              <w:highlight w:val="none"/>
            </w:rPr>
            <w:fldChar w:fldCharType="separate"/>
          </w:r>
          <w:r>
            <w:rPr>
              <w:rFonts w:hint="eastAsia" w:asciiTheme="minorEastAsia" w:hAnsiTheme="minorEastAsia" w:eastAsiaTheme="minorEastAsia" w:cstheme="minorEastAsia"/>
              <w:sz w:val="28"/>
              <w:szCs w:val="28"/>
              <w:highlight w:val="none"/>
            </w:rPr>
            <w:t>二、招标文件</w:t>
          </w:r>
          <w:r>
            <w:rPr>
              <w:rFonts w:hint="eastAsia" w:asciiTheme="minorEastAsia" w:hAnsiTheme="minorEastAsia" w:eastAsiaTheme="minorEastAsia" w:cstheme="minorEastAsia"/>
              <w:sz w:val="28"/>
              <w:szCs w:val="28"/>
              <w:highlight w:val="none"/>
            </w:rPr>
            <w:tab/>
          </w:r>
          <w:r>
            <w:rPr>
              <w:rFonts w:hint="eastAsia" w:asciiTheme="minorEastAsia" w:hAnsiTheme="minorEastAsia" w:eastAsiaTheme="minorEastAsia" w:cstheme="minorEastAsia"/>
              <w:sz w:val="28"/>
              <w:szCs w:val="28"/>
              <w:highlight w:val="none"/>
            </w:rPr>
            <w:fldChar w:fldCharType="begin"/>
          </w:r>
          <w:r>
            <w:rPr>
              <w:rFonts w:hint="eastAsia" w:asciiTheme="minorEastAsia" w:hAnsiTheme="minorEastAsia" w:eastAsiaTheme="minorEastAsia" w:cstheme="minorEastAsia"/>
              <w:sz w:val="28"/>
              <w:szCs w:val="28"/>
              <w:highlight w:val="none"/>
            </w:rPr>
            <w:instrText xml:space="preserve"> PAGEREF _Toc24925 \h </w:instrText>
          </w:r>
          <w:r>
            <w:rPr>
              <w:rFonts w:hint="eastAsia" w:asciiTheme="minorEastAsia" w:hAnsiTheme="minorEastAsia" w:eastAsiaTheme="minorEastAsia" w:cstheme="minorEastAsia"/>
              <w:sz w:val="28"/>
              <w:szCs w:val="28"/>
              <w:highlight w:val="none"/>
            </w:rPr>
            <w:fldChar w:fldCharType="separate"/>
          </w:r>
          <w:r>
            <w:rPr>
              <w:rFonts w:hint="eastAsia" w:asciiTheme="minorEastAsia" w:hAnsiTheme="minorEastAsia" w:eastAsiaTheme="minorEastAsia" w:cstheme="minorEastAsia"/>
              <w:sz w:val="28"/>
              <w:szCs w:val="28"/>
              <w:highlight w:val="none"/>
            </w:rPr>
            <w:t>7</w:t>
          </w:r>
          <w:r>
            <w:rPr>
              <w:rFonts w:hint="eastAsia" w:asciiTheme="minorEastAsia" w:hAnsiTheme="minorEastAsia" w:eastAsiaTheme="minorEastAsia" w:cstheme="minorEastAsia"/>
              <w:sz w:val="28"/>
              <w:szCs w:val="28"/>
              <w:highlight w:val="none"/>
            </w:rPr>
            <w:fldChar w:fldCharType="end"/>
          </w:r>
          <w:r>
            <w:rPr>
              <w:rFonts w:hint="eastAsia" w:asciiTheme="minorEastAsia" w:hAnsiTheme="minorEastAsia" w:eastAsiaTheme="minorEastAsia" w:cstheme="minorEastAsia"/>
              <w:sz w:val="28"/>
              <w:szCs w:val="28"/>
              <w:highlight w:val="none"/>
            </w:rPr>
            <w:fldChar w:fldCharType="end"/>
          </w:r>
        </w:p>
        <w:p w14:paraId="5B1D5CEA">
          <w:pPr>
            <w:pStyle w:val="55"/>
            <w:tabs>
              <w:tab w:val="right" w:leader="dot" w:pos="9072"/>
            </w:tabs>
            <w:rPr>
              <w:rFonts w:hint="eastAsia"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fldChar w:fldCharType="begin"/>
          </w:r>
          <w:r>
            <w:rPr>
              <w:rFonts w:hint="eastAsia" w:asciiTheme="minorEastAsia" w:hAnsiTheme="minorEastAsia" w:eastAsiaTheme="minorEastAsia" w:cstheme="minorEastAsia"/>
              <w:sz w:val="28"/>
              <w:szCs w:val="28"/>
              <w:highlight w:val="none"/>
            </w:rPr>
            <w:instrText xml:space="preserve"> HYPERLINK \l _Toc12314 </w:instrText>
          </w:r>
          <w:r>
            <w:rPr>
              <w:rFonts w:hint="eastAsia" w:asciiTheme="minorEastAsia" w:hAnsiTheme="minorEastAsia" w:eastAsiaTheme="minorEastAsia" w:cstheme="minorEastAsia"/>
              <w:sz w:val="28"/>
              <w:szCs w:val="28"/>
              <w:highlight w:val="none"/>
            </w:rPr>
            <w:fldChar w:fldCharType="separate"/>
          </w:r>
          <w:r>
            <w:rPr>
              <w:rFonts w:hint="eastAsia" w:asciiTheme="minorEastAsia" w:hAnsiTheme="minorEastAsia" w:eastAsiaTheme="minorEastAsia" w:cstheme="minorEastAsia"/>
              <w:sz w:val="28"/>
              <w:szCs w:val="28"/>
              <w:highlight w:val="none"/>
            </w:rPr>
            <w:t>三、投标文件的编制</w:t>
          </w:r>
          <w:r>
            <w:rPr>
              <w:rFonts w:hint="eastAsia" w:asciiTheme="minorEastAsia" w:hAnsiTheme="minorEastAsia" w:eastAsiaTheme="minorEastAsia" w:cstheme="minorEastAsia"/>
              <w:sz w:val="28"/>
              <w:szCs w:val="28"/>
              <w:highlight w:val="none"/>
            </w:rPr>
            <w:tab/>
          </w:r>
          <w:r>
            <w:rPr>
              <w:rFonts w:hint="eastAsia" w:asciiTheme="minorEastAsia" w:hAnsiTheme="minorEastAsia" w:eastAsiaTheme="minorEastAsia" w:cstheme="minorEastAsia"/>
              <w:sz w:val="28"/>
              <w:szCs w:val="28"/>
              <w:highlight w:val="none"/>
            </w:rPr>
            <w:fldChar w:fldCharType="begin"/>
          </w:r>
          <w:r>
            <w:rPr>
              <w:rFonts w:hint="eastAsia" w:asciiTheme="minorEastAsia" w:hAnsiTheme="minorEastAsia" w:eastAsiaTheme="minorEastAsia" w:cstheme="minorEastAsia"/>
              <w:sz w:val="28"/>
              <w:szCs w:val="28"/>
              <w:highlight w:val="none"/>
            </w:rPr>
            <w:instrText xml:space="preserve"> PAGEREF _Toc12314 \h </w:instrText>
          </w:r>
          <w:r>
            <w:rPr>
              <w:rFonts w:hint="eastAsia" w:asciiTheme="minorEastAsia" w:hAnsiTheme="minorEastAsia" w:eastAsiaTheme="minorEastAsia" w:cstheme="minorEastAsia"/>
              <w:sz w:val="28"/>
              <w:szCs w:val="28"/>
              <w:highlight w:val="none"/>
            </w:rPr>
            <w:fldChar w:fldCharType="separate"/>
          </w:r>
          <w:r>
            <w:rPr>
              <w:rFonts w:hint="eastAsia" w:asciiTheme="minorEastAsia" w:hAnsiTheme="minorEastAsia" w:eastAsiaTheme="minorEastAsia" w:cstheme="minorEastAsia"/>
              <w:sz w:val="28"/>
              <w:szCs w:val="28"/>
              <w:highlight w:val="none"/>
            </w:rPr>
            <w:t>9</w:t>
          </w:r>
          <w:r>
            <w:rPr>
              <w:rFonts w:hint="eastAsia" w:asciiTheme="minorEastAsia" w:hAnsiTheme="minorEastAsia" w:eastAsiaTheme="minorEastAsia" w:cstheme="minorEastAsia"/>
              <w:sz w:val="28"/>
              <w:szCs w:val="28"/>
              <w:highlight w:val="none"/>
            </w:rPr>
            <w:fldChar w:fldCharType="end"/>
          </w:r>
          <w:r>
            <w:rPr>
              <w:rFonts w:hint="eastAsia" w:asciiTheme="minorEastAsia" w:hAnsiTheme="minorEastAsia" w:eastAsiaTheme="minorEastAsia" w:cstheme="minorEastAsia"/>
              <w:sz w:val="28"/>
              <w:szCs w:val="28"/>
              <w:highlight w:val="none"/>
            </w:rPr>
            <w:fldChar w:fldCharType="end"/>
          </w:r>
        </w:p>
        <w:p w14:paraId="22521DE6">
          <w:pPr>
            <w:pStyle w:val="55"/>
            <w:tabs>
              <w:tab w:val="right" w:leader="dot" w:pos="9072"/>
            </w:tabs>
            <w:rPr>
              <w:rFonts w:hint="eastAsia"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fldChar w:fldCharType="begin"/>
          </w:r>
          <w:r>
            <w:rPr>
              <w:rFonts w:hint="eastAsia" w:asciiTheme="minorEastAsia" w:hAnsiTheme="minorEastAsia" w:eastAsiaTheme="minorEastAsia" w:cstheme="minorEastAsia"/>
              <w:sz w:val="28"/>
              <w:szCs w:val="28"/>
              <w:highlight w:val="none"/>
            </w:rPr>
            <w:instrText xml:space="preserve"> HYPERLINK \l _Toc28310 </w:instrText>
          </w:r>
          <w:r>
            <w:rPr>
              <w:rFonts w:hint="eastAsia" w:asciiTheme="minorEastAsia" w:hAnsiTheme="minorEastAsia" w:eastAsiaTheme="minorEastAsia" w:cstheme="minorEastAsia"/>
              <w:sz w:val="28"/>
              <w:szCs w:val="28"/>
              <w:highlight w:val="none"/>
            </w:rPr>
            <w:fldChar w:fldCharType="separate"/>
          </w:r>
          <w:r>
            <w:rPr>
              <w:rFonts w:hint="eastAsia" w:asciiTheme="minorEastAsia" w:hAnsiTheme="minorEastAsia" w:eastAsiaTheme="minorEastAsia" w:cstheme="minorEastAsia"/>
              <w:sz w:val="28"/>
              <w:szCs w:val="28"/>
              <w:highlight w:val="none"/>
            </w:rPr>
            <w:t>四、投标文件的递交</w:t>
          </w:r>
          <w:r>
            <w:rPr>
              <w:rFonts w:hint="eastAsia" w:asciiTheme="minorEastAsia" w:hAnsiTheme="minorEastAsia" w:eastAsiaTheme="minorEastAsia" w:cstheme="minorEastAsia"/>
              <w:sz w:val="28"/>
              <w:szCs w:val="28"/>
              <w:highlight w:val="none"/>
            </w:rPr>
            <w:tab/>
          </w:r>
          <w:r>
            <w:rPr>
              <w:rFonts w:hint="eastAsia" w:asciiTheme="minorEastAsia" w:hAnsiTheme="minorEastAsia" w:eastAsiaTheme="minorEastAsia" w:cstheme="minorEastAsia"/>
              <w:sz w:val="28"/>
              <w:szCs w:val="28"/>
              <w:highlight w:val="none"/>
            </w:rPr>
            <w:fldChar w:fldCharType="begin"/>
          </w:r>
          <w:r>
            <w:rPr>
              <w:rFonts w:hint="eastAsia" w:asciiTheme="minorEastAsia" w:hAnsiTheme="minorEastAsia" w:eastAsiaTheme="minorEastAsia" w:cstheme="minorEastAsia"/>
              <w:sz w:val="28"/>
              <w:szCs w:val="28"/>
              <w:highlight w:val="none"/>
            </w:rPr>
            <w:instrText xml:space="preserve"> PAGEREF _Toc28310 \h </w:instrText>
          </w:r>
          <w:r>
            <w:rPr>
              <w:rFonts w:hint="eastAsia" w:asciiTheme="minorEastAsia" w:hAnsiTheme="minorEastAsia" w:eastAsiaTheme="minorEastAsia" w:cstheme="minorEastAsia"/>
              <w:sz w:val="28"/>
              <w:szCs w:val="28"/>
              <w:highlight w:val="none"/>
            </w:rPr>
            <w:fldChar w:fldCharType="separate"/>
          </w:r>
          <w:r>
            <w:rPr>
              <w:rFonts w:hint="eastAsia" w:asciiTheme="minorEastAsia" w:hAnsiTheme="minorEastAsia" w:eastAsiaTheme="minorEastAsia" w:cstheme="minorEastAsia"/>
              <w:sz w:val="28"/>
              <w:szCs w:val="28"/>
              <w:highlight w:val="none"/>
            </w:rPr>
            <w:t>12</w:t>
          </w:r>
          <w:r>
            <w:rPr>
              <w:rFonts w:hint="eastAsia" w:asciiTheme="minorEastAsia" w:hAnsiTheme="minorEastAsia" w:eastAsiaTheme="minorEastAsia" w:cstheme="minorEastAsia"/>
              <w:sz w:val="28"/>
              <w:szCs w:val="28"/>
              <w:highlight w:val="none"/>
            </w:rPr>
            <w:fldChar w:fldCharType="end"/>
          </w:r>
          <w:r>
            <w:rPr>
              <w:rFonts w:hint="eastAsia" w:asciiTheme="minorEastAsia" w:hAnsiTheme="minorEastAsia" w:eastAsiaTheme="minorEastAsia" w:cstheme="minorEastAsia"/>
              <w:sz w:val="28"/>
              <w:szCs w:val="28"/>
              <w:highlight w:val="none"/>
            </w:rPr>
            <w:fldChar w:fldCharType="end"/>
          </w:r>
        </w:p>
        <w:p w14:paraId="00283A0D">
          <w:pPr>
            <w:pStyle w:val="55"/>
            <w:tabs>
              <w:tab w:val="right" w:leader="dot" w:pos="9072"/>
            </w:tabs>
            <w:rPr>
              <w:rFonts w:hint="eastAsia"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fldChar w:fldCharType="begin"/>
          </w:r>
          <w:r>
            <w:rPr>
              <w:rFonts w:hint="eastAsia" w:asciiTheme="minorEastAsia" w:hAnsiTheme="minorEastAsia" w:eastAsiaTheme="minorEastAsia" w:cstheme="minorEastAsia"/>
              <w:sz w:val="28"/>
              <w:szCs w:val="28"/>
              <w:highlight w:val="none"/>
            </w:rPr>
            <w:instrText xml:space="preserve"> HYPERLINK \l _Toc27511 </w:instrText>
          </w:r>
          <w:r>
            <w:rPr>
              <w:rFonts w:hint="eastAsia" w:asciiTheme="minorEastAsia" w:hAnsiTheme="minorEastAsia" w:eastAsiaTheme="minorEastAsia" w:cstheme="minorEastAsia"/>
              <w:sz w:val="28"/>
              <w:szCs w:val="28"/>
              <w:highlight w:val="none"/>
            </w:rPr>
            <w:fldChar w:fldCharType="separate"/>
          </w:r>
          <w:r>
            <w:rPr>
              <w:rFonts w:hint="eastAsia" w:asciiTheme="minorEastAsia" w:hAnsiTheme="minorEastAsia" w:eastAsiaTheme="minorEastAsia" w:cstheme="minorEastAsia"/>
              <w:sz w:val="28"/>
              <w:szCs w:val="28"/>
              <w:highlight w:val="none"/>
            </w:rPr>
            <w:t>五、开标</w:t>
          </w:r>
          <w:r>
            <w:rPr>
              <w:rFonts w:hint="eastAsia" w:asciiTheme="minorEastAsia" w:hAnsiTheme="minorEastAsia" w:eastAsiaTheme="minorEastAsia" w:cstheme="minorEastAsia"/>
              <w:sz w:val="28"/>
              <w:szCs w:val="28"/>
              <w:highlight w:val="none"/>
            </w:rPr>
            <w:tab/>
          </w:r>
          <w:r>
            <w:rPr>
              <w:rFonts w:hint="eastAsia" w:asciiTheme="minorEastAsia" w:hAnsiTheme="minorEastAsia" w:eastAsiaTheme="minorEastAsia" w:cstheme="minorEastAsia"/>
              <w:sz w:val="28"/>
              <w:szCs w:val="28"/>
              <w:highlight w:val="none"/>
            </w:rPr>
            <w:fldChar w:fldCharType="begin"/>
          </w:r>
          <w:r>
            <w:rPr>
              <w:rFonts w:hint="eastAsia" w:asciiTheme="minorEastAsia" w:hAnsiTheme="minorEastAsia" w:eastAsiaTheme="minorEastAsia" w:cstheme="minorEastAsia"/>
              <w:sz w:val="28"/>
              <w:szCs w:val="28"/>
              <w:highlight w:val="none"/>
            </w:rPr>
            <w:instrText xml:space="preserve"> PAGEREF _Toc27511 \h </w:instrText>
          </w:r>
          <w:r>
            <w:rPr>
              <w:rFonts w:hint="eastAsia" w:asciiTheme="minorEastAsia" w:hAnsiTheme="minorEastAsia" w:eastAsiaTheme="minorEastAsia" w:cstheme="minorEastAsia"/>
              <w:sz w:val="28"/>
              <w:szCs w:val="28"/>
              <w:highlight w:val="none"/>
            </w:rPr>
            <w:fldChar w:fldCharType="separate"/>
          </w:r>
          <w:r>
            <w:rPr>
              <w:rFonts w:hint="eastAsia" w:asciiTheme="minorEastAsia" w:hAnsiTheme="minorEastAsia" w:eastAsiaTheme="minorEastAsia" w:cstheme="minorEastAsia"/>
              <w:sz w:val="28"/>
              <w:szCs w:val="28"/>
              <w:highlight w:val="none"/>
            </w:rPr>
            <w:t>12</w:t>
          </w:r>
          <w:r>
            <w:rPr>
              <w:rFonts w:hint="eastAsia" w:asciiTheme="minorEastAsia" w:hAnsiTheme="minorEastAsia" w:eastAsiaTheme="minorEastAsia" w:cstheme="minorEastAsia"/>
              <w:sz w:val="28"/>
              <w:szCs w:val="28"/>
              <w:highlight w:val="none"/>
            </w:rPr>
            <w:fldChar w:fldCharType="end"/>
          </w:r>
          <w:r>
            <w:rPr>
              <w:rFonts w:hint="eastAsia" w:asciiTheme="minorEastAsia" w:hAnsiTheme="minorEastAsia" w:eastAsiaTheme="minorEastAsia" w:cstheme="minorEastAsia"/>
              <w:sz w:val="28"/>
              <w:szCs w:val="28"/>
              <w:highlight w:val="none"/>
            </w:rPr>
            <w:fldChar w:fldCharType="end"/>
          </w:r>
        </w:p>
        <w:p w14:paraId="124431D9">
          <w:pPr>
            <w:pStyle w:val="55"/>
            <w:tabs>
              <w:tab w:val="right" w:leader="dot" w:pos="9072"/>
            </w:tabs>
            <w:rPr>
              <w:rFonts w:hint="eastAsia"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fldChar w:fldCharType="begin"/>
          </w:r>
          <w:r>
            <w:rPr>
              <w:rFonts w:hint="eastAsia" w:asciiTheme="minorEastAsia" w:hAnsiTheme="minorEastAsia" w:eastAsiaTheme="minorEastAsia" w:cstheme="minorEastAsia"/>
              <w:sz w:val="28"/>
              <w:szCs w:val="28"/>
              <w:highlight w:val="none"/>
            </w:rPr>
            <w:instrText xml:space="preserve"> HYPERLINK \l _Toc25219 </w:instrText>
          </w:r>
          <w:r>
            <w:rPr>
              <w:rFonts w:hint="eastAsia" w:asciiTheme="minorEastAsia" w:hAnsiTheme="minorEastAsia" w:eastAsiaTheme="minorEastAsia" w:cstheme="minorEastAsia"/>
              <w:sz w:val="28"/>
              <w:szCs w:val="28"/>
              <w:highlight w:val="none"/>
            </w:rPr>
            <w:fldChar w:fldCharType="separate"/>
          </w:r>
          <w:r>
            <w:rPr>
              <w:rFonts w:hint="eastAsia" w:asciiTheme="minorEastAsia" w:hAnsiTheme="minorEastAsia" w:eastAsiaTheme="minorEastAsia" w:cstheme="minorEastAsia"/>
              <w:sz w:val="28"/>
              <w:szCs w:val="28"/>
              <w:highlight w:val="none"/>
            </w:rPr>
            <w:t>六、资格审查</w:t>
          </w:r>
          <w:r>
            <w:rPr>
              <w:rFonts w:hint="eastAsia" w:asciiTheme="minorEastAsia" w:hAnsiTheme="minorEastAsia" w:eastAsiaTheme="minorEastAsia" w:cstheme="minorEastAsia"/>
              <w:sz w:val="28"/>
              <w:szCs w:val="28"/>
              <w:highlight w:val="none"/>
            </w:rPr>
            <w:tab/>
          </w:r>
          <w:r>
            <w:rPr>
              <w:rFonts w:hint="eastAsia" w:asciiTheme="minorEastAsia" w:hAnsiTheme="minorEastAsia" w:eastAsiaTheme="minorEastAsia" w:cstheme="minorEastAsia"/>
              <w:sz w:val="28"/>
              <w:szCs w:val="28"/>
              <w:highlight w:val="none"/>
            </w:rPr>
            <w:fldChar w:fldCharType="begin"/>
          </w:r>
          <w:r>
            <w:rPr>
              <w:rFonts w:hint="eastAsia" w:asciiTheme="minorEastAsia" w:hAnsiTheme="minorEastAsia" w:eastAsiaTheme="minorEastAsia" w:cstheme="minorEastAsia"/>
              <w:sz w:val="28"/>
              <w:szCs w:val="28"/>
              <w:highlight w:val="none"/>
            </w:rPr>
            <w:instrText xml:space="preserve"> PAGEREF _Toc25219 \h </w:instrText>
          </w:r>
          <w:r>
            <w:rPr>
              <w:rFonts w:hint="eastAsia" w:asciiTheme="minorEastAsia" w:hAnsiTheme="minorEastAsia" w:eastAsiaTheme="minorEastAsia" w:cstheme="minorEastAsia"/>
              <w:sz w:val="28"/>
              <w:szCs w:val="28"/>
              <w:highlight w:val="none"/>
            </w:rPr>
            <w:fldChar w:fldCharType="separate"/>
          </w:r>
          <w:r>
            <w:rPr>
              <w:rFonts w:hint="eastAsia" w:asciiTheme="minorEastAsia" w:hAnsiTheme="minorEastAsia" w:eastAsiaTheme="minorEastAsia" w:cstheme="minorEastAsia"/>
              <w:sz w:val="28"/>
              <w:szCs w:val="28"/>
              <w:highlight w:val="none"/>
            </w:rPr>
            <w:t>13</w:t>
          </w:r>
          <w:r>
            <w:rPr>
              <w:rFonts w:hint="eastAsia" w:asciiTheme="minorEastAsia" w:hAnsiTheme="minorEastAsia" w:eastAsiaTheme="minorEastAsia" w:cstheme="minorEastAsia"/>
              <w:sz w:val="28"/>
              <w:szCs w:val="28"/>
              <w:highlight w:val="none"/>
            </w:rPr>
            <w:fldChar w:fldCharType="end"/>
          </w:r>
          <w:r>
            <w:rPr>
              <w:rFonts w:hint="eastAsia" w:asciiTheme="minorEastAsia" w:hAnsiTheme="minorEastAsia" w:eastAsiaTheme="minorEastAsia" w:cstheme="minorEastAsia"/>
              <w:sz w:val="28"/>
              <w:szCs w:val="28"/>
              <w:highlight w:val="none"/>
            </w:rPr>
            <w:fldChar w:fldCharType="end"/>
          </w:r>
        </w:p>
        <w:p w14:paraId="6A05939F">
          <w:pPr>
            <w:pStyle w:val="55"/>
            <w:tabs>
              <w:tab w:val="right" w:leader="dot" w:pos="9072"/>
            </w:tabs>
            <w:rPr>
              <w:rFonts w:hint="eastAsia"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fldChar w:fldCharType="begin"/>
          </w:r>
          <w:r>
            <w:rPr>
              <w:rFonts w:hint="eastAsia" w:asciiTheme="minorEastAsia" w:hAnsiTheme="minorEastAsia" w:eastAsiaTheme="minorEastAsia" w:cstheme="minorEastAsia"/>
              <w:sz w:val="28"/>
              <w:szCs w:val="28"/>
              <w:highlight w:val="none"/>
            </w:rPr>
            <w:instrText xml:space="preserve"> HYPERLINK \l _Toc12356 </w:instrText>
          </w:r>
          <w:r>
            <w:rPr>
              <w:rFonts w:hint="eastAsia" w:asciiTheme="minorEastAsia" w:hAnsiTheme="minorEastAsia" w:eastAsiaTheme="minorEastAsia" w:cstheme="minorEastAsia"/>
              <w:sz w:val="28"/>
              <w:szCs w:val="28"/>
              <w:highlight w:val="none"/>
            </w:rPr>
            <w:fldChar w:fldCharType="separate"/>
          </w:r>
          <w:r>
            <w:rPr>
              <w:rFonts w:hint="eastAsia" w:asciiTheme="minorEastAsia" w:hAnsiTheme="minorEastAsia" w:eastAsiaTheme="minorEastAsia" w:cstheme="minorEastAsia"/>
              <w:sz w:val="28"/>
              <w:szCs w:val="28"/>
              <w:highlight w:val="none"/>
            </w:rPr>
            <w:t>七、评标</w:t>
          </w:r>
          <w:r>
            <w:rPr>
              <w:rFonts w:hint="eastAsia" w:asciiTheme="minorEastAsia" w:hAnsiTheme="minorEastAsia" w:eastAsiaTheme="minorEastAsia" w:cstheme="minorEastAsia"/>
              <w:sz w:val="28"/>
              <w:szCs w:val="28"/>
              <w:highlight w:val="none"/>
            </w:rPr>
            <w:tab/>
          </w:r>
          <w:r>
            <w:rPr>
              <w:rFonts w:hint="eastAsia" w:asciiTheme="minorEastAsia" w:hAnsiTheme="minorEastAsia" w:eastAsiaTheme="minorEastAsia" w:cstheme="minorEastAsia"/>
              <w:sz w:val="28"/>
              <w:szCs w:val="28"/>
              <w:highlight w:val="none"/>
            </w:rPr>
            <w:fldChar w:fldCharType="begin"/>
          </w:r>
          <w:r>
            <w:rPr>
              <w:rFonts w:hint="eastAsia" w:asciiTheme="minorEastAsia" w:hAnsiTheme="minorEastAsia" w:eastAsiaTheme="minorEastAsia" w:cstheme="minorEastAsia"/>
              <w:sz w:val="28"/>
              <w:szCs w:val="28"/>
              <w:highlight w:val="none"/>
            </w:rPr>
            <w:instrText xml:space="preserve"> PAGEREF _Toc12356 \h </w:instrText>
          </w:r>
          <w:r>
            <w:rPr>
              <w:rFonts w:hint="eastAsia" w:asciiTheme="minorEastAsia" w:hAnsiTheme="minorEastAsia" w:eastAsiaTheme="minorEastAsia" w:cstheme="minorEastAsia"/>
              <w:sz w:val="28"/>
              <w:szCs w:val="28"/>
              <w:highlight w:val="none"/>
            </w:rPr>
            <w:fldChar w:fldCharType="separate"/>
          </w:r>
          <w:r>
            <w:rPr>
              <w:rFonts w:hint="eastAsia" w:asciiTheme="minorEastAsia" w:hAnsiTheme="minorEastAsia" w:eastAsiaTheme="minorEastAsia" w:cstheme="minorEastAsia"/>
              <w:sz w:val="28"/>
              <w:szCs w:val="28"/>
              <w:highlight w:val="none"/>
            </w:rPr>
            <w:t>13</w:t>
          </w:r>
          <w:r>
            <w:rPr>
              <w:rFonts w:hint="eastAsia" w:asciiTheme="minorEastAsia" w:hAnsiTheme="minorEastAsia" w:eastAsiaTheme="minorEastAsia" w:cstheme="minorEastAsia"/>
              <w:sz w:val="28"/>
              <w:szCs w:val="28"/>
              <w:highlight w:val="none"/>
            </w:rPr>
            <w:fldChar w:fldCharType="end"/>
          </w:r>
          <w:r>
            <w:rPr>
              <w:rFonts w:hint="eastAsia" w:asciiTheme="minorEastAsia" w:hAnsiTheme="minorEastAsia" w:eastAsiaTheme="minorEastAsia" w:cstheme="minorEastAsia"/>
              <w:sz w:val="28"/>
              <w:szCs w:val="28"/>
              <w:highlight w:val="none"/>
            </w:rPr>
            <w:fldChar w:fldCharType="end"/>
          </w:r>
        </w:p>
        <w:p w14:paraId="7BD7E6C8">
          <w:pPr>
            <w:pStyle w:val="55"/>
            <w:tabs>
              <w:tab w:val="right" w:leader="dot" w:pos="9072"/>
            </w:tabs>
            <w:rPr>
              <w:rFonts w:hint="eastAsia"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fldChar w:fldCharType="begin"/>
          </w:r>
          <w:r>
            <w:rPr>
              <w:rFonts w:hint="eastAsia" w:asciiTheme="minorEastAsia" w:hAnsiTheme="minorEastAsia" w:eastAsiaTheme="minorEastAsia" w:cstheme="minorEastAsia"/>
              <w:sz w:val="28"/>
              <w:szCs w:val="28"/>
              <w:highlight w:val="none"/>
            </w:rPr>
            <w:instrText xml:space="preserve"> HYPERLINK \l _Toc31361 </w:instrText>
          </w:r>
          <w:r>
            <w:rPr>
              <w:rFonts w:hint="eastAsia" w:asciiTheme="minorEastAsia" w:hAnsiTheme="minorEastAsia" w:eastAsiaTheme="minorEastAsia" w:cstheme="minorEastAsia"/>
              <w:sz w:val="28"/>
              <w:szCs w:val="28"/>
              <w:highlight w:val="none"/>
            </w:rPr>
            <w:fldChar w:fldCharType="separate"/>
          </w:r>
          <w:r>
            <w:rPr>
              <w:rFonts w:hint="eastAsia" w:asciiTheme="minorEastAsia" w:hAnsiTheme="minorEastAsia" w:eastAsiaTheme="minorEastAsia" w:cstheme="minorEastAsia"/>
              <w:sz w:val="28"/>
              <w:szCs w:val="28"/>
              <w:highlight w:val="none"/>
            </w:rPr>
            <w:t>八、定标</w:t>
          </w:r>
          <w:r>
            <w:rPr>
              <w:rFonts w:hint="eastAsia" w:asciiTheme="minorEastAsia" w:hAnsiTheme="minorEastAsia" w:eastAsiaTheme="minorEastAsia" w:cstheme="minorEastAsia"/>
              <w:sz w:val="28"/>
              <w:szCs w:val="28"/>
              <w:highlight w:val="none"/>
            </w:rPr>
            <w:tab/>
          </w:r>
          <w:r>
            <w:rPr>
              <w:rFonts w:hint="eastAsia" w:asciiTheme="minorEastAsia" w:hAnsiTheme="minorEastAsia" w:eastAsiaTheme="minorEastAsia" w:cstheme="minorEastAsia"/>
              <w:sz w:val="28"/>
              <w:szCs w:val="28"/>
              <w:highlight w:val="none"/>
            </w:rPr>
            <w:fldChar w:fldCharType="begin"/>
          </w:r>
          <w:r>
            <w:rPr>
              <w:rFonts w:hint="eastAsia" w:asciiTheme="minorEastAsia" w:hAnsiTheme="minorEastAsia" w:eastAsiaTheme="minorEastAsia" w:cstheme="minorEastAsia"/>
              <w:sz w:val="28"/>
              <w:szCs w:val="28"/>
              <w:highlight w:val="none"/>
            </w:rPr>
            <w:instrText xml:space="preserve"> PAGEREF _Toc31361 \h </w:instrText>
          </w:r>
          <w:r>
            <w:rPr>
              <w:rFonts w:hint="eastAsia" w:asciiTheme="minorEastAsia" w:hAnsiTheme="minorEastAsia" w:eastAsiaTheme="minorEastAsia" w:cstheme="minorEastAsia"/>
              <w:sz w:val="28"/>
              <w:szCs w:val="28"/>
              <w:highlight w:val="none"/>
            </w:rPr>
            <w:fldChar w:fldCharType="separate"/>
          </w:r>
          <w:r>
            <w:rPr>
              <w:rFonts w:hint="eastAsia" w:asciiTheme="minorEastAsia" w:hAnsiTheme="minorEastAsia" w:eastAsiaTheme="minorEastAsia" w:cstheme="minorEastAsia"/>
              <w:sz w:val="28"/>
              <w:szCs w:val="28"/>
              <w:highlight w:val="none"/>
            </w:rPr>
            <w:t>17</w:t>
          </w:r>
          <w:r>
            <w:rPr>
              <w:rFonts w:hint="eastAsia" w:asciiTheme="minorEastAsia" w:hAnsiTheme="minorEastAsia" w:eastAsiaTheme="minorEastAsia" w:cstheme="minorEastAsia"/>
              <w:sz w:val="28"/>
              <w:szCs w:val="28"/>
              <w:highlight w:val="none"/>
            </w:rPr>
            <w:fldChar w:fldCharType="end"/>
          </w:r>
          <w:r>
            <w:rPr>
              <w:rFonts w:hint="eastAsia" w:asciiTheme="minorEastAsia" w:hAnsiTheme="minorEastAsia" w:eastAsiaTheme="minorEastAsia" w:cstheme="minorEastAsia"/>
              <w:sz w:val="28"/>
              <w:szCs w:val="28"/>
              <w:highlight w:val="none"/>
            </w:rPr>
            <w:fldChar w:fldCharType="end"/>
          </w:r>
        </w:p>
        <w:p w14:paraId="280B9B89">
          <w:pPr>
            <w:pStyle w:val="55"/>
            <w:tabs>
              <w:tab w:val="right" w:leader="dot" w:pos="9072"/>
            </w:tabs>
            <w:rPr>
              <w:rFonts w:hint="eastAsia"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fldChar w:fldCharType="begin"/>
          </w:r>
          <w:r>
            <w:rPr>
              <w:rFonts w:hint="eastAsia" w:asciiTheme="minorEastAsia" w:hAnsiTheme="minorEastAsia" w:eastAsiaTheme="minorEastAsia" w:cstheme="minorEastAsia"/>
              <w:sz w:val="28"/>
              <w:szCs w:val="28"/>
              <w:highlight w:val="none"/>
            </w:rPr>
            <w:instrText xml:space="preserve"> HYPERLINK \l _Toc8428 </w:instrText>
          </w:r>
          <w:r>
            <w:rPr>
              <w:rFonts w:hint="eastAsia" w:asciiTheme="minorEastAsia" w:hAnsiTheme="minorEastAsia" w:eastAsiaTheme="minorEastAsia" w:cstheme="minorEastAsia"/>
              <w:sz w:val="28"/>
              <w:szCs w:val="28"/>
              <w:highlight w:val="none"/>
            </w:rPr>
            <w:fldChar w:fldCharType="separate"/>
          </w:r>
          <w:r>
            <w:rPr>
              <w:rFonts w:hint="eastAsia" w:asciiTheme="minorEastAsia" w:hAnsiTheme="minorEastAsia" w:eastAsiaTheme="minorEastAsia" w:cstheme="minorEastAsia"/>
              <w:sz w:val="28"/>
              <w:szCs w:val="28"/>
              <w:highlight w:val="none"/>
            </w:rPr>
            <w:t>九、合同签订及其他</w:t>
          </w:r>
          <w:r>
            <w:rPr>
              <w:rFonts w:hint="eastAsia" w:asciiTheme="minorEastAsia" w:hAnsiTheme="minorEastAsia" w:eastAsiaTheme="minorEastAsia" w:cstheme="minorEastAsia"/>
              <w:sz w:val="28"/>
              <w:szCs w:val="28"/>
              <w:highlight w:val="none"/>
            </w:rPr>
            <w:tab/>
          </w:r>
          <w:r>
            <w:rPr>
              <w:rFonts w:hint="eastAsia" w:asciiTheme="minorEastAsia" w:hAnsiTheme="minorEastAsia" w:eastAsiaTheme="minorEastAsia" w:cstheme="minorEastAsia"/>
              <w:sz w:val="28"/>
              <w:szCs w:val="28"/>
              <w:highlight w:val="none"/>
            </w:rPr>
            <w:fldChar w:fldCharType="begin"/>
          </w:r>
          <w:r>
            <w:rPr>
              <w:rFonts w:hint="eastAsia" w:asciiTheme="minorEastAsia" w:hAnsiTheme="minorEastAsia" w:eastAsiaTheme="minorEastAsia" w:cstheme="minorEastAsia"/>
              <w:sz w:val="28"/>
              <w:szCs w:val="28"/>
              <w:highlight w:val="none"/>
            </w:rPr>
            <w:instrText xml:space="preserve"> PAGEREF _Toc8428 \h </w:instrText>
          </w:r>
          <w:r>
            <w:rPr>
              <w:rFonts w:hint="eastAsia" w:asciiTheme="minorEastAsia" w:hAnsiTheme="minorEastAsia" w:eastAsiaTheme="minorEastAsia" w:cstheme="minorEastAsia"/>
              <w:sz w:val="28"/>
              <w:szCs w:val="28"/>
              <w:highlight w:val="none"/>
            </w:rPr>
            <w:fldChar w:fldCharType="separate"/>
          </w:r>
          <w:r>
            <w:rPr>
              <w:rFonts w:hint="eastAsia" w:asciiTheme="minorEastAsia" w:hAnsiTheme="minorEastAsia" w:eastAsiaTheme="minorEastAsia" w:cstheme="minorEastAsia"/>
              <w:sz w:val="28"/>
              <w:szCs w:val="28"/>
              <w:highlight w:val="none"/>
            </w:rPr>
            <w:t>18</w:t>
          </w:r>
          <w:r>
            <w:rPr>
              <w:rFonts w:hint="eastAsia" w:asciiTheme="minorEastAsia" w:hAnsiTheme="minorEastAsia" w:eastAsiaTheme="minorEastAsia" w:cstheme="minorEastAsia"/>
              <w:sz w:val="28"/>
              <w:szCs w:val="28"/>
              <w:highlight w:val="none"/>
            </w:rPr>
            <w:fldChar w:fldCharType="end"/>
          </w:r>
          <w:r>
            <w:rPr>
              <w:rFonts w:hint="eastAsia" w:asciiTheme="minorEastAsia" w:hAnsiTheme="minorEastAsia" w:eastAsiaTheme="minorEastAsia" w:cstheme="minorEastAsia"/>
              <w:sz w:val="28"/>
              <w:szCs w:val="28"/>
              <w:highlight w:val="none"/>
            </w:rPr>
            <w:fldChar w:fldCharType="end"/>
          </w:r>
        </w:p>
        <w:p w14:paraId="43A42DCB">
          <w:pPr>
            <w:pStyle w:val="55"/>
            <w:tabs>
              <w:tab w:val="right" w:leader="dot" w:pos="9072"/>
            </w:tabs>
            <w:rPr>
              <w:rFonts w:hint="eastAsia"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fldChar w:fldCharType="begin"/>
          </w:r>
          <w:r>
            <w:rPr>
              <w:rFonts w:hint="eastAsia" w:asciiTheme="minorEastAsia" w:hAnsiTheme="minorEastAsia" w:eastAsiaTheme="minorEastAsia" w:cstheme="minorEastAsia"/>
              <w:sz w:val="28"/>
              <w:szCs w:val="28"/>
              <w:highlight w:val="none"/>
            </w:rPr>
            <w:instrText xml:space="preserve"> HYPERLINK \l _Toc19112 </w:instrText>
          </w:r>
          <w:r>
            <w:rPr>
              <w:rFonts w:hint="eastAsia" w:asciiTheme="minorEastAsia" w:hAnsiTheme="minorEastAsia" w:eastAsiaTheme="minorEastAsia" w:cstheme="minorEastAsia"/>
              <w:sz w:val="28"/>
              <w:szCs w:val="28"/>
              <w:highlight w:val="none"/>
            </w:rPr>
            <w:fldChar w:fldCharType="separate"/>
          </w:r>
          <w:r>
            <w:rPr>
              <w:rFonts w:hint="eastAsia" w:asciiTheme="minorEastAsia" w:hAnsiTheme="minorEastAsia" w:eastAsiaTheme="minorEastAsia" w:cstheme="minorEastAsia"/>
              <w:sz w:val="28"/>
              <w:szCs w:val="28"/>
              <w:highlight w:val="none"/>
            </w:rPr>
            <w:t>十、质疑与投诉</w:t>
          </w:r>
          <w:r>
            <w:rPr>
              <w:rFonts w:hint="eastAsia" w:asciiTheme="minorEastAsia" w:hAnsiTheme="minorEastAsia" w:eastAsiaTheme="minorEastAsia" w:cstheme="minorEastAsia"/>
              <w:sz w:val="28"/>
              <w:szCs w:val="28"/>
              <w:highlight w:val="none"/>
            </w:rPr>
            <w:tab/>
          </w:r>
          <w:r>
            <w:rPr>
              <w:rFonts w:hint="eastAsia" w:asciiTheme="minorEastAsia" w:hAnsiTheme="minorEastAsia" w:eastAsiaTheme="minorEastAsia" w:cstheme="minorEastAsia"/>
              <w:sz w:val="28"/>
              <w:szCs w:val="28"/>
              <w:highlight w:val="none"/>
            </w:rPr>
            <w:fldChar w:fldCharType="begin"/>
          </w:r>
          <w:r>
            <w:rPr>
              <w:rFonts w:hint="eastAsia" w:asciiTheme="minorEastAsia" w:hAnsiTheme="minorEastAsia" w:eastAsiaTheme="minorEastAsia" w:cstheme="minorEastAsia"/>
              <w:sz w:val="28"/>
              <w:szCs w:val="28"/>
              <w:highlight w:val="none"/>
            </w:rPr>
            <w:instrText xml:space="preserve"> PAGEREF _Toc19112 \h </w:instrText>
          </w:r>
          <w:r>
            <w:rPr>
              <w:rFonts w:hint="eastAsia" w:asciiTheme="minorEastAsia" w:hAnsiTheme="minorEastAsia" w:eastAsiaTheme="minorEastAsia" w:cstheme="minorEastAsia"/>
              <w:sz w:val="28"/>
              <w:szCs w:val="28"/>
              <w:highlight w:val="none"/>
            </w:rPr>
            <w:fldChar w:fldCharType="separate"/>
          </w:r>
          <w:r>
            <w:rPr>
              <w:rFonts w:hint="eastAsia" w:asciiTheme="minorEastAsia" w:hAnsiTheme="minorEastAsia" w:eastAsiaTheme="minorEastAsia" w:cstheme="minorEastAsia"/>
              <w:sz w:val="28"/>
              <w:szCs w:val="28"/>
              <w:highlight w:val="none"/>
            </w:rPr>
            <w:t>19</w:t>
          </w:r>
          <w:r>
            <w:rPr>
              <w:rFonts w:hint="eastAsia" w:asciiTheme="minorEastAsia" w:hAnsiTheme="minorEastAsia" w:eastAsiaTheme="minorEastAsia" w:cstheme="minorEastAsia"/>
              <w:sz w:val="28"/>
              <w:szCs w:val="28"/>
              <w:highlight w:val="none"/>
            </w:rPr>
            <w:fldChar w:fldCharType="end"/>
          </w:r>
          <w:r>
            <w:rPr>
              <w:rFonts w:hint="eastAsia" w:asciiTheme="minorEastAsia" w:hAnsiTheme="minorEastAsia" w:eastAsiaTheme="minorEastAsia" w:cstheme="minorEastAsia"/>
              <w:sz w:val="28"/>
              <w:szCs w:val="28"/>
              <w:highlight w:val="none"/>
            </w:rPr>
            <w:fldChar w:fldCharType="end"/>
          </w:r>
        </w:p>
        <w:p w14:paraId="361DCB3D">
          <w:pPr>
            <w:pStyle w:val="54"/>
            <w:tabs>
              <w:tab w:val="right" w:leader="dot" w:pos="9072"/>
            </w:tabs>
            <w:rPr>
              <w:rFonts w:hint="eastAsia"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fldChar w:fldCharType="begin"/>
          </w:r>
          <w:r>
            <w:rPr>
              <w:rFonts w:hint="eastAsia" w:asciiTheme="minorEastAsia" w:hAnsiTheme="minorEastAsia" w:eastAsiaTheme="minorEastAsia" w:cstheme="minorEastAsia"/>
              <w:sz w:val="28"/>
              <w:szCs w:val="28"/>
              <w:highlight w:val="none"/>
            </w:rPr>
            <w:instrText xml:space="preserve"> HYPERLINK \l _Toc1468 </w:instrText>
          </w:r>
          <w:r>
            <w:rPr>
              <w:rFonts w:hint="eastAsia" w:asciiTheme="minorEastAsia" w:hAnsiTheme="minorEastAsia" w:eastAsiaTheme="minorEastAsia" w:cstheme="minorEastAsia"/>
              <w:sz w:val="28"/>
              <w:szCs w:val="28"/>
              <w:highlight w:val="none"/>
            </w:rPr>
            <w:fldChar w:fldCharType="separate"/>
          </w:r>
          <w:r>
            <w:rPr>
              <w:rFonts w:hint="eastAsia" w:asciiTheme="minorEastAsia" w:hAnsiTheme="minorEastAsia" w:eastAsiaTheme="minorEastAsia" w:cstheme="minorEastAsia"/>
              <w:sz w:val="28"/>
              <w:szCs w:val="28"/>
              <w:highlight w:val="none"/>
            </w:rPr>
            <w:t>第三部分 评标办法及评分标准</w:t>
          </w:r>
          <w:r>
            <w:rPr>
              <w:rFonts w:hint="eastAsia" w:asciiTheme="minorEastAsia" w:hAnsiTheme="minorEastAsia" w:eastAsiaTheme="minorEastAsia" w:cstheme="minorEastAsia"/>
              <w:sz w:val="28"/>
              <w:szCs w:val="28"/>
              <w:highlight w:val="none"/>
            </w:rPr>
            <w:tab/>
          </w:r>
          <w:r>
            <w:rPr>
              <w:rFonts w:hint="eastAsia" w:asciiTheme="minorEastAsia" w:hAnsiTheme="minorEastAsia" w:eastAsiaTheme="minorEastAsia" w:cstheme="minorEastAsia"/>
              <w:sz w:val="28"/>
              <w:szCs w:val="28"/>
              <w:highlight w:val="none"/>
            </w:rPr>
            <w:fldChar w:fldCharType="begin"/>
          </w:r>
          <w:r>
            <w:rPr>
              <w:rFonts w:hint="eastAsia" w:asciiTheme="minorEastAsia" w:hAnsiTheme="minorEastAsia" w:eastAsiaTheme="minorEastAsia" w:cstheme="minorEastAsia"/>
              <w:sz w:val="28"/>
              <w:szCs w:val="28"/>
              <w:highlight w:val="none"/>
            </w:rPr>
            <w:instrText xml:space="preserve"> PAGEREF _Toc1468 \h </w:instrText>
          </w:r>
          <w:r>
            <w:rPr>
              <w:rFonts w:hint="eastAsia" w:asciiTheme="minorEastAsia" w:hAnsiTheme="minorEastAsia" w:eastAsiaTheme="minorEastAsia" w:cstheme="minorEastAsia"/>
              <w:sz w:val="28"/>
              <w:szCs w:val="28"/>
              <w:highlight w:val="none"/>
            </w:rPr>
            <w:fldChar w:fldCharType="separate"/>
          </w:r>
          <w:r>
            <w:rPr>
              <w:rFonts w:hint="eastAsia" w:asciiTheme="minorEastAsia" w:hAnsiTheme="minorEastAsia" w:eastAsiaTheme="minorEastAsia" w:cstheme="minorEastAsia"/>
              <w:sz w:val="28"/>
              <w:szCs w:val="28"/>
              <w:highlight w:val="none"/>
            </w:rPr>
            <w:t>21</w:t>
          </w:r>
          <w:r>
            <w:rPr>
              <w:rFonts w:hint="eastAsia" w:asciiTheme="minorEastAsia" w:hAnsiTheme="minorEastAsia" w:eastAsiaTheme="minorEastAsia" w:cstheme="minorEastAsia"/>
              <w:sz w:val="28"/>
              <w:szCs w:val="28"/>
              <w:highlight w:val="none"/>
            </w:rPr>
            <w:fldChar w:fldCharType="end"/>
          </w:r>
          <w:r>
            <w:rPr>
              <w:rFonts w:hint="eastAsia" w:asciiTheme="minorEastAsia" w:hAnsiTheme="minorEastAsia" w:eastAsiaTheme="minorEastAsia" w:cstheme="minorEastAsia"/>
              <w:sz w:val="28"/>
              <w:szCs w:val="28"/>
              <w:highlight w:val="none"/>
            </w:rPr>
            <w:fldChar w:fldCharType="end"/>
          </w:r>
        </w:p>
        <w:p w14:paraId="699A6B34">
          <w:pPr>
            <w:pStyle w:val="55"/>
            <w:tabs>
              <w:tab w:val="right" w:leader="dot" w:pos="9072"/>
            </w:tabs>
            <w:rPr>
              <w:rFonts w:hint="eastAsia"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fldChar w:fldCharType="begin"/>
          </w:r>
          <w:r>
            <w:rPr>
              <w:rFonts w:hint="eastAsia" w:asciiTheme="minorEastAsia" w:hAnsiTheme="minorEastAsia" w:eastAsiaTheme="minorEastAsia" w:cstheme="minorEastAsia"/>
              <w:sz w:val="28"/>
              <w:szCs w:val="28"/>
              <w:highlight w:val="none"/>
            </w:rPr>
            <w:instrText xml:space="preserve"> HYPERLINK \l _Toc6678 </w:instrText>
          </w:r>
          <w:r>
            <w:rPr>
              <w:rFonts w:hint="eastAsia" w:asciiTheme="minorEastAsia" w:hAnsiTheme="minorEastAsia" w:eastAsiaTheme="minorEastAsia" w:cstheme="minorEastAsia"/>
              <w:sz w:val="28"/>
              <w:szCs w:val="28"/>
              <w:highlight w:val="none"/>
            </w:rPr>
            <w:fldChar w:fldCharType="separate"/>
          </w:r>
          <w:r>
            <w:rPr>
              <w:rFonts w:hint="eastAsia" w:asciiTheme="minorEastAsia" w:hAnsiTheme="minorEastAsia" w:eastAsiaTheme="minorEastAsia" w:cstheme="minorEastAsia"/>
              <w:bCs/>
              <w:sz w:val="28"/>
              <w:szCs w:val="28"/>
              <w:highlight w:val="none"/>
            </w:rPr>
            <w:t>第一章</w:t>
          </w:r>
          <w:r>
            <w:rPr>
              <w:rFonts w:hint="eastAsia" w:asciiTheme="minorEastAsia" w:hAnsiTheme="minorEastAsia" w:eastAsiaTheme="minorEastAsia" w:cstheme="minorEastAsia"/>
              <w:bCs/>
              <w:sz w:val="28"/>
              <w:szCs w:val="28"/>
              <w:highlight w:val="none"/>
              <w:lang w:val="en-US" w:eastAsia="zh-CN"/>
            </w:rPr>
            <w:t xml:space="preserve"> </w:t>
          </w:r>
          <w:r>
            <w:rPr>
              <w:rFonts w:hint="eastAsia" w:asciiTheme="minorEastAsia" w:hAnsiTheme="minorEastAsia" w:eastAsiaTheme="minorEastAsia" w:cstheme="minorEastAsia"/>
              <w:bCs/>
              <w:sz w:val="28"/>
              <w:szCs w:val="28"/>
              <w:highlight w:val="none"/>
            </w:rPr>
            <w:t>评标办法</w:t>
          </w:r>
          <w:r>
            <w:rPr>
              <w:rFonts w:hint="eastAsia" w:asciiTheme="minorEastAsia" w:hAnsiTheme="minorEastAsia" w:eastAsiaTheme="minorEastAsia" w:cstheme="minorEastAsia"/>
              <w:sz w:val="28"/>
              <w:szCs w:val="28"/>
              <w:highlight w:val="none"/>
            </w:rPr>
            <w:tab/>
          </w:r>
          <w:r>
            <w:rPr>
              <w:rFonts w:hint="eastAsia" w:asciiTheme="minorEastAsia" w:hAnsiTheme="minorEastAsia" w:eastAsiaTheme="minorEastAsia" w:cstheme="minorEastAsia"/>
              <w:sz w:val="28"/>
              <w:szCs w:val="28"/>
              <w:highlight w:val="none"/>
            </w:rPr>
            <w:fldChar w:fldCharType="begin"/>
          </w:r>
          <w:r>
            <w:rPr>
              <w:rFonts w:hint="eastAsia" w:asciiTheme="minorEastAsia" w:hAnsiTheme="minorEastAsia" w:eastAsiaTheme="minorEastAsia" w:cstheme="minorEastAsia"/>
              <w:sz w:val="28"/>
              <w:szCs w:val="28"/>
              <w:highlight w:val="none"/>
            </w:rPr>
            <w:instrText xml:space="preserve"> PAGEREF _Toc6678 \h </w:instrText>
          </w:r>
          <w:r>
            <w:rPr>
              <w:rFonts w:hint="eastAsia" w:asciiTheme="minorEastAsia" w:hAnsiTheme="minorEastAsia" w:eastAsiaTheme="minorEastAsia" w:cstheme="minorEastAsia"/>
              <w:sz w:val="28"/>
              <w:szCs w:val="28"/>
              <w:highlight w:val="none"/>
            </w:rPr>
            <w:fldChar w:fldCharType="separate"/>
          </w:r>
          <w:r>
            <w:rPr>
              <w:rFonts w:hint="eastAsia" w:asciiTheme="minorEastAsia" w:hAnsiTheme="minorEastAsia" w:eastAsiaTheme="minorEastAsia" w:cstheme="minorEastAsia"/>
              <w:sz w:val="28"/>
              <w:szCs w:val="28"/>
              <w:highlight w:val="none"/>
            </w:rPr>
            <w:t>21</w:t>
          </w:r>
          <w:r>
            <w:rPr>
              <w:rFonts w:hint="eastAsia" w:asciiTheme="minorEastAsia" w:hAnsiTheme="minorEastAsia" w:eastAsiaTheme="minorEastAsia" w:cstheme="minorEastAsia"/>
              <w:sz w:val="28"/>
              <w:szCs w:val="28"/>
              <w:highlight w:val="none"/>
            </w:rPr>
            <w:fldChar w:fldCharType="end"/>
          </w:r>
          <w:r>
            <w:rPr>
              <w:rFonts w:hint="eastAsia" w:asciiTheme="minorEastAsia" w:hAnsiTheme="minorEastAsia" w:eastAsiaTheme="minorEastAsia" w:cstheme="minorEastAsia"/>
              <w:sz w:val="28"/>
              <w:szCs w:val="28"/>
              <w:highlight w:val="none"/>
            </w:rPr>
            <w:fldChar w:fldCharType="end"/>
          </w:r>
        </w:p>
        <w:p w14:paraId="00A96EDB">
          <w:pPr>
            <w:pStyle w:val="55"/>
            <w:tabs>
              <w:tab w:val="right" w:leader="dot" w:pos="9072"/>
            </w:tabs>
            <w:rPr>
              <w:rFonts w:hint="eastAsia"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fldChar w:fldCharType="begin"/>
          </w:r>
          <w:r>
            <w:rPr>
              <w:rFonts w:hint="eastAsia" w:asciiTheme="minorEastAsia" w:hAnsiTheme="minorEastAsia" w:eastAsiaTheme="minorEastAsia" w:cstheme="minorEastAsia"/>
              <w:sz w:val="28"/>
              <w:szCs w:val="28"/>
              <w:highlight w:val="none"/>
            </w:rPr>
            <w:instrText xml:space="preserve"> HYPERLINK \l _Toc247 </w:instrText>
          </w:r>
          <w:r>
            <w:rPr>
              <w:rFonts w:hint="eastAsia" w:asciiTheme="minorEastAsia" w:hAnsiTheme="minorEastAsia" w:eastAsiaTheme="minorEastAsia" w:cstheme="minorEastAsia"/>
              <w:sz w:val="28"/>
              <w:szCs w:val="28"/>
              <w:highlight w:val="none"/>
            </w:rPr>
            <w:fldChar w:fldCharType="separate"/>
          </w:r>
          <w:r>
            <w:rPr>
              <w:rFonts w:hint="eastAsia" w:asciiTheme="minorEastAsia" w:hAnsiTheme="minorEastAsia" w:eastAsiaTheme="minorEastAsia" w:cstheme="minorEastAsia"/>
              <w:sz w:val="28"/>
              <w:szCs w:val="28"/>
              <w:highlight w:val="none"/>
            </w:rPr>
            <w:t>第二章</w:t>
          </w:r>
          <w:r>
            <w:rPr>
              <w:rFonts w:hint="eastAsia" w:asciiTheme="minorEastAsia" w:hAnsiTheme="minorEastAsia" w:eastAsiaTheme="minorEastAsia" w:cstheme="minorEastAsia"/>
              <w:sz w:val="28"/>
              <w:szCs w:val="28"/>
              <w:highlight w:val="none"/>
              <w:lang w:val="en-US" w:eastAsia="zh-CN"/>
            </w:rPr>
            <w:t xml:space="preserve"> </w:t>
          </w:r>
          <w:r>
            <w:rPr>
              <w:rFonts w:hint="eastAsia" w:asciiTheme="minorEastAsia" w:hAnsiTheme="minorEastAsia" w:eastAsiaTheme="minorEastAsia" w:cstheme="minorEastAsia"/>
              <w:sz w:val="28"/>
              <w:szCs w:val="28"/>
              <w:highlight w:val="none"/>
            </w:rPr>
            <w:t>评分标准</w:t>
          </w:r>
          <w:r>
            <w:rPr>
              <w:rFonts w:hint="eastAsia" w:asciiTheme="minorEastAsia" w:hAnsiTheme="minorEastAsia" w:eastAsiaTheme="minorEastAsia" w:cstheme="minorEastAsia"/>
              <w:sz w:val="28"/>
              <w:szCs w:val="28"/>
              <w:highlight w:val="none"/>
            </w:rPr>
            <w:tab/>
          </w:r>
          <w:r>
            <w:rPr>
              <w:rFonts w:hint="eastAsia" w:asciiTheme="minorEastAsia" w:hAnsiTheme="minorEastAsia" w:eastAsiaTheme="minorEastAsia" w:cstheme="minorEastAsia"/>
              <w:sz w:val="28"/>
              <w:szCs w:val="28"/>
              <w:highlight w:val="none"/>
            </w:rPr>
            <w:fldChar w:fldCharType="begin"/>
          </w:r>
          <w:r>
            <w:rPr>
              <w:rFonts w:hint="eastAsia" w:asciiTheme="minorEastAsia" w:hAnsiTheme="minorEastAsia" w:eastAsiaTheme="minorEastAsia" w:cstheme="minorEastAsia"/>
              <w:sz w:val="28"/>
              <w:szCs w:val="28"/>
              <w:highlight w:val="none"/>
            </w:rPr>
            <w:instrText xml:space="preserve"> PAGEREF _Toc247 \h </w:instrText>
          </w:r>
          <w:r>
            <w:rPr>
              <w:rFonts w:hint="eastAsia" w:asciiTheme="minorEastAsia" w:hAnsiTheme="minorEastAsia" w:eastAsiaTheme="minorEastAsia" w:cstheme="minorEastAsia"/>
              <w:sz w:val="28"/>
              <w:szCs w:val="28"/>
              <w:highlight w:val="none"/>
            </w:rPr>
            <w:fldChar w:fldCharType="separate"/>
          </w:r>
          <w:r>
            <w:rPr>
              <w:rFonts w:hint="eastAsia" w:asciiTheme="minorEastAsia" w:hAnsiTheme="minorEastAsia" w:eastAsiaTheme="minorEastAsia" w:cstheme="minorEastAsia"/>
              <w:sz w:val="28"/>
              <w:szCs w:val="28"/>
              <w:highlight w:val="none"/>
            </w:rPr>
            <w:t>21</w:t>
          </w:r>
          <w:r>
            <w:rPr>
              <w:rFonts w:hint="eastAsia" w:asciiTheme="minorEastAsia" w:hAnsiTheme="minorEastAsia" w:eastAsiaTheme="minorEastAsia" w:cstheme="minorEastAsia"/>
              <w:sz w:val="28"/>
              <w:szCs w:val="28"/>
              <w:highlight w:val="none"/>
            </w:rPr>
            <w:fldChar w:fldCharType="end"/>
          </w:r>
          <w:r>
            <w:rPr>
              <w:rFonts w:hint="eastAsia" w:asciiTheme="minorEastAsia" w:hAnsiTheme="minorEastAsia" w:eastAsiaTheme="minorEastAsia" w:cstheme="minorEastAsia"/>
              <w:sz w:val="28"/>
              <w:szCs w:val="28"/>
              <w:highlight w:val="none"/>
            </w:rPr>
            <w:fldChar w:fldCharType="end"/>
          </w:r>
        </w:p>
        <w:p w14:paraId="0252A592">
          <w:pPr>
            <w:pStyle w:val="54"/>
            <w:tabs>
              <w:tab w:val="right" w:leader="dot" w:pos="9072"/>
            </w:tabs>
            <w:rPr>
              <w:rFonts w:hint="eastAsia"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fldChar w:fldCharType="begin"/>
          </w:r>
          <w:r>
            <w:rPr>
              <w:rFonts w:hint="eastAsia" w:asciiTheme="minorEastAsia" w:hAnsiTheme="minorEastAsia" w:eastAsiaTheme="minorEastAsia" w:cstheme="minorEastAsia"/>
              <w:sz w:val="28"/>
              <w:szCs w:val="28"/>
              <w:highlight w:val="none"/>
            </w:rPr>
            <w:instrText xml:space="preserve"> HYPERLINK \l _Toc25398 </w:instrText>
          </w:r>
          <w:r>
            <w:rPr>
              <w:rFonts w:hint="eastAsia" w:asciiTheme="minorEastAsia" w:hAnsiTheme="minorEastAsia" w:eastAsiaTheme="minorEastAsia" w:cstheme="minorEastAsia"/>
              <w:sz w:val="28"/>
              <w:szCs w:val="28"/>
              <w:highlight w:val="none"/>
            </w:rPr>
            <w:fldChar w:fldCharType="separate"/>
          </w:r>
          <w:r>
            <w:rPr>
              <w:rFonts w:hint="eastAsia" w:asciiTheme="minorEastAsia" w:hAnsiTheme="minorEastAsia" w:eastAsiaTheme="minorEastAsia" w:cstheme="minorEastAsia"/>
              <w:sz w:val="28"/>
              <w:szCs w:val="28"/>
              <w:highlight w:val="none"/>
            </w:rPr>
            <w:t>第</w:t>
          </w:r>
          <w:r>
            <w:rPr>
              <w:rFonts w:hint="eastAsia" w:asciiTheme="minorEastAsia" w:hAnsiTheme="minorEastAsia" w:eastAsiaTheme="minorEastAsia" w:cstheme="minorEastAsia"/>
              <w:sz w:val="28"/>
              <w:szCs w:val="28"/>
              <w:highlight w:val="none"/>
              <w:lang w:eastAsia="zh-CN"/>
            </w:rPr>
            <w:t>四</w:t>
          </w:r>
          <w:r>
            <w:rPr>
              <w:rFonts w:hint="eastAsia" w:asciiTheme="minorEastAsia" w:hAnsiTheme="minorEastAsia" w:eastAsiaTheme="minorEastAsia" w:cstheme="minorEastAsia"/>
              <w:sz w:val="28"/>
              <w:szCs w:val="28"/>
              <w:highlight w:val="none"/>
            </w:rPr>
            <w:t>部分 采购需求</w:t>
          </w:r>
          <w:r>
            <w:rPr>
              <w:rFonts w:hint="eastAsia" w:asciiTheme="minorEastAsia" w:hAnsiTheme="minorEastAsia" w:eastAsiaTheme="minorEastAsia" w:cstheme="minorEastAsia"/>
              <w:sz w:val="28"/>
              <w:szCs w:val="28"/>
              <w:highlight w:val="none"/>
            </w:rPr>
            <w:tab/>
          </w:r>
          <w:r>
            <w:rPr>
              <w:rFonts w:hint="eastAsia" w:asciiTheme="minorEastAsia" w:hAnsiTheme="minorEastAsia" w:eastAsiaTheme="minorEastAsia" w:cstheme="minorEastAsia"/>
              <w:sz w:val="28"/>
              <w:szCs w:val="28"/>
              <w:highlight w:val="none"/>
            </w:rPr>
            <w:fldChar w:fldCharType="begin"/>
          </w:r>
          <w:r>
            <w:rPr>
              <w:rFonts w:hint="eastAsia" w:asciiTheme="minorEastAsia" w:hAnsiTheme="minorEastAsia" w:eastAsiaTheme="minorEastAsia" w:cstheme="minorEastAsia"/>
              <w:sz w:val="28"/>
              <w:szCs w:val="28"/>
              <w:highlight w:val="none"/>
            </w:rPr>
            <w:instrText xml:space="preserve"> PAGEREF _Toc25398 \h </w:instrText>
          </w:r>
          <w:r>
            <w:rPr>
              <w:rFonts w:hint="eastAsia" w:asciiTheme="minorEastAsia" w:hAnsiTheme="minorEastAsia" w:eastAsiaTheme="minorEastAsia" w:cstheme="minorEastAsia"/>
              <w:sz w:val="28"/>
              <w:szCs w:val="28"/>
              <w:highlight w:val="none"/>
            </w:rPr>
            <w:fldChar w:fldCharType="separate"/>
          </w:r>
          <w:r>
            <w:rPr>
              <w:rFonts w:hint="eastAsia" w:asciiTheme="minorEastAsia" w:hAnsiTheme="minorEastAsia" w:eastAsiaTheme="minorEastAsia" w:cstheme="minorEastAsia"/>
              <w:sz w:val="28"/>
              <w:szCs w:val="28"/>
              <w:highlight w:val="none"/>
            </w:rPr>
            <w:t>2</w:t>
          </w:r>
          <w:r>
            <w:rPr>
              <w:rFonts w:hint="eastAsia" w:asciiTheme="minorEastAsia" w:hAnsiTheme="minorEastAsia" w:eastAsiaTheme="minorEastAsia" w:cstheme="minorEastAsia"/>
              <w:sz w:val="28"/>
              <w:szCs w:val="28"/>
              <w:highlight w:val="none"/>
              <w:lang w:val="en-US" w:eastAsia="zh-CN"/>
            </w:rPr>
            <w:t>4</w:t>
          </w:r>
          <w:r>
            <w:rPr>
              <w:rFonts w:hint="eastAsia" w:asciiTheme="minorEastAsia" w:hAnsiTheme="minorEastAsia" w:eastAsiaTheme="minorEastAsia" w:cstheme="minorEastAsia"/>
              <w:sz w:val="28"/>
              <w:szCs w:val="28"/>
              <w:highlight w:val="none"/>
            </w:rPr>
            <w:fldChar w:fldCharType="end"/>
          </w:r>
          <w:r>
            <w:rPr>
              <w:rFonts w:hint="eastAsia" w:asciiTheme="minorEastAsia" w:hAnsiTheme="minorEastAsia" w:eastAsiaTheme="minorEastAsia" w:cstheme="minorEastAsia"/>
              <w:sz w:val="28"/>
              <w:szCs w:val="28"/>
              <w:highlight w:val="none"/>
            </w:rPr>
            <w:fldChar w:fldCharType="end"/>
          </w:r>
        </w:p>
        <w:p w14:paraId="440CE5EE">
          <w:pPr>
            <w:pStyle w:val="54"/>
            <w:tabs>
              <w:tab w:val="right" w:leader="dot" w:pos="9072"/>
            </w:tabs>
            <w:rPr>
              <w:rFonts w:hint="eastAsia"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fldChar w:fldCharType="begin"/>
          </w:r>
          <w:r>
            <w:rPr>
              <w:rFonts w:hint="eastAsia" w:asciiTheme="minorEastAsia" w:hAnsiTheme="minorEastAsia" w:eastAsiaTheme="minorEastAsia" w:cstheme="minorEastAsia"/>
              <w:sz w:val="28"/>
              <w:szCs w:val="28"/>
              <w:highlight w:val="none"/>
            </w:rPr>
            <w:instrText xml:space="preserve"> HYPERLINK \l _Toc3092 </w:instrText>
          </w:r>
          <w:r>
            <w:rPr>
              <w:rFonts w:hint="eastAsia" w:asciiTheme="minorEastAsia" w:hAnsiTheme="minorEastAsia" w:eastAsiaTheme="minorEastAsia" w:cstheme="minorEastAsia"/>
              <w:sz w:val="28"/>
              <w:szCs w:val="28"/>
              <w:highlight w:val="none"/>
            </w:rPr>
            <w:fldChar w:fldCharType="separate"/>
          </w:r>
          <w:r>
            <w:rPr>
              <w:rFonts w:hint="eastAsia" w:asciiTheme="minorEastAsia" w:hAnsiTheme="minorEastAsia" w:eastAsiaTheme="minorEastAsia" w:cstheme="minorEastAsia"/>
              <w:sz w:val="28"/>
              <w:szCs w:val="28"/>
              <w:highlight w:val="none"/>
            </w:rPr>
            <w:t>第五部分 采购合同</w:t>
          </w:r>
          <w:r>
            <w:rPr>
              <w:rFonts w:hint="eastAsia" w:asciiTheme="minorEastAsia" w:hAnsiTheme="minorEastAsia" w:eastAsiaTheme="minorEastAsia" w:cstheme="minorEastAsia"/>
              <w:sz w:val="28"/>
              <w:szCs w:val="28"/>
              <w:highlight w:val="none"/>
            </w:rPr>
            <w:tab/>
          </w:r>
          <w:r>
            <w:rPr>
              <w:rFonts w:hint="eastAsia" w:asciiTheme="minorEastAsia" w:hAnsiTheme="minorEastAsia" w:eastAsiaTheme="minorEastAsia" w:cstheme="minorEastAsia"/>
              <w:sz w:val="28"/>
              <w:szCs w:val="28"/>
              <w:highlight w:val="none"/>
            </w:rPr>
            <w:fldChar w:fldCharType="begin"/>
          </w:r>
          <w:r>
            <w:rPr>
              <w:rFonts w:hint="eastAsia" w:asciiTheme="minorEastAsia" w:hAnsiTheme="minorEastAsia" w:eastAsiaTheme="minorEastAsia" w:cstheme="minorEastAsia"/>
              <w:sz w:val="28"/>
              <w:szCs w:val="28"/>
              <w:highlight w:val="none"/>
            </w:rPr>
            <w:instrText xml:space="preserve"> PAGEREF _Toc3092 \h </w:instrText>
          </w:r>
          <w:r>
            <w:rPr>
              <w:rFonts w:hint="eastAsia" w:asciiTheme="minorEastAsia" w:hAnsiTheme="minorEastAsia" w:eastAsiaTheme="minorEastAsia" w:cstheme="minorEastAsia"/>
              <w:sz w:val="28"/>
              <w:szCs w:val="28"/>
              <w:highlight w:val="none"/>
            </w:rPr>
            <w:fldChar w:fldCharType="separate"/>
          </w:r>
          <w:r>
            <w:rPr>
              <w:rFonts w:hint="eastAsia" w:asciiTheme="minorEastAsia" w:hAnsiTheme="minorEastAsia" w:eastAsiaTheme="minorEastAsia" w:cstheme="minorEastAsia"/>
              <w:sz w:val="28"/>
              <w:szCs w:val="28"/>
              <w:highlight w:val="none"/>
            </w:rPr>
            <w:t>3</w:t>
          </w:r>
          <w:r>
            <w:rPr>
              <w:rFonts w:hint="eastAsia" w:asciiTheme="minorEastAsia" w:hAnsiTheme="minorEastAsia" w:eastAsiaTheme="minorEastAsia" w:cstheme="minorEastAsia"/>
              <w:sz w:val="28"/>
              <w:szCs w:val="28"/>
              <w:highlight w:val="none"/>
              <w:lang w:val="en-US" w:eastAsia="zh-CN"/>
            </w:rPr>
            <w:t>0</w:t>
          </w:r>
          <w:r>
            <w:rPr>
              <w:rFonts w:hint="eastAsia" w:asciiTheme="minorEastAsia" w:hAnsiTheme="minorEastAsia" w:eastAsiaTheme="minorEastAsia" w:cstheme="minorEastAsia"/>
              <w:sz w:val="28"/>
              <w:szCs w:val="28"/>
              <w:highlight w:val="none"/>
            </w:rPr>
            <w:fldChar w:fldCharType="end"/>
          </w:r>
          <w:r>
            <w:rPr>
              <w:rFonts w:hint="eastAsia" w:asciiTheme="minorEastAsia" w:hAnsiTheme="minorEastAsia" w:eastAsiaTheme="minorEastAsia" w:cstheme="minorEastAsia"/>
              <w:sz w:val="28"/>
              <w:szCs w:val="28"/>
              <w:highlight w:val="none"/>
            </w:rPr>
            <w:fldChar w:fldCharType="end"/>
          </w:r>
        </w:p>
        <w:p w14:paraId="00DAEC3A">
          <w:pPr>
            <w:pStyle w:val="54"/>
            <w:tabs>
              <w:tab w:val="right" w:leader="dot" w:pos="9072"/>
            </w:tabs>
            <w:rPr>
              <w:rFonts w:hint="eastAsia" w:eastAsiaTheme="minorEastAsia"/>
              <w:highlight w:val="none"/>
              <w:lang w:val="en-US" w:eastAsia="zh-CN"/>
            </w:rPr>
          </w:pPr>
          <w:r>
            <w:rPr>
              <w:rFonts w:hint="eastAsia" w:asciiTheme="minorEastAsia" w:hAnsiTheme="minorEastAsia" w:eastAsiaTheme="minorEastAsia" w:cstheme="minorEastAsia"/>
              <w:sz w:val="28"/>
              <w:szCs w:val="28"/>
              <w:highlight w:val="none"/>
            </w:rPr>
            <w:fldChar w:fldCharType="begin"/>
          </w:r>
          <w:r>
            <w:rPr>
              <w:rFonts w:hint="eastAsia" w:asciiTheme="minorEastAsia" w:hAnsiTheme="minorEastAsia" w:eastAsiaTheme="minorEastAsia" w:cstheme="minorEastAsia"/>
              <w:sz w:val="28"/>
              <w:szCs w:val="28"/>
              <w:highlight w:val="none"/>
            </w:rPr>
            <w:instrText xml:space="preserve"> HYPERLINK \l _Toc621 </w:instrText>
          </w:r>
          <w:r>
            <w:rPr>
              <w:rFonts w:hint="eastAsia" w:asciiTheme="minorEastAsia" w:hAnsiTheme="minorEastAsia" w:eastAsiaTheme="minorEastAsia" w:cstheme="minorEastAsia"/>
              <w:sz w:val="28"/>
              <w:szCs w:val="28"/>
              <w:highlight w:val="none"/>
            </w:rPr>
            <w:fldChar w:fldCharType="separate"/>
          </w:r>
          <w:r>
            <w:rPr>
              <w:rFonts w:hint="eastAsia" w:asciiTheme="minorEastAsia" w:hAnsiTheme="minorEastAsia" w:eastAsiaTheme="minorEastAsia" w:cstheme="minorEastAsia"/>
              <w:sz w:val="28"/>
              <w:szCs w:val="28"/>
              <w:highlight w:val="none"/>
            </w:rPr>
            <w:t>第六部分 应提交的有关格式范例</w:t>
          </w:r>
          <w:r>
            <w:rPr>
              <w:rFonts w:hint="eastAsia" w:asciiTheme="minorEastAsia" w:hAnsiTheme="minorEastAsia" w:eastAsiaTheme="minorEastAsia" w:cstheme="minorEastAsia"/>
              <w:sz w:val="28"/>
              <w:szCs w:val="28"/>
              <w:highlight w:val="none"/>
            </w:rPr>
            <w:tab/>
          </w:r>
          <w:r>
            <w:rPr>
              <w:rFonts w:hint="eastAsia" w:asciiTheme="minorEastAsia" w:hAnsiTheme="minorEastAsia" w:eastAsiaTheme="minorEastAsia" w:cstheme="minorEastAsia"/>
              <w:sz w:val="28"/>
              <w:szCs w:val="28"/>
              <w:highlight w:val="none"/>
              <w:lang w:val="en-US" w:eastAsia="zh-CN"/>
            </w:rPr>
            <w:t>3</w:t>
          </w:r>
          <w:r>
            <w:rPr>
              <w:rFonts w:hint="eastAsia" w:asciiTheme="minorEastAsia" w:hAnsiTheme="minorEastAsia" w:eastAsiaTheme="minorEastAsia" w:cstheme="minorEastAsia"/>
              <w:sz w:val="28"/>
              <w:szCs w:val="28"/>
              <w:highlight w:val="none"/>
            </w:rPr>
            <w:fldChar w:fldCharType="end"/>
          </w:r>
          <w:r>
            <w:rPr>
              <w:rFonts w:hint="eastAsia" w:asciiTheme="minorEastAsia" w:hAnsiTheme="minorEastAsia" w:eastAsiaTheme="minorEastAsia" w:cstheme="minorEastAsia"/>
              <w:sz w:val="28"/>
              <w:szCs w:val="28"/>
              <w:highlight w:val="none"/>
              <w:lang w:val="en-US" w:eastAsia="zh-CN"/>
            </w:rPr>
            <w:t>9</w:t>
          </w:r>
        </w:p>
        <w:p w14:paraId="45FDCBD0">
          <w:pPr>
            <w:spacing w:line="360" w:lineRule="auto"/>
            <w:rPr>
              <w:rFonts w:hint="eastAsia" w:ascii="宋体" w:hAnsi="宋体" w:eastAsia="宋体" w:cs="宋体"/>
              <w:sz w:val="24"/>
              <w:highlight w:val="none"/>
            </w:rPr>
          </w:pPr>
          <w:r>
            <w:rPr>
              <w:rFonts w:hint="eastAsia" w:ascii="宋体" w:hAnsi="宋体" w:eastAsia="宋体" w:cs="宋体"/>
              <w:highlight w:val="none"/>
            </w:rPr>
            <w:fldChar w:fldCharType="end"/>
          </w:r>
        </w:p>
      </w:sdtContent>
    </w:sdt>
    <w:p w14:paraId="57E5DE55">
      <w:pPr>
        <w:spacing w:line="360" w:lineRule="auto"/>
        <w:ind w:firstLine="549" w:firstLineChars="229"/>
        <w:rPr>
          <w:rFonts w:hint="eastAsia" w:ascii="宋体" w:hAnsi="宋体" w:eastAsia="宋体" w:cs="宋体"/>
          <w:sz w:val="24"/>
          <w:highlight w:val="none"/>
        </w:rPr>
      </w:pPr>
    </w:p>
    <w:bookmarkEnd w:id="2"/>
    <w:p w14:paraId="2BFBCFA3">
      <w:pPr>
        <w:spacing w:line="360" w:lineRule="auto"/>
        <w:rPr>
          <w:rFonts w:hint="eastAsia" w:ascii="宋体" w:hAnsi="宋体" w:eastAsia="宋体" w:cs="宋体"/>
          <w:sz w:val="24"/>
          <w:highlight w:val="none"/>
        </w:rPr>
      </w:pPr>
      <w:bookmarkStart w:id="3" w:name="_Hlt74649545"/>
      <w:bookmarkEnd w:id="3"/>
      <w:bookmarkStart w:id="4" w:name="_Hlt74728647"/>
      <w:bookmarkEnd w:id="4"/>
      <w:bookmarkStart w:id="5" w:name="_Hlt74707423"/>
      <w:bookmarkEnd w:id="5"/>
      <w:bookmarkStart w:id="6" w:name="_Hlt74729822"/>
      <w:bookmarkEnd w:id="6"/>
      <w:bookmarkStart w:id="7" w:name="第二部分"/>
      <w:bookmarkStart w:id="8" w:name="_Toc91899870"/>
      <w:bookmarkStart w:id="9" w:name="_Toc91899871"/>
    </w:p>
    <w:p w14:paraId="6B3949E4">
      <w:pPr>
        <w:adjustRightInd/>
        <w:spacing w:line="360" w:lineRule="auto"/>
        <w:jc w:val="center"/>
        <w:outlineLvl w:val="0"/>
        <w:rPr>
          <w:rFonts w:hint="eastAsia" w:ascii="宋体" w:hAnsi="宋体" w:eastAsia="宋体" w:cs="宋体"/>
          <w:b/>
          <w:sz w:val="36"/>
          <w:szCs w:val="20"/>
          <w:highlight w:val="none"/>
        </w:rPr>
        <w:sectPr>
          <w:headerReference r:id="rId5" w:type="default"/>
          <w:footerReference r:id="rId6" w:type="default"/>
          <w:pgSz w:w="11906" w:h="16838"/>
          <w:pgMar w:top="1440" w:right="1417" w:bottom="1440" w:left="1417" w:header="851" w:footer="992" w:gutter="0"/>
          <w:pgNumType w:start="1"/>
          <w:cols w:space="0" w:num="1"/>
          <w:rtlGutter w:val="0"/>
          <w:docGrid w:type="lines" w:linePitch="312" w:charSpace="0"/>
        </w:sectPr>
      </w:pPr>
      <w:bookmarkStart w:id="10" w:name="_Toc19057"/>
      <w:bookmarkStart w:id="11" w:name="_Toc20075"/>
      <w:bookmarkStart w:id="12" w:name="_Toc7461"/>
    </w:p>
    <w:p w14:paraId="43058D62">
      <w:pPr>
        <w:adjustRightInd/>
        <w:spacing w:line="360" w:lineRule="auto"/>
        <w:jc w:val="center"/>
        <w:outlineLvl w:val="0"/>
        <w:rPr>
          <w:rFonts w:hint="eastAsia" w:ascii="宋体" w:hAnsi="宋体" w:eastAsia="宋体" w:cs="宋体"/>
          <w:b/>
          <w:sz w:val="36"/>
          <w:szCs w:val="20"/>
          <w:highlight w:val="none"/>
        </w:rPr>
      </w:pPr>
      <w:r>
        <w:rPr>
          <w:rFonts w:hint="eastAsia" w:ascii="宋体" w:hAnsi="宋体" w:eastAsia="宋体" w:cs="宋体"/>
          <w:b/>
          <w:sz w:val="36"/>
          <w:szCs w:val="20"/>
          <w:highlight w:val="none"/>
        </w:rPr>
        <w:t>第一部分 招标公告</w:t>
      </w:r>
      <w:bookmarkEnd w:id="10"/>
      <w:bookmarkEnd w:id="11"/>
      <w:bookmarkEnd w:id="12"/>
    </w:p>
    <w:p w14:paraId="0019F28C">
      <w:pPr>
        <w:keepNext w:val="0"/>
        <w:keepLines w:val="0"/>
        <w:pageBreakBefore w:val="0"/>
        <w:widowControl w:val="0"/>
        <w:kinsoku/>
        <w:overflowPunct/>
        <w:topLinePunct w:val="0"/>
        <w:autoSpaceDE/>
        <w:autoSpaceDN/>
        <w:bidi w:val="0"/>
        <w:adjustRightInd w:val="0"/>
        <w:snapToGrid/>
        <w:spacing w:line="440" w:lineRule="exact"/>
        <w:jc w:val="both"/>
        <w:textAlignment w:val="auto"/>
        <w:rPr>
          <w:rFonts w:hint="eastAsia" w:ascii="宋体" w:hAnsi="宋体" w:eastAsia="宋体" w:cs="宋体"/>
          <w:b/>
          <w:bCs/>
          <w:color w:val="auto"/>
          <w:sz w:val="28"/>
          <w:szCs w:val="28"/>
          <w:highlight w:val="none"/>
          <w:lang w:eastAsia="zh-CN"/>
        </w:rPr>
      </w:pPr>
      <w:r>
        <w:rPr>
          <w:rFonts w:hint="eastAsia" w:ascii="宋体" w:hAnsi="宋体" w:eastAsia="宋体" w:cs="宋体"/>
          <w:b/>
          <w:bCs/>
          <w:color w:val="auto"/>
          <w:sz w:val="28"/>
          <w:szCs w:val="28"/>
          <w:highlight w:val="none"/>
          <w:lang w:eastAsia="zh-CN"/>
        </w:rPr>
        <w:t>浙江广正建设项目管理有限公司</w:t>
      </w:r>
      <w:r>
        <w:rPr>
          <w:rFonts w:hint="eastAsia" w:ascii="宋体" w:hAnsi="宋体" w:eastAsia="宋体" w:cs="宋体"/>
          <w:b/>
          <w:bCs/>
          <w:color w:val="auto"/>
          <w:sz w:val="28"/>
          <w:szCs w:val="28"/>
          <w:highlight w:val="none"/>
        </w:rPr>
        <w:t>关于</w:t>
      </w:r>
      <w:r>
        <w:rPr>
          <w:rFonts w:hint="eastAsia" w:ascii="宋体" w:hAnsi="宋体" w:cs="宋体"/>
          <w:b/>
          <w:bCs/>
          <w:color w:val="auto"/>
          <w:sz w:val="28"/>
          <w:szCs w:val="28"/>
          <w:highlight w:val="none"/>
          <w:u w:val="single"/>
          <w:lang w:eastAsia="zh-CN"/>
        </w:rPr>
        <w:t>绍兴市上虞区曹娥街道蒿东村股份经济合作社</w:t>
      </w:r>
      <w:r>
        <w:rPr>
          <w:rFonts w:hint="eastAsia" w:ascii="宋体" w:hAnsi="宋体" w:cs="宋体"/>
          <w:b/>
          <w:bCs/>
          <w:color w:val="auto"/>
          <w:sz w:val="28"/>
          <w:szCs w:val="28"/>
          <w:highlight w:val="none"/>
          <w:lang w:val="en-US" w:eastAsia="zh-CN"/>
        </w:rPr>
        <w:t>的</w:t>
      </w:r>
      <w:r>
        <w:rPr>
          <w:rFonts w:hint="eastAsia" w:ascii="宋体" w:hAnsi="宋体" w:cs="宋体"/>
          <w:b/>
          <w:bCs/>
          <w:color w:val="auto"/>
          <w:sz w:val="28"/>
          <w:szCs w:val="28"/>
          <w:highlight w:val="none"/>
          <w:u w:val="single"/>
          <w:lang w:eastAsia="zh-CN"/>
        </w:rPr>
        <w:t>蒿东村2025年度环境卫生物业化外包项目</w:t>
      </w:r>
      <w:r>
        <w:rPr>
          <w:rFonts w:hint="eastAsia" w:ascii="宋体" w:hAnsi="宋体" w:eastAsia="宋体" w:cs="宋体"/>
          <w:b/>
          <w:bCs/>
          <w:color w:val="auto"/>
          <w:sz w:val="28"/>
          <w:szCs w:val="28"/>
          <w:highlight w:val="none"/>
          <w:lang w:eastAsia="zh-CN"/>
        </w:rPr>
        <w:t>非政府采购招标公告</w:t>
      </w:r>
    </w:p>
    <w:p w14:paraId="4A3EE677">
      <w:pPr>
        <w:keepNext w:val="0"/>
        <w:keepLines w:val="0"/>
        <w:pageBreakBefore w:val="0"/>
        <w:widowControl w:val="0"/>
        <w:kinsoku/>
        <w:overflowPunct/>
        <w:topLinePunct w:val="0"/>
        <w:autoSpaceDE/>
        <w:autoSpaceDN/>
        <w:bidi w:val="0"/>
        <w:adjustRightInd w:val="0"/>
        <w:snapToGrid/>
        <w:spacing w:line="440" w:lineRule="exact"/>
        <w:jc w:val="center"/>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公告日期：202</w:t>
      </w:r>
      <w:r>
        <w:rPr>
          <w:rFonts w:hint="eastAsia" w:ascii="宋体" w:hAnsi="宋体" w:cs="宋体"/>
          <w:color w:val="auto"/>
          <w:sz w:val="28"/>
          <w:szCs w:val="28"/>
          <w:highlight w:val="none"/>
          <w:lang w:val="en-US" w:eastAsia="zh-CN"/>
        </w:rPr>
        <w:t>5</w:t>
      </w:r>
      <w:r>
        <w:rPr>
          <w:rFonts w:hint="eastAsia" w:ascii="宋体" w:hAnsi="宋体" w:eastAsia="宋体" w:cs="宋体"/>
          <w:color w:val="auto"/>
          <w:sz w:val="28"/>
          <w:szCs w:val="28"/>
          <w:highlight w:val="none"/>
        </w:rPr>
        <w:t>年</w:t>
      </w:r>
      <w:r>
        <w:rPr>
          <w:rFonts w:hint="eastAsia" w:ascii="宋体" w:hAnsi="宋体" w:cs="宋体"/>
          <w:color w:val="auto"/>
          <w:sz w:val="28"/>
          <w:szCs w:val="28"/>
          <w:highlight w:val="none"/>
          <w:lang w:val="en-US" w:eastAsia="zh-CN"/>
        </w:rPr>
        <w:t>4</w:t>
      </w:r>
      <w:r>
        <w:rPr>
          <w:rFonts w:hint="eastAsia" w:ascii="宋体" w:hAnsi="宋体" w:eastAsia="宋体" w:cs="宋体"/>
          <w:color w:val="auto"/>
          <w:sz w:val="28"/>
          <w:szCs w:val="28"/>
          <w:highlight w:val="none"/>
        </w:rPr>
        <w:t>月</w:t>
      </w:r>
      <w:r>
        <w:rPr>
          <w:rFonts w:hint="eastAsia" w:ascii="宋体" w:hAnsi="宋体" w:cs="宋体"/>
          <w:color w:val="auto"/>
          <w:sz w:val="28"/>
          <w:szCs w:val="28"/>
          <w:highlight w:val="none"/>
          <w:lang w:val="en-US" w:eastAsia="zh-CN"/>
        </w:rPr>
        <w:t xml:space="preserve"> 1 </w:t>
      </w:r>
      <w:r>
        <w:rPr>
          <w:rFonts w:hint="eastAsia" w:ascii="宋体" w:hAnsi="宋体" w:eastAsia="宋体" w:cs="宋体"/>
          <w:color w:val="auto"/>
          <w:sz w:val="28"/>
          <w:szCs w:val="28"/>
          <w:highlight w:val="none"/>
        </w:rPr>
        <w:t>日</w:t>
      </w:r>
    </w:p>
    <w:p w14:paraId="2811593E">
      <w:pPr>
        <w:adjustRightInd w:val="0"/>
        <w:spacing w:line="360" w:lineRule="auto"/>
        <w:ind w:firstLine="480" w:firstLineChars="200"/>
        <w:rPr>
          <w:rFonts w:hint="eastAsia"/>
          <w:highlight w:val="none"/>
        </w:rPr>
      </w:pPr>
      <w:r>
        <w:rPr>
          <w:rFonts w:hint="eastAsia" w:ascii="宋体" w:hAnsi="宋体" w:cs="宋体"/>
          <w:color w:val="auto"/>
          <w:sz w:val="24"/>
          <w:szCs w:val="24"/>
          <w:highlight w:val="none"/>
        </w:rPr>
        <w:t>根据《中华人民共和国政府采购法》等有关规定</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u w:val="single"/>
          <w:lang w:eastAsia="zh-CN"/>
        </w:rPr>
        <w:t>浙江广正建设项目管理有限公司</w:t>
      </w:r>
      <w:r>
        <w:rPr>
          <w:rFonts w:hint="eastAsia" w:ascii="宋体" w:hAnsi="宋体" w:eastAsia="宋体" w:cs="宋体"/>
          <w:color w:val="auto"/>
          <w:sz w:val="24"/>
          <w:szCs w:val="24"/>
          <w:highlight w:val="none"/>
        </w:rPr>
        <w:t>受</w:t>
      </w:r>
      <w:r>
        <w:rPr>
          <w:rFonts w:hint="eastAsia" w:ascii="宋体" w:hAnsi="宋体" w:eastAsia="宋体" w:cs="宋体"/>
          <w:color w:val="auto"/>
          <w:sz w:val="24"/>
          <w:szCs w:val="24"/>
          <w:highlight w:val="none"/>
          <w:u w:val="single"/>
          <w:lang w:eastAsia="zh-CN"/>
        </w:rPr>
        <w:t>绍兴市上虞区曹娥街道蒿东村股份经济合作社</w:t>
      </w:r>
      <w:r>
        <w:rPr>
          <w:rFonts w:hint="eastAsia" w:ascii="宋体" w:hAnsi="宋体" w:eastAsia="宋体" w:cs="宋体"/>
          <w:color w:val="auto"/>
          <w:sz w:val="24"/>
          <w:szCs w:val="24"/>
          <w:highlight w:val="none"/>
        </w:rPr>
        <w:t>委托，现就</w:t>
      </w:r>
      <w:r>
        <w:rPr>
          <w:rFonts w:hint="eastAsia" w:ascii="宋体" w:hAnsi="宋体" w:cs="宋体"/>
          <w:color w:val="auto"/>
          <w:sz w:val="24"/>
          <w:szCs w:val="24"/>
          <w:highlight w:val="none"/>
          <w:u w:val="single"/>
          <w:lang w:eastAsia="zh-CN"/>
        </w:rPr>
        <w:t>蒿东村2025年度环境卫生物业化外包项目</w:t>
      </w:r>
      <w:r>
        <w:rPr>
          <w:rFonts w:hint="eastAsia" w:ascii="宋体" w:hAnsi="宋体" w:eastAsia="宋体" w:cs="宋体"/>
          <w:color w:val="auto"/>
          <w:sz w:val="24"/>
          <w:szCs w:val="24"/>
          <w:highlight w:val="none"/>
        </w:rPr>
        <w:t>进行</w:t>
      </w:r>
      <w:r>
        <w:rPr>
          <w:rFonts w:hint="eastAsia" w:ascii="宋体" w:hAnsi="宋体" w:eastAsia="宋体" w:cs="宋体"/>
          <w:color w:val="auto"/>
          <w:sz w:val="24"/>
          <w:szCs w:val="24"/>
          <w:highlight w:val="none"/>
          <w:lang w:eastAsia="zh-CN"/>
        </w:rPr>
        <w:t>公开招标</w:t>
      </w:r>
      <w:r>
        <w:rPr>
          <w:rFonts w:hint="eastAsia" w:ascii="宋体" w:hAnsi="宋体" w:cs="宋体"/>
          <w:color w:val="auto"/>
          <w:sz w:val="24"/>
          <w:szCs w:val="24"/>
          <w:highlight w:val="none"/>
        </w:rPr>
        <w:t>，欢迎国内合格的供应商参加本次采购活动。</w:t>
      </w:r>
    </w:p>
    <w:p w14:paraId="02784375">
      <w:pPr>
        <w:spacing w:line="360" w:lineRule="auto"/>
        <w:ind w:firstLine="480" w:firstLineChars="200"/>
        <w:jc w:val="both"/>
        <w:rPr>
          <w:rFonts w:hint="default" w:ascii="宋体" w:hAnsi="宋体" w:eastAsia="宋体" w:cs="宋体"/>
          <w:b/>
          <w:bCs/>
          <w:color w:val="auto"/>
          <w:sz w:val="36"/>
          <w:szCs w:val="28"/>
          <w:highlight w:val="none"/>
          <w:lang w:val="en-US" w:eastAsia="zh-CN"/>
        </w:rPr>
      </w:pPr>
      <w:r>
        <w:rPr>
          <w:rFonts w:hint="eastAsia" w:ascii="宋体" w:hAnsi="宋体" w:eastAsia="宋体" w:cs="宋体"/>
          <w:b w:val="0"/>
          <w:bCs w:val="0"/>
          <w:sz w:val="24"/>
          <w:szCs w:val="24"/>
          <w:highlight w:val="none"/>
        </w:rPr>
        <w:t>一</w:t>
      </w:r>
      <w:r>
        <w:rPr>
          <w:rFonts w:hint="eastAsia" w:ascii="宋体" w:hAnsi="宋体" w:eastAsia="宋体" w:cs="宋体"/>
          <w:b/>
          <w:bCs/>
          <w:sz w:val="24"/>
          <w:szCs w:val="24"/>
          <w:highlight w:val="none"/>
        </w:rPr>
        <w:t>． 招标项目编号</w:t>
      </w:r>
      <w:r>
        <w:rPr>
          <w:rFonts w:hint="eastAsia" w:ascii="宋体" w:hAnsi="宋体" w:eastAsia="宋体" w:cs="宋体"/>
          <w:b/>
          <w:bCs/>
          <w:color w:val="auto"/>
          <w:sz w:val="24"/>
          <w:szCs w:val="24"/>
          <w:highlight w:val="none"/>
        </w:rPr>
        <w:t>：</w:t>
      </w:r>
      <w:r>
        <w:rPr>
          <w:rFonts w:hint="eastAsia" w:ascii="宋体" w:hAnsi="宋体" w:eastAsia="宋体" w:cs="宋体"/>
          <w:color w:val="auto"/>
          <w:sz w:val="24"/>
          <w:szCs w:val="24"/>
          <w:highlight w:val="none"/>
          <w:u w:val="single"/>
          <w:lang w:val="en-US" w:eastAsia="zh-CN"/>
        </w:rPr>
        <w:t>ZJGZ-2025-031</w:t>
      </w:r>
      <w:r>
        <w:rPr>
          <w:rFonts w:hint="eastAsia" w:ascii="宋体" w:hAnsi="宋体" w:cs="宋体"/>
          <w:color w:val="auto"/>
          <w:sz w:val="24"/>
          <w:szCs w:val="24"/>
          <w:highlight w:val="none"/>
          <w:u w:val="single"/>
          <w:lang w:val="en-US" w:eastAsia="zh-CN"/>
        </w:rPr>
        <w:t>8</w:t>
      </w:r>
    </w:p>
    <w:p w14:paraId="1A2CF3B4">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b w:val="0"/>
          <w:bCs w:val="0"/>
          <w:color w:val="auto"/>
          <w:sz w:val="24"/>
          <w:szCs w:val="24"/>
          <w:highlight w:val="none"/>
        </w:rPr>
        <w:t>二</w:t>
      </w:r>
      <w:r>
        <w:rPr>
          <w:rFonts w:hint="eastAsia" w:ascii="宋体" w:hAnsi="宋体" w:eastAsia="宋体" w:cs="宋体"/>
          <w:b/>
          <w:bCs/>
          <w:color w:val="auto"/>
          <w:sz w:val="24"/>
          <w:szCs w:val="24"/>
          <w:highlight w:val="none"/>
        </w:rPr>
        <w:t>． 招标项目名称：</w:t>
      </w:r>
      <w:r>
        <w:rPr>
          <w:rFonts w:hint="eastAsia" w:ascii="宋体" w:hAnsi="宋体" w:cs="宋体"/>
          <w:b/>
          <w:bCs/>
          <w:color w:val="auto"/>
          <w:sz w:val="24"/>
          <w:szCs w:val="24"/>
          <w:highlight w:val="none"/>
          <w:lang w:eastAsia="zh-CN"/>
        </w:rPr>
        <w:t>蒿东村2025年度环境卫生物业化外包项目</w:t>
      </w:r>
    </w:p>
    <w:p w14:paraId="76E597D7">
      <w:pPr>
        <w:keepNext w:val="0"/>
        <w:keepLines w:val="0"/>
        <w:pageBreakBefore w:val="0"/>
        <w:widowControl w:val="0"/>
        <w:kinsoku/>
        <w:wordWrap/>
        <w:overflowPunct/>
        <w:topLinePunct w:val="0"/>
        <w:autoSpaceDE/>
        <w:autoSpaceDN/>
        <w:bidi w:val="0"/>
        <w:adjustRightInd w:val="0"/>
        <w:snapToGrid/>
        <w:spacing w:line="440" w:lineRule="exact"/>
        <w:ind w:firstLine="482" w:firstLineChars="200"/>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三． 招标项目概况:</w:t>
      </w:r>
    </w:p>
    <w:tbl>
      <w:tblPr>
        <w:tblStyle w:val="30"/>
        <w:tblW w:w="8986" w:type="dxa"/>
        <w:jc w:val="center"/>
        <w:tblBorders>
          <w:top w:val="single" w:color="000000" w:sz="4" w:space="0"/>
          <w:left w:val="single" w:color="000000" w:sz="4" w:space="0"/>
          <w:bottom w:val="single" w:color="000000" w:sz="4" w:space="0"/>
          <w:right w:val="single" w:color="000000" w:sz="4" w:space="0"/>
          <w:insideH w:val="single" w:color="A6A6A6" w:sz="4" w:space="0"/>
          <w:insideV w:val="single" w:color="A6A6A6" w:sz="4" w:space="0"/>
        </w:tblBorders>
        <w:tblLayout w:type="fixed"/>
        <w:tblCellMar>
          <w:top w:w="0" w:type="dxa"/>
          <w:left w:w="108" w:type="dxa"/>
          <w:bottom w:w="0" w:type="dxa"/>
          <w:right w:w="108" w:type="dxa"/>
        </w:tblCellMar>
      </w:tblPr>
      <w:tblGrid>
        <w:gridCol w:w="825"/>
        <w:gridCol w:w="1770"/>
        <w:gridCol w:w="800"/>
        <w:gridCol w:w="840"/>
        <w:gridCol w:w="2678"/>
        <w:gridCol w:w="1296"/>
        <w:gridCol w:w="777"/>
      </w:tblGrid>
      <w:tr w14:paraId="06991FBA">
        <w:tblPrEx>
          <w:tblBorders>
            <w:top w:val="single" w:color="000000" w:sz="4" w:space="0"/>
            <w:left w:val="single" w:color="000000" w:sz="4" w:space="0"/>
            <w:bottom w:val="single" w:color="000000" w:sz="4" w:space="0"/>
            <w:right w:val="single" w:color="000000" w:sz="4" w:space="0"/>
            <w:insideH w:val="single" w:color="A6A6A6" w:sz="4" w:space="0"/>
            <w:insideV w:val="single" w:color="A6A6A6" w:sz="4" w:space="0"/>
          </w:tblBorders>
          <w:tblCellMar>
            <w:top w:w="0" w:type="dxa"/>
            <w:left w:w="108" w:type="dxa"/>
            <w:bottom w:w="0" w:type="dxa"/>
            <w:right w:w="108" w:type="dxa"/>
          </w:tblCellMar>
        </w:tblPrEx>
        <w:trPr>
          <w:trHeight w:val="977" w:hRule="atLeast"/>
          <w:jc w:val="center"/>
        </w:trPr>
        <w:tc>
          <w:tcPr>
            <w:tcW w:w="825" w:type="dxa"/>
            <w:noWrap w:val="0"/>
            <w:vAlign w:val="center"/>
          </w:tcPr>
          <w:p w14:paraId="77C857F0">
            <w:pPr>
              <w:keepNext w:val="0"/>
              <w:keepLines w:val="0"/>
              <w:pageBreakBefore w:val="0"/>
              <w:widowControl w:val="0"/>
              <w:kinsoku/>
              <w:wordWrap/>
              <w:overflowPunct/>
              <w:topLinePunct w:val="0"/>
              <w:autoSpaceDE/>
              <w:autoSpaceDN/>
              <w:bidi w:val="0"/>
              <w:adjustRightInd w:val="0"/>
              <w:snapToGrid/>
              <w:spacing w:line="440" w:lineRule="exact"/>
              <w:ind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序号</w:t>
            </w:r>
          </w:p>
        </w:tc>
        <w:tc>
          <w:tcPr>
            <w:tcW w:w="1770" w:type="dxa"/>
            <w:noWrap w:val="0"/>
            <w:vAlign w:val="center"/>
          </w:tcPr>
          <w:p w14:paraId="74FFAE8A">
            <w:pPr>
              <w:keepNext w:val="0"/>
              <w:keepLines w:val="0"/>
              <w:pageBreakBefore w:val="0"/>
              <w:widowControl w:val="0"/>
              <w:kinsoku/>
              <w:wordWrap/>
              <w:overflowPunct/>
              <w:topLinePunct w:val="0"/>
              <w:autoSpaceDE/>
              <w:autoSpaceDN/>
              <w:bidi w:val="0"/>
              <w:adjustRightInd w:val="0"/>
              <w:snapToGrid/>
              <w:spacing w:line="440" w:lineRule="exact"/>
              <w:ind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项目名称</w:t>
            </w:r>
          </w:p>
        </w:tc>
        <w:tc>
          <w:tcPr>
            <w:tcW w:w="800" w:type="dxa"/>
            <w:noWrap w:val="0"/>
            <w:vAlign w:val="center"/>
          </w:tcPr>
          <w:p w14:paraId="792584DD">
            <w:pPr>
              <w:keepNext w:val="0"/>
              <w:keepLines w:val="0"/>
              <w:pageBreakBefore w:val="0"/>
              <w:widowControl w:val="0"/>
              <w:kinsoku/>
              <w:wordWrap/>
              <w:overflowPunct/>
              <w:topLinePunct w:val="0"/>
              <w:autoSpaceDE/>
              <w:autoSpaceDN/>
              <w:bidi w:val="0"/>
              <w:adjustRightInd w:val="0"/>
              <w:snapToGrid/>
              <w:spacing w:line="440" w:lineRule="exact"/>
              <w:ind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数量</w:t>
            </w:r>
          </w:p>
        </w:tc>
        <w:tc>
          <w:tcPr>
            <w:tcW w:w="840" w:type="dxa"/>
            <w:noWrap w:val="0"/>
            <w:vAlign w:val="center"/>
          </w:tcPr>
          <w:p w14:paraId="2C741C55">
            <w:pPr>
              <w:keepNext w:val="0"/>
              <w:keepLines w:val="0"/>
              <w:pageBreakBefore w:val="0"/>
              <w:widowControl w:val="0"/>
              <w:kinsoku/>
              <w:wordWrap/>
              <w:overflowPunct/>
              <w:topLinePunct w:val="0"/>
              <w:autoSpaceDE/>
              <w:autoSpaceDN/>
              <w:bidi w:val="0"/>
              <w:adjustRightInd w:val="0"/>
              <w:snapToGrid/>
              <w:spacing w:line="440" w:lineRule="exact"/>
              <w:ind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单位</w:t>
            </w:r>
          </w:p>
        </w:tc>
        <w:tc>
          <w:tcPr>
            <w:tcW w:w="2678" w:type="dxa"/>
            <w:noWrap w:val="0"/>
            <w:vAlign w:val="center"/>
          </w:tcPr>
          <w:p w14:paraId="32EB7C7D">
            <w:pPr>
              <w:keepNext w:val="0"/>
              <w:keepLines w:val="0"/>
              <w:pageBreakBefore w:val="0"/>
              <w:widowControl w:val="0"/>
              <w:kinsoku/>
              <w:wordWrap/>
              <w:overflowPunct/>
              <w:topLinePunct w:val="0"/>
              <w:autoSpaceDE/>
              <w:autoSpaceDN/>
              <w:bidi w:val="0"/>
              <w:adjustRightInd w:val="0"/>
              <w:snapToGrid/>
              <w:spacing w:line="440" w:lineRule="exact"/>
              <w:ind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简要规格描述或标项基本概况介绍</w:t>
            </w:r>
          </w:p>
        </w:tc>
        <w:tc>
          <w:tcPr>
            <w:tcW w:w="1296" w:type="dxa"/>
            <w:noWrap w:val="0"/>
            <w:vAlign w:val="center"/>
          </w:tcPr>
          <w:p w14:paraId="14857112">
            <w:pPr>
              <w:keepNext w:val="0"/>
              <w:keepLines w:val="0"/>
              <w:pageBreakBefore w:val="0"/>
              <w:widowControl w:val="0"/>
              <w:kinsoku/>
              <w:wordWrap/>
              <w:overflowPunct/>
              <w:topLinePunct w:val="0"/>
              <w:autoSpaceDE/>
              <w:autoSpaceDN/>
              <w:bidi w:val="0"/>
              <w:adjustRightInd w:val="0"/>
              <w:snapToGrid/>
              <w:spacing w:line="440" w:lineRule="exact"/>
              <w:ind w:firstLine="0" w:firstLineChars="0"/>
              <w:jc w:val="center"/>
              <w:textAlignment w:val="auto"/>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rPr>
              <w:t>最高限价</w:t>
            </w:r>
            <w:r>
              <w:rPr>
                <w:rFonts w:hint="eastAsia" w:ascii="宋体" w:hAnsi="宋体" w:cs="宋体"/>
                <w:sz w:val="24"/>
                <w:szCs w:val="24"/>
                <w:highlight w:val="none"/>
                <w:lang w:eastAsia="zh-CN"/>
              </w:rPr>
              <w:t>（</w:t>
            </w:r>
            <w:r>
              <w:rPr>
                <w:rFonts w:hint="eastAsia" w:ascii="宋体" w:hAnsi="宋体" w:cs="宋体"/>
                <w:sz w:val="24"/>
                <w:szCs w:val="24"/>
                <w:highlight w:val="none"/>
                <w:lang w:val="en-US" w:eastAsia="zh-CN"/>
              </w:rPr>
              <w:t>元）</w:t>
            </w:r>
          </w:p>
        </w:tc>
        <w:tc>
          <w:tcPr>
            <w:tcW w:w="777" w:type="dxa"/>
            <w:noWrap w:val="0"/>
            <w:vAlign w:val="center"/>
          </w:tcPr>
          <w:p w14:paraId="1787B17A">
            <w:pPr>
              <w:keepNext w:val="0"/>
              <w:keepLines w:val="0"/>
              <w:pageBreakBefore w:val="0"/>
              <w:widowControl w:val="0"/>
              <w:kinsoku/>
              <w:wordWrap/>
              <w:overflowPunct/>
              <w:topLinePunct w:val="0"/>
              <w:autoSpaceDE/>
              <w:autoSpaceDN/>
              <w:bidi w:val="0"/>
              <w:adjustRightInd w:val="0"/>
              <w:snapToGrid/>
              <w:spacing w:line="440" w:lineRule="exact"/>
              <w:ind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备注</w:t>
            </w:r>
          </w:p>
        </w:tc>
      </w:tr>
      <w:tr w14:paraId="30DB46FC">
        <w:tblPrEx>
          <w:tblBorders>
            <w:top w:val="single" w:color="000000" w:sz="4" w:space="0"/>
            <w:left w:val="single" w:color="000000" w:sz="4" w:space="0"/>
            <w:bottom w:val="single" w:color="000000" w:sz="4" w:space="0"/>
            <w:right w:val="single" w:color="000000" w:sz="4" w:space="0"/>
            <w:insideH w:val="single" w:color="A6A6A6" w:sz="4" w:space="0"/>
            <w:insideV w:val="single" w:color="A6A6A6" w:sz="4" w:space="0"/>
          </w:tblBorders>
          <w:tblCellMar>
            <w:top w:w="0" w:type="dxa"/>
            <w:left w:w="108" w:type="dxa"/>
            <w:bottom w:w="0" w:type="dxa"/>
            <w:right w:w="108" w:type="dxa"/>
          </w:tblCellMar>
        </w:tblPrEx>
        <w:trPr>
          <w:jc w:val="center"/>
        </w:trPr>
        <w:tc>
          <w:tcPr>
            <w:tcW w:w="825" w:type="dxa"/>
            <w:noWrap w:val="0"/>
            <w:vAlign w:val="center"/>
          </w:tcPr>
          <w:p w14:paraId="4AD01112">
            <w:pPr>
              <w:keepNext w:val="0"/>
              <w:keepLines w:val="0"/>
              <w:pageBreakBefore w:val="0"/>
              <w:widowControl w:val="0"/>
              <w:kinsoku/>
              <w:wordWrap/>
              <w:overflowPunct/>
              <w:topLinePunct w:val="0"/>
              <w:autoSpaceDE/>
              <w:autoSpaceDN/>
              <w:bidi w:val="0"/>
              <w:adjustRightInd w:val="0"/>
              <w:snapToGrid/>
              <w:spacing w:line="440" w:lineRule="exact"/>
              <w:ind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w:t>
            </w:r>
          </w:p>
        </w:tc>
        <w:tc>
          <w:tcPr>
            <w:tcW w:w="1770" w:type="dxa"/>
            <w:noWrap w:val="0"/>
            <w:vAlign w:val="center"/>
          </w:tcPr>
          <w:p w14:paraId="79A495A2">
            <w:pPr>
              <w:keepNext w:val="0"/>
              <w:keepLines w:val="0"/>
              <w:pageBreakBefore w:val="0"/>
              <w:widowControl w:val="0"/>
              <w:kinsoku/>
              <w:wordWrap/>
              <w:overflowPunct/>
              <w:topLinePunct w:val="0"/>
              <w:autoSpaceDE/>
              <w:autoSpaceDN/>
              <w:bidi w:val="0"/>
              <w:adjustRightInd w:val="0"/>
              <w:snapToGrid/>
              <w:spacing w:line="440" w:lineRule="exact"/>
              <w:ind w:firstLine="0" w:firstLineChars="0"/>
              <w:jc w:val="center"/>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蒿东村2025年度环境卫生物业化外包项目</w:t>
            </w:r>
          </w:p>
        </w:tc>
        <w:tc>
          <w:tcPr>
            <w:tcW w:w="800" w:type="dxa"/>
            <w:noWrap w:val="0"/>
            <w:vAlign w:val="center"/>
          </w:tcPr>
          <w:p w14:paraId="60B58CE9">
            <w:pPr>
              <w:keepNext w:val="0"/>
              <w:keepLines w:val="0"/>
              <w:pageBreakBefore w:val="0"/>
              <w:widowControl w:val="0"/>
              <w:kinsoku/>
              <w:wordWrap/>
              <w:overflowPunct/>
              <w:topLinePunct w:val="0"/>
              <w:autoSpaceDE/>
              <w:autoSpaceDN/>
              <w:bidi w:val="0"/>
              <w:adjustRightInd w:val="0"/>
              <w:snapToGrid/>
              <w:spacing w:line="440" w:lineRule="exact"/>
              <w:ind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w:t>
            </w:r>
          </w:p>
        </w:tc>
        <w:tc>
          <w:tcPr>
            <w:tcW w:w="840" w:type="dxa"/>
            <w:noWrap w:val="0"/>
            <w:vAlign w:val="center"/>
          </w:tcPr>
          <w:p w14:paraId="60DE3860">
            <w:pPr>
              <w:keepNext w:val="0"/>
              <w:keepLines w:val="0"/>
              <w:pageBreakBefore w:val="0"/>
              <w:widowControl w:val="0"/>
              <w:kinsoku/>
              <w:wordWrap/>
              <w:overflowPunct/>
              <w:topLinePunct w:val="0"/>
              <w:autoSpaceDE/>
              <w:autoSpaceDN/>
              <w:bidi w:val="0"/>
              <w:adjustRightInd w:val="0"/>
              <w:snapToGrid/>
              <w:spacing w:line="440" w:lineRule="exact"/>
              <w:ind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年</w:t>
            </w:r>
          </w:p>
        </w:tc>
        <w:tc>
          <w:tcPr>
            <w:tcW w:w="2678" w:type="dxa"/>
            <w:noWrap w:val="0"/>
            <w:vAlign w:val="center"/>
          </w:tcPr>
          <w:p w14:paraId="21908783">
            <w:pPr>
              <w:keepNext w:val="0"/>
              <w:keepLines w:val="0"/>
              <w:pageBreakBefore w:val="0"/>
              <w:widowControl w:val="0"/>
              <w:kinsoku/>
              <w:wordWrap/>
              <w:overflowPunct/>
              <w:topLinePunct w:val="0"/>
              <w:autoSpaceDE/>
              <w:autoSpaceDN/>
              <w:bidi w:val="0"/>
              <w:adjustRightInd w:val="0"/>
              <w:snapToGrid/>
              <w:spacing w:line="440" w:lineRule="exact"/>
              <w:ind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cs="宋体"/>
                <w:sz w:val="24"/>
                <w:highlight w:val="none"/>
              </w:rPr>
              <w:t>整村环境卫生保洁服务</w:t>
            </w:r>
          </w:p>
        </w:tc>
        <w:tc>
          <w:tcPr>
            <w:tcW w:w="1296" w:type="dxa"/>
            <w:noWrap w:val="0"/>
            <w:vAlign w:val="center"/>
          </w:tcPr>
          <w:p w14:paraId="0E94FD87">
            <w:pPr>
              <w:keepNext w:val="0"/>
              <w:keepLines w:val="0"/>
              <w:pageBreakBefore w:val="0"/>
              <w:widowControl w:val="0"/>
              <w:kinsoku/>
              <w:wordWrap/>
              <w:overflowPunct/>
              <w:topLinePunct w:val="0"/>
              <w:autoSpaceDE/>
              <w:autoSpaceDN/>
              <w:bidi w:val="0"/>
              <w:adjustRightInd w:val="0"/>
              <w:snapToGrid/>
              <w:spacing w:line="440" w:lineRule="exact"/>
              <w:ind w:firstLine="0" w:firstLineChars="0"/>
              <w:jc w:val="center"/>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970000</w:t>
            </w:r>
          </w:p>
        </w:tc>
        <w:tc>
          <w:tcPr>
            <w:tcW w:w="777" w:type="dxa"/>
            <w:noWrap w:val="0"/>
            <w:vAlign w:val="center"/>
          </w:tcPr>
          <w:p w14:paraId="1ED7E240">
            <w:pPr>
              <w:keepNext w:val="0"/>
              <w:keepLines w:val="0"/>
              <w:pageBreakBefore w:val="0"/>
              <w:widowControl w:val="0"/>
              <w:kinsoku/>
              <w:wordWrap/>
              <w:overflowPunct/>
              <w:topLinePunct w:val="0"/>
              <w:autoSpaceDE/>
              <w:autoSpaceDN/>
              <w:bidi w:val="0"/>
              <w:adjustRightInd w:val="0"/>
              <w:snapToGrid/>
              <w:spacing w:line="440" w:lineRule="exact"/>
              <w:ind w:firstLine="0" w:firstLineChars="0"/>
              <w:jc w:val="center"/>
              <w:textAlignment w:val="auto"/>
              <w:rPr>
                <w:rFonts w:hint="eastAsia" w:ascii="宋体" w:hAnsi="宋体" w:eastAsia="宋体" w:cs="宋体"/>
                <w:color w:val="FF0000"/>
                <w:sz w:val="24"/>
                <w:szCs w:val="24"/>
                <w:highlight w:val="none"/>
              </w:rPr>
            </w:pPr>
          </w:p>
        </w:tc>
      </w:tr>
    </w:tbl>
    <w:p w14:paraId="2D75EDF0">
      <w:pPr>
        <w:keepNext w:val="0"/>
        <w:keepLines w:val="0"/>
        <w:pageBreakBefore w:val="0"/>
        <w:widowControl w:val="0"/>
        <w:kinsoku/>
        <w:wordWrap/>
        <w:overflowPunct/>
        <w:topLinePunct w:val="0"/>
        <w:autoSpaceDE/>
        <w:autoSpaceDN/>
        <w:bidi w:val="0"/>
        <w:adjustRightInd w:val="0"/>
        <w:snapToGrid/>
        <w:spacing w:line="440" w:lineRule="exact"/>
        <w:ind w:firstLine="482" w:firstLineChars="200"/>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四． 投标供应商资格要求:</w:t>
      </w:r>
    </w:p>
    <w:p w14:paraId="5B26C670">
      <w:pPr>
        <w:pStyle w:val="27"/>
        <w:keepNext w:val="0"/>
        <w:keepLines w:val="0"/>
        <w:pageBreakBefore w:val="0"/>
        <w:numPr>
          <w:ilvl w:val="0"/>
          <w:numId w:val="3"/>
        </w:numPr>
        <w:tabs>
          <w:tab w:val="left" w:pos="567"/>
        </w:tabs>
        <w:kinsoku/>
        <w:overflowPunct/>
        <w:topLinePunct w:val="0"/>
        <w:bidi w:val="0"/>
        <w:snapToGrid/>
        <w:spacing w:before="0" w:beforeAutospacing="0" w:after="0" w:afterAutospacing="0" w:line="440" w:lineRule="exact"/>
        <w:ind w:firstLine="403"/>
        <w:rPr>
          <w:rFonts w:hint="eastAsia"/>
          <w:color w:val="auto"/>
          <w:highlight w:val="none"/>
        </w:rPr>
      </w:pPr>
      <w:r>
        <w:rPr>
          <w:rFonts w:hint="eastAsia"/>
          <w:color w:val="auto"/>
          <w:highlight w:val="none"/>
        </w:rPr>
        <w:t>具有独立承担民事责任的能力；</w:t>
      </w:r>
    </w:p>
    <w:p w14:paraId="504F615C">
      <w:pPr>
        <w:pStyle w:val="27"/>
        <w:keepNext w:val="0"/>
        <w:keepLines w:val="0"/>
        <w:pageBreakBefore w:val="0"/>
        <w:numPr>
          <w:ilvl w:val="0"/>
          <w:numId w:val="3"/>
        </w:numPr>
        <w:tabs>
          <w:tab w:val="left" w:pos="567"/>
        </w:tabs>
        <w:kinsoku/>
        <w:overflowPunct/>
        <w:topLinePunct w:val="0"/>
        <w:bidi w:val="0"/>
        <w:snapToGrid/>
        <w:spacing w:before="0" w:beforeAutospacing="0" w:after="0" w:afterAutospacing="0" w:line="440" w:lineRule="exact"/>
        <w:ind w:firstLine="403"/>
        <w:rPr>
          <w:color w:val="auto"/>
          <w:highlight w:val="none"/>
        </w:rPr>
      </w:pPr>
      <w:r>
        <w:rPr>
          <w:rFonts w:hint="eastAsia"/>
          <w:color w:val="auto"/>
          <w:highlight w:val="none"/>
        </w:rPr>
        <w:t>具有良好的商业信誉和健全的财务会计财务制度；</w:t>
      </w:r>
    </w:p>
    <w:p w14:paraId="7CFD5C06">
      <w:pPr>
        <w:pStyle w:val="27"/>
        <w:keepNext w:val="0"/>
        <w:keepLines w:val="0"/>
        <w:pageBreakBefore w:val="0"/>
        <w:numPr>
          <w:ilvl w:val="0"/>
          <w:numId w:val="3"/>
        </w:numPr>
        <w:tabs>
          <w:tab w:val="left" w:pos="567"/>
        </w:tabs>
        <w:kinsoku/>
        <w:overflowPunct/>
        <w:topLinePunct w:val="0"/>
        <w:bidi w:val="0"/>
        <w:snapToGrid/>
        <w:spacing w:before="0" w:beforeAutospacing="0" w:after="0" w:afterAutospacing="0" w:line="440" w:lineRule="exact"/>
        <w:ind w:firstLine="403"/>
        <w:rPr>
          <w:color w:val="auto"/>
          <w:highlight w:val="none"/>
        </w:rPr>
      </w:pPr>
      <w:r>
        <w:rPr>
          <w:rFonts w:hint="eastAsia"/>
          <w:color w:val="auto"/>
          <w:highlight w:val="none"/>
        </w:rPr>
        <w:t>具有履行合同所必需的设备和专业技术、售后保障等能力；</w:t>
      </w:r>
    </w:p>
    <w:p w14:paraId="1062BEEE">
      <w:pPr>
        <w:pStyle w:val="27"/>
        <w:keepNext w:val="0"/>
        <w:keepLines w:val="0"/>
        <w:pageBreakBefore w:val="0"/>
        <w:numPr>
          <w:ilvl w:val="0"/>
          <w:numId w:val="3"/>
        </w:numPr>
        <w:tabs>
          <w:tab w:val="left" w:pos="567"/>
        </w:tabs>
        <w:kinsoku/>
        <w:overflowPunct/>
        <w:topLinePunct w:val="0"/>
        <w:bidi w:val="0"/>
        <w:snapToGrid/>
        <w:spacing w:before="0" w:beforeAutospacing="0" w:after="0" w:afterAutospacing="0" w:line="440" w:lineRule="exact"/>
        <w:ind w:firstLine="403"/>
        <w:rPr>
          <w:color w:val="auto"/>
          <w:highlight w:val="none"/>
        </w:rPr>
      </w:pPr>
      <w:r>
        <w:rPr>
          <w:rFonts w:hint="eastAsia"/>
          <w:color w:val="auto"/>
          <w:highlight w:val="none"/>
        </w:rPr>
        <w:t>有依法缴纳税收和社会保障资金的良好记录；</w:t>
      </w:r>
    </w:p>
    <w:p w14:paraId="2E1951DB">
      <w:pPr>
        <w:pStyle w:val="27"/>
        <w:keepNext w:val="0"/>
        <w:keepLines w:val="0"/>
        <w:pageBreakBefore w:val="0"/>
        <w:numPr>
          <w:ilvl w:val="0"/>
          <w:numId w:val="3"/>
        </w:numPr>
        <w:tabs>
          <w:tab w:val="left" w:pos="567"/>
        </w:tabs>
        <w:kinsoku/>
        <w:overflowPunct/>
        <w:topLinePunct w:val="0"/>
        <w:bidi w:val="0"/>
        <w:snapToGrid/>
        <w:spacing w:before="0" w:beforeAutospacing="0" w:after="0" w:afterAutospacing="0" w:line="440" w:lineRule="exact"/>
        <w:ind w:firstLine="403"/>
        <w:rPr>
          <w:color w:val="auto"/>
          <w:highlight w:val="none"/>
        </w:rPr>
      </w:pPr>
      <w:r>
        <w:rPr>
          <w:rFonts w:hint="eastAsia"/>
          <w:color w:val="auto"/>
          <w:highlight w:val="none"/>
        </w:rPr>
        <w:t>参加采购、招投标等活动前三年内，在经营活动中没有重大违法记录和行贿记录；</w:t>
      </w:r>
    </w:p>
    <w:p w14:paraId="506021C1">
      <w:pPr>
        <w:pStyle w:val="27"/>
        <w:keepNext w:val="0"/>
        <w:keepLines w:val="0"/>
        <w:pageBreakBefore w:val="0"/>
        <w:numPr>
          <w:ilvl w:val="0"/>
          <w:numId w:val="3"/>
        </w:numPr>
        <w:tabs>
          <w:tab w:val="left" w:pos="567"/>
        </w:tabs>
        <w:kinsoku/>
        <w:overflowPunct/>
        <w:topLinePunct w:val="0"/>
        <w:bidi w:val="0"/>
        <w:snapToGrid/>
        <w:spacing w:before="0" w:beforeAutospacing="0" w:after="0" w:afterAutospacing="0" w:line="440" w:lineRule="exact"/>
        <w:ind w:firstLine="403"/>
        <w:rPr>
          <w:color w:val="auto"/>
          <w:highlight w:val="none"/>
        </w:rPr>
      </w:pPr>
      <w:r>
        <w:rPr>
          <w:rFonts w:hint="eastAsia" w:ascii="宋体" w:hAnsi="宋体" w:cs="宋体"/>
          <w:sz w:val="24"/>
          <w:highlight w:val="none"/>
        </w:rPr>
        <w:t>本次招标不接受联合体投标</w:t>
      </w:r>
      <w:r>
        <w:rPr>
          <w:rFonts w:hint="eastAsia"/>
          <w:color w:val="auto"/>
          <w:highlight w:val="none"/>
          <w:lang w:eastAsia="zh-CN"/>
        </w:rPr>
        <w:t>；</w:t>
      </w:r>
    </w:p>
    <w:p w14:paraId="6E3952BF">
      <w:pPr>
        <w:pStyle w:val="27"/>
        <w:keepNext w:val="0"/>
        <w:keepLines w:val="0"/>
        <w:pageBreakBefore w:val="0"/>
        <w:numPr>
          <w:ilvl w:val="0"/>
          <w:numId w:val="3"/>
        </w:numPr>
        <w:tabs>
          <w:tab w:val="left" w:pos="567"/>
        </w:tabs>
        <w:kinsoku/>
        <w:overflowPunct/>
        <w:topLinePunct w:val="0"/>
        <w:bidi w:val="0"/>
        <w:snapToGrid/>
        <w:spacing w:before="0" w:beforeAutospacing="0" w:after="0" w:afterAutospacing="0" w:line="440" w:lineRule="exact"/>
        <w:ind w:firstLine="403"/>
        <w:rPr>
          <w:color w:val="auto"/>
          <w:highlight w:val="none"/>
        </w:rPr>
      </w:pPr>
      <w:r>
        <w:rPr>
          <w:rFonts w:hint="eastAsia"/>
          <w:color w:val="auto"/>
          <w:highlight w:val="none"/>
        </w:rPr>
        <w:t>本次招标采用资格后审的审查方式，由采购人负责审查</w:t>
      </w:r>
      <w:r>
        <w:rPr>
          <w:rFonts w:hint="eastAsia"/>
          <w:color w:val="auto"/>
          <w:highlight w:val="none"/>
          <w:lang w:eastAsia="zh-CN"/>
        </w:rPr>
        <w:t>。</w:t>
      </w:r>
    </w:p>
    <w:p w14:paraId="6A8D7BE5">
      <w:pPr>
        <w:keepNext w:val="0"/>
        <w:keepLines w:val="0"/>
        <w:pageBreakBefore w:val="0"/>
        <w:widowControl w:val="0"/>
        <w:kinsoku/>
        <w:wordWrap/>
        <w:overflowPunct/>
        <w:topLinePunct w:val="0"/>
        <w:autoSpaceDE/>
        <w:autoSpaceDN/>
        <w:bidi w:val="0"/>
        <w:adjustRightInd w:val="0"/>
        <w:snapToGrid/>
        <w:spacing w:line="440" w:lineRule="exact"/>
        <w:ind w:firstLine="482" w:firstLineChars="200"/>
        <w:textAlignment w:val="auto"/>
        <w:rPr>
          <w:rFonts w:hint="eastAsia" w:ascii="宋体" w:hAnsi="宋体" w:eastAsia="宋体" w:cs="宋体"/>
          <w:b/>
          <w:bCs/>
          <w:color w:val="auto"/>
          <w:sz w:val="24"/>
          <w:szCs w:val="24"/>
          <w:highlight w:val="none"/>
          <w:shd w:val="clear" w:color="auto" w:fill="auto"/>
        </w:rPr>
      </w:pPr>
      <w:r>
        <w:rPr>
          <w:rFonts w:hint="eastAsia" w:ascii="宋体" w:hAnsi="宋体" w:eastAsia="宋体" w:cs="宋体"/>
          <w:b/>
          <w:bCs/>
          <w:sz w:val="24"/>
          <w:szCs w:val="24"/>
          <w:highlight w:val="none"/>
          <w:shd w:val="clear" w:color="auto" w:fill="auto"/>
        </w:rPr>
        <w:t>五．投标获取</w:t>
      </w:r>
      <w:r>
        <w:rPr>
          <w:rFonts w:hint="eastAsia" w:ascii="宋体" w:hAnsi="宋体" w:eastAsia="宋体" w:cs="宋体"/>
          <w:b/>
          <w:bCs/>
          <w:color w:val="auto"/>
          <w:sz w:val="24"/>
          <w:szCs w:val="24"/>
          <w:highlight w:val="none"/>
          <w:shd w:val="clear" w:color="auto" w:fill="auto"/>
        </w:rPr>
        <w:t>采购文件</w:t>
      </w:r>
    </w:p>
    <w:p w14:paraId="3D0476F6">
      <w:pPr>
        <w:keepNext w:val="0"/>
        <w:keepLines w:val="0"/>
        <w:pageBreakBefore w:val="0"/>
        <w:widowControl w:val="0"/>
        <w:numPr>
          <w:ilvl w:val="0"/>
          <w:numId w:val="4"/>
        </w:numPr>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color w:val="auto"/>
          <w:sz w:val="24"/>
          <w:szCs w:val="24"/>
          <w:highlight w:val="none"/>
          <w:shd w:val="clear" w:color="auto" w:fill="auto"/>
        </w:rPr>
      </w:pPr>
      <w:bookmarkStart w:id="13" w:name="报名开始时间1"/>
      <w:r>
        <w:rPr>
          <w:rFonts w:hint="eastAsia" w:ascii="宋体" w:hAnsi="宋体" w:eastAsia="宋体" w:cs="宋体"/>
          <w:color w:val="auto"/>
          <w:sz w:val="24"/>
          <w:szCs w:val="24"/>
          <w:highlight w:val="none"/>
          <w:shd w:val="clear" w:color="auto" w:fill="auto"/>
        </w:rPr>
        <w:t>获取采购文件时间:</w:t>
      </w:r>
      <w:bookmarkEnd w:id="13"/>
      <w:r>
        <w:rPr>
          <w:rFonts w:hint="eastAsia" w:ascii="宋体" w:hAnsi="宋体" w:eastAsia="宋体" w:cs="宋体"/>
          <w:color w:val="auto"/>
          <w:sz w:val="24"/>
          <w:szCs w:val="24"/>
          <w:highlight w:val="none"/>
          <w:shd w:val="clear" w:color="auto" w:fill="auto"/>
          <w:lang w:eastAsia="zh-CN"/>
        </w:rPr>
        <w:t>202</w:t>
      </w:r>
      <w:r>
        <w:rPr>
          <w:rFonts w:hint="eastAsia" w:ascii="宋体" w:hAnsi="宋体" w:cs="宋体"/>
          <w:color w:val="auto"/>
          <w:sz w:val="24"/>
          <w:szCs w:val="24"/>
          <w:highlight w:val="none"/>
          <w:shd w:val="clear" w:color="auto" w:fill="auto"/>
          <w:lang w:val="en-US" w:eastAsia="zh-CN"/>
        </w:rPr>
        <w:t>5</w:t>
      </w:r>
      <w:r>
        <w:rPr>
          <w:rFonts w:hint="eastAsia" w:ascii="宋体" w:hAnsi="宋体" w:eastAsia="宋体" w:cs="宋体"/>
          <w:color w:val="auto"/>
          <w:sz w:val="24"/>
          <w:szCs w:val="24"/>
          <w:highlight w:val="none"/>
          <w:shd w:val="clear" w:color="auto" w:fill="auto"/>
          <w:lang w:eastAsia="zh-CN"/>
        </w:rPr>
        <w:t>年</w:t>
      </w:r>
      <w:r>
        <w:rPr>
          <w:rFonts w:hint="eastAsia" w:ascii="宋体" w:hAnsi="宋体" w:cs="宋体"/>
          <w:color w:val="auto"/>
          <w:sz w:val="24"/>
          <w:szCs w:val="24"/>
          <w:highlight w:val="none"/>
          <w:shd w:val="clear" w:color="auto" w:fill="auto"/>
          <w:lang w:val="en-US" w:eastAsia="zh-CN"/>
        </w:rPr>
        <w:t>04</w:t>
      </w:r>
      <w:r>
        <w:rPr>
          <w:rFonts w:hint="eastAsia" w:ascii="宋体" w:hAnsi="宋体" w:eastAsia="宋体" w:cs="宋体"/>
          <w:color w:val="auto"/>
          <w:sz w:val="24"/>
          <w:szCs w:val="24"/>
          <w:highlight w:val="none"/>
          <w:shd w:val="clear" w:color="auto" w:fill="auto"/>
          <w:lang w:eastAsia="zh-CN"/>
        </w:rPr>
        <w:t>月</w:t>
      </w:r>
      <w:r>
        <w:rPr>
          <w:rFonts w:hint="eastAsia" w:ascii="宋体" w:hAnsi="宋体" w:cs="宋体"/>
          <w:color w:val="auto"/>
          <w:sz w:val="24"/>
          <w:szCs w:val="24"/>
          <w:highlight w:val="none"/>
          <w:shd w:val="clear" w:color="auto" w:fill="auto"/>
          <w:lang w:val="en-US" w:eastAsia="zh-CN"/>
        </w:rPr>
        <w:t xml:space="preserve"> 23 </w:t>
      </w:r>
      <w:r>
        <w:rPr>
          <w:rFonts w:hint="eastAsia" w:ascii="宋体" w:hAnsi="宋体" w:eastAsia="宋体" w:cs="宋体"/>
          <w:color w:val="auto"/>
          <w:sz w:val="24"/>
          <w:szCs w:val="24"/>
          <w:highlight w:val="none"/>
          <w:shd w:val="clear" w:color="auto" w:fill="auto"/>
          <w:lang w:eastAsia="zh-CN"/>
        </w:rPr>
        <w:t>日上午</w:t>
      </w:r>
      <w:r>
        <w:rPr>
          <w:rFonts w:hint="eastAsia" w:ascii="宋体" w:hAnsi="宋体" w:cs="宋体"/>
          <w:color w:val="auto"/>
          <w:sz w:val="24"/>
          <w:szCs w:val="24"/>
          <w:highlight w:val="none"/>
          <w:shd w:val="clear" w:color="auto" w:fill="auto"/>
          <w:lang w:val="en-US" w:eastAsia="zh-CN"/>
        </w:rPr>
        <w:t>09</w:t>
      </w:r>
      <w:r>
        <w:rPr>
          <w:rFonts w:hint="eastAsia" w:ascii="宋体" w:hAnsi="宋体" w:eastAsia="宋体" w:cs="宋体"/>
          <w:color w:val="auto"/>
          <w:sz w:val="24"/>
          <w:szCs w:val="24"/>
          <w:highlight w:val="none"/>
          <w:shd w:val="clear" w:color="auto" w:fill="auto"/>
          <w:lang w:eastAsia="zh-CN"/>
        </w:rPr>
        <w:t>:</w:t>
      </w:r>
      <w:r>
        <w:rPr>
          <w:rFonts w:hint="eastAsia" w:ascii="宋体" w:hAnsi="宋体" w:cs="宋体"/>
          <w:color w:val="auto"/>
          <w:sz w:val="24"/>
          <w:szCs w:val="24"/>
          <w:highlight w:val="none"/>
          <w:shd w:val="clear" w:color="auto" w:fill="auto"/>
          <w:lang w:val="en-US" w:eastAsia="zh-CN"/>
        </w:rPr>
        <w:t>30</w:t>
      </w:r>
      <w:r>
        <w:rPr>
          <w:rFonts w:hint="eastAsia" w:ascii="宋体" w:hAnsi="宋体" w:eastAsia="宋体" w:cs="宋体"/>
          <w:color w:val="auto"/>
          <w:sz w:val="24"/>
          <w:szCs w:val="24"/>
          <w:highlight w:val="none"/>
          <w:shd w:val="clear" w:color="auto" w:fill="auto"/>
          <w:lang w:eastAsia="zh-CN"/>
        </w:rPr>
        <w:t>之前获取。</w:t>
      </w:r>
    </w:p>
    <w:p w14:paraId="07F30EFA">
      <w:pPr>
        <w:keepNext w:val="0"/>
        <w:keepLines w:val="0"/>
        <w:pageBreakBefore w:val="0"/>
        <w:widowControl w:val="0"/>
        <w:numPr>
          <w:ilvl w:val="0"/>
          <w:numId w:val="4"/>
        </w:numPr>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获取采购文件方式：</w:t>
      </w:r>
      <w:r>
        <w:rPr>
          <w:rFonts w:hint="eastAsia" w:ascii="宋体" w:hAnsi="宋体" w:cs="宋体"/>
          <w:color w:val="auto"/>
          <w:sz w:val="24"/>
        </w:rPr>
        <w:t>供应商登陆</w:t>
      </w:r>
      <w:r>
        <w:rPr>
          <w:rFonts w:hint="eastAsia" w:ascii="宋体" w:hAnsi="宋体" w:cs="宋体"/>
          <w:color w:val="auto"/>
          <w:sz w:val="24"/>
          <w:highlight w:val="none"/>
          <w:lang w:val="en-US" w:eastAsia="zh-CN"/>
        </w:rPr>
        <w:t>乐</w:t>
      </w:r>
      <w:r>
        <w:rPr>
          <w:rFonts w:hint="eastAsia" w:ascii="宋体" w:hAnsi="宋体" w:eastAsia="宋体" w:cs="宋体"/>
          <w:color w:val="auto"/>
          <w:sz w:val="24"/>
          <w:szCs w:val="24"/>
          <w:highlight w:val="none"/>
        </w:rPr>
        <w:t>采云平台，在线申请获取采购文件（进入“项目采购”应用，在获取采购文件菜单中选择项目，申请获取采购文件）。</w:t>
      </w:r>
    </w:p>
    <w:p w14:paraId="41C1291B">
      <w:pPr>
        <w:keepNext w:val="0"/>
        <w:keepLines w:val="0"/>
        <w:pageBreakBefore w:val="0"/>
        <w:widowControl w:val="0"/>
        <w:numPr>
          <w:ilvl w:val="0"/>
          <w:numId w:val="4"/>
        </w:numPr>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提示：</w:t>
      </w:r>
    </w:p>
    <w:p w14:paraId="6BCE5F6D">
      <w:pPr>
        <w:keepNext w:val="0"/>
        <w:keepLines w:val="0"/>
        <w:pageBreakBefore w:val="0"/>
        <w:widowControl w:val="0"/>
        <w:numPr>
          <w:ilvl w:val="0"/>
          <w:numId w:val="5"/>
        </w:numPr>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将拒绝接受</w:t>
      </w:r>
      <w:r>
        <w:rPr>
          <w:rFonts w:hint="eastAsia" w:ascii="宋体" w:hAnsi="宋体" w:eastAsia="宋体" w:cs="宋体"/>
          <w:sz w:val="24"/>
          <w:szCs w:val="24"/>
          <w:highlight w:val="none"/>
          <w:lang w:eastAsia="zh-CN"/>
        </w:rPr>
        <w:t>未</w:t>
      </w:r>
      <w:r>
        <w:rPr>
          <w:rFonts w:hint="eastAsia" w:ascii="宋体" w:hAnsi="宋体" w:eastAsia="宋体" w:cs="宋体"/>
          <w:sz w:val="24"/>
          <w:szCs w:val="24"/>
          <w:highlight w:val="none"/>
        </w:rPr>
        <w:t>获取采购文件供应商的投标文件。</w:t>
      </w:r>
    </w:p>
    <w:p w14:paraId="48E7CAAB">
      <w:pPr>
        <w:keepNext w:val="0"/>
        <w:keepLines w:val="0"/>
        <w:pageBreakBefore w:val="0"/>
        <w:widowControl w:val="0"/>
        <w:numPr>
          <w:ilvl w:val="0"/>
          <w:numId w:val="5"/>
        </w:numPr>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sz w:val="24"/>
          <w:szCs w:val="24"/>
          <w:highlight w:val="none"/>
        </w:rPr>
        <w:t>招标文件及更正补充公告请自行登</w:t>
      </w:r>
      <w:r>
        <w:rPr>
          <w:rFonts w:hint="eastAsia" w:ascii="宋体" w:hAnsi="宋体" w:eastAsia="宋体" w:cs="宋体"/>
          <w:color w:val="auto"/>
          <w:sz w:val="24"/>
          <w:szCs w:val="24"/>
          <w:highlight w:val="none"/>
        </w:rPr>
        <w:t>录浙江政府采购网或绍兴市上虞区公共资源交易中心网站</w:t>
      </w:r>
      <w:r>
        <w:rPr>
          <w:rFonts w:hint="eastAsia" w:ascii="宋体" w:hAnsi="宋体" w:cs="宋体"/>
          <w:color w:val="auto"/>
          <w:sz w:val="24"/>
          <w:szCs w:val="24"/>
          <w:highlight w:val="none"/>
          <w:lang w:val="en-US" w:eastAsia="zh-CN"/>
        </w:rPr>
        <w:t>或上虞产权交易网</w:t>
      </w:r>
      <w:r>
        <w:rPr>
          <w:rFonts w:hint="eastAsia" w:ascii="宋体" w:hAnsi="宋体" w:eastAsia="宋体" w:cs="宋体"/>
          <w:color w:val="auto"/>
          <w:sz w:val="24"/>
          <w:szCs w:val="24"/>
          <w:highlight w:val="none"/>
        </w:rPr>
        <w:t>，在采购公告页面中下载。</w:t>
      </w:r>
    </w:p>
    <w:p w14:paraId="36991463">
      <w:pPr>
        <w:keepNext w:val="0"/>
        <w:keepLines w:val="0"/>
        <w:pageBreakBefore w:val="0"/>
        <w:widowControl w:val="0"/>
        <w:kinsoku/>
        <w:wordWrap/>
        <w:overflowPunct/>
        <w:topLinePunct w:val="0"/>
        <w:autoSpaceDE/>
        <w:autoSpaceDN/>
        <w:bidi w:val="0"/>
        <w:adjustRightInd w:val="0"/>
        <w:snapToGrid/>
        <w:spacing w:line="440" w:lineRule="exact"/>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六</w:t>
      </w:r>
      <w:r>
        <w:rPr>
          <w:rFonts w:hint="eastAsia" w:ascii="宋体" w:hAnsi="宋体" w:eastAsia="宋体" w:cs="宋体"/>
          <w:b/>
          <w:bCs/>
          <w:color w:val="auto"/>
          <w:sz w:val="24"/>
          <w:szCs w:val="24"/>
          <w:highlight w:val="none"/>
        </w:rPr>
        <w:t>、投标与开标注意事项：</w:t>
      </w:r>
    </w:p>
    <w:p w14:paraId="2D952E50">
      <w:pPr>
        <w:keepNext w:val="0"/>
        <w:keepLines w:val="0"/>
        <w:pageBreakBefore w:val="0"/>
        <w:widowControl w:val="0"/>
        <w:numPr>
          <w:ilvl w:val="0"/>
          <w:numId w:val="6"/>
        </w:numPr>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本项目实行</w:t>
      </w:r>
      <w:r>
        <w:rPr>
          <w:rFonts w:hint="eastAsia" w:ascii="宋体" w:hAnsi="宋体" w:eastAsia="宋体" w:cs="宋体"/>
          <w:b/>
          <w:bCs/>
          <w:color w:val="auto"/>
          <w:sz w:val="24"/>
          <w:szCs w:val="24"/>
          <w:highlight w:val="none"/>
        </w:rPr>
        <w:t>网上投标</w:t>
      </w:r>
      <w:r>
        <w:rPr>
          <w:rFonts w:hint="eastAsia" w:ascii="宋体" w:hAnsi="宋体" w:eastAsia="宋体" w:cs="宋体"/>
          <w:color w:val="auto"/>
          <w:sz w:val="24"/>
          <w:szCs w:val="24"/>
          <w:highlight w:val="none"/>
        </w:rPr>
        <w:t>，采用电子投标文件</w:t>
      </w:r>
      <w:r>
        <w:rPr>
          <w:rFonts w:hint="eastAsia" w:ascii="宋体" w:hAnsi="宋体" w:eastAsia="宋体" w:cs="宋体"/>
          <w:color w:val="auto"/>
          <w:sz w:val="24"/>
          <w:szCs w:val="24"/>
          <w:highlight w:val="none"/>
          <w:lang w:eastAsia="zh-CN"/>
        </w:rPr>
        <w:t>，若供应商参与投标，自行承担投标一切费用。</w:t>
      </w:r>
    </w:p>
    <w:p w14:paraId="6CCFC479">
      <w:pPr>
        <w:keepNext w:val="0"/>
        <w:keepLines w:val="0"/>
        <w:pageBreakBefore w:val="0"/>
        <w:widowControl w:val="0"/>
        <w:numPr>
          <w:ilvl w:val="0"/>
          <w:numId w:val="6"/>
        </w:numPr>
        <w:kinsoku/>
        <w:wordWrap w:val="0"/>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标前准备：各供应商应在开标前应确保成为浙江省政府采购网正式注册入库供应商，并完成CA数字证书办理。因未注册入库、未办理CA数字证书等原因造成无法投标或投标失败等后果由供应商自行承担。</w:t>
      </w:r>
    </w:p>
    <w:p w14:paraId="048A5792">
      <w:pPr>
        <w:keepNext w:val="0"/>
        <w:keepLines w:val="0"/>
        <w:pageBreakBefore w:val="0"/>
        <w:kinsoku/>
        <w:overflowPunct/>
        <w:topLinePunct w:val="0"/>
        <w:autoSpaceDE w:val="0"/>
        <w:autoSpaceDN w:val="0"/>
        <w:bidi w:val="0"/>
        <w:snapToGrid/>
        <w:spacing w:line="440" w:lineRule="exact"/>
        <w:ind w:firstLine="480" w:firstLineChars="200"/>
        <w:textAlignment w:val="bottom"/>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供应商将</w:t>
      </w:r>
      <w:r>
        <w:rPr>
          <w:rFonts w:hint="eastAsia" w:ascii="宋体" w:hAnsi="宋体" w:cs="宋体"/>
          <w:color w:val="auto"/>
          <w:sz w:val="24"/>
          <w:szCs w:val="21"/>
          <w:highlight w:val="none"/>
          <w:lang w:val="en-US" w:eastAsia="zh-CN"/>
        </w:rPr>
        <w:t>乐</w:t>
      </w:r>
      <w:r>
        <w:rPr>
          <w:rFonts w:hint="eastAsia" w:ascii="宋体" w:hAnsi="宋体" w:eastAsia="宋体" w:cs="宋体"/>
          <w:color w:val="auto"/>
          <w:sz w:val="24"/>
          <w:szCs w:val="21"/>
          <w:highlight w:val="none"/>
        </w:rPr>
        <w:t>采云电子交易客户端下载、安装完成后，可通过账号密码或CA登录客户端进行投标文件制作。在使用</w:t>
      </w:r>
      <w:r>
        <w:rPr>
          <w:rFonts w:hint="eastAsia" w:ascii="宋体" w:hAnsi="宋体" w:cs="宋体"/>
          <w:color w:val="auto"/>
          <w:sz w:val="24"/>
          <w:szCs w:val="21"/>
          <w:highlight w:val="none"/>
          <w:lang w:val="en-US" w:eastAsia="zh-CN"/>
        </w:rPr>
        <w:t>乐</w:t>
      </w:r>
      <w:r>
        <w:rPr>
          <w:rFonts w:hint="eastAsia" w:ascii="宋体" w:hAnsi="宋体" w:eastAsia="宋体" w:cs="宋体"/>
          <w:color w:val="auto"/>
          <w:sz w:val="24"/>
          <w:szCs w:val="21"/>
          <w:highlight w:val="none"/>
        </w:rPr>
        <w:t>采云投标客户端时，建议使用WIN7及以上操作系统。</w:t>
      </w:r>
    </w:p>
    <w:p w14:paraId="13305D2E">
      <w:pPr>
        <w:keepNext w:val="0"/>
        <w:keepLines w:val="0"/>
        <w:pageBreakBefore w:val="0"/>
        <w:kinsoku/>
        <w:overflowPunct/>
        <w:topLinePunct w:val="0"/>
        <w:autoSpaceDE w:val="0"/>
        <w:autoSpaceDN w:val="0"/>
        <w:bidi w:val="0"/>
        <w:snapToGrid/>
        <w:spacing w:line="440" w:lineRule="exact"/>
        <w:ind w:firstLine="480" w:firstLineChars="200"/>
        <w:textAlignment w:val="bottom"/>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注：供应商先要申领CA，取得CA后需要在</w:t>
      </w:r>
      <w:r>
        <w:rPr>
          <w:rFonts w:hint="eastAsia" w:ascii="宋体" w:hAnsi="宋体" w:cs="宋体"/>
          <w:color w:val="auto"/>
          <w:sz w:val="24"/>
          <w:szCs w:val="21"/>
          <w:highlight w:val="none"/>
          <w:lang w:val="en-US" w:eastAsia="zh-CN"/>
        </w:rPr>
        <w:t>乐</w:t>
      </w:r>
      <w:r>
        <w:rPr>
          <w:rFonts w:hint="eastAsia" w:ascii="宋体" w:hAnsi="宋体" w:eastAsia="宋体" w:cs="宋体"/>
          <w:color w:val="auto"/>
          <w:sz w:val="24"/>
          <w:szCs w:val="21"/>
          <w:highlight w:val="none"/>
        </w:rPr>
        <w:t>采云平台进行绑定，CA相关操作可参考《CA</w:t>
      </w:r>
      <w:r>
        <w:rPr>
          <w:rFonts w:hint="eastAsia" w:ascii="宋体" w:hAnsi="宋体" w:eastAsia="宋体" w:cs="宋体"/>
          <w:color w:val="auto"/>
          <w:sz w:val="24"/>
          <w:szCs w:val="21"/>
          <w:highlight w:val="none"/>
          <w:lang w:eastAsia="zh-CN"/>
        </w:rPr>
        <w:t>管理学习专题</w:t>
      </w:r>
      <w:r>
        <w:rPr>
          <w:rFonts w:hint="eastAsia" w:ascii="宋体" w:hAnsi="宋体" w:eastAsia="宋体" w:cs="宋体"/>
          <w:color w:val="auto"/>
          <w:sz w:val="24"/>
          <w:szCs w:val="21"/>
          <w:highlight w:val="none"/>
        </w:rPr>
        <w:t>》。完成CA数字证书办理在资料齐全的情况下预计7个工作日左右，建议供应商获取招标文件后立即办理。</w:t>
      </w:r>
    </w:p>
    <w:p w14:paraId="1A8F7773">
      <w:pPr>
        <w:keepNext w:val="0"/>
        <w:keepLines w:val="0"/>
        <w:pageBreakBefore w:val="0"/>
        <w:widowControl w:val="0"/>
        <w:numPr>
          <w:ilvl w:val="0"/>
          <w:numId w:val="0"/>
        </w:numPr>
        <w:kinsoku/>
        <w:wordWrap/>
        <w:overflowPunct/>
        <w:topLinePunct w:val="0"/>
        <w:autoSpaceDE/>
        <w:autoSpaceDN/>
        <w:bidi w:val="0"/>
        <w:adjustRightInd w:val="0"/>
        <w:snapToGrid/>
        <w:spacing w:line="440" w:lineRule="exact"/>
        <w:ind w:leftChars="200"/>
        <w:textAlignment w:val="auto"/>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《CA</w:t>
      </w:r>
      <w:r>
        <w:rPr>
          <w:rFonts w:hint="eastAsia" w:ascii="宋体" w:hAnsi="宋体" w:eastAsia="宋体" w:cs="宋体"/>
          <w:color w:val="auto"/>
          <w:sz w:val="24"/>
          <w:szCs w:val="21"/>
          <w:highlight w:val="none"/>
          <w:lang w:eastAsia="zh-CN"/>
        </w:rPr>
        <w:t>管理学习专题</w:t>
      </w:r>
      <w:r>
        <w:rPr>
          <w:rFonts w:hint="eastAsia" w:ascii="宋体" w:hAnsi="宋体" w:eastAsia="宋体" w:cs="宋体"/>
          <w:color w:val="auto"/>
          <w:sz w:val="24"/>
          <w:szCs w:val="21"/>
          <w:highlight w:val="none"/>
        </w:rPr>
        <w:t>》：</w:t>
      </w:r>
    </w:p>
    <w:p w14:paraId="26C6DFD3">
      <w:pPr>
        <w:keepNext w:val="0"/>
        <w:keepLines w:val="0"/>
        <w:pageBreakBefore w:val="0"/>
        <w:widowControl w:val="0"/>
        <w:numPr>
          <w:ilvl w:val="0"/>
          <w:numId w:val="0"/>
        </w:numPr>
        <w:kinsoku/>
        <w:wordWrap/>
        <w:overflowPunct/>
        <w:topLinePunct w:val="0"/>
        <w:autoSpaceDE/>
        <w:autoSpaceDN/>
        <w:bidi w:val="0"/>
        <w:adjustRightInd w:val="0"/>
        <w:snapToGrid/>
        <w:spacing w:line="440" w:lineRule="exact"/>
        <w:ind w:leftChars="200"/>
        <w:textAlignment w:val="auto"/>
        <w:rPr>
          <w:rFonts w:hint="eastAsia" w:ascii="宋体" w:hAnsi="宋体" w:eastAsia="宋体" w:cs="宋体"/>
          <w:color w:val="auto"/>
          <w:sz w:val="24"/>
          <w:szCs w:val="21"/>
          <w:highlight w:val="none"/>
          <w:lang w:val="en-US" w:eastAsia="zh-CN"/>
        </w:rPr>
      </w:pPr>
      <w:r>
        <w:rPr>
          <w:rFonts w:hint="eastAsia" w:ascii="宋体" w:hAnsi="宋体" w:eastAsia="宋体" w:cs="宋体"/>
          <w:color w:val="auto"/>
          <w:sz w:val="24"/>
          <w:szCs w:val="21"/>
          <w:highlight w:val="none"/>
        </w:rPr>
        <w:t>https://edu.zcygov.cn/luban/ca?utm=web-government-front.380aac0a.0.0.fc2b6aa0b6e211ebbdb0dd007730dd44</w:t>
      </w:r>
    </w:p>
    <w:p w14:paraId="7F777F1E">
      <w:pPr>
        <w:keepNext w:val="0"/>
        <w:keepLines w:val="0"/>
        <w:pageBreakBefore w:val="0"/>
        <w:widowControl w:val="0"/>
        <w:numPr>
          <w:ilvl w:val="0"/>
          <w:numId w:val="0"/>
        </w:numPr>
        <w:kinsoku/>
        <w:wordWrap/>
        <w:overflowPunct/>
        <w:topLinePunct w:val="0"/>
        <w:autoSpaceDE/>
        <w:autoSpaceDN/>
        <w:bidi w:val="0"/>
        <w:adjustRightInd w:val="0"/>
        <w:snapToGrid/>
        <w:spacing w:line="440" w:lineRule="exact"/>
        <w:ind w:leftChars="200"/>
        <w:textAlignment w:val="auto"/>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《CA驱动和申领流程》:</w:t>
      </w:r>
    </w:p>
    <w:p w14:paraId="555B5B90">
      <w:pPr>
        <w:keepNext w:val="0"/>
        <w:keepLines w:val="0"/>
        <w:pageBreakBefore w:val="0"/>
        <w:widowControl w:val="0"/>
        <w:numPr>
          <w:ilvl w:val="0"/>
          <w:numId w:val="0"/>
        </w:numPr>
        <w:kinsoku/>
        <w:wordWrap/>
        <w:overflowPunct/>
        <w:topLinePunct w:val="0"/>
        <w:autoSpaceDE/>
        <w:autoSpaceDN/>
        <w:bidi w:val="0"/>
        <w:adjustRightInd w:val="0"/>
        <w:snapToGrid/>
        <w:spacing w:line="440" w:lineRule="exact"/>
        <w:ind w:leftChars="200"/>
        <w:textAlignment w:val="auto"/>
        <w:rPr>
          <w:rFonts w:hint="eastAsia" w:ascii="宋体" w:hAnsi="宋体" w:eastAsia="宋体" w:cs="宋体"/>
          <w:color w:val="FF0000"/>
          <w:sz w:val="24"/>
          <w:szCs w:val="24"/>
          <w:highlight w:val="none"/>
        </w:rPr>
      </w:pPr>
      <w:r>
        <w:rPr>
          <w:rFonts w:hint="eastAsia" w:ascii="宋体" w:hAnsi="宋体" w:eastAsia="宋体" w:cs="宋体"/>
          <w:color w:val="auto"/>
          <w:sz w:val="24"/>
          <w:szCs w:val="21"/>
          <w:highlight w:val="none"/>
        </w:rPr>
        <w:fldChar w:fldCharType="begin"/>
      </w:r>
      <w:r>
        <w:rPr>
          <w:rFonts w:hint="eastAsia" w:ascii="宋体" w:hAnsi="宋体" w:eastAsia="宋体" w:cs="宋体"/>
          <w:color w:val="auto"/>
          <w:sz w:val="24"/>
          <w:szCs w:val="21"/>
          <w:highlight w:val="none"/>
        </w:rPr>
        <w:instrText xml:space="preserve"> HYPERLINK "http://zfcg.czt.zj.gov.cn/bidClientTemplate/2019-05-27/12945.html" </w:instrText>
      </w:r>
      <w:r>
        <w:rPr>
          <w:rFonts w:hint="eastAsia" w:ascii="宋体" w:hAnsi="宋体" w:eastAsia="宋体" w:cs="宋体"/>
          <w:color w:val="auto"/>
          <w:sz w:val="24"/>
          <w:szCs w:val="21"/>
          <w:highlight w:val="none"/>
        </w:rPr>
        <w:fldChar w:fldCharType="separate"/>
      </w:r>
      <w:r>
        <w:rPr>
          <w:rFonts w:hint="eastAsia" w:ascii="宋体" w:hAnsi="宋体" w:eastAsia="宋体" w:cs="宋体"/>
          <w:color w:val="auto"/>
          <w:sz w:val="24"/>
          <w:szCs w:val="21"/>
          <w:highlight w:val="none"/>
        </w:rPr>
        <w:t>http://zfcg.czt.zj.gov.cn/bidClientTemplate/2019-05-27/12945.html</w:t>
      </w:r>
      <w:r>
        <w:rPr>
          <w:rFonts w:hint="eastAsia" w:ascii="宋体" w:hAnsi="宋体" w:eastAsia="宋体" w:cs="宋体"/>
          <w:color w:val="auto"/>
          <w:sz w:val="24"/>
          <w:szCs w:val="21"/>
          <w:highlight w:val="none"/>
        </w:rPr>
        <w:fldChar w:fldCharType="end"/>
      </w:r>
    </w:p>
    <w:p w14:paraId="4B9D6B3C">
      <w:pPr>
        <w:keepNext w:val="0"/>
        <w:keepLines w:val="0"/>
        <w:pageBreakBefore w:val="0"/>
        <w:widowControl w:val="0"/>
        <w:numPr>
          <w:ilvl w:val="0"/>
          <w:numId w:val="6"/>
        </w:numPr>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投标文件制作：</w:t>
      </w:r>
    </w:p>
    <w:p w14:paraId="7286290F">
      <w:pPr>
        <w:keepNext w:val="0"/>
        <w:keepLines w:val="0"/>
        <w:pageBreakBefore w:val="0"/>
        <w:widowControl w:val="0"/>
        <w:numPr>
          <w:ilvl w:val="0"/>
          <w:numId w:val="7"/>
        </w:numPr>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b w:val="0"/>
          <w:bCs w:val="0"/>
          <w:color w:val="auto"/>
          <w:sz w:val="24"/>
          <w:szCs w:val="24"/>
          <w:highlight w:val="none"/>
        </w:rPr>
      </w:pPr>
      <w:r>
        <w:rPr>
          <w:rFonts w:hint="eastAsia" w:ascii="宋体" w:hAnsi="宋体" w:eastAsia="宋体" w:cs="宋体"/>
          <w:color w:val="auto"/>
          <w:sz w:val="24"/>
          <w:szCs w:val="24"/>
          <w:highlight w:val="none"/>
        </w:rPr>
        <w:t>应按照本项目招标文件和</w:t>
      </w:r>
      <w:r>
        <w:rPr>
          <w:rFonts w:hint="eastAsia" w:ascii="宋体" w:hAnsi="宋体" w:cs="宋体"/>
          <w:color w:val="auto"/>
          <w:sz w:val="24"/>
          <w:szCs w:val="24"/>
          <w:highlight w:val="none"/>
          <w:lang w:val="en-US" w:eastAsia="zh-CN"/>
        </w:rPr>
        <w:t>乐</w:t>
      </w:r>
      <w:r>
        <w:rPr>
          <w:rFonts w:hint="eastAsia" w:ascii="宋体" w:hAnsi="宋体" w:eastAsia="宋体" w:cs="宋体"/>
          <w:color w:val="auto"/>
          <w:sz w:val="24"/>
          <w:szCs w:val="24"/>
          <w:highlight w:val="none"/>
        </w:rPr>
        <w:t>采云平台的要求编制、加密并递交投标文件。供应商在使用系统进行投标的过程中遇到涉及平台使用的任何问题，可致电</w:t>
      </w:r>
      <w:r>
        <w:rPr>
          <w:rFonts w:hint="eastAsia" w:ascii="宋体" w:hAnsi="宋体" w:cs="宋体"/>
          <w:color w:val="auto"/>
          <w:sz w:val="24"/>
          <w:szCs w:val="24"/>
          <w:highlight w:val="none"/>
          <w:lang w:val="en-US" w:eastAsia="zh-CN"/>
        </w:rPr>
        <w:t>乐</w:t>
      </w:r>
      <w:r>
        <w:rPr>
          <w:rFonts w:hint="eastAsia" w:ascii="宋体" w:hAnsi="宋体" w:eastAsia="宋体" w:cs="宋体"/>
          <w:color w:val="auto"/>
          <w:sz w:val="24"/>
          <w:szCs w:val="24"/>
          <w:highlight w:val="none"/>
        </w:rPr>
        <w:t>采云平台技术支持热</w:t>
      </w:r>
      <w:r>
        <w:rPr>
          <w:rFonts w:hint="eastAsia" w:ascii="宋体" w:hAnsi="宋体" w:eastAsia="宋体" w:cs="宋体"/>
          <w:b w:val="0"/>
          <w:bCs w:val="0"/>
          <w:color w:val="auto"/>
          <w:sz w:val="24"/>
          <w:szCs w:val="24"/>
          <w:highlight w:val="none"/>
        </w:rPr>
        <w:t>线咨询，</w:t>
      </w:r>
      <w:r>
        <w:rPr>
          <w:rFonts w:hint="eastAsia" w:ascii="宋体" w:hAnsi="宋体" w:cs="宋体"/>
          <w:color w:val="auto"/>
          <w:sz w:val="24"/>
          <w:highlight w:val="none"/>
        </w:rPr>
        <w:t>联系方式：</w:t>
      </w:r>
      <w:r>
        <w:rPr>
          <w:rFonts w:hint="eastAsia" w:ascii="宋体" w:hAnsi="宋体" w:cs="宋体"/>
          <w:color w:val="auto"/>
          <w:sz w:val="24"/>
          <w:highlight w:val="none"/>
          <w:lang w:val="en-US" w:eastAsia="zh-CN"/>
        </w:rPr>
        <w:t>95763</w:t>
      </w:r>
      <w:r>
        <w:rPr>
          <w:rFonts w:hint="eastAsia" w:ascii="宋体" w:hAnsi="宋体" w:eastAsia="宋体" w:cs="宋体"/>
          <w:b w:val="0"/>
          <w:bCs w:val="0"/>
          <w:color w:val="auto"/>
          <w:sz w:val="24"/>
          <w:szCs w:val="24"/>
          <w:highlight w:val="none"/>
        </w:rPr>
        <w:t>。</w:t>
      </w:r>
    </w:p>
    <w:p w14:paraId="1B6C099A">
      <w:pPr>
        <w:keepNext w:val="0"/>
        <w:keepLines w:val="0"/>
        <w:pageBreakBefore w:val="0"/>
        <w:widowControl w:val="0"/>
        <w:numPr>
          <w:ilvl w:val="0"/>
          <w:numId w:val="7"/>
        </w:numPr>
        <w:kinsoku/>
        <w:wordWrap w:val="0"/>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b w:val="0"/>
          <w:bCs w:val="0"/>
          <w:color w:val="auto"/>
          <w:sz w:val="24"/>
          <w:szCs w:val="24"/>
          <w:highlight w:val="none"/>
        </w:rPr>
        <w:t>投标人通过“</w:t>
      </w:r>
      <w:r>
        <w:rPr>
          <w:rFonts w:hint="eastAsia" w:ascii="宋体" w:hAnsi="宋体" w:cs="宋体"/>
          <w:b w:val="0"/>
          <w:bCs w:val="0"/>
          <w:color w:val="auto"/>
          <w:sz w:val="24"/>
          <w:szCs w:val="24"/>
          <w:highlight w:val="none"/>
          <w:lang w:val="en-US" w:eastAsia="zh-CN"/>
        </w:rPr>
        <w:t>乐</w:t>
      </w:r>
      <w:r>
        <w:rPr>
          <w:rFonts w:hint="eastAsia" w:ascii="宋体" w:hAnsi="宋体" w:eastAsia="宋体" w:cs="宋体"/>
          <w:b w:val="0"/>
          <w:bCs w:val="0"/>
          <w:color w:val="auto"/>
          <w:sz w:val="24"/>
          <w:szCs w:val="24"/>
          <w:highlight w:val="none"/>
        </w:rPr>
        <w:t>采云”平台电子</w:t>
      </w:r>
      <w:r>
        <w:rPr>
          <w:rFonts w:hint="eastAsia" w:ascii="宋体" w:hAnsi="宋体" w:eastAsia="宋体" w:cs="宋体"/>
          <w:color w:val="auto"/>
          <w:sz w:val="24"/>
          <w:szCs w:val="24"/>
          <w:highlight w:val="none"/>
        </w:rPr>
        <w:t>投标工具制作投标文件</w:t>
      </w:r>
      <w:r>
        <w:rPr>
          <w:rFonts w:hint="eastAsia" w:ascii="宋体" w:hAnsi="宋体" w:eastAsia="宋体" w:cs="宋体"/>
          <w:color w:val="auto"/>
          <w:sz w:val="24"/>
          <w:szCs w:val="24"/>
          <w:highlight w:val="none"/>
          <w:lang w:eastAsia="zh-CN"/>
        </w:rPr>
        <w:t>。</w:t>
      </w:r>
    </w:p>
    <w:p w14:paraId="79A44A06">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《电子投标工具》：</w:t>
      </w:r>
    </w:p>
    <w:p w14:paraId="49D359A4">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fldChar w:fldCharType="begin"/>
      </w:r>
      <w:r>
        <w:rPr>
          <w:rFonts w:hint="eastAsia" w:ascii="宋体" w:hAnsi="宋体" w:eastAsia="宋体" w:cs="宋体"/>
          <w:color w:val="auto"/>
          <w:sz w:val="24"/>
          <w:szCs w:val="24"/>
          <w:highlight w:val="none"/>
          <w:lang w:eastAsia="zh-CN"/>
        </w:rPr>
        <w:instrText xml:space="preserve"> HYPERLINK "http://zfcg.czt.zj.gov.cn/bidClientTemplate/2019-09-24/12975.html" </w:instrText>
      </w:r>
      <w:r>
        <w:rPr>
          <w:rFonts w:hint="eastAsia" w:ascii="宋体" w:hAnsi="宋体" w:eastAsia="宋体" w:cs="宋体"/>
          <w:color w:val="auto"/>
          <w:sz w:val="24"/>
          <w:szCs w:val="24"/>
          <w:highlight w:val="none"/>
          <w:lang w:eastAsia="zh-CN"/>
        </w:rPr>
        <w:fldChar w:fldCharType="separate"/>
      </w:r>
      <w:r>
        <w:rPr>
          <w:rFonts w:hint="eastAsia" w:ascii="宋体" w:hAnsi="宋体" w:eastAsia="宋体" w:cs="宋体"/>
          <w:color w:val="auto"/>
          <w:sz w:val="24"/>
          <w:szCs w:val="24"/>
          <w:highlight w:val="none"/>
          <w:lang w:eastAsia="zh-CN"/>
        </w:rPr>
        <w:t>http://zfcg.czt.zj.gov.cn/bidClientTemplate/2019-09-24/12975.html</w:t>
      </w:r>
      <w:r>
        <w:rPr>
          <w:rFonts w:hint="eastAsia" w:ascii="宋体" w:hAnsi="宋体" w:eastAsia="宋体" w:cs="宋体"/>
          <w:color w:val="auto"/>
          <w:sz w:val="24"/>
          <w:szCs w:val="24"/>
          <w:highlight w:val="none"/>
          <w:lang w:eastAsia="zh-CN"/>
        </w:rPr>
        <w:fldChar w:fldCharType="end"/>
      </w:r>
    </w:p>
    <w:p w14:paraId="420D22C6">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jc w:val="left"/>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《供应商-政府采购项目电子交易操作指南》：</w:t>
      </w:r>
      <w:r>
        <w:rPr>
          <w:rFonts w:hint="eastAsia" w:ascii="宋体" w:hAnsi="宋体" w:eastAsia="宋体" w:cs="宋体"/>
          <w:color w:val="auto"/>
          <w:sz w:val="24"/>
          <w:szCs w:val="24"/>
          <w:highlight w:val="none"/>
          <w:lang w:val="en-US" w:eastAsia="zh-CN"/>
        </w:rPr>
        <w:t>(需登录账号后查看)</w:t>
      </w:r>
    </w:p>
    <w:p w14:paraId="393E0845">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fldChar w:fldCharType="begin"/>
      </w:r>
      <w:r>
        <w:rPr>
          <w:rFonts w:hint="eastAsia" w:ascii="宋体" w:hAnsi="宋体" w:eastAsia="宋体" w:cs="宋体"/>
          <w:color w:val="auto"/>
          <w:sz w:val="24"/>
          <w:szCs w:val="24"/>
          <w:highlight w:val="none"/>
          <w:lang w:eastAsia="zh-CN"/>
        </w:rPr>
        <w:instrText xml:space="preserve"> HYPERLINK "https://service.zcygov.cn/#/knowledges/tree?tag=AG1DtGwBFdiHxlNdhY0r" </w:instrText>
      </w:r>
      <w:r>
        <w:rPr>
          <w:rFonts w:hint="eastAsia" w:ascii="宋体" w:hAnsi="宋体" w:eastAsia="宋体" w:cs="宋体"/>
          <w:color w:val="auto"/>
          <w:sz w:val="24"/>
          <w:szCs w:val="24"/>
          <w:highlight w:val="none"/>
          <w:lang w:eastAsia="zh-CN"/>
        </w:rPr>
        <w:fldChar w:fldCharType="separate"/>
      </w:r>
      <w:r>
        <w:rPr>
          <w:rFonts w:hint="eastAsia" w:ascii="宋体" w:hAnsi="宋体" w:eastAsia="宋体" w:cs="宋体"/>
          <w:color w:val="auto"/>
          <w:sz w:val="24"/>
          <w:szCs w:val="24"/>
          <w:highlight w:val="none"/>
          <w:lang w:eastAsia="zh-CN"/>
        </w:rPr>
        <w:t>https://service.zcygov.cn/#/knowledges/tree?tag=AG1DtGwBFdiHxlNdhY0r</w:t>
      </w:r>
      <w:r>
        <w:rPr>
          <w:rFonts w:hint="eastAsia" w:ascii="宋体" w:hAnsi="宋体" w:eastAsia="宋体" w:cs="宋体"/>
          <w:color w:val="auto"/>
          <w:sz w:val="24"/>
          <w:szCs w:val="24"/>
          <w:highlight w:val="none"/>
          <w:lang w:eastAsia="zh-CN"/>
        </w:rPr>
        <w:fldChar w:fldCharType="end"/>
      </w:r>
    </w:p>
    <w:p w14:paraId="17714084">
      <w:pPr>
        <w:keepNext w:val="0"/>
        <w:keepLines w:val="0"/>
        <w:pageBreakBefore w:val="0"/>
        <w:kinsoku/>
        <w:overflowPunct/>
        <w:topLinePunct w:val="0"/>
        <w:autoSpaceDE w:val="0"/>
        <w:autoSpaceDN w:val="0"/>
        <w:bidi w:val="0"/>
        <w:snapToGrid/>
        <w:spacing w:line="440" w:lineRule="exact"/>
        <w:ind w:firstLine="480" w:firstLineChars="200"/>
        <w:textAlignment w:val="bottom"/>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lang w:val="en-US" w:eastAsia="zh-CN"/>
        </w:rPr>
        <w:t>4.供应商在法定质疑期内应一次性提出针对同一采购程序环节的质疑。否则质疑将不予受理。</w:t>
      </w:r>
      <w:bookmarkStart w:id="14" w:name="B31_其他事项"/>
    </w:p>
    <w:bookmarkEnd w:id="14"/>
    <w:p w14:paraId="7C6FD1B1">
      <w:pPr>
        <w:keepNext w:val="0"/>
        <w:keepLines w:val="0"/>
        <w:pageBreakBefore w:val="0"/>
        <w:kinsoku/>
        <w:overflowPunct/>
        <w:topLinePunct w:val="0"/>
        <w:autoSpaceDE w:val="0"/>
        <w:autoSpaceDN w:val="0"/>
        <w:bidi w:val="0"/>
        <w:snapToGrid/>
        <w:spacing w:line="440" w:lineRule="exact"/>
        <w:ind w:firstLine="480" w:firstLineChars="200"/>
        <w:textAlignment w:val="bottom"/>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lang w:val="en-US" w:eastAsia="zh-CN"/>
        </w:rPr>
        <w:t>5.</w:t>
      </w:r>
      <w:r>
        <w:rPr>
          <w:rFonts w:hint="eastAsia" w:ascii="宋体" w:hAnsi="宋体" w:eastAsia="宋体" w:cs="宋体"/>
          <w:color w:val="auto"/>
          <w:sz w:val="24"/>
          <w:szCs w:val="21"/>
          <w:highlight w:val="none"/>
        </w:rPr>
        <w:t>投标人可指派授权代表递交备份文件，授权代表递交备份文件需携带法定代表人授权书原件，于投标截止时间前到达开标地点递交。</w:t>
      </w:r>
    </w:p>
    <w:p w14:paraId="1737DC0A">
      <w:pPr>
        <w:keepNext w:val="0"/>
        <w:keepLines w:val="0"/>
        <w:pageBreakBefore w:val="0"/>
        <w:widowControl w:val="0"/>
        <w:numPr>
          <w:ilvl w:val="0"/>
          <w:numId w:val="0"/>
        </w:numPr>
        <w:kinsoku/>
        <w:wordWrap/>
        <w:overflowPunct/>
        <w:topLinePunct w:val="0"/>
        <w:autoSpaceDE/>
        <w:autoSpaceDN/>
        <w:bidi w:val="0"/>
        <w:adjustRightInd w:val="0"/>
        <w:snapToGrid/>
        <w:spacing w:line="440" w:lineRule="exact"/>
        <w:ind w:left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特别提醒</w:t>
      </w:r>
    </w:p>
    <w:p w14:paraId="722B39F3">
      <w:pPr>
        <w:keepNext w:val="0"/>
        <w:keepLines w:val="0"/>
        <w:pageBreakBefore w:val="0"/>
        <w:widowControl w:val="0"/>
        <w:numPr>
          <w:ilvl w:val="0"/>
          <w:numId w:val="8"/>
        </w:numPr>
        <w:kinsoku/>
        <w:wordWrap w:val="0"/>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单位负责人为同一人或者存在直接控股、管理关系的不同供应商，不得参加同一合同项下的</w:t>
      </w:r>
      <w:r>
        <w:rPr>
          <w:rFonts w:hint="eastAsia" w:ascii="宋体" w:hAnsi="宋体" w:eastAsia="宋体" w:cs="宋体"/>
          <w:color w:val="auto"/>
          <w:sz w:val="24"/>
          <w:szCs w:val="24"/>
          <w:highlight w:val="none"/>
          <w:lang w:val="en-US" w:eastAsia="zh-CN"/>
        </w:rPr>
        <w:t>村级</w:t>
      </w:r>
      <w:r>
        <w:rPr>
          <w:rFonts w:hint="eastAsia" w:ascii="宋体" w:hAnsi="宋体" w:eastAsia="宋体" w:cs="宋体"/>
          <w:color w:val="auto"/>
          <w:sz w:val="24"/>
          <w:szCs w:val="24"/>
          <w:highlight w:val="none"/>
        </w:rPr>
        <w:t>采购活动。</w:t>
      </w:r>
    </w:p>
    <w:p w14:paraId="0F15ABB5">
      <w:pPr>
        <w:keepNext w:val="0"/>
        <w:keepLines w:val="0"/>
        <w:pageBreakBefore w:val="0"/>
        <w:widowControl w:val="0"/>
        <w:numPr>
          <w:ilvl w:val="0"/>
          <w:numId w:val="8"/>
        </w:numPr>
        <w:kinsoku/>
        <w:wordWrap w:val="0"/>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b/>
          <w:sz w:val="24"/>
          <w:szCs w:val="24"/>
          <w:highlight w:val="none"/>
          <w:lang w:eastAsia="zh-CN"/>
        </w:rPr>
      </w:pPr>
      <w:r>
        <w:rPr>
          <w:rFonts w:hint="eastAsia" w:ascii="宋体" w:hAnsi="宋体" w:eastAsia="宋体" w:cs="宋体"/>
          <w:color w:val="auto"/>
          <w:sz w:val="24"/>
          <w:szCs w:val="24"/>
          <w:highlight w:val="none"/>
        </w:rPr>
        <w:t>除单一来源采购项目外，为采购项目提供整体设计、规范编制或者项目管理、监理、检测等服务的供应商，不得再参加该采购项目的其他采购活动。</w:t>
      </w:r>
    </w:p>
    <w:p w14:paraId="42775411">
      <w:pPr>
        <w:keepNext w:val="0"/>
        <w:keepLines w:val="0"/>
        <w:pageBreakBefore w:val="0"/>
        <w:widowControl w:val="0"/>
        <w:kinsoku/>
        <w:wordWrap/>
        <w:overflowPunct/>
        <w:topLinePunct w:val="0"/>
        <w:autoSpaceDE/>
        <w:autoSpaceDN/>
        <w:bidi w:val="0"/>
        <w:adjustRightInd w:val="0"/>
        <w:snapToGrid/>
        <w:spacing w:line="440" w:lineRule="exact"/>
        <w:ind w:firstLine="482"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b/>
          <w:sz w:val="24"/>
          <w:szCs w:val="24"/>
          <w:highlight w:val="none"/>
          <w:lang w:eastAsia="zh-CN"/>
        </w:rPr>
        <w:t>七</w:t>
      </w:r>
      <w:r>
        <w:rPr>
          <w:rFonts w:hint="eastAsia" w:ascii="宋体" w:hAnsi="宋体" w:eastAsia="宋体" w:cs="宋体"/>
          <w:b/>
          <w:sz w:val="24"/>
          <w:szCs w:val="24"/>
          <w:highlight w:val="none"/>
        </w:rPr>
        <w:t>、投标截止时间及要</w:t>
      </w:r>
      <w:r>
        <w:rPr>
          <w:rFonts w:hint="eastAsia" w:ascii="宋体" w:hAnsi="宋体" w:eastAsia="宋体" w:cs="宋体"/>
          <w:b/>
          <w:color w:val="auto"/>
          <w:sz w:val="24"/>
          <w:szCs w:val="24"/>
          <w:highlight w:val="none"/>
        </w:rPr>
        <w:t>求：</w:t>
      </w:r>
      <w:r>
        <w:rPr>
          <w:rFonts w:hint="eastAsia" w:ascii="宋体" w:hAnsi="宋体" w:eastAsia="宋体" w:cs="宋体"/>
          <w:color w:val="auto"/>
          <w:sz w:val="24"/>
          <w:szCs w:val="24"/>
          <w:highlight w:val="none"/>
          <w:u w:val="single"/>
        </w:rPr>
        <w:t xml:space="preserve"> 202</w:t>
      </w:r>
      <w:r>
        <w:rPr>
          <w:rFonts w:hint="eastAsia" w:ascii="宋体" w:hAnsi="宋体" w:cs="宋体"/>
          <w:color w:val="auto"/>
          <w:sz w:val="24"/>
          <w:szCs w:val="24"/>
          <w:highlight w:val="none"/>
          <w:u w:val="single"/>
          <w:lang w:val="en-US" w:eastAsia="zh-CN"/>
        </w:rPr>
        <w:t>5</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04</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23</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日 上午</w:t>
      </w: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9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时</w:t>
      </w:r>
      <w:r>
        <w:rPr>
          <w:rFonts w:hint="eastAsia" w:ascii="宋体" w:hAnsi="宋体" w:cs="宋体"/>
          <w:color w:val="auto"/>
          <w:sz w:val="24"/>
          <w:szCs w:val="24"/>
          <w:highlight w:val="none"/>
          <w:u w:val="single"/>
          <w:lang w:val="en-US" w:eastAsia="zh-CN"/>
        </w:rPr>
        <w:t xml:space="preserve"> 30  </w:t>
      </w:r>
      <w:r>
        <w:rPr>
          <w:rFonts w:hint="eastAsia" w:ascii="宋体" w:hAnsi="宋体" w:eastAsia="宋体" w:cs="宋体"/>
          <w:color w:val="auto"/>
          <w:sz w:val="24"/>
          <w:szCs w:val="24"/>
          <w:highlight w:val="none"/>
        </w:rPr>
        <w:t>分整</w:t>
      </w:r>
      <w:r>
        <w:rPr>
          <w:rFonts w:hint="eastAsia" w:ascii="宋体" w:hAnsi="宋体" w:eastAsia="宋体" w:cs="宋体"/>
          <w:bCs/>
          <w:color w:val="auto"/>
          <w:kern w:val="0"/>
          <w:sz w:val="24"/>
          <w:szCs w:val="24"/>
          <w:highlight w:val="none"/>
        </w:rPr>
        <w:t>之前将电子投标文件上传到“</w:t>
      </w:r>
      <w:r>
        <w:rPr>
          <w:rFonts w:hint="eastAsia" w:ascii="宋体" w:hAnsi="宋体" w:cs="宋体"/>
          <w:bCs/>
          <w:color w:val="auto"/>
          <w:kern w:val="0"/>
          <w:sz w:val="24"/>
          <w:szCs w:val="24"/>
          <w:highlight w:val="none"/>
          <w:lang w:val="en-US" w:eastAsia="zh-CN"/>
        </w:rPr>
        <w:t>乐</w:t>
      </w:r>
      <w:r>
        <w:rPr>
          <w:rFonts w:hint="eastAsia" w:ascii="宋体" w:hAnsi="宋体" w:eastAsia="宋体" w:cs="宋体"/>
          <w:bCs/>
          <w:color w:val="auto"/>
          <w:kern w:val="0"/>
          <w:sz w:val="24"/>
          <w:szCs w:val="24"/>
          <w:highlight w:val="none"/>
        </w:rPr>
        <w:t>采云”平台。</w:t>
      </w:r>
    </w:p>
    <w:p w14:paraId="1A100215">
      <w:pPr>
        <w:keepNext w:val="0"/>
        <w:keepLines w:val="0"/>
        <w:pageBreakBefore w:val="0"/>
        <w:widowControl w:val="0"/>
        <w:kinsoku/>
        <w:wordWrap/>
        <w:overflowPunct/>
        <w:topLinePunct w:val="0"/>
        <w:autoSpaceDE/>
        <w:autoSpaceDN/>
        <w:bidi w:val="0"/>
        <w:adjustRightInd w:val="0"/>
        <w:snapToGrid/>
        <w:spacing w:line="440" w:lineRule="exact"/>
        <w:ind w:firstLine="482"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lang w:eastAsia="zh-CN"/>
        </w:rPr>
        <w:t>八</w:t>
      </w:r>
      <w:r>
        <w:rPr>
          <w:rFonts w:hint="eastAsia" w:ascii="宋体" w:hAnsi="宋体" w:eastAsia="宋体" w:cs="宋体"/>
          <w:b/>
          <w:color w:val="auto"/>
          <w:sz w:val="24"/>
          <w:szCs w:val="24"/>
          <w:highlight w:val="none"/>
        </w:rPr>
        <w:t>、开标时间及地点：</w:t>
      </w:r>
      <w:r>
        <w:rPr>
          <w:rFonts w:hint="eastAsia" w:ascii="宋体" w:hAnsi="宋体" w:eastAsia="宋体" w:cs="宋体"/>
          <w:color w:val="auto"/>
          <w:sz w:val="24"/>
          <w:szCs w:val="24"/>
          <w:highlight w:val="none"/>
          <w:u w:val="single"/>
        </w:rPr>
        <w:t xml:space="preserve"> </w:t>
      </w:r>
      <w:bookmarkStart w:id="15" w:name="B30_开标地点"/>
      <w:r>
        <w:rPr>
          <w:rFonts w:hint="eastAsia" w:ascii="宋体" w:hAnsi="宋体" w:eastAsia="宋体" w:cs="宋体"/>
          <w:color w:val="auto"/>
          <w:sz w:val="24"/>
          <w:szCs w:val="24"/>
          <w:highlight w:val="none"/>
          <w:u w:val="single"/>
        </w:rPr>
        <w:t>202</w:t>
      </w:r>
      <w:r>
        <w:rPr>
          <w:rFonts w:hint="eastAsia" w:ascii="宋体" w:hAnsi="宋体" w:cs="宋体"/>
          <w:color w:val="auto"/>
          <w:sz w:val="24"/>
          <w:szCs w:val="24"/>
          <w:highlight w:val="none"/>
          <w:u w:val="single"/>
          <w:lang w:val="en-US" w:eastAsia="zh-CN"/>
        </w:rPr>
        <w:t>5</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04</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23</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日 上午</w:t>
      </w: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9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时</w:t>
      </w:r>
      <w:r>
        <w:rPr>
          <w:rFonts w:hint="eastAsia" w:ascii="宋体" w:hAnsi="宋体" w:cs="宋体"/>
          <w:color w:val="auto"/>
          <w:sz w:val="24"/>
          <w:szCs w:val="24"/>
          <w:highlight w:val="none"/>
          <w:u w:val="single"/>
          <w:lang w:val="en-US" w:eastAsia="zh-CN"/>
        </w:rPr>
        <w:t xml:space="preserve">  30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分整在</w:t>
      </w:r>
      <w:r>
        <w:rPr>
          <w:rFonts w:hint="eastAsia" w:ascii="宋体" w:hAnsi="宋体" w:eastAsia="宋体" w:cs="宋体"/>
          <w:color w:val="auto"/>
          <w:sz w:val="24"/>
          <w:szCs w:val="24"/>
          <w:highlight w:val="none"/>
          <w:lang w:eastAsia="zh-CN"/>
        </w:rPr>
        <w:t>绍兴市上虞区产权交易有限责任公司二楼开标室</w:t>
      </w:r>
      <w:r>
        <w:rPr>
          <w:rFonts w:hint="eastAsia" w:ascii="宋体" w:hAnsi="宋体" w:eastAsia="宋体" w:cs="宋体"/>
          <w:color w:val="auto"/>
          <w:sz w:val="24"/>
          <w:szCs w:val="24"/>
          <w:highlight w:val="none"/>
        </w:rPr>
        <w:t>。</w:t>
      </w:r>
      <w:bookmarkEnd w:id="15"/>
    </w:p>
    <w:p w14:paraId="2A31D6E8">
      <w:pPr>
        <w:keepNext w:val="0"/>
        <w:keepLines w:val="0"/>
        <w:pageBreakBefore w:val="0"/>
        <w:widowControl w:val="0"/>
        <w:numPr>
          <w:ilvl w:val="0"/>
          <w:numId w:val="0"/>
        </w:numPr>
        <w:kinsoku/>
        <w:wordWrap/>
        <w:overflowPunct/>
        <w:topLinePunct w:val="0"/>
        <w:autoSpaceDE/>
        <w:autoSpaceDN/>
        <w:bidi w:val="0"/>
        <w:adjustRightInd w:val="0"/>
        <w:snapToGrid/>
        <w:spacing w:line="440" w:lineRule="exact"/>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开标时间后30分钟内供应商可以登录“</w:t>
      </w:r>
      <w:r>
        <w:rPr>
          <w:rFonts w:hint="eastAsia" w:ascii="宋体" w:hAnsi="宋体" w:cs="宋体"/>
          <w:color w:val="auto"/>
          <w:kern w:val="2"/>
          <w:sz w:val="24"/>
          <w:szCs w:val="24"/>
          <w:highlight w:val="none"/>
          <w:lang w:val="en-US" w:eastAsia="zh-CN" w:bidi="ar-SA"/>
        </w:rPr>
        <w:t>乐</w:t>
      </w:r>
      <w:r>
        <w:rPr>
          <w:rFonts w:hint="eastAsia" w:ascii="宋体" w:hAnsi="宋体" w:eastAsia="宋体" w:cs="宋体"/>
          <w:color w:val="auto"/>
          <w:kern w:val="2"/>
          <w:sz w:val="24"/>
          <w:szCs w:val="24"/>
          <w:highlight w:val="none"/>
          <w:lang w:val="en-US" w:eastAsia="zh-CN" w:bidi="ar-SA"/>
        </w:rPr>
        <w:t>采云”平台，用“项目采购-开标评标”功能进行解密投标文件。若供应商在规定时间内解密失败，则由采购</w:t>
      </w:r>
      <w:r>
        <w:rPr>
          <w:rFonts w:hint="eastAsia" w:ascii="宋体" w:hAnsi="宋体" w:eastAsia="宋体" w:cs="宋体"/>
          <w:kern w:val="2"/>
          <w:sz w:val="24"/>
          <w:szCs w:val="24"/>
          <w:highlight w:val="none"/>
          <w:lang w:val="en-US" w:eastAsia="zh-CN" w:bidi="ar-SA"/>
        </w:rPr>
        <w:t>代理机构工作人员上传投标人提供的备份文件。备份文件（后缀名为.bfbs）须存储在U盘中，与上传的电子投标文件一致，用信封进行密封并盖章，由授权代表在投标截止时间前递交至开标地点。</w:t>
      </w:r>
      <w:r>
        <w:rPr>
          <w:rFonts w:hint="eastAsia" w:ascii="宋体" w:hAnsi="宋体" w:eastAsia="宋体" w:cs="宋体"/>
          <w:sz w:val="24"/>
          <w:szCs w:val="24"/>
          <w:highlight w:val="none"/>
        </w:rPr>
        <w:t>若电子投标文件正常解锁，则U盘退还给供应商；若解锁失败，则由采购代理机构将U盘中的备份文件上传，该U盘将由采购代理机构保存。</w:t>
      </w:r>
    </w:p>
    <w:p w14:paraId="7BC984C1">
      <w:pPr>
        <w:keepNext w:val="0"/>
        <w:keepLines w:val="0"/>
        <w:pageBreakBefore w:val="0"/>
        <w:widowControl w:val="0"/>
        <w:numPr>
          <w:ilvl w:val="0"/>
          <w:numId w:val="0"/>
        </w:numPr>
        <w:kinsoku/>
        <w:wordWrap/>
        <w:overflowPunct/>
        <w:topLinePunct w:val="0"/>
        <w:autoSpaceDE/>
        <w:autoSpaceDN/>
        <w:bidi w:val="0"/>
        <w:adjustRightInd w:val="0"/>
        <w:snapToGrid/>
        <w:spacing w:line="440" w:lineRule="exact"/>
        <w:ind w:firstLine="480" w:firstLineChars="200"/>
        <w:textAlignment w:val="auto"/>
        <w:rPr>
          <w:rFonts w:hint="eastAsia" w:ascii="宋体" w:hAnsi="宋体" w:eastAsia="宋体" w:cs="宋体"/>
          <w:bCs/>
          <w:color w:val="000000"/>
          <w:kern w:val="0"/>
          <w:sz w:val="24"/>
          <w:szCs w:val="24"/>
          <w:highlight w:val="none"/>
        </w:rPr>
      </w:pPr>
      <w:r>
        <w:rPr>
          <w:rFonts w:hint="eastAsia" w:ascii="宋体" w:hAnsi="宋体" w:eastAsia="宋体" w:cs="宋体"/>
          <w:color w:val="auto"/>
          <w:sz w:val="24"/>
          <w:szCs w:val="24"/>
          <w:highlight w:val="none"/>
        </w:rPr>
        <w:t>本次开标</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不</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提供现场视频。</w:t>
      </w:r>
    </w:p>
    <w:p w14:paraId="63E0F353">
      <w:pPr>
        <w:keepNext w:val="0"/>
        <w:keepLines w:val="0"/>
        <w:pageBreakBefore w:val="0"/>
        <w:widowControl w:val="0"/>
        <w:numPr>
          <w:ilvl w:val="0"/>
          <w:numId w:val="0"/>
        </w:numPr>
        <w:kinsoku/>
        <w:wordWrap/>
        <w:overflowPunct/>
        <w:topLinePunct w:val="0"/>
        <w:autoSpaceDE/>
        <w:autoSpaceDN/>
        <w:bidi w:val="0"/>
        <w:adjustRightInd w:val="0"/>
        <w:snapToGrid/>
        <w:spacing w:line="440" w:lineRule="exact"/>
        <w:ind w:firstLine="482" w:firstLineChars="200"/>
        <w:textAlignment w:val="auto"/>
        <w:rPr>
          <w:rFonts w:hint="eastAsia" w:ascii="宋体" w:hAnsi="宋体" w:eastAsia="宋体" w:cs="宋体"/>
          <w:sz w:val="24"/>
          <w:szCs w:val="24"/>
          <w:highlight w:val="none"/>
        </w:rPr>
      </w:pPr>
      <w:r>
        <w:rPr>
          <w:rFonts w:hint="eastAsia" w:ascii="宋体" w:hAnsi="宋体" w:cs="宋体"/>
          <w:b/>
          <w:bCs/>
          <w:sz w:val="24"/>
          <w:szCs w:val="24"/>
          <w:highlight w:val="none"/>
          <w:lang w:val="en-US" w:eastAsia="zh-CN"/>
        </w:rPr>
        <w:t>九</w:t>
      </w:r>
      <w:r>
        <w:rPr>
          <w:rFonts w:hint="eastAsia" w:ascii="宋体" w:hAnsi="宋体" w:eastAsia="宋体" w:cs="宋体"/>
          <w:b/>
          <w:bCs/>
          <w:sz w:val="24"/>
          <w:szCs w:val="24"/>
          <w:highlight w:val="none"/>
        </w:rPr>
        <w:t>．公告期限：</w:t>
      </w:r>
      <w:r>
        <w:rPr>
          <w:rFonts w:hint="eastAsia" w:ascii="宋体" w:hAnsi="宋体" w:eastAsia="宋体" w:cs="宋体"/>
          <w:sz w:val="24"/>
          <w:szCs w:val="24"/>
          <w:highlight w:val="none"/>
        </w:rPr>
        <w:t>5个工作日</w:t>
      </w:r>
    </w:p>
    <w:p w14:paraId="32BD17D0">
      <w:pPr>
        <w:keepNext w:val="0"/>
        <w:keepLines w:val="0"/>
        <w:pageBreakBefore w:val="0"/>
        <w:widowControl w:val="0"/>
        <w:kinsoku/>
        <w:wordWrap/>
        <w:overflowPunct/>
        <w:topLinePunct w:val="0"/>
        <w:autoSpaceDE/>
        <w:autoSpaceDN/>
        <w:bidi w:val="0"/>
        <w:adjustRightInd w:val="0"/>
        <w:snapToGrid/>
        <w:spacing w:line="440" w:lineRule="exact"/>
        <w:ind w:firstLine="482" w:firstLineChars="200"/>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十．联系方式：</w:t>
      </w:r>
    </w:p>
    <w:p w14:paraId="21B5BBB7">
      <w:pPr>
        <w:adjustRightInd w:val="0"/>
        <w:snapToGrid w:val="0"/>
        <w:spacing w:line="380" w:lineRule="exact"/>
        <w:ind w:firstLine="480" w:firstLineChars="200"/>
        <w:jc w:val="lef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1、采购代理机构名称：</w:t>
      </w:r>
      <w:r>
        <w:rPr>
          <w:rFonts w:hint="eastAsia" w:ascii="宋体" w:hAnsi="宋体" w:eastAsia="宋体" w:cs="宋体"/>
          <w:kern w:val="0"/>
          <w:sz w:val="24"/>
          <w:szCs w:val="24"/>
          <w:lang w:val="en-US" w:eastAsia="zh-CN" w:bidi="ar"/>
        </w:rPr>
        <w:t>浙江广正建设项目管理有限公司</w:t>
      </w:r>
    </w:p>
    <w:p w14:paraId="581182EC">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rPr>
        <w:t>联系人：</w:t>
      </w:r>
      <w:r>
        <w:rPr>
          <w:rFonts w:hint="eastAsia" w:ascii="宋体" w:hAnsi="宋体" w:cs="宋体"/>
          <w:sz w:val="24"/>
          <w:highlight w:val="none"/>
          <w:lang w:val="en-US" w:eastAsia="zh-CN"/>
        </w:rPr>
        <w:t>王女士</w:t>
      </w:r>
    </w:p>
    <w:p w14:paraId="109ABB35">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宋体" w:hAnsi="宋体" w:cs="宋体"/>
          <w:sz w:val="24"/>
          <w:highlight w:val="none"/>
          <w:lang w:val="en-US" w:eastAsia="zh-CN"/>
        </w:rPr>
      </w:pPr>
      <w:r>
        <w:rPr>
          <w:rFonts w:hint="eastAsia" w:ascii="宋体" w:hAnsi="宋体" w:eastAsia="宋体" w:cs="宋体"/>
          <w:sz w:val="24"/>
          <w:szCs w:val="24"/>
          <w:highlight w:val="none"/>
        </w:rPr>
        <w:t>联系电话：</w:t>
      </w:r>
      <w:r>
        <w:rPr>
          <w:rFonts w:hint="eastAsia" w:ascii="宋体" w:hAnsi="宋体" w:cs="宋体"/>
          <w:sz w:val="24"/>
          <w:highlight w:val="none"/>
          <w:lang w:val="en-US" w:eastAsia="zh-CN"/>
        </w:rPr>
        <w:t>13777081941</w:t>
      </w:r>
    </w:p>
    <w:p w14:paraId="62B3DDDC">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地址：</w:t>
      </w:r>
      <w:r>
        <w:rPr>
          <w:rFonts w:hint="eastAsia" w:ascii="宋体" w:hAnsi="宋体" w:eastAsia="宋体" w:cs="宋体"/>
          <w:kern w:val="0"/>
          <w:sz w:val="24"/>
          <w:szCs w:val="24"/>
          <w:lang w:val="en-US" w:eastAsia="zh-CN" w:bidi="ar"/>
        </w:rPr>
        <w:t>上虞区百官街道颖泰大厦7楼</w:t>
      </w:r>
    </w:p>
    <w:p w14:paraId="39BE33A4">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rPr>
        <w:t>2、采购人名称：</w:t>
      </w:r>
      <w:r>
        <w:rPr>
          <w:rFonts w:hint="eastAsia" w:ascii="宋体" w:hAnsi="宋体" w:eastAsia="宋体" w:cs="宋体"/>
          <w:sz w:val="24"/>
          <w:szCs w:val="24"/>
          <w:highlight w:val="none"/>
          <w:lang w:val="en-US" w:eastAsia="zh-CN"/>
        </w:rPr>
        <w:t xml:space="preserve"> 绍兴市上虞区曹娥街道蒿东村股份经济合作社  </w:t>
      </w:r>
    </w:p>
    <w:p w14:paraId="5FE924BB">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 xml:space="preserve">项目联系人：陈先生  </w:t>
      </w:r>
      <w:r>
        <w:rPr>
          <w:rFonts w:hint="eastAsia" w:ascii="宋体" w:hAnsi="宋体" w:cs="宋体"/>
          <w:sz w:val="24"/>
          <w:szCs w:val="24"/>
          <w:highlight w:val="none"/>
          <w:lang w:val="en-US" w:eastAsia="zh-CN"/>
        </w:rPr>
        <w:t xml:space="preserve"> </w:t>
      </w:r>
    </w:p>
    <w:p w14:paraId="5E4987E6">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项目联系方式：13906754688</w:t>
      </w:r>
    </w:p>
    <w:p w14:paraId="3F31C507">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宋体" w:hAnsi="宋体" w:eastAsia="宋体" w:cs="宋体"/>
          <w:sz w:val="24"/>
          <w:szCs w:val="24"/>
          <w:highlight w:val="none"/>
        </w:rPr>
      </w:pPr>
    </w:p>
    <w:p w14:paraId="1AB0C88B">
      <w:pPr>
        <w:adjustRightInd/>
        <w:spacing w:line="360" w:lineRule="auto"/>
        <w:jc w:val="center"/>
        <w:outlineLvl w:val="0"/>
        <w:rPr>
          <w:rFonts w:hint="eastAsia" w:ascii="宋体" w:hAnsi="宋体" w:eastAsia="宋体" w:cs="宋体"/>
          <w:b/>
          <w:sz w:val="36"/>
          <w:szCs w:val="20"/>
          <w:highlight w:val="none"/>
        </w:rPr>
      </w:pPr>
      <w:r>
        <w:rPr>
          <w:rFonts w:hint="eastAsia" w:ascii="宋体" w:hAnsi="宋体" w:eastAsia="宋体" w:cs="宋体"/>
          <w:b/>
          <w:sz w:val="36"/>
          <w:szCs w:val="20"/>
          <w:highlight w:val="none"/>
        </w:rPr>
        <w:br w:type="page"/>
      </w:r>
      <w:bookmarkStart w:id="16" w:name="_Toc10025"/>
      <w:bookmarkStart w:id="17" w:name="_Toc1242"/>
      <w:bookmarkStart w:id="18" w:name="_Toc25944"/>
      <w:r>
        <w:rPr>
          <w:rFonts w:hint="eastAsia" w:ascii="宋体" w:hAnsi="宋体" w:eastAsia="宋体" w:cs="宋体"/>
          <w:b/>
          <w:sz w:val="36"/>
          <w:szCs w:val="20"/>
          <w:highlight w:val="none"/>
        </w:rPr>
        <w:t>第二部分</w:t>
      </w:r>
      <w:bookmarkEnd w:id="7"/>
      <w:bookmarkEnd w:id="8"/>
      <w:r>
        <w:rPr>
          <w:rFonts w:hint="eastAsia" w:ascii="宋体" w:hAnsi="宋体" w:eastAsia="宋体" w:cs="宋体"/>
          <w:b/>
          <w:sz w:val="36"/>
          <w:szCs w:val="20"/>
          <w:highlight w:val="none"/>
        </w:rPr>
        <w:t xml:space="preserve"> </w:t>
      </w:r>
      <w:r>
        <w:rPr>
          <w:rFonts w:hint="eastAsia" w:ascii="宋体" w:hAnsi="宋体" w:eastAsia="宋体" w:cs="宋体"/>
          <w:b/>
          <w:sz w:val="36"/>
          <w:szCs w:val="20"/>
          <w:highlight w:val="none"/>
          <w:lang w:val="en-US" w:eastAsia="zh-CN"/>
        </w:rPr>
        <w:t>投标</w:t>
      </w:r>
      <w:r>
        <w:rPr>
          <w:rFonts w:hint="eastAsia" w:ascii="宋体" w:hAnsi="宋体" w:eastAsia="宋体" w:cs="宋体"/>
          <w:b/>
          <w:sz w:val="36"/>
          <w:szCs w:val="20"/>
          <w:highlight w:val="none"/>
        </w:rPr>
        <w:t>须知</w:t>
      </w:r>
      <w:bookmarkEnd w:id="16"/>
      <w:bookmarkEnd w:id="17"/>
      <w:bookmarkEnd w:id="18"/>
    </w:p>
    <w:p w14:paraId="2DFA4ECE">
      <w:pPr>
        <w:keepNext w:val="0"/>
        <w:keepLines w:val="0"/>
        <w:pageBreakBefore w:val="0"/>
        <w:widowControl/>
        <w:kinsoku/>
        <w:wordWrap/>
        <w:overflowPunct/>
        <w:topLinePunct w:val="0"/>
        <w:autoSpaceDE/>
        <w:autoSpaceDN/>
        <w:bidi w:val="0"/>
        <w:adjustRightInd w:val="0"/>
        <w:snapToGrid w:val="0"/>
        <w:spacing w:line="360" w:lineRule="auto"/>
        <w:ind w:right="0" w:firstLine="0" w:firstLineChars="0"/>
        <w:jc w:val="center"/>
        <w:textAlignment w:val="auto"/>
        <w:outlineLvl w:val="1"/>
        <w:rPr>
          <w:rFonts w:hint="eastAsia" w:ascii="宋体" w:hAnsi="宋体" w:eastAsia="宋体" w:cs="宋体"/>
          <w:b/>
          <w:snapToGrid w:val="0"/>
          <w:kern w:val="0"/>
          <w:sz w:val="32"/>
          <w:szCs w:val="32"/>
          <w:highlight w:val="none"/>
        </w:rPr>
      </w:pPr>
      <w:bookmarkStart w:id="19" w:name="_Toc29959"/>
      <w:bookmarkStart w:id="20" w:name="_Toc10126"/>
      <w:r>
        <w:rPr>
          <w:rFonts w:hint="eastAsia" w:ascii="宋体" w:hAnsi="宋体" w:eastAsia="宋体" w:cs="宋体"/>
          <w:b/>
          <w:snapToGrid w:val="0"/>
          <w:kern w:val="0"/>
          <w:sz w:val="30"/>
          <w:szCs w:val="30"/>
          <w:highlight w:val="none"/>
        </w:rPr>
        <w:t>前附表</w:t>
      </w:r>
      <w:bookmarkEnd w:id="19"/>
      <w:bookmarkEnd w:id="20"/>
    </w:p>
    <w:tbl>
      <w:tblPr>
        <w:tblStyle w:val="30"/>
        <w:tblW w:w="9130"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648"/>
        <w:gridCol w:w="1800"/>
        <w:gridCol w:w="6682"/>
      </w:tblGrid>
      <w:tr w14:paraId="7FBAF42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567" w:hRule="atLeast"/>
          <w:tblHeader/>
          <w:jc w:val="center"/>
        </w:trPr>
        <w:tc>
          <w:tcPr>
            <w:tcW w:w="648" w:type="dxa"/>
            <w:noWrap w:val="0"/>
            <w:vAlign w:val="center"/>
          </w:tcPr>
          <w:p w14:paraId="50BF3376">
            <w:pPr>
              <w:snapToGrid w:val="0"/>
              <w:spacing w:line="360" w:lineRule="exact"/>
              <w:jc w:val="center"/>
              <w:rPr>
                <w:rFonts w:hint="eastAsia" w:ascii="宋体" w:hAnsi="宋体" w:eastAsia="宋体" w:cs="宋体"/>
                <w:b/>
                <w:bCs/>
                <w:snapToGrid w:val="0"/>
                <w:color w:val="auto"/>
                <w:kern w:val="0"/>
                <w:sz w:val="21"/>
                <w:szCs w:val="21"/>
                <w:highlight w:val="none"/>
              </w:rPr>
            </w:pPr>
            <w:r>
              <w:rPr>
                <w:rFonts w:hint="eastAsia" w:ascii="宋体" w:hAnsi="宋体" w:eastAsia="宋体" w:cs="宋体"/>
                <w:b/>
                <w:bCs/>
                <w:snapToGrid w:val="0"/>
                <w:color w:val="auto"/>
                <w:kern w:val="0"/>
                <w:sz w:val="21"/>
                <w:szCs w:val="21"/>
                <w:highlight w:val="none"/>
              </w:rPr>
              <w:t>序号</w:t>
            </w:r>
          </w:p>
        </w:tc>
        <w:tc>
          <w:tcPr>
            <w:tcW w:w="1800" w:type="dxa"/>
            <w:noWrap w:val="0"/>
            <w:vAlign w:val="center"/>
          </w:tcPr>
          <w:p w14:paraId="4D0C22C6">
            <w:pPr>
              <w:snapToGrid w:val="0"/>
              <w:spacing w:line="360" w:lineRule="exact"/>
              <w:jc w:val="center"/>
              <w:rPr>
                <w:rFonts w:hint="eastAsia" w:ascii="宋体" w:hAnsi="宋体" w:eastAsia="宋体" w:cs="宋体"/>
                <w:b/>
                <w:bCs/>
                <w:snapToGrid w:val="0"/>
                <w:color w:val="auto"/>
                <w:kern w:val="0"/>
                <w:sz w:val="21"/>
                <w:szCs w:val="21"/>
                <w:highlight w:val="none"/>
              </w:rPr>
            </w:pPr>
            <w:r>
              <w:rPr>
                <w:rFonts w:hint="eastAsia" w:ascii="宋体" w:hAnsi="宋体" w:eastAsia="宋体" w:cs="宋体"/>
                <w:b/>
                <w:bCs/>
                <w:snapToGrid w:val="0"/>
                <w:color w:val="auto"/>
                <w:kern w:val="0"/>
                <w:sz w:val="21"/>
                <w:szCs w:val="21"/>
                <w:highlight w:val="none"/>
              </w:rPr>
              <w:t>项目</w:t>
            </w:r>
          </w:p>
        </w:tc>
        <w:tc>
          <w:tcPr>
            <w:tcW w:w="6682" w:type="dxa"/>
            <w:noWrap w:val="0"/>
            <w:vAlign w:val="center"/>
          </w:tcPr>
          <w:p w14:paraId="26439E02">
            <w:pPr>
              <w:snapToGrid w:val="0"/>
              <w:spacing w:line="360" w:lineRule="exact"/>
              <w:jc w:val="center"/>
              <w:rPr>
                <w:rFonts w:hint="eastAsia" w:ascii="宋体" w:hAnsi="宋体" w:eastAsia="宋体" w:cs="宋体"/>
                <w:b/>
                <w:bCs/>
                <w:snapToGrid w:val="0"/>
                <w:color w:val="auto"/>
                <w:kern w:val="0"/>
                <w:sz w:val="21"/>
                <w:szCs w:val="21"/>
                <w:highlight w:val="none"/>
              </w:rPr>
            </w:pPr>
            <w:r>
              <w:rPr>
                <w:rFonts w:hint="eastAsia" w:ascii="宋体" w:hAnsi="宋体" w:eastAsia="宋体" w:cs="宋体"/>
                <w:b/>
                <w:bCs/>
                <w:snapToGrid w:val="0"/>
                <w:color w:val="auto"/>
                <w:kern w:val="0"/>
                <w:sz w:val="21"/>
                <w:szCs w:val="21"/>
                <w:highlight w:val="none"/>
              </w:rPr>
              <w:t>内容</w:t>
            </w:r>
          </w:p>
        </w:tc>
      </w:tr>
      <w:tr w14:paraId="6A75B94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noWrap w:val="0"/>
            <w:vAlign w:val="center"/>
          </w:tcPr>
          <w:p w14:paraId="006E7D19">
            <w:pPr>
              <w:snapToGrid w:val="0"/>
              <w:spacing w:line="360" w:lineRule="exact"/>
              <w:jc w:val="center"/>
              <w:rPr>
                <w:rFonts w:hint="eastAsia" w:ascii="宋体" w:hAnsi="宋体" w:eastAsia="宋体" w:cs="宋体"/>
                <w:snapToGrid w:val="0"/>
                <w:color w:val="auto"/>
                <w:kern w:val="0"/>
                <w:sz w:val="21"/>
                <w:szCs w:val="21"/>
                <w:highlight w:val="none"/>
                <w:lang w:val="en-US" w:eastAsia="zh-CN" w:bidi="ar-SA"/>
              </w:rPr>
            </w:pPr>
            <w:r>
              <w:rPr>
                <w:rFonts w:hint="eastAsia" w:ascii="宋体" w:hAnsi="宋体" w:eastAsia="宋体" w:cs="宋体"/>
                <w:snapToGrid w:val="0"/>
                <w:color w:val="auto"/>
                <w:kern w:val="0"/>
                <w:sz w:val="21"/>
                <w:szCs w:val="21"/>
                <w:highlight w:val="none"/>
              </w:rPr>
              <w:t>1</w:t>
            </w:r>
          </w:p>
        </w:tc>
        <w:tc>
          <w:tcPr>
            <w:tcW w:w="1800" w:type="dxa"/>
            <w:noWrap w:val="0"/>
            <w:vAlign w:val="center"/>
          </w:tcPr>
          <w:p w14:paraId="3A97CB53">
            <w:pPr>
              <w:snapToGrid w:val="0"/>
              <w:spacing w:line="360" w:lineRule="exact"/>
              <w:jc w:val="center"/>
              <w:rPr>
                <w:rFonts w:hint="eastAsia" w:ascii="宋体" w:hAnsi="宋体" w:eastAsia="宋体" w:cs="宋体"/>
                <w:snapToGrid w:val="0"/>
                <w:color w:val="auto"/>
                <w:kern w:val="0"/>
                <w:sz w:val="21"/>
                <w:szCs w:val="21"/>
                <w:highlight w:val="none"/>
              </w:rPr>
            </w:pPr>
            <w:r>
              <w:rPr>
                <w:rFonts w:hint="eastAsia" w:ascii="宋体" w:hAnsi="宋体" w:eastAsia="宋体" w:cs="宋体"/>
                <w:snapToGrid w:val="0"/>
                <w:color w:val="auto"/>
                <w:kern w:val="0"/>
                <w:sz w:val="21"/>
                <w:szCs w:val="21"/>
                <w:highlight w:val="none"/>
              </w:rPr>
              <w:t>项目名称</w:t>
            </w:r>
          </w:p>
        </w:tc>
        <w:tc>
          <w:tcPr>
            <w:tcW w:w="6682" w:type="dxa"/>
            <w:noWrap w:val="0"/>
            <w:vAlign w:val="center"/>
          </w:tcPr>
          <w:p w14:paraId="34EEFB1A">
            <w:pPr>
              <w:snapToGrid w:val="0"/>
              <w:spacing w:line="360" w:lineRule="exact"/>
              <w:ind w:firstLine="420" w:firstLineChars="200"/>
              <w:rPr>
                <w:rFonts w:hint="eastAsia" w:ascii="宋体" w:hAnsi="宋体" w:eastAsia="宋体" w:cs="宋体"/>
                <w:snapToGrid w:val="0"/>
                <w:color w:val="auto"/>
                <w:kern w:val="0"/>
                <w:sz w:val="21"/>
                <w:szCs w:val="21"/>
                <w:highlight w:val="none"/>
              </w:rPr>
            </w:pPr>
            <w:r>
              <w:rPr>
                <w:rFonts w:hint="eastAsia" w:ascii="宋体" w:hAnsi="宋体" w:eastAsia="宋体" w:cs="宋体"/>
                <w:color w:val="auto"/>
                <w:sz w:val="21"/>
                <w:szCs w:val="21"/>
                <w:highlight w:val="none"/>
                <w:lang w:eastAsia="zh-CN"/>
              </w:rPr>
              <w:t>蒿东村2025年度环境卫生物业化外包项目</w:t>
            </w:r>
          </w:p>
        </w:tc>
      </w:tr>
      <w:tr w14:paraId="69B0FCF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noWrap w:val="0"/>
            <w:vAlign w:val="center"/>
          </w:tcPr>
          <w:p w14:paraId="1462124A">
            <w:pPr>
              <w:snapToGrid w:val="0"/>
              <w:spacing w:line="360" w:lineRule="exact"/>
              <w:jc w:val="center"/>
              <w:rPr>
                <w:rFonts w:hint="eastAsia" w:ascii="宋体" w:hAnsi="宋体" w:eastAsia="宋体" w:cs="宋体"/>
                <w:snapToGrid w:val="0"/>
                <w:color w:val="auto"/>
                <w:kern w:val="0"/>
                <w:sz w:val="21"/>
                <w:szCs w:val="21"/>
                <w:highlight w:val="none"/>
                <w:lang w:val="en-US" w:eastAsia="zh-CN" w:bidi="ar-SA"/>
              </w:rPr>
            </w:pPr>
            <w:r>
              <w:rPr>
                <w:rFonts w:hint="eastAsia" w:ascii="宋体" w:hAnsi="宋体" w:eastAsia="宋体" w:cs="宋体"/>
                <w:snapToGrid w:val="0"/>
                <w:color w:val="auto"/>
                <w:kern w:val="0"/>
                <w:sz w:val="21"/>
                <w:szCs w:val="21"/>
                <w:highlight w:val="none"/>
              </w:rPr>
              <w:t>2</w:t>
            </w:r>
          </w:p>
        </w:tc>
        <w:tc>
          <w:tcPr>
            <w:tcW w:w="1800" w:type="dxa"/>
            <w:noWrap w:val="0"/>
            <w:vAlign w:val="center"/>
          </w:tcPr>
          <w:p w14:paraId="70F7F292">
            <w:pPr>
              <w:snapToGrid w:val="0"/>
              <w:spacing w:line="360" w:lineRule="exact"/>
              <w:jc w:val="center"/>
              <w:rPr>
                <w:rFonts w:hint="eastAsia" w:ascii="宋体" w:hAnsi="宋体" w:eastAsia="宋体" w:cs="宋体"/>
                <w:snapToGrid w:val="0"/>
                <w:color w:val="auto"/>
                <w:kern w:val="0"/>
                <w:sz w:val="21"/>
                <w:szCs w:val="21"/>
                <w:highlight w:val="none"/>
              </w:rPr>
            </w:pPr>
            <w:r>
              <w:rPr>
                <w:rFonts w:hint="eastAsia" w:ascii="宋体" w:hAnsi="宋体" w:eastAsia="宋体" w:cs="宋体"/>
                <w:snapToGrid w:val="0"/>
                <w:color w:val="auto"/>
                <w:kern w:val="0"/>
                <w:sz w:val="21"/>
                <w:szCs w:val="21"/>
                <w:highlight w:val="none"/>
              </w:rPr>
              <w:t>项目实施时间</w:t>
            </w:r>
          </w:p>
        </w:tc>
        <w:tc>
          <w:tcPr>
            <w:tcW w:w="6682" w:type="dxa"/>
            <w:noWrap w:val="0"/>
            <w:vAlign w:val="center"/>
          </w:tcPr>
          <w:p w14:paraId="2A3DDC5B">
            <w:pPr>
              <w:spacing w:line="36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本次招标的服务年限为</w:t>
            </w:r>
            <w:r>
              <w:rPr>
                <w:rFonts w:hint="eastAsia" w:ascii="宋体" w:hAnsi="宋体" w:eastAsia="宋体" w:cs="宋体"/>
                <w:color w:val="auto"/>
                <w:sz w:val="21"/>
                <w:szCs w:val="21"/>
                <w:highlight w:val="none"/>
                <w:lang w:val="en-US" w:eastAsia="zh-CN"/>
              </w:rPr>
              <w:t>一</w:t>
            </w:r>
            <w:r>
              <w:rPr>
                <w:rFonts w:hint="eastAsia" w:ascii="宋体" w:hAnsi="宋体" w:eastAsia="宋体" w:cs="宋体"/>
                <w:color w:val="auto"/>
                <w:sz w:val="21"/>
                <w:szCs w:val="21"/>
                <w:highlight w:val="none"/>
              </w:rPr>
              <w:t>年（具体时间根据签订的合同为准）。</w:t>
            </w:r>
          </w:p>
        </w:tc>
      </w:tr>
      <w:tr w14:paraId="04BF6EB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noWrap w:val="0"/>
            <w:vAlign w:val="center"/>
          </w:tcPr>
          <w:p w14:paraId="0A94E3A9">
            <w:pPr>
              <w:snapToGrid w:val="0"/>
              <w:spacing w:line="360" w:lineRule="exact"/>
              <w:jc w:val="center"/>
              <w:rPr>
                <w:rFonts w:hint="eastAsia" w:ascii="宋体" w:hAnsi="宋体" w:eastAsia="宋体" w:cs="宋体"/>
                <w:snapToGrid w:val="0"/>
                <w:color w:val="auto"/>
                <w:kern w:val="0"/>
                <w:sz w:val="21"/>
                <w:szCs w:val="21"/>
                <w:highlight w:val="none"/>
                <w:lang w:val="en-US" w:eastAsia="zh-CN" w:bidi="ar-SA"/>
              </w:rPr>
            </w:pPr>
            <w:r>
              <w:rPr>
                <w:rFonts w:hint="eastAsia" w:ascii="宋体" w:hAnsi="宋体" w:eastAsia="宋体" w:cs="宋体"/>
                <w:snapToGrid w:val="0"/>
                <w:color w:val="auto"/>
                <w:kern w:val="0"/>
                <w:sz w:val="21"/>
                <w:szCs w:val="21"/>
                <w:highlight w:val="none"/>
              </w:rPr>
              <w:t>3</w:t>
            </w:r>
          </w:p>
        </w:tc>
        <w:tc>
          <w:tcPr>
            <w:tcW w:w="1800" w:type="dxa"/>
            <w:noWrap w:val="0"/>
            <w:vAlign w:val="center"/>
          </w:tcPr>
          <w:p w14:paraId="03369821">
            <w:pPr>
              <w:snapToGrid w:val="0"/>
              <w:spacing w:line="360" w:lineRule="exact"/>
              <w:jc w:val="center"/>
              <w:rPr>
                <w:rFonts w:hint="eastAsia" w:ascii="宋体" w:hAnsi="宋体" w:eastAsia="宋体" w:cs="宋体"/>
                <w:b/>
                <w:snapToGrid w:val="0"/>
                <w:color w:val="auto"/>
                <w:kern w:val="0"/>
                <w:sz w:val="21"/>
                <w:szCs w:val="21"/>
                <w:highlight w:val="none"/>
              </w:rPr>
            </w:pPr>
            <w:r>
              <w:rPr>
                <w:rFonts w:hint="eastAsia" w:ascii="宋体" w:hAnsi="宋体" w:eastAsia="宋体" w:cs="宋体"/>
                <w:b/>
                <w:snapToGrid w:val="0"/>
                <w:color w:val="auto"/>
                <w:kern w:val="0"/>
                <w:sz w:val="21"/>
                <w:szCs w:val="21"/>
                <w:highlight w:val="none"/>
              </w:rPr>
              <w:t>最高限价</w:t>
            </w:r>
          </w:p>
        </w:tc>
        <w:tc>
          <w:tcPr>
            <w:tcW w:w="6682" w:type="dxa"/>
            <w:noWrap w:val="0"/>
            <w:vAlign w:val="center"/>
          </w:tcPr>
          <w:p w14:paraId="1EAD0E61">
            <w:pPr>
              <w:snapToGrid w:val="0"/>
              <w:spacing w:line="360" w:lineRule="exact"/>
              <w:ind w:firstLine="420" w:firstLineChars="200"/>
              <w:rPr>
                <w:rFonts w:hint="eastAsia" w:ascii="宋体" w:hAnsi="宋体" w:eastAsia="宋体" w:cs="宋体"/>
                <w:b/>
                <w:snapToGrid w:val="0"/>
                <w:color w:val="auto"/>
                <w:kern w:val="0"/>
                <w:sz w:val="21"/>
                <w:szCs w:val="21"/>
                <w:highlight w:val="none"/>
              </w:rPr>
            </w:pPr>
            <w:r>
              <w:rPr>
                <w:rFonts w:hint="eastAsia" w:ascii="宋体" w:hAnsi="宋体" w:eastAsia="宋体" w:cs="宋体"/>
                <w:color w:val="auto"/>
                <w:sz w:val="21"/>
                <w:szCs w:val="21"/>
                <w:highlight w:val="none"/>
              </w:rPr>
              <w:t>本项目最高限价</w:t>
            </w:r>
            <w:r>
              <w:rPr>
                <w:rFonts w:hint="eastAsia" w:ascii="宋体" w:hAnsi="宋体" w:cs="宋体"/>
                <w:color w:val="auto"/>
                <w:sz w:val="21"/>
                <w:szCs w:val="21"/>
                <w:highlight w:val="none"/>
                <w:lang w:val="en-US" w:eastAsia="zh-CN"/>
              </w:rPr>
              <w:t>为</w:t>
            </w:r>
            <w:r>
              <w:rPr>
                <w:rFonts w:hint="eastAsia" w:ascii="宋体" w:hAnsi="宋体" w:eastAsia="宋体" w:cs="宋体"/>
                <w:color w:val="auto"/>
                <w:sz w:val="21"/>
                <w:szCs w:val="21"/>
                <w:highlight w:val="none"/>
              </w:rPr>
              <w:t>人民币</w:t>
            </w:r>
            <w:r>
              <w:rPr>
                <w:rFonts w:hint="eastAsia" w:ascii="宋体" w:hAnsi="宋体" w:eastAsia="宋体" w:cs="宋体"/>
                <w:color w:val="auto"/>
                <w:sz w:val="21"/>
                <w:szCs w:val="21"/>
                <w:highlight w:val="none"/>
                <w:u w:val="single"/>
              </w:rPr>
              <w:t xml:space="preserve"> </w:t>
            </w:r>
            <w:r>
              <w:rPr>
                <w:rFonts w:hint="eastAsia" w:ascii="宋体" w:hAnsi="宋体" w:cs="宋体"/>
                <w:color w:val="auto"/>
                <w:sz w:val="21"/>
                <w:szCs w:val="21"/>
                <w:highlight w:val="none"/>
                <w:u w:val="single"/>
                <w:lang w:val="en-US" w:eastAsia="zh-CN"/>
              </w:rPr>
              <w:t xml:space="preserve">970000 </w:t>
            </w:r>
            <w:r>
              <w:rPr>
                <w:rFonts w:hint="eastAsia" w:ascii="宋体" w:hAnsi="宋体" w:eastAsia="宋体" w:cs="宋体"/>
                <w:color w:val="auto"/>
                <w:sz w:val="21"/>
                <w:szCs w:val="21"/>
                <w:highlight w:val="none"/>
              </w:rPr>
              <w:t>元。</w:t>
            </w:r>
          </w:p>
        </w:tc>
      </w:tr>
      <w:tr w14:paraId="17A04B8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noWrap w:val="0"/>
            <w:vAlign w:val="center"/>
          </w:tcPr>
          <w:p w14:paraId="59CA1C78">
            <w:pPr>
              <w:snapToGrid w:val="0"/>
              <w:spacing w:line="360" w:lineRule="exact"/>
              <w:jc w:val="center"/>
              <w:rPr>
                <w:rFonts w:hint="eastAsia" w:ascii="宋体" w:hAnsi="宋体" w:eastAsia="宋体" w:cs="宋体"/>
                <w:snapToGrid w:val="0"/>
                <w:color w:val="auto"/>
                <w:kern w:val="0"/>
                <w:sz w:val="21"/>
                <w:szCs w:val="21"/>
                <w:highlight w:val="none"/>
                <w:lang w:val="en-US" w:eastAsia="zh-CN" w:bidi="ar-SA"/>
              </w:rPr>
            </w:pPr>
            <w:r>
              <w:rPr>
                <w:rFonts w:hint="eastAsia" w:ascii="宋体" w:hAnsi="宋体" w:eastAsia="宋体" w:cs="宋体"/>
                <w:snapToGrid w:val="0"/>
                <w:color w:val="auto"/>
                <w:kern w:val="0"/>
                <w:sz w:val="21"/>
                <w:szCs w:val="21"/>
                <w:highlight w:val="none"/>
              </w:rPr>
              <w:t xml:space="preserve">                                                                                                   4</w:t>
            </w:r>
          </w:p>
        </w:tc>
        <w:tc>
          <w:tcPr>
            <w:tcW w:w="1800" w:type="dxa"/>
            <w:noWrap w:val="0"/>
            <w:vAlign w:val="center"/>
          </w:tcPr>
          <w:p w14:paraId="393017CE">
            <w:pPr>
              <w:snapToGrid w:val="0"/>
              <w:spacing w:line="360" w:lineRule="exact"/>
              <w:jc w:val="center"/>
              <w:rPr>
                <w:rFonts w:hint="eastAsia" w:ascii="宋体" w:hAnsi="宋体" w:eastAsia="宋体" w:cs="宋体"/>
                <w:snapToGrid w:val="0"/>
                <w:color w:val="auto"/>
                <w:kern w:val="0"/>
                <w:sz w:val="21"/>
                <w:szCs w:val="21"/>
                <w:highlight w:val="none"/>
              </w:rPr>
            </w:pPr>
            <w:r>
              <w:rPr>
                <w:rFonts w:hint="eastAsia" w:ascii="宋体" w:hAnsi="宋体" w:eastAsia="宋体" w:cs="宋体"/>
                <w:snapToGrid w:val="0"/>
                <w:color w:val="auto"/>
                <w:kern w:val="0"/>
                <w:sz w:val="21"/>
                <w:szCs w:val="21"/>
                <w:highlight w:val="none"/>
              </w:rPr>
              <w:t>资格审查方式</w:t>
            </w:r>
          </w:p>
        </w:tc>
        <w:tc>
          <w:tcPr>
            <w:tcW w:w="6682" w:type="dxa"/>
            <w:noWrap w:val="0"/>
            <w:vAlign w:val="center"/>
          </w:tcPr>
          <w:p w14:paraId="502AE1A8">
            <w:pPr>
              <w:snapToGrid w:val="0"/>
              <w:spacing w:line="360" w:lineRule="exact"/>
              <w:ind w:firstLine="420" w:firstLineChars="200"/>
              <w:rPr>
                <w:rFonts w:hint="eastAsia" w:ascii="宋体" w:hAnsi="宋体" w:eastAsia="宋体" w:cs="宋体"/>
                <w:snapToGrid w:val="0"/>
                <w:color w:val="auto"/>
                <w:kern w:val="0"/>
                <w:sz w:val="21"/>
                <w:szCs w:val="21"/>
                <w:highlight w:val="none"/>
              </w:rPr>
            </w:pPr>
            <w:r>
              <w:rPr>
                <w:rFonts w:hint="eastAsia" w:ascii="宋体" w:hAnsi="宋体" w:eastAsia="宋体" w:cs="宋体"/>
                <w:snapToGrid w:val="0"/>
                <w:color w:val="auto"/>
                <w:kern w:val="0"/>
                <w:sz w:val="21"/>
                <w:szCs w:val="21"/>
                <w:highlight w:val="none"/>
              </w:rPr>
              <w:t>资格审查是指开标后，采购人或采购代理机构将依据法律法规和招标文件的规定对投标人的资格进行审查。</w:t>
            </w:r>
          </w:p>
        </w:tc>
      </w:tr>
      <w:tr w14:paraId="08A23D0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noWrap w:val="0"/>
            <w:vAlign w:val="center"/>
          </w:tcPr>
          <w:p w14:paraId="50F98AF5">
            <w:pPr>
              <w:snapToGrid w:val="0"/>
              <w:spacing w:line="360" w:lineRule="exact"/>
              <w:jc w:val="center"/>
              <w:rPr>
                <w:rFonts w:hint="eastAsia" w:ascii="宋体" w:hAnsi="宋体" w:eastAsia="宋体" w:cs="宋体"/>
                <w:snapToGrid w:val="0"/>
                <w:color w:val="auto"/>
                <w:kern w:val="0"/>
                <w:sz w:val="21"/>
                <w:szCs w:val="21"/>
                <w:highlight w:val="none"/>
                <w:lang w:val="en-US" w:eastAsia="zh-CN" w:bidi="ar-SA"/>
              </w:rPr>
            </w:pPr>
            <w:r>
              <w:rPr>
                <w:rFonts w:hint="eastAsia" w:ascii="宋体" w:hAnsi="宋体" w:eastAsia="宋体" w:cs="宋体"/>
                <w:snapToGrid w:val="0"/>
                <w:color w:val="auto"/>
                <w:kern w:val="0"/>
                <w:sz w:val="21"/>
                <w:szCs w:val="21"/>
                <w:highlight w:val="none"/>
                <w:lang w:val="en-US" w:eastAsia="zh-CN"/>
              </w:rPr>
              <w:t>5</w:t>
            </w:r>
          </w:p>
        </w:tc>
        <w:tc>
          <w:tcPr>
            <w:tcW w:w="1800" w:type="dxa"/>
            <w:noWrap w:val="0"/>
            <w:vAlign w:val="center"/>
          </w:tcPr>
          <w:p w14:paraId="4E1B58A2">
            <w:pPr>
              <w:snapToGrid w:val="0"/>
              <w:spacing w:line="360" w:lineRule="exact"/>
              <w:jc w:val="center"/>
              <w:rPr>
                <w:rFonts w:hint="eastAsia" w:ascii="宋体" w:hAnsi="宋体" w:eastAsia="宋体" w:cs="宋体"/>
                <w:snapToGrid w:val="0"/>
                <w:color w:val="auto"/>
                <w:kern w:val="0"/>
                <w:sz w:val="21"/>
                <w:szCs w:val="21"/>
                <w:highlight w:val="none"/>
              </w:rPr>
            </w:pPr>
            <w:r>
              <w:rPr>
                <w:rFonts w:hint="eastAsia" w:ascii="宋体" w:hAnsi="宋体" w:eastAsia="宋体" w:cs="宋体"/>
                <w:snapToGrid w:val="0"/>
                <w:color w:val="auto"/>
                <w:kern w:val="0"/>
                <w:sz w:val="21"/>
                <w:szCs w:val="21"/>
                <w:highlight w:val="none"/>
              </w:rPr>
              <w:t>踏勘现场</w:t>
            </w:r>
          </w:p>
        </w:tc>
        <w:tc>
          <w:tcPr>
            <w:tcW w:w="6682" w:type="dxa"/>
            <w:noWrap w:val="0"/>
            <w:vAlign w:val="center"/>
          </w:tcPr>
          <w:p w14:paraId="4F115598">
            <w:pPr>
              <w:snapToGrid w:val="0"/>
              <w:spacing w:line="360" w:lineRule="exact"/>
              <w:ind w:firstLine="422" w:firstLineChars="200"/>
              <w:rPr>
                <w:rFonts w:hint="eastAsia" w:ascii="宋体" w:hAnsi="宋体" w:eastAsia="宋体" w:cs="宋体"/>
                <w:snapToGrid w:val="0"/>
                <w:color w:val="auto"/>
                <w:kern w:val="0"/>
                <w:sz w:val="21"/>
                <w:szCs w:val="21"/>
                <w:highlight w:val="none"/>
              </w:rPr>
            </w:pPr>
            <w:r>
              <w:rPr>
                <w:rFonts w:hint="eastAsia" w:ascii="宋体" w:hAnsi="宋体" w:eastAsia="宋体" w:cs="宋体"/>
                <w:b/>
                <w:snapToGrid w:val="0"/>
                <w:color w:val="auto"/>
                <w:kern w:val="0"/>
                <w:sz w:val="21"/>
                <w:szCs w:val="21"/>
                <w:highlight w:val="none"/>
              </w:rPr>
              <w:t>本项目不组织现场踏勘</w:t>
            </w:r>
          </w:p>
        </w:tc>
      </w:tr>
      <w:tr w14:paraId="212D4EF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noWrap w:val="0"/>
            <w:vAlign w:val="center"/>
          </w:tcPr>
          <w:p w14:paraId="38108910">
            <w:pPr>
              <w:snapToGrid w:val="0"/>
              <w:spacing w:line="360" w:lineRule="exact"/>
              <w:jc w:val="center"/>
              <w:rPr>
                <w:rFonts w:hint="eastAsia" w:ascii="宋体" w:hAnsi="宋体" w:eastAsia="宋体" w:cs="宋体"/>
                <w:snapToGrid w:val="0"/>
                <w:color w:val="auto"/>
                <w:kern w:val="0"/>
                <w:sz w:val="21"/>
                <w:szCs w:val="21"/>
                <w:highlight w:val="none"/>
                <w:lang w:val="en-US" w:eastAsia="zh-CN" w:bidi="ar-SA"/>
              </w:rPr>
            </w:pPr>
            <w:r>
              <w:rPr>
                <w:rFonts w:hint="eastAsia" w:ascii="宋体" w:hAnsi="宋体" w:eastAsia="宋体" w:cs="宋体"/>
                <w:snapToGrid w:val="0"/>
                <w:color w:val="auto"/>
                <w:kern w:val="0"/>
                <w:sz w:val="21"/>
                <w:szCs w:val="21"/>
                <w:highlight w:val="none"/>
              </w:rPr>
              <w:t>6</w:t>
            </w:r>
          </w:p>
        </w:tc>
        <w:tc>
          <w:tcPr>
            <w:tcW w:w="1800" w:type="dxa"/>
            <w:noWrap w:val="0"/>
            <w:vAlign w:val="center"/>
          </w:tcPr>
          <w:p w14:paraId="57629385">
            <w:pPr>
              <w:snapToGrid w:val="0"/>
              <w:spacing w:line="360" w:lineRule="exact"/>
              <w:jc w:val="center"/>
              <w:rPr>
                <w:rFonts w:hint="eastAsia" w:ascii="宋体" w:hAnsi="宋体" w:eastAsia="宋体" w:cs="宋体"/>
                <w:snapToGrid w:val="0"/>
                <w:color w:val="auto"/>
                <w:kern w:val="0"/>
                <w:sz w:val="21"/>
                <w:szCs w:val="21"/>
                <w:highlight w:val="none"/>
              </w:rPr>
            </w:pPr>
            <w:r>
              <w:rPr>
                <w:rFonts w:hint="eastAsia" w:ascii="宋体" w:hAnsi="宋体" w:eastAsia="宋体" w:cs="宋体"/>
                <w:snapToGrid w:val="0"/>
                <w:color w:val="auto"/>
                <w:kern w:val="0"/>
                <w:sz w:val="21"/>
                <w:szCs w:val="21"/>
                <w:highlight w:val="none"/>
              </w:rPr>
              <w:t>询问</w:t>
            </w:r>
          </w:p>
        </w:tc>
        <w:tc>
          <w:tcPr>
            <w:tcW w:w="6682" w:type="dxa"/>
            <w:noWrap w:val="0"/>
            <w:vAlign w:val="center"/>
          </w:tcPr>
          <w:p w14:paraId="7F8AEE8A">
            <w:pPr>
              <w:snapToGrid w:val="0"/>
              <w:spacing w:line="360" w:lineRule="exact"/>
              <w:ind w:firstLine="420" w:firstLineChars="200"/>
              <w:rPr>
                <w:rFonts w:hint="eastAsia" w:ascii="宋体" w:hAnsi="宋体" w:eastAsia="宋体" w:cs="宋体"/>
                <w:snapToGrid w:val="0"/>
                <w:color w:val="auto"/>
                <w:kern w:val="0"/>
                <w:sz w:val="21"/>
                <w:szCs w:val="21"/>
                <w:highlight w:val="none"/>
              </w:rPr>
            </w:pPr>
            <w:r>
              <w:rPr>
                <w:rFonts w:hint="eastAsia" w:ascii="宋体" w:hAnsi="宋体" w:eastAsia="宋体" w:cs="宋体"/>
                <w:snapToGrid w:val="0"/>
                <w:color w:val="auto"/>
                <w:kern w:val="0"/>
                <w:sz w:val="21"/>
                <w:szCs w:val="21"/>
                <w:highlight w:val="none"/>
                <w:lang w:val="en-US" w:eastAsia="zh-CN"/>
              </w:rPr>
              <w:t>供应商对采购活动事项有疑问的，可以向采购人、采购代理机构等提出询问，</w:t>
            </w:r>
            <w:r>
              <w:rPr>
                <w:rFonts w:hint="eastAsia" w:ascii="宋体" w:hAnsi="宋体" w:cs="宋体"/>
                <w:snapToGrid w:val="0"/>
                <w:color w:val="auto"/>
                <w:kern w:val="0"/>
                <w:szCs w:val="21"/>
              </w:rPr>
              <w:t>采购人或者招标代理机构</w:t>
            </w:r>
            <w:r>
              <w:rPr>
                <w:rFonts w:hint="eastAsia" w:ascii="宋体" w:hAnsi="宋体" w:eastAsia="宋体" w:cs="宋体"/>
                <w:snapToGrid w:val="0"/>
                <w:color w:val="auto"/>
                <w:kern w:val="0"/>
                <w:sz w:val="21"/>
                <w:szCs w:val="21"/>
                <w:highlight w:val="none"/>
                <w:lang w:val="en-US" w:eastAsia="zh-CN"/>
              </w:rPr>
              <w:t>等应当在</w:t>
            </w:r>
            <w:r>
              <w:rPr>
                <w:rFonts w:hint="eastAsia" w:ascii="宋体" w:hAnsi="宋体" w:cs="宋体"/>
                <w:snapToGrid w:val="0"/>
                <w:color w:val="auto"/>
                <w:kern w:val="0"/>
                <w:sz w:val="21"/>
                <w:szCs w:val="21"/>
                <w:highlight w:val="none"/>
                <w:lang w:val="en-US" w:eastAsia="zh-CN"/>
              </w:rPr>
              <w:t>3</w:t>
            </w:r>
            <w:r>
              <w:rPr>
                <w:rFonts w:hint="eastAsia" w:ascii="宋体" w:hAnsi="宋体" w:eastAsia="宋体" w:cs="宋体"/>
                <w:snapToGrid w:val="0"/>
                <w:color w:val="auto"/>
                <w:kern w:val="0"/>
                <w:sz w:val="21"/>
                <w:szCs w:val="21"/>
                <w:highlight w:val="none"/>
                <w:lang w:val="en-US" w:eastAsia="zh-CN"/>
              </w:rPr>
              <w:t xml:space="preserve"> 个工作日内作出答复</w:t>
            </w:r>
            <w:r>
              <w:rPr>
                <w:rFonts w:hint="eastAsia" w:ascii="宋体" w:hAnsi="宋体" w:eastAsia="宋体" w:cs="宋体"/>
                <w:snapToGrid w:val="0"/>
                <w:color w:val="auto"/>
                <w:kern w:val="0"/>
                <w:sz w:val="21"/>
                <w:szCs w:val="21"/>
                <w:highlight w:val="none"/>
              </w:rPr>
              <w:t>，但答复的内容不得涉及商业秘密。</w:t>
            </w:r>
          </w:p>
        </w:tc>
      </w:tr>
      <w:tr w14:paraId="11D24B7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noWrap w:val="0"/>
            <w:vAlign w:val="center"/>
          </w:tcPr>
          <w:p w14:paraId="627C05B2">
            <w:pPr>
              <w:snapToGrid w:val="0"/>
              <w:spacing w:line="360" w:lineRule="exact"/>
              <w:jc w:val="center"/>
              <w:rPr>
                <w:rFonts w:hint="eastAsia" w:ascii="宋体" w:hAnsi="宋体" w:eastAsia="宋体" w:cs="宋体"/>
                <w:snapToGrid w:val="0"/>
                <w:color w:val="auto"/>
                <w:kern w:val="0"/>
                <w:sz w:val="21"/>
                <w:szCs w:val="21"/>
                <w:highlight w:val="none"/>
                <w:lang w:val="en-US" w:eastAsia="zh-CN" w:bidi="ar-SA"/>
              </w:rPr>
            </w:pPr>
            <w:r>
              <w:rPr>
                <w:rFonts w:hint="eastAsia" w:ascii="宋体" w:hAnsi="宋体" w:eastAsia="宋体" w:cs="宋体"/>
                <w:snapToGrid w:val="0"/>
                <w:color w:val="auto"/>
                <w:kern w:val="0"/>
                <w:sz w:val="21"/>
                <w:szCs w:val="21"/>
                <w:highlight w:val="none"/>
              </w:rPr>
              <w:t>7</w:t>
            </w:r>
          </w:p>
        </w:tc>
        <w:tc>
          <w:tcPr>
            <w:tcW w:w="1800" w:type="dxa"/>
            <w:noWrap w:val="0"/>
            <w:vAlign w:val="center"/>
          </w:tcPr>
          <w:p w14:paraId="7BEC9ED2">
            <w:pPr>
              <w:snapToGrid w:val="0"/>
              <w:spacing w:line="360" w:lineRule="exact"/>
              <w:jc w:val="center"/>
              <w:rPr>
                <w:rFonts w:hint="eastAsia" w:ascii="宋体" w:hAnsi="宋体" w:eastAsia="宋体" w:cs="宋体"/>
                <w:snapToGrid w:val="0"/>
                <w:color w:val="auto"/>
                <w:kern w:val="0"/>
                <w:sz w:val="21"/>
                <w:szCs w:val="21"/>
                <w:highlight w:val="none"/>
              </w:rPr>
            </w:pPr>
            <w:r>
              <w:rPr>
                <w:rFonts w:hint="eastAsia" w:ascii="宋体" w:hAnsi="宋体" w:eastAsia="宋体" w:cs="宋体"/>
                <w:snapToGrid w:val="0"/>
                <w:color w:val="auto"/>
                <w:kern w:val="0"/>
                <w:sz w:val="21"/>
                <w:szCs w:val="21"/>
                <w:highlight w:val="none"/>
              </w:rPr>
              <w:t>招标文件的澄清与修改</w:t>
            </w:r>
          </w:p>
        </w:tc>
        <w:tc>
          <w:tcPr>
            <w:tcW w:w="6682" w:type="dxa"/>
            <w:noWrap w:val="0"/>
            <w:vAlign w:val="center"/>
          </w:tcPr>
          <w:p w14:paraId="3C282694">
            <w:pPr>
              <w:snapToGrid w:val="0"/>
              <w:spacing w:line="360" w:lineRule="exact"/>
              <w:ind w:firstLine="420" w:firstLineChars="200"/>
              <w:rPr>
                <w:rFonts w:hint="eastAsia" w:ascii="宋体" w:hAnsi="宋体" w:eastAsia="宋体" w:cs="宋体"/>
                <w:snapToGrid w:val="0"/>
                <w:color w:val="auto"/>
                <w:kern w:val="0"/>
                <w:sz w:val="21"/>
                <w:szCs w:val="21"/>
                <w:highlight w:val="none"/>
              </w:rPr>
            </w:pPr>
            <w:r>
              <w:rPr>
                <w:rFonts w:hint="eastAsia" w:ascii="宋体" w:hAnsi="宋体" w:eastAsia="宋体" w:cs="宋体"/>
                <w:snapToGrid w:val="0"/>
                <w:color w:val="auto"/>
                <w:kern w:val="0"/>
                <w:sz w:val="21"/>
                <w:szCs w:val="21"/>
                <w:highlight w:val="none"/>
              </w:rPr>
              <w:t>招标采购单位可以对已发出的招标文件进行必要澄清或者修改，澄清或者修改的内容可能影响投标文件编制的，应当在招标文件要求提交投标文件截止时间十五日前，在招标公告发布的媒体上发布更正公告，该澄清或者修改的内容为招标文件的组成部分。本项目招标文件和补充（答疑、澄清）、修改文件等请自行登录浙江政府采购网或绍兴市上虞区公共资源交易中心</w:t>
            </w:r>
            <w:r>
              <w:rPr>
                <w:rFonts w:hint="eastAsia" w:ascii="宋体" w:hAnsi="宋体" w:cs="宋体"/>
                <w:snapToGrid w:val="0"/>
                <w:color w:val="auto"/>
                <w:kern w:val="0"/>
                <w:sz w:val="21"/>
                <w:szCs w:val="21"/>
                <w:highlight w:val="none"/>
                <w:lang w:val="en-US" w:eastAsia="zh-CN"/>
              </w:rPr>
              <w:t>或上虞产权交易网</w:t>
            </w:r>
            <w:r>
              <w:rPr>
                <w:rFonts w:hint="eastAsia" w:ascii="宋体" w:hAnsi="宋体" w:eastAsia="宋体" w:cs="宋体"/>
                <w:snapToGrid w:val="0"/>
                <w:color w:val="auto"/>
                <w:kern w:val="0"/>
                <w:sz w:val="21"/>
                <w:szCs w:val="21"/>
                <w:highlight w:val="none"/>
              </w:rPr>
              <w:t>网站查看。</w:t>
            </w:r>
          </w:p>
        </w:tc>
      </w:tr>
      <w:tr w14:paraId="44C0AA7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noWrap w:val="0"/>
            <w:vAlign w:val="center"/>
          </w:tcPr>
          <w:p w14:paraId="2C4F3518">
            <w:pPr>
              <w:snapToGrid w:val="0"/>
              <w:spacing w:line="360" w:lineRule="exact"/>
              <w:jc w:val="center"/>
              <w:rPr>
                <w:rFonts w:hint="eastAsia" w:ascii="宋体" w:hAnsi="宋体" w:eastAsia="宋体" w:cs="宋体"/>
                <w:snapToGrid w:val="0"/>
                <w:color w:val="auto"/>
                <w:kern w:val="0"/>
                <w:sz w:val="21"/>
                <w:szCs w:val="21"/>
                <w:highlight w:val="none"/>
                <w:lang w:val="en-US" w:eastAsia="zh-CN" w:bidi="ar-SA"/>
              </w:rPr>
            </w:pPr>
            <w:r>
              <w:rPr>
                <w:rFonts w:hint="eastAsia" w:ascii="宋体" w:hAnsi="宋体" w:eastAsia="宋体" w:cs="宋体"/>
                <w:snapToGrid w:val="0"/>
                <w:color w:val="auto"/>
                <w:kern w:val="0"/>
                <w:sz w:val="21"/>
                <w:szCs w:val="21"/>
                <w:highlight w:val="none"/>
              </w:rPr>
              <w:t>8</w:t>
            </w:r>
          </w:p>
        </w:tc>
        <w:tc>
          <w:tcPr>
            <w:tcW w:w="1800" w:type="dxa"/>
            <w:noWrap w:val="0"/>
            <w:vAlign w:val="center"/>
          </w:tcPr>
          <w:p w14:paraId="19A96445">
            <w:pPr>
              <w:snapToGrid w:val="0"/>
              <w:spacing w:line="360" w:lineRule="exact"/>
              <w:jc w:val="center"/>
              <w:rPr>
                <w:rFonts w:hint="eastAsia" w:ascii="宋体" w:hAnsi="宋体" w:eastAsia="宋体" w:cs="宋体"/>
                <w:snapToGrid w:val="0"/>
                <w:color w:val="auto"/>
                <w:kern w:val="0"/>
                <w:sz w:val="21"/>
                <w:szCs w:val="21"/>
                <w:highlight w:val="none"/>
              </w:rPr>
            </w:pPr>
            <w:r>
              <w:rPr>
                <w:rFonts w:hint="eastAsia" w:ascii="宋体" w:hAnsi="宋体" w:eastAsia="宋体" w:cs="宋体"/>
                <w:snapToGrid w:val="0"/>
                <w:color w:val="auto"/>
                <w:kern w:val="0"/>
                <w:sz w:val="21"/>
                <w:szCs w:val="21"/>
                <w:highlight w:val="none"/>
              </w:rPr>
              <w:t>投标文件组成</w:t>
            </w:r>
          </w:p>
        </w:tc>
        <w:tc>
          <w:tcPr>
            <w:tcW w:w="6682" w:type="dxa"/>
            <w:noWrap w:val="0"/>
            <w:vAlign w:val="center"/>
          </w:tcPr>
          <w:p w14:paraId="28D13575">
            <w:pPr>
              <w:snapToGrid w:val="0"/>
              <w:spacing w:line="360" w:lineRule="exact"/>
              <w:ind w:firstLine="420" w:firstLineChars="200"/>
              <w:rPr>
                <w:rFonts w:hint="eastAsia" w:ascii="宋体" w:hAnsi="宋体" w:eastAsia="宋体" w:cs="宋体"/>
                <w:snapToGrid w:val="0"/>
                <w:color w:val="auto"/>
                <w:kern w:val="0"/>
                <w:sz w:val="21"/>
                <w:szCs w:val="21"/>
                <w:highlight w:val="none"/>
              </w:rPr>
            </w:pPr>
            <w:r>
              <w:rPr>
                <w:rFonts w:hint="eastAsia" w:ascii="宋体" w:hAnsi="宋体" w:eastAsia="宋体" w:cs="宋体"/>
                <w:snapToGrid w:val="0"/>
                <w:color w:val="auto"/>
                <w:kern w:val="0"/>
                <w:sz w:val="21"/>
                <w:szCs w:val="21"/>
                <w:highlight w:val="none"/>
              </w:rPr>
              <w:t>投标人向采购人递交的投标文件由资格文件、商务技术文件、报价文件三部分组成。</w:t>
            </w:r>
          </w:p>
        </w:tc>
      </w:tr>
      <w:tr w14:paraId="19606B5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noWrap w:val="0"/>
            <w:vAlign w:val="center"/>
          </w:tcPr>
          <w:p w14:paraId="518407BB">
            <w:pPr>
              <w:snapToGrid w:val="0"/>
              <w:spacing w:line="360" w:lineRule="exact"/>
              <w:jc w:val="center"/>
              <w:rPr>
                <w:rFonts w:hint="eastAsia" w:ascii="宋体" w:hAnsi="宋体" w:eastAsia="宋体" w:cs="宋体"/>
                <w:snapToGrid w:val="0"/>
                <w:color w:val="auto"/>
                <w:kern w:val="0"/>
                <w:sz w:val="21"/>
                <w:szCs w:val="21"/>
                <w:highlight w:val="none"/>
                <w:lang w:val="en-US" w:eastAsia="zh-CN" w:bidi="ar-SA"/>
              </w:rPr>
            </w:pPr>
            <w:r>
              <w:rPr>
                <w:rFonts w:hint="eastAsia" w:ascii="宋体" w:hAnsi="宋体" w:eastAsia="宋体" w:cs="宋体"/>
                <w:snapToGrid w:val="0"/>
                <w:color w:val="auto"/>
                <w:kern w:val="0"/>
                <w:sz w:val="21"/>
                <w:szCs w:val="21"/>
                <w:highlight w:val="none"/>
              </w:rPr>
              <w:t>9</w:t>
            </w:r>
          </w:p>
        </w:tc>
        <w:tc>
          <w:tcPr>
            <w:tcW w:w="1800" w:type="dxa"/>
            <w:noWrap w:val="0"/>
            <w:vAlign w:val="center"/>
          </w:tcPr>
          <w:p w14:paraId="1F109CAF">
            <w:pPr>
              <w:snapToGrid w:val="0"/>
              <w:spacing w:line="360" w:lineRule="exact"/>
              <w:jc w:val="center"/>
              <w:rPr>
                <w:rFonts w:hint="eastAsia" w:ascii="宋体" w:hAnsi="宋体" w:eastAsia="宋体" w:cs="宋体"/>
                <w:snapToGrid w:val="0"/>
                <w:color w:val="auto"/>
                <w:kern w:val="0"/>
                <w:sz w:val="21"/>
                <w:szCs w:val="21"/>
                <w:highlight w:val="none"/>
              </w:rPr>
            </w:pPr>
            <w:r>
              <w:rPr>
                <w:rFonts w:hint="eastAsia" w:ascii="宋体" w:hAnsi="宋体" w:eastAsia="宋体" w:cs="宋体"/>
                <w:snapToGrid w:val="0"/>
                <w:color w:val="auto"/>
                <w:kern w:val="0"/>
                <w:sz w:val="21"/>
                <w:szCs w:val="21"/>
                <w:highlight w:val="none"/>
              </w:rPr>
              <w:t>评标办法</w:t>
            </w:r>
          </w:p>
        </w:tc>
        <w:tc>
          <w:tcPr>
            <w:tcW w:w="6682" w:type="dxa"/>
            <w:noWrap w:val="0"/>
            <w:vAlign w:val="center"/>
          </w:tcPr>
          <w:p w14:paraId="1A223270">
            <w:pPr>
              <w:snapToGrid w:val="0"/>
              <w:spacing w:line="360" w:lineRule="exact"/>
              <w:ind w:firstLine="420" w:firstLineChars="200"/>
              <w:rPr>
                <w:rFonts w:hint="eastAsia" w:ascii="宋体" w:hAnsi="宋体" w:eastAsia="宋体" w:cs="宋体"/>
                <w:snapToGrid w:val="0"/>
                <w:color w:val="auto"/>
                <w:kern w:val="0"/>
                <w:sz w:val="21"/>
                <w:szCs w:val="21"/>
                <w:highlight w:val="none"/>
              </w:rPr>
            </w:pPr>
            <w:r>
              <w:rPr>
                <w:rFonts w:hint="eastAsia" w:ascii="宋体" w:hAnsi="宋体" w:eastAsia="宋体" w:cs="宋体"/>
                <w:snapToGrid w:val="0"/>
                <w:color w:val="auto"/>
                <w:kern w:val="0"/>
                <w:sz w:val="21"/>
                <w:szCs w:val="21"/>
                <w:highlight w:val="none"/>
              </w:rPr>
              <w:t>综合评分法</w:t>
            </w:r>
          </w:p>
        </w:tc>
      </w:tr>
      <w:tr w14:paraId="6326502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noWrap w:val="0"/>
            <w:vAlign w:val="center"/>
          </w:tcPr>
          <w:p w14:paraId="1B05D43D">
            <w:pPr>
              <w:snapToGrid w:val="0"/>
              <w:spacing w:line="360" w:lineRule="exact"/>
              <w:jc w:val="center"/>
              <w:rPr>
                <w:rFonts w:hint="eastAsia" w:ascii="宋体" w:hAnsi="宋体" w:eastAsia="宋体" w:cs="宋体"/>
                <w:snapToGrid w:val="0"/>
                <w:color w:val="auto"/>
                <w:kern w:val="0"/>
                <w:sz w:val="21"/>
                <w:szCs w:val="21"/>
                <w:highlight w:val="none"/>
                <w:lang w:val="en-US" w:eastAsia="zh-CN" w:bidi="ar-SA"/>
              </w:rPr>
            </w:pPr>
            <w:r>
              <w:rPr>
                <w:rFonts w:hint="eastAsia" w:ascii="宋体" w:hAnsi="宋体" w:eastAsia="宋体" w:cs="宋体"/>
                <w:snapToGrid w:val="0"/>
                <w:color w:val="auto"/>
                <w:kern w:val="0"/>
                <w:sz w:val="21"/>
                <w:szCs w:val="21"/>
                <w:highlight w:val="none"/>
              </w:rPr>
              <w:t>10</w:t>
            </w:r>
          </w:p>
        </w:tc>
        <w:tc>
          <w:tcPr>
            <w:tcW w:w="1800" w:type="dxa"/>
            <w:noWrap w:val="0"/>
            <w:vAlign w:val="center"/>
          </w:tcPr>
          <w:p w14:paraId="7FC9C71F">
            <w:pPr>
              <w:snapToGrid w:val="0"/>
              <w:spacing w:line="360" w:lineRule="exact"/>
              <w:jc w:val="center"/>
              <w:rPr>
                <w:rFonts w:hint="eastAsia" w:ascii="宋体" w:hAnsi="宋体" w:eastAsia="宋体" w:cs="宋体"/>
                <w:snapToGrid w:val="0"/>
                <w:color w:val="auto"/>
                <w:kern w:val="0"/>
                <w:sz w:val="21"/>
                <w:szCs w:val="21"/>
                <w:highlight w:val="none"/>
              </w:rPr>
            </w:pPr>
            <w:r>
              <w:rPr>
                <w:rFonts w:hint="eastAsia" w:ascii="宋体" w:hAnsi="宋体" w:eastAsia="宋体" w:cs="宋体"/>
                <w:snapToGrid w:val="0"/>
                <w:color w:val="auto"/>
                <w:kern w:val="0"/>
                <w:sz w:val="21"/>
                <w:szCs w:val="21"/>
                <w:highlight w:val="none"/>
              </w:rPr>
              <w:t>投标文件递交地址及截止时间</w:t>
            </w:r>
          </w:p>
        </w:tc>
        <w:tc>
          <w:tcPr>
            <w:tcW w:w="6682" w:type="dxa"/>
            <w:noWrap w:val="0"/>
            <w:vAlign w:val="center"/>
          </w:tcPr>
          <w:p w14:paraId="0A2EAF84">
            <w:pPr>
              <w:snapToGrid w:val="0"/>
              <w:spacing w:line="360" w:lineRule="exact"/>
              <w:ind w:firstLine="420" w:firstLineChars="200"/>
              <w:rPr>
                <w:rFonts w:hint="eastAsia" w:ascii="宋体" w:hAnsi="宋体" w:eastAsia="宋体" w:cs="宋体"/>
                <w:color w:val="auto"/>
                <w:kern w:val="0"/>
                <w:sz w:val="21"/>
                <w:szCs w:val="21"/>
                <w:highlight w:val="none"/>
              </w:rPr>
            </w:pPr>
            <w:r>
              <w:rPr>
                <w:rFonts w:hint="eastAsia" w:ascii="宋体" w:hAnsi="宋体" w:eastAsia="宋体" w:cs="宋体"/>
                <w:snapToGrid w:val="0"/>
                <w:color w:val="auto"/>
                <w:kern w:val="0"/>
                <w:sz w:val="21"/>
                <w:szCs w:val="21"/>
                <w:highlight w:val="none"/>
              </w:rPr>
              <w:t>详见招标公告</w:t>
            </w:r>
          </w:p>
        </w:tc>
      </w:tr>
      <w:tr w14:paraId="734D5C8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noWrap w:val="0"/>
            <w:vAlign w:val="center"/>
          </w:tcPr>
          <w:p w14:paraId="2C9B5237">
            <w:pPr>
              <w:snapToGrid w:val="0"/>
              <w:spacing w:line="360" w:lineRule="exact"/>
              <w:jc w:val="center"/>
              <w:rPr>
                <w:rFonts w:hint="eastAsia" w:ascii="宋体" w:hAnsi="宋体" w:eastAsia="宋体" w:cs="宋体"/>
                <w:snapToGrid w:val="0"/>
                <w:color w:val="auto"/>
                <w:kern w:val="0"/>
                <w:sz w:val="21"/>
                <w:szCs w:val="21"/>
                <w:highlight w:val="none"/>
                <w:lang w:val="en-US" w:eastAsia="zh-CN" w:bidi="ar-SA"/>
              </w:rPr>
            </w:pPr>
            <w:r>
              <w:rPr>
                <w:rFonts w:hint="eastAsia" w:ascii="宋体" w:hAnsi="宋体" w:eastAsia="宋体" w:cs="宋体"/>
                <w:snapToGrid w:val="0"/>
                <w:color w:val="auto"/>
                <w:kern w:val="0"/>
                <w:sz w:val="21"/>
                <w:szCs w:val="21"/>
                <w:highlight w:val="none"/>
              </w:rPr>
              <w:t>11</w:t>
            </w:r>
          </w:p>
        </w:tc>
        <w:tc>
          <w:tcPr>
            <w:tcW w:w="1800" w:type="dxa"/>
            <w:noWrap w:val="0"/>
            <w:vAlign w:val="center"/>
          </w:tcPr>
          <w:p w14:paraId="61A93116">
            <w:pPr>
              <w:snapToGrid w:val="0"/>
              <w:spacing w:line="360" w:lineRule="exact"/>
              <w:jc w:val="center"/>
              <w:rPr>
                <w:rFonts w:hint="eastAsia" w:ascii="宋体" w:hAnsi="宋体" w:eastAsia="宋体" w:cs="宋体"/>
                <w:snapToGrid w:val="0"/>
                <w:color w:val="auto"/>
                <w:kern w:val="0"/>
                <w:sz w:val="21"/>
                <w:szCs w:val="21"/>
                <w:highlight w:val="none"/>
              </w:rPr>
            </w:pPr>
            <w:r>
              <w:rPr>
                <w:rFonts w:hint="eastAsia" w:ascii="宋体" w:hAnsi="宋体" w:eastAsia="宋体" w:cs="宋体"/>
                <w:snapToGrid w:val="0"/>
                <w:color w:val="auto"/>
                <w:kern w:val="0"/>
                <w:sz w:val="21"/>
                <w:szCs w:val="21"/>
                <w:highlight w:val="none"/>
              </w:rPr>
              <w:t>开标时间、地点</w:t>
            </w:r>
          </w:p>
        </w:tc>
        <w:tc>
          <w:tcPr>
            <w:tcW w:w="6682" w:type="dxa"/>
            <w:noWrap w:val="0"/>
            <w:vAlign w:val="center"/>
          </w:tcPr>
          <w:p w14:paraId="7317950B">
            <w:pPr>
              <w:snapToGrid w:val="0"/>
              <w:spacing w:line="360" w:lineRule="exact"/>
              <w:ind w:firstLine="420" w:firstLineChars="200"/>
              <w:rPr>
                <w:rFonts w:hint="eastAsia" w:ascii="宋体" w:hAnsi="宋体" w:eastAsia="宋体" w:cs="宋体"/>
                <w:snapToGrid w:val="0"/>
                <w:color w:val="auto"/>
                <w:kern w:val="0"/>
                <w:sz w:val="21"/>
                <w:szCs w:val="21"/>
                <w:highlight w:val="none"/>
              </w:rPr>
            </w:pPr>
            <w:r>
              <w:rPr>
                <w:rFonts w:hint="eastAsia" w:ascii="宋体" w:hAnsi="宋体" w:eastAsia="宋体" w:cs="宋体"/>
                <w:snapToGrid w:val="0"/>
                <w:color w:val="auto"/>
                <w:kern w:val="0"/>
                <w:sz w:val="21"/>
                <w:szCs w:val="21"/>
                <w:highlight w:val="none"/>
              </w:rPr>
              <w:t>开标时间：</w:t>
            </w:r>
            <w:r>
              <w:rPr>
                <w:rFonts w:hint="eastAsia" w:ascii="宋体" w:hAnsi="宋体" w:eastAsia="宋体" w:cs="宋体"/>
                <w:color w:val="auto"/>
                <w:kern w:val="0"/>
                <w:sz w:val="21"/>
                <w:szCs w:val="21"/>
                <w:highlight w:val="none"/>
              </w:rPr>
              <w:t>详见招标公告</w:t>
            </w:r>
          </w:p>
          <w:p w14:paraId="6C331755">
            <w:pPr>
              <w:snapToGrid w:val="0"/>
              <w:spacing w:line="360" w:lineRule="exact"/>
              <w:ind w:firstLine="420" w:firstLineChars="200"/>
              <w:rPr>
                <w:rFonts w:hint="eastAsia" w:ascii="宋体" w:hAnsi="宋体" w:eastAsia="宋体" w:cs="宋体"/>
                <w:color w:val="auto"/>
                <w:kern w:val="0"/>
                <w:sz w:val="21"/>
                <w:szCs w:val="21"/>
                <w:highlight w:val="none"/>
              </w:rPr>
            </w:pPr>
            <w:r>
              <w:rPr>
                <w:rFonts w:hint="eastAsia" w:ascii="宋体" w:hAnsi="宋体" w:eastAsia="宋体" w:cs="宋体"/>
                <w:snapToGrid w:val="0"/>
                <w:color w:val="auto"/>
                <w:kern w:val="0"/>
                <w:sz w:val="21"/>
                <w:szCs w:val="21"/>
                <w:highlight w:val="none"/>
              </w:rPr>
              <w:t>开标地点：</w:t>
            </w:r>
            <w:r>
              <w:rPr>
                <w:rFonts w:hint="eastAsia" w:ascii="宋体" w:hAnsi="宋体" w:eastAsia="宋体" w:cs="宋体"/>
                <w:color w:val="auto"/>
                <w:kern w:val="0"/>
                <w:sz w:val="21"/>
                <w:szCs w:val="21"/>
                <w:highlight w:val="none"/>
              </w:rPr>
              <w:t>详见招标公告</w:t>
            </w:r>
          </w:p>
        </w:tc>
      </w:tr>
      <w:tr w14:paraId="019E96F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noWrap w:val="0"/>
            <w:vAlign w:val="center"/>
          </w:tcPr>
          <w:p w14:paraId="387A48F8">
            <w:pPr>
              <w:snapToGrid w:val="0"/>
              <w:spacing w:line="360" w:lineRule="exact"/>
              <w:jc w:val="center"/>
              <w:rPr>
                <w:rFonts w:hint="eastAsia" w:ascii="宋体" w:hAnsi="宋体" w:eastAsia="宋体" w:cs="宋体"/>
                <w:snapToGrid w:val="0"/>
                <w:color w:val="auto"/>
                <w:kern w:val="0"/>
                <w:sz w:val="21"/>
                <w:szCs w:val="21"/>
                <w:highlight w:val="none"/>
                <w:lang w:val="en-US" w:eastAsia="zh-CN" w:bidi="ar-SA"/>
              </w:rPr>
            </w:pPr>
            <w:r>
              <w:rPr>
                <w:rFonts w:hint="eastAsia" w:ascii="宋体" w:hAnsi="宋体" w:eastAsia="宋体" w:cs="宋体"/>
                <w:snapToGrid w:val="0"/>
                <w:color w:val="auto"/>
                <w:kern w:val="0"/>
                <w:sz w:val="21"/>
                <w:szCs w:val="21"/>
                <w:highlight w:val="none"/>
              </w:rPr>
              <w:t>12</w:t>
            </w:r>
          </w:p>
        </w:tc>
        <w:tc>
          <w:tcPr>
            <w:tcW w:w="1800" w:type="dxa"/>
            <w:noWrap w:val="0"/>
            <w:vAlign w:val="center"/>
          </w:tcPr>
          <w:p w14:paraId="5A86CD42">
            <w:pPr>
              <w:snapToGrid w:val="0"/>
              <w:spacing w:line="360" w:lineRule="exact"/>
              <w:jc w:val="center"/>
              <w:rPr>
                <w:rFonts w:hint="eastAsia" w:ascii="宋体" w:hAnsi="宋体" w:eastAsia="宋体" w:cs="宋体"/>
                <w:snapToGrid w:val="0"/>
                <w:color w:val="auto"/>
                <w:kern w:val="0"/>
                <w:sz w:val="21"/>
                <w:szCs w:val="21"/>
                <w:highlight w:val="none"/>
              </w:rPr>
            </w:pPr>
            <w:r>
              <w:rPr>
                <w:rFonts w:hint="eastAsia" w:ascii="宋体" w:hAnsi="宋体" w:eastAsia="宋体" w:cs="宋体"/>
                <w:snapToGrid w:val="0"/>
                <w:color w:val="auto"/>
                <w:kern w:val="0"/>
                <w:sz w:val="21"/>
                <w:szCs w:val="21"/>
                <w:highlight w:val="none"/>
              </w:rPr>
              <w:t>投标有效期</w:t>
            </w:r>
          </w:p>
        </w:tc>
        <w:tc>
          <w:tcPr>
            <w:tcW w:w="6682" w:type="dxa"/>
            <w:noWrap w:val="0"/>
            <w:vAlign w:val="center"/>
          </w:tcPr>
          <w:p w14:paraId="45AC3371">
            <w:pPr>
              <w:snapToGrid w:val="0"/>
              <w:spacing w:line="360" w:lineRule="exact"/>
              <w:ind w:firstLine="420" w:firstLineChars="200"/>
              <w:rPr>
                <w:rFonts w:hint="eastAsia" w:ascii="宋体" w:hAnsi="宋体" w:eastAsia="宋体" w:cs="宋体"/>
                <w:snapToGrid w:val="0"/>
                <w:color w:val="auto"/>
                <w:kern w:val="0"/>
                <w:sz w:val="21"/>
                <w:szCs w:val="21"/>
                <w:highlight w:val="none"/>
              </w:rPr>
            </w:pPr>
            <w:r>
              <w:rPr>
                <w:rFonts w:hint="eastAsia" w:ascii="宋体" w:hAnsi="宋体" w:eastAsia="宋体" w:cs="宋体"/>
                <w:snapToGrid w:val="0"/>
                <w:color w:val="auto"/>
                <w:kern w:val="0"/>
                <w:sz w:val="21"/>
                <w:szCs w:val="21"/>
                <w:highlight w:val="none"/>
              </w:rPr>
              <w:t>投标有效期为从提交投标文件的截止之日起90天。投标人的投标文件中承诺的投标有效期少于招标文件中载明的投标有效期的，投标无效。</w:t>
            </w:r>
          </w:p>
        </w:tc>
      </w:tr>
      <w:tr w14:paraId="6178E20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noWrap w:val="0"/>
            <w:vAlign w:val="center"/>
          </w:tcPr>
          <w:p w14:paraId="7838EA0C">
            <w:pPr>
              <w:snapToGrid w:val="0"/>
              <w:spacing w:line="360" w:lineRule="exact"/>
              <w:jc w:val="center"/>
              <w:rPr>
                <w:rFonts w:hint="default" w:ascii="宋体" w:hAnsi="宋体" w:eastAsia="宋体" w:cs="宋体"/>
                <w:snapToGrid w:val="0"/>
                <w:color w:val="auto"/>
                <w:kern w:val="0"/>
                <w:sz w:val="21"/>
                <w:szCs w:val="21"/>
                <w:highlight w:val="none"/>
                <w:lang w:val="en-US" w:eastAsia="zh-CN"/>
              </w:rPr>
            </w:pPr>
            <w:r>
              <w:rPr>
                <w:rFonts w:hint="eastAsia" w:ascii="宋体" w:hAnsi="宋体" w:cs="宋体"/>
                <w:snapToGrid w:val="0"/>
                <w:color w:val="auto"/>
                <w:kern w:val="0"/>
                <w:sz w:val="21"/>
                <w:szCs w:val="21"/>
                <w:highlight w:val="none"/>
                <w:lang w:val="en-US" w:eastAsia="zh-CN"/>
              </w:rPr>
              <w:t>13</w:t>
            </w:r>
          </w:p>
        </w:tc>
        <w:tc>
          <w:tcPr>
            <w:tcW w:w="1800" w:type="dxa"/>
            <w:noWrap w:val="0"/>
            <w:vAlign w:val="center"/>
          </w:tcPr>
          <w:p w14:paraId="2C393BEE">
            <w:pPr>
              <w:snapToGrid w:val="0"/>
              <w:spacing w:line="360" w:lineRule="exact"/>
              <w:jc w:val="center"/>
              <w:rPr>
                <w:rFonts w:hint="eastAsia" w:ascii="宋体" w:hAnsi="宋体" w:eastAsia="宋体" w:cs="宋体"/>
                <w:snapToGrid w:val="0"/>
                <w:color w:val="auto"/>
                <w:kern w:val="0"/>
                <w:sz w:val="21"/>
                <w:szCs w:val="21"/>
                <w:highlight w:val="none"/>
              </w:rPr>
            </w:pPr>
            <w:r>
              <w:rPr>
                <w:rFonts w:hint="eastAsia" w:ascii="宋体" w:hAnsi="宋体" w:cs="宋体"/>
                <w:snapToGrid w:val="0"/>
                <w:color w:val="auto"/>
                <w:kern w:val="0"/>
                <w:szCs w:val="21"/>
                <w:highlight w:val="none"/>
              </w:rPr>
              <w:t>投标保证金</w:t>
            </w:r>
          </w:p>
        </w:tc>
        <w:tc>
          <w:tcPr>
            <w:tcW w:w="6682" w:type="dxa"/>
            <w:noWrap w:val="0"/>
            <w:vAlign w:val="center"/>
          </w:tcPr>
          <w:p w14:paraId="511F641D">
            <w:pPr>
              <w:snapToGrid w:val="0"/>
              <w:rPr>
                <w:rFonts w:hint="eastAsia" w:ascii="宋体" w:hAnsi="宋体" w:eastAsia="宋体" w:cs="宋体"/>
                <w:snapToGrid w:val="0"/>
                <w:color w:val="auto"/>
                <w:highlight w:val="none"/>
                <w:lang w:val="en-US" w:eastAsia="zh-CN"/>
              </w:rPr>
            </w:pPr>
            <w:r>
              <w:rPr>
                <w:rFonts w:hint="eastAsia" w:ascii="宋体" w:hAnsi="宋体" w:eastAsia="宋体" w:cs="宋体"/>
                <w:snapToGrid w:val="0"/>
                <w:color w:val="auto"/>
                <w:highlight w:val="none"/>
                <w:lang w:eastAsia="zh-CN"/>
              </w:rPr>
              <w:t>投标</w:t>
            </w:r>
            <w:r>
              <w:rPr>
                <w:rFonts w:hint="eastAsia" w:ascii="宋体" w:hAnsi="宋体" w:eastAsia="宋体" w:cs="宋体"/>
                <w:snapToGrid w:val="0"/>
                <w:color w:val="auto"/>
                <w:highlight w:val="none"/>
              </w:rPr>
              <w:t>保证金：</w:t>
            </w:r>
            <w:r>
              <w:rPr>
                <w:rFonts w:hint="eastAsia" w:ascii="宋体" w:hAnsi="宋体" w:eastAsia="宋体" w:cs="宋体"/>
                <w:snapToGrid w:val="0"/>
                <w:color w:val="auto"/>
                <w:highlight w:val="none"/>
                <w:u w:val="none"/>
                <w:lang w:val="en-US" w:eastAsia="zh-CN"/>
              </w:rPr>
              <w:t>人民币</w:t>
            </w:r>
            <w:r>
              <w:rPr>
                <w:rFonts w:hint="eastAsia" w:ascii="宋体" w:hAnsi="宋体" w:cs="宋体"/>
                <w:snapToGrid w:val="0"/>
                <w:color w:val="auto"/>
                <w:highlight w:val="none"/>
                <w:u w:val="none"/>
                <w:lang w:val="en-US" w:eastAsia="zh-CN"/>
              </w:rPr>
              <w:t>贰万</w:t>
            </w:r>
            <w:r>
              <w:rPr>
                <w:rFonts w:hint="eastAsia" w:ascii="宋体" w:hAnsi="宋体" w:eastAsia="宋体" w:cs="宋体"/>
                <w:snapToGrid w:val="0"/>
                <w:color w:val="auto"/>
                <w:highlight w:val="none"/>
                <w:u w:val="none"/>
                <w:lang w:val="en-US" w:eastAsia="zh-CN"/>
              </w:rPr>
              <w:t>元整（小写：</w:t>
            </w:r>
            <w:r>
              <w:rPr>
                <w:rFonts w:hint="eastAsia" w:ascii="宋体" w:hAnsi="宋体" w:cs="宋体"/>
                <w:snapToGrid w:val="0"/>
                <w:color w:val="auto"/>
                <w:highlight w:val="none"/>
                <w:u w:val="single"/>
                <w:lang w:val="en-US" w:eastAsia="zh-CN"/>
              </w:rPr>
              <w:t xml:space="preserve">20000 </w:t>
            </w:r>
            <w:r>
              <w:rPr>
                <w:rFonts w:hint="eastAsia" w:ascii="宋体" w:hAnsi="宋体" w:eastAsia="宋体" w:cs="宋体"/>
                <w:snapToGrid w:val="0"/>
                <w:color w:val="auto"/>
                <w:highlight w:val="none"/>
                <w:u w:val="single"/>
                <w:lang w:val="en-US" w:eastAsia="zh-CN"/>
              </w:rPr>
              <w:t>元</w:t>
            </w:r>
            <w:r>
              <w:rPr>
                <w:rFonts w:hint="eastAsia" w:ascii="宋体" w:hAnsi="宋体" w:eastAsia="宋体" w:cs="宋体"/>
                <w:snapToGrid w:val="0"/>
                <w:color w:val="auto"/>
                <w:highlight w:val="none"/>
                <w:u w:val="none"/>
                <w:lang w:val="en-US" w:eastAsia="zh-CN"/>
              </w:rPr>
              <w:t>）</w:t>
            </w:r>
          </w:p>
          <w:p w14:paraId="010F08FD">
            <w:pPr>
              <w:snapToGrid w:val="0"/>
              <w:rPr>
                <w:rFonts w:hint="eastAsia" w:ascii="宋体" w:hAnsi="宋体" w:eastAsia="宋体" w:cs="宋体"/>
                <w:snapToGrid w:val="0"/>
                <w:color w:val="auto"/>
                <w:highlight w:val="none"/>
                <w:lang w:val="en-US" w:eastAsia="zh-CN"/>
              </w:rPr>
            </w:pPr>
            <w:r>
              <w:rPr>
                <w:rFonts w:hint="eastAsia" w:ascii="宋体" w:hAnsi="宋体" w:eastAsia="宋体" w:cs="宋体"/>
                <w:snapToGrid w:val="0"/>
                <w:color w:val="auto"/>
                <w:highlight w:val="none"/>
                <w:lang w:val="en-US" w:eastAsia="zh-CN"/>
              </w:rPr>
              <w:t>账户名称：绍兴市上虞区曹娥街道蒿东村股份经济合作社</w:t>
            </w:r>
          </w:p>
          <w:p w14:paraId="2E4DEED4">
            <w:pPr>
              <w:snapToGrid w:val="0"/>
              <w:rPr>
                <w:rFonts w:hint="eastAsia" w:ascii="宋体" w:hAnsi="宋体" w:eastAsia="宋体" w:cs="宋体"/>
                <w:snapToGrid w:val="0"/>
                <w:color w:val="auto"/>
                <w:highlight w:val="none"/>
                <w:lang w:val="en-US" w:eastAsia="zh-CN"/>
              </w:rPr>
            </w:pPr>
            <w:r>
              <w:rPr>
                <w:rFonts w:hint="eastAsia" w:ascii="宋体" w:hAnsi="宋体" w:eastAsia="宋体" w:cs="宋体"/>
                <w:snapToGrid w:val="0"/>
                <w:color w:val="auto"/>
                <w:highlight w:val="none"/>
                <w:lang w:val="en-US" w:eastAsia="zh-CN"/>
              </w:rPr>
              <w:t>开户银行：浙江上虞农村商业银行股份有限公司曹娥支行</w:t>
            </w:r>
            <w:r>
              <w:rPr>
                <w:rFonts w:hint="eastAsia" w:ascii="宋体" w:hAnsi="宋体" w:cs="宋体"/>
                <w:snapToGrid w:val="0"/>
                <w:color w:val="auto"/>
                <w:highlight w:val="none"/>
                <w:lang w:val="en-US" w:eastAsia="zh-CN"/>
              </w:rPr>
              <w:t>蒿坝</w:t>
            </w:r>
            <w:r>
              <w:rPr>
                <w:rFonts w:hint="eastAsia" w:ascii="宋体" w:hAnsi="宋体" w:eastAsia="宋体" w:cs="宋体"/>
                <w:snapToGrid w:val="0"/>
                <w:color w:val="auto"/>
                <w:highlight w:val="none"/>
                <w:lang w:val="en-US" w:eastAsia="zh-CN"/>
              </w:rPr>
              <w:t>分理处</w:t>
            </w:r>
          </w:p>
          <w:p w14:paraId="23024BB9">
            <w:pPr>
              <w:snapToGrid w:val="0"/>
              <w:rPr>
                <w:rFonts w:hint="default" w:ascii="宋体" w:hAnsi="宋体" w:eastAsia="宋体" w:cs="宋体"/>
                <w:snapToGrid w:val="0"/>
                <w:color w:val="auto"/>
                <w:highlight w:val="none"/>
                <w:lang w:val="en-US" w:eastAsia="zh-CN"/>
              </w:rPr>
            </w:pPr>
            <w:r>
              <w:rPr>
                <w:rFonts w:hint="eastAsia" w:ascii="宋体" w:hAnsi="宋体" w:eastAsia="宋体" w:cs="宋体"/>
                <w:snapToGrid w:val="0"/>
                <w:color w:val="auto"/>
                <w:highlight w:val="none"/>
                <w:lang w:val="en-US" w:eastAsia="zh-CN"/>
              </w:rPr>
              <w:t>帐    号：201000033500</w:t>
            </w:r>
            <w:r>
              <w:rPr>
                <w:rFonts w:hint="eastAsia" w:ascii="宋体" w:hAnsi="宋体" w:cs="宋体"/>
                <w:snapToGrid w:val="0"/>
                <w:color w:val="auto"/>
                <w:highlight w:val="none"/>
                <w:lang w:val="en-US" w:eastAsia="zh-CN"/>
              </w:rPr>
              <w:t>436</w:t>
            </w:r>
          </w:p>
          <w:p w14:paraId="3B899414">
            <w:pPr>
              <w:keepNext w:val="0"/>
              <w:keepLines w:val="0"/>
              <w:pageBreakBefore w:val="0"/>
              <w:widowControl w:val="0"/>
              <w:kinsoku/>
              <w:wordWrap/>
              <w:overflowPunct/>
              <w:topLinePunct w:val="0"/>
              <w:autoSpaceDE/>
              <w:autoSpaceDN/>
              <w:bidi w:val="0"/>
              <w:adjustRightInd/>
              <w:snapToGrid w:val="0"/>
              <w:spacing w:line="300" w:lineRule="exact"/>
              <w:textAlignment w:val="auto"/>
              <w:rPr>
                <w:rFonts w:hint="eastAsia"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 xml:space="preserve">备  </w:t>
            </w:r>
            <w:r>
              <w:rPr>
                <w:rFonts w:hint="eastAsia" w:ascii="宋体" w:hAnsi="宋体" w:cs="宋体"/>
                <w:snapToGrid w:val="0"/>
                <w:color w:val="auto"/>
                <w:kern w:val="0"/>
                <w:szCs w:val="21"/>
                <w:highlight w:val="none"/>
                <w:lang w:val="en-US" w:eastAsia="zh-CN"/>
              </w:rPr>
              <w:t xml:space="preserve">  </w:t>
            </w:r>
            <w:r>
              <w:rPr>
                <w:rFonts w:hint="eastAsia" w:ascii="宋体" w:hAnsi="宋体" w:eastAsia="宋体" w:cs="宋体"/>
                <w:snapToGrid w:val="0"/>
                <w:color w:val="auto"/>
                <w:kern w:val="0"/>
                <w:szCs w:val="21"/>
                <w:highlight w:val="none"/>
              </w:rPr>
              <w:t>注：投标项目名称</w:t>
            </w:r>
          </w:p>
          <w:p w14:paraId="142D81A0">
            <w:pPr>
              <w:keepNext w:val="0"/>
              <w:keepLines w:val="0"/>
              <w:pageBreakBefore w:val="0"/>
              <w:widowControl w:val="0"/>
              <w:kinsoku/>
              <w:wordWrap/>
              <w:overflowPunct/>
              <w:topLinePunct w:val="0"/>
              <w:autoSpaceDE/>
              <w:autoSpaceDN/>
              <w:bidi w:val="0"/>
              <w:adjustRightInd/>
              <w:snapToGrid w:val="0"/>
              <w:spacing w:line="300" w:lineRule="exact"/>
              <w:textAlignment w:val="auto"/>
              <w:rPr>
                <w:rFonts w:hint="eastAsia"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投标保证金的缴存方式：网银或电汇</w:t>
            </w:r>
          </w:p>
          <w:p w14:paraId="59386003">
            <w:pPr>
              <w:snapToGrid w:val="0"/>
              <w:spacing w:line="360" w:lineRule="exact"/>
              <w:ind w:firstLine="420" w:firstLineChars="200"/>
              <w:rPr>
                <w:rFonts w:hint="eastAsia" w:ascii="宋体" w:hAnsi="宋体" w:eastAsia="宋体" w:cs="宋体"/>
                <w:snapToGrid w:val="0"/>
                <w:color w:val="auto"/>
                <w:kern w:val="0"/>
                <w:sz w:val="21"/>
                <w:szCs w:val="21"/>
                <w:highlight w:val="none"/>
              </w:rPr>
            </w:pPr>
            <w:r>
              <w:rPr>
                <w:rFonts w:hint="eastAsia" w:ascii="宋体" w:hAnsi="宋体" w:eastAsia="宋体" w:cs="宋体"/>
                <w:snapToGrid w:val="0"/>
                <w:color w:val="auto"/>
                <w:kern w:val="0"/>
                <w:szCs w:val="21"/>
                <w:highlight w:val="none"/>
              </w:rPr>
              <w:t>投标保证金的缴存时间：投标保证金应在</w:t>
            </w:r>
            <w:r>
              <w:rPr>
                <w:rFonts w:hint="eastAsia" w:ascii="宋体" w:hAnsi="宋体" w:eastAsia="宋体" w:cs="宋体"/>
                <w:b/>
                <w:bCs/>
                <w:snapToGrid w:val="0"/>
                <w:color w:val="auto"/>
                <w:kern w:val="0"/>
                <w:szCs w:val="21"/>
                <w:highlight w:val="none"/>
                <w:lang w:eastAsia="zh-CN"/>
              </w:rPr>
              <w:t>202</w:t>
            </w:r>
            <w:r>
              <w:rPr>
                <w:rFonts w:hint="eastAsia" w:ascii="宋体" w:hAnsi="宋体" w:cs="宋体"/>
                <w:b/>
                <w:bCs/>
                <w:snapToGrid w:val="0"/>
                <w:color w:val="auto"/>
                <w:kern w:val="0"/>
                <w:szCs w:val="21"/>
                <w:highlight w:val="none"/>
                <w:lang w:val="en-US" w:eastAsia="zh-CN"/>
              </w:rPr>
              <w:t>5</w:t>
            </w:r>
            <w:r>
              <w:rPr>
                <w:rFonts w:hint="eastAsia" w:ascii="宋体" w:hAnsi="宋体" w:eastAsia="宋体" w:cs="宋体"/>
                <w:b/>
                <w:bCs/>
                <w:snapToGrid w:val="0"/>
                <w:color w:val="auto"/>
                <w:kern w:val="0"/>
                <w:szCs w:val="21"/>
                <w:highlight w:val="none"/>
              </w:rPr>
              <w:t>年</w:t>
            </w:r>
            <w:r>
              <w:rPr>
                <w:rFonts w:hint="eastAsia" w:ascii="宋体" w:hAnsi="宋体" w:cs="宋体"/>
                <w:b/>
                <w:bCs/>
                <w:snapToGrid w:val="0"/>
                <w:color w:val="auto"/>
                <w:kern w:val="0"/>
                <w:szCs w:val="21"/>
                <w:highlight w:val="none"/>
                <w:lang w:val="en-US" w:eastAsia="zh-CN"/>
              </w:rPr>
              <w:t>4</w:t>
            </w:r>
            <w:r>
              <w:rPr>
                <w:rFonts w:hint="eastAsia" w:ascii="宋体" w:hAnsi="宋体" w:eastAsia="宋体" w:cs="宋体"/>
                <w:b/>
                <w:bCs/>
                <w:snapToGrid w:val="0"/>
                <w:color w:val="auto"/>
                <w:kern w:val="0"/>
                <w:szCs w:val="21"/>
                <w:highlight w:val="none"/>
              </w:rPr>
              <w:t>月</w:t>
            </w:r>
            <w:r>
              <w:rPr>
                <w:rFonts w:hint="eastAsia" w:ascii="宋体" w:hAnsi="宋体" w:eastAsia="宋体" w:cs="宋体"/>
                <w:b/>
                <w:bCs/>
                <w:snapToGrid w:val="0"/>
                <w:color w:val="auto"/>
                <w:kern w:val="0"/>
                <w:szCs w:val="21"/>
                <w:highlight w:val="none"/>
                <w:lang w:val="en-US" w:eastAsia="zh-CN"/>
              </w:rPr>
              <w:t xml:space="preserve"> </w:t>
            </w:r>
            <w:r>
              <w:rPr>
                <w:rFonts w:hint="eastAsia" w:ascii="宋体" w:hAnsi="宋体" w:cs="宋体"/>
                <w:b/>
                <w:bCs/>
                <w:snapToGrid w:val="0"/>
                <w:color w:val="auto"/>
                <w:kern w:val="0"/>
                <w:szCs w:val="21"/>
                <w:highlight w:val="none"/>
                <w:lang w:val="en-US" w:eastAsia="zh-CN"/>
              </w:rPr>
              <w:t>22</w:t>
            </w:r>
            <w:r>
              <w:rPr>
                <w:rFonts w:hint="eastAsia" w:ascii="宋体" w:hAnsi="宋体" w:eastAsia="宋体" w:cs="宋体"/>
                <w:b/>
                <w:bCs/>
                <w:snapToGrid w:val="0"/>
                <w:color w:val="auto"/>
                <w:kern w:val="0"/>
                <w:szCs w:val="21"/>
                <w:highlight w:val="none"/>
                <w:lang w:val="en-US" w:eastAsia="zh-CN"/>
              </w:rPr>
              <w:t xml:space="preserve"> </w:t>
            </w:r>
            <w:r>
              <w:rPr>
                <w:rFonts w:hint="eastAsia" w:ascii="宋体" w:hAnsi="宋体" w:eastAsia="宋体" w:cs="宋体"/>
                <w:b/>
                <w:bCs/>
                <w:snapToGrid w:val="0"/>
                <w:color w:val="auto"/>
                <w:kern w:val="0"/>
                <w:szCs w:val="21"/>
                <w:highlight w:val="none"/>
              </w:rPr>
              <w:t>日</w:t>
            </w:r>
            <w:r>
              <w:rPr>
                <w:rFonts w:hint="eastAsia" w:ascii="宋体" w:hAnsi="宋体" w:eastAsia="宋体" w:cs="宋体"/>
                <w:snapToGrid w:val="0"/>
                <w:color w:val="auto"/>
                <w:kern w:val="0"/>
                <w:szCs w:val="21"/>
                <w:highlight w:val="none"/>
              </w:rPr>
              <w:t>下午</w:t>
            </w:r>
            <w:bookmarkStart w:id="563" w:name="_GoBack"/>
            <w:bookmarkEnd w:id="563"/>
            <w:r>
              <w:rPr>
                <w:rFonts w:hint="eastAsia" w:ascii="宋体" w:hAnsi="宋体" w:eastAsia="宋体" w:cs="宋体"/>
                <w:snapToGrid w:val="0"/>
                <w:color w:val="auto"/>
                <w:kern w:val="0"/>
                <w:szCs w:val="21"/>
                <w:highlight w:val="none"/>
              </w:rPr>
              <w:t>16：00之前到账，按不少于规定的金额交纳投标保证金，投标保证金以</w:t>
            </w:r>
            <w:r>
              <w:rPr>
                <w:rFonts w:hint="eastAsia" w:ascii="宋体" w:hAnsi="宋体" w:cs="宋体"/>
                <w:snapToGrid w:val="0"/>
                <w:color w:val="auto"/>
                <w:kern w:val="0"/>
                <w:szCs w:val="21"/>
                <w:highlight w:val="none"/>
                <w:lang w:val="en-US" w:eastAsia="zh-CN"/>
              </w:rPr>
              <w:t>账户</w:t>
            </w:r>
            <w:r>
              <w:rPr>
                <w:rFonts w:hint="eastAsia" w:ascii="宋体" w:hAnsi="宋体" w:eastAsia="宋体" w:cs="宋体"/>
                <w:snapToGrid w:val="0"/>
                <w:color w:val="auto"/>
                <w:kern w:val="0"/>
                <w:szCs w:val="21"/>
                <w:highlight w:val="none"/>
              </w:rPr>
              <w:t>到账时间为准。</w:t>
            </w:r>
            <w:r>
              <w:rPr>
                <w:rFonts w:hint="eastAsia" w:ascii="宋体" w:hAnsi="宋体" w:eastAsia="宋体" w:cs="宋体"/>
                <w:snapToGrid w:val="0"/>
                <w:color w:val="FF0000"/>
                <w:kern w:val="0"/>
                <w:szCs w:val="21"/>
                <w:highlight w:val="none"/>
              </w:rPr>
              <w:t>若产生到账时间晚于保证金缴存截止时间或缴纳不足额，一律视为不响应招标文件，投标文件按无效处理。</w:t>
            </w:r>
          </w:p>
        </w:tc>
      </w:tr>
      <w:tr w14:paraId="631DD25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noWrap w:val="0"/>
            <w:vAlign w:val="center"/>
          </w:tcPr>
          <w:p w14:paraId="27B1024C">
            <w:pPr>
              <w:snapToGrid w:val="0"/>
              <w:spacing w:line="360" w:lineRule="exact"/>
              <w:jc w:val="center"/>
              <w:rPr>
                <w:rFonts w:hint="default" w:ascii="宋体" w:hAnsi="宋体" w:eastAsia="宋体" w:cs="宋体"/>
                <w:snapToGrid w:val="0"/>
                <w:color w:val="auto"/>
                <w:kern w:val="0"/>
                <w:sz w:val="21"/>
                <w:szCs w:val="21"/>
                <w:highlight w:val="none"/>
                <w:lang w:val="en-US" w:eastAsia="zh-CN" w:bidi="ar-SA"/>
              </w:rPr>
            </w:pPr>
            <w:r>
              <w:rPr>
                <w:rFonts w:hint="eastAsia" w:ascii="宋体" w:hAnsi="宋体" w:cs="宋体"/>
                <w:snapToGrid w:val="0"/>
                <w:color w:val="auto"/>
                <w:kern w:val="0"/>
                <w:sz w:val="21"/>
                <w:szCs w:val="21"/>
                <w:highlight w:val="none"/>
                <w:lang w:val="en-US" w:eastAsia="zh-CN"/>
              </w:rPr>
              <w:t>14</w:t>
            </w:r>
          </w:p>
        </w:tc>
        <w:tc>
          <w:tcPr>
            <w:tcW w:w="1800" w:type="dxa"/>
            <w:noWrap w:val="0"/>
            <w:vAlign w:val="center"/>
          </w:tcPr>
          <w:p w14:paraId="680BD6AD">
            <w:pPr>
              <w:snapToGrid w:val="0"/>
              <w:spacing w:line="360" w:lineRule="exact"/>
              <w:jc w:val="center"/>
              <w:rPr>
                <w:rFonts w:hint="eastAsia" w:ascii="宋体" w:hAnsi="宋体" w:eastAsia="宋体" w:cs="宋体"/>
                <w:snapToGrid w:val="0"/>
                <w:color w:val="auto"/>
                <w:kern w:val="0"/>
                <w:sz w:val="21"/>
                <w:szCs w:val="21"/>
                <w:highlight w:val="none"/>
              </w:rPr>
            </w:pPr>
            <w:r>
              <w:rPr>
                <w:rFonts w:hint="eastAsia" w:ascii="宋体" w:hAnsi="宋体" w:eastAsia="宋体" w:cs="宋体"/>
                <w:snapToGrid w:val="0"/>
                <w:color w:val="auto"/>
                <w:kern w:val="0"/>
                <w:sz w:val="21"/>
                <w:szCs w:val="21"/>
                <w:highlight w:val="none"/>
              </w:rPr>
              <w:t>履约保证金</w:t>
            </w:r>
          </w:p>
        </w:tc>
        <w:tc>
          <w:tcPr>
            <w:tcW w:w="6682" w:type="dxa"/>
            <w:noWrap w:val="0"/>
            <w:vAlign w:val="center"/>
          </w:tcPr>
          <w:p w14:paraId="300A71E5">
            <w:pPr>
              <w:pStyle w:val="16"/>
              <w:snapToGrid w:val="0"/>
              <w:spacing w:line="360" w:lineRule="exact"/>
              <w:ind w:firstLine="420" w:firstLineChars="200"/>
              <w:rPr>
                <w:rFonts w:hint="eastAsia" w:ascii="宋体" w:hAnsi="宋体" w:eastAsia="宋体" w:cs="宋体"/>
                <w:color w:val="auto"/>
                <w:kern w:val="0"/>
                <w:sz w:val="21"/>
                <w:szCs w:val="21"/>
                <w:highlight w:val="none"/>
              </w:rPr>
            </w:pPr>
            <w:r>
              <w:rPr>
                <w:rFonts w:hint="eastAsia" w:ascii="宋体" w:hAnsi="宋体" w:eastAsia="宋体" w:cs="宋体"/>
                <w:snapToGrid w:val="0"/>
                <w:color w:val="auto"/>
                <w:kern w:val="0"/>
                <w:sz w:val="21"/>
                <w:szCs w:val="21"/>
                <w:highlight w:val="none"/>
                <w:lang w:val="en-US" w:eastAsia="zh-CN" w:bidi="ar-SA"/>
              </w:rPr>
              <w:t>成交供应商在收到中标通知书后，需向采购人提供合同总价5%的履约保证金，在成交供应商与采购人签订合同前递交。（供应商应当以支票、汇票、本票或者金融机构、保险公司、担保机构出具的保函等非现金形式提交）。</w:t>
            </w:r>
          </w:p>
        </w:tc>
      </w:tr>
      <w:tr w14:paraId="484001C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noWrap w:val="0"/>
            <w:vAlign w:val="center"/>
          </w:tcPr>
          <w:p w14:paraId="3BC31909">
            <w:pPr>
              <w:snapToGrid w:val="0"/>
              <w:spacing w:line="360" w:lineRule="exact"/>
              <w:jc w:val="center"/>
              <w:rPr>
                <w:rFonts w:hint="default" w:ascii="宋体" w:hAnsi="宋体" w:eastAsia="宋体" w:cs="宋体"/>
                <w:snapToGrid w:val="0"/>
                <w:color w:val="auto"/>
                <w:kern w:val="0"/>
                <w:sz w:val="21"/>
                <w:szCs w:val="21"/>
                <w:highlight w:val="none"/>
                <w:lang w:val="en-US" w:eastAsia="zh-CN" w:bidi="ar-SA"/>
              </w:rPr>
            </w:pPr>
            <w:r>
              <w:rPr>
                <w:rFonts w:hint="eastAsia" w:ascii="宋体" w:hAnsi="宋体" w:cs="宋体"/>
                <w:snapToGrid w:val="0"/>
                <w:color w:val="auto"/>
                <w:kern w:val="0"/>
                <w:sz w:val="21"/>
                <w:szCs w:val="21"/>
                <w:highlight w:val="none"/>
                <w:lang w:val="en-US" w:eastAsia="zh-CN"/>
              </w:rPr>
              <w:t>15</w:t>
            </w:r>
          </w:p>
        </w:tc>
        <w:tc>
          <w:tcPr>
            <w:tcW w:w="1800" w:type="dxa"/>
            <w:noWrap w:val="0"/>
            <w:vAlign w:val="center"/>
          </w:tcPr>
          <w:p w14:paraId="74D122CE">
            <w:pPr>
              <w:snapToGrid w:val="0"/>
              <w:spacing w:line="360" w:lineRule="exact"/>
              <w:jc w:val="center"/>
              <w:rPr>
                <w:rFonts w:hint="eastAsia" w:ascii="宋体" w:hAnsi="宋体" w:eastAsia="宋体" w:cs="宋体"/>
                <w:snapToGrid w:val="0"/>
                <w:color w:val="auto"/>
                <w:kern w:val="0"/>
                <w:sz w:val="21"/>
                <w:szCs w:val="21"/>
                <w:highlight w:val="none"/>
              </w:rPr>
            </w:pPr>
            <w:r>
              <w:rPr>
                <w:rFonts w:hint="eastAsia" w:ascii="宋体" w:hAnsi="宋体" w:eastAsia="宋体" w:cs="宋体"/>
                <w:snapToGrid w:val="0"/>
                <w:color w:val="auto"/>
                <w:kern w:val="0"/>
                <w:sz w:val="21"/>
                <w:szCs w:val="21"/>
                <w:highlight w:val="none"/>
              </w:rPr>
              <w:t>采购及中标公告发布媒体</w:t>
            </w:r>
          </w:p>
        </w:tc>
        <w:tc>
          <w:tcPr>
            <w:tcW w:w="6682" w:type="dxa"/>
            <w:noWrap w:val="0"/>
            <w:vAlign w:val="center"/>
          </w:tcPr>
          <w:p w14:paraId="210A03BF">
            <w:pPr>
              <w:pStyle w:val="16"/>
              <w:snapToGrid w:val="0"/>
              <w:spacing w:line="360" w:lineRule="exact"/>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浙江省政府采购网、 绍兴市上虞区公共资源交易中心</w:t>
            </w:r>
            <w:r>
              <w:rPr>
                <w:rFonts w:hint="eastAsia" w:hAnsi="宋体" w:cs="宋体"/>
                <w:color w:val="auto"/>
                <w:kern w:val="0"/>
                <w:sz w:val="21"/>
                <w:szCs w:val="21"/>
                <w:highlight w:val="none"/>
                <w:lang w:eastAsia="zh-CN"/>
              </w:rPr>
              <w:t>、</w:t>
            </w:r>
            <w:r>
              <w:rPr>
                <w:rFonts w:hint="eastAsia" w:hAnsi="宋体" w:cs="宋体"/>
                <w:color w:val="auto"/>
                <w:kern w:val="0"/>
                <w:sz w:val="21"/>
                <w:szCs w:val="21"/>
                <w:highlight w:val="none"/>
                <w:lang w:val="en-US" w:eastAsia="zh-CN"/>
              </w:rPr>
              <w:t>上虞产权交易网</w:t>
            </w:r>
            <w:r>
              <w:rPr>
                <w:rFonts w:hint="eastAsia" w:ascii="宋体" w:hAnsi="宋体" w:eastAsia="宋体" w:cs="宋体"/>
                <w:color w:val="auto"/>
                <w:kern w:val="0"/>
                <w:sz w:val="21"/>
                <w:szCs w:val="21"/>
                <w:highlight w:val="none"/>
              </w:rPr>
              <w:t>网站</w:t>
            </w:r>
          </w:p>
        </w:tc>
      </w:tr>
      <w:tr w14:paraId="6FC79A3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noWrap w:val="0"/>
            <w:vAlign w:val="center"/>
          </w:tcPr>
          <w:p w14:paraId="0613CFAA">
            <w:pPr>
              <w:snapToGrid w:val="0"/>
              <w:spacing w:line="360" w:lineRule="exact"/>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1</w:t>
            </w:r>
            <w:r>
              <w:rPr>
                <w:rFonts w:hint="eastAsia" w:ascii="宋体" w:hAnsi="宋体" w:cs="宋体"/>
                <w:color w:val="auto"/>
                <w:sz w:val="21"/>
                <w:szCs w:val="21"/>
                <w:highlight w:val="none"/>
                <w:lang w:val="en-US" w:eastAsia="zh-CN"/>
              </w:rPr>
              <w:t>6</w:t>
            </w:r>
          </w:p>
        </w:tc>
        <w:tc>
          <w:tcPr>
            <w:tcW w:w="1800" w:type="dxa"/>
            <w:noWrap w:val="0"/>
            <w:vAlign w:val="center"/>
          </w:tcPr>
          <w:p w14:paraId="0DC0B2FE">
            <w:pPr>
              <w:snapToGrid w:val="0"/>
              <w:spacing w:line="360" w:lineRule="exact"/>
              <w:jc w:val="center"/>
              <w:rPr>
                <w:rFonts w:hint="eastAsia" w:ascii="宋体" w:hAnsi="宋体" w:eastAsia="宋体" w:cs="宋体"/>
                <w:snapToGrid w:val="0"/>
                <w:color w:val="auto"/>
                <w:kern w:val="0"/>
                <w:sz w:val="21"/>
                <w:szCs w:val="21"/>
                <w:highlight w:val="none"/>
              </w:rPr>
            </w:pPr>
            <w:r>
              <w:rPr>
                <w:rFonts w:hint="eastAsia" w:ascii="宋体" w:hAnsi="宋体" w:eastAsia="宋体" w:cs="宋体"/>
                <w:snapToGrid w:val="0"/>
                <w:color w:val="auto"/>
                <w:kern w:val="0"/>
                <w:sz w:val="21"/>
                <w:szCs w:val="21"/>
                <w:highlight w:val="none"/>
              </w:rPr>
              <w:t>质疑</w:t>
            </w:r>
          </w:p>
        </w:tc>
        <w:tc>
          <w:tcPr>
            <w:tcW w:w="6682" w:type="dxa"/>
            <w:noWrap w:val="0"/>
            <w:vAlign w:val="center"/>
          </w:tcPr>
          <w:p w14:paraId="7B5B873D">
            <w:pPr>
              <w:spacing w:line="360" w:lineRule="exact"/>
              <w:ind w:firstLine="420" w:firstLineChars="200"/>
              <w:jc w:val="left"/>
              <w:rPr>
                <w:rFonts w:hint="eastAsia"/>
                <w:color w:val="auto"/>
                <w:highlight w:val="none"/>
              </w:rPr>
            </w:pPr>
            <w:r>
              <w:rPr>
                <w:rFonts w:hint="eastAsia"/>
                <w:color w:val="auto"/>
                <w:highlight w:val="none"/>
              </w:rPr>
              <w:t>根据《</w:t>
            </w:r>
            <w:r>
              <w:rPr>
                <w:rFonts w:hint="eastAsia"/>
                <w:color w:val="auto"/>
                <w:highlight w:val="none"/>
                <w:lang w:val="en-US" w:eastAsia="zh-CN"/>
              </w:rPr>
              <w:t>上虞区农村集体经济组织货物（服务）采购实施意见（试行）</w:t>
            </w:r>
            <w:r>
              <w:rPr>
                <w:rFonts w:hint="eastAsia"/>
                <w:color w:val="auto"/>
                <w:highlight w:val="none"/>
              </w:rPr>
              <w:t>》的规定：</w:t>
            </w:r>
          </w:p>
          <w:p w14:paraId="018B70B5">
            <w:pPr>
              <w:spacing w:line="360" w:lineRule="exact"/>
              <w:ind w:firstLine="420" w:firstLineChars="200"/>
              <w:jc w:val="left"/>
              <w:rPr>
                <w:color w:val="auto"/>
                <w:highlight w:val="none"/>
              </w:rPr>
            </w:pPr>
            <w:r>
              <w:rPr>
                <w:rFonts w:hint="eastAsia"/>
                <w:color w:val="auto"/>
                <w:highlight w:val="none"/>
              </w:rPr>
              <w:t>供应商认为采购文件、采购过程、中标或者成交结果使自己的权益受到损害的，可以在知道或者应知其权益受到损害之日起7个工作日内，以书面形式</w:t>
            </w:r>
            <w:r>
              <w:rPr>
                <w:rFonts w:hint="eastAsia"/>
                <w:color w:val="auto"/>
                <w:highlight w:val="none"/>
                <w:lang w:val="en-US" w:eastAsia="zh-CN"/>
              </w:rPr>
              <w:t>实名</w:t>
            </w:r>
            <w:r>
              <w:rPr>
                <w:rFonts w:hint="eastAsia"/>
                <w:color w:val="auto"/>
                <w:highlight w:val="none"/>
              </w:rPr>
              <w:t>向采购代理</w:t>
            </w:r>
            <w:r>
              <w:rPr>
                <w:rFonts w:hint="eastAsia"/>
                <w:color w:val="auto"/>
                <w:highlight w:val="none"/>
                <w:lang w:val="en-US" w:eastAsia="zh-CN"/>
              </w:rPr>
              <w:t>机构或</w:t>
            </w:r>
            <w:r>
              <w:rPr>
                <w:rFonts w:hint="eastAsia"/>
                <w:color w:val="auto"/>
                <w:highlight w:val="none"/>
              </w:rPr>
              <w:t>采购人提出质疑，采购代理机构、采购人应在</w:t>
            </w:r>
            <w:r>
              <w:rPr>
                <w:rFonts w:hint="eastAsia"/>
                <w:color w:val="auto"/>
                <w:highlight w:val="none"/>
                <w:lang w:val="en-US" w:eastAsia="zh-CN"/>
              </w:rPr>
              <w:t>收到书面质疑后</w:t>
            </w:r>
            <w:r>
              <w:rPr>
                <w:rFonts w:hint="eastAsia"/>
                <w:color w:val="auto"/>
                <w:highlight w:val="none"/>
              </w:rPr>
              <w:t>7个工作日内</w:t>
            </w:r>
            <w:r>
              <w:rPr>
                <w:rFonts w:hint="eastAsia"/>
                <w:color w:val="auto"/>
                <w:highlight w:val="none"/>
                <w:lang w:val="en-US" w:eastAsia="zh-CN"/>
              </w:rPr>
              <w:t>作出书面答复</w:t>
            </w:r>
            <w:r>
              <w:rPr>
                <w:rFonts w:hint="eastAsia"/>
                <w:color w:val="auto"/>
                <w:highlight w:val="none"/>
              </w:rPr>
              <w:t>，但答复内容不得涉及商业秘密。</w:t>
            </w:r>
          </w:p>
          <w:p w14:paraId="3C397513">
            <w:pPr>
              <w:snapToGrid w:val="0"/>
              <w:spacing w:line="360" w:lineRule="exact"/>
              <w:ind w:firstLine="420" w:firstLineChars="200"/>
              <w:jc w:val="left"/>
              <w:rPr>
                <w:rFonts w:hint="eastAsia"/>
                <w:color w:val="auto"/>
                <w:highlight w:val="none"/>
              </w:rPr>
            </w:pPr>
            <w:r>
              <w:rPr>
                <w:rFonts w:hint="eastAsia"/>
                <w:color w:val="auto"/>
                <w:highlight w:val="none"/>
              </w:rPr>
              <w:t>采购评审专家（评标委员会、采购小组）应当协助采购人或者采购代理机构</w:t>
            </w:r>
            <w:r>
              <w:rPr>
                <w:rFonts w:hint="eastAsia"/>
                <w:color w:val="auto"/>
                <w:highlight w:val="none"/>
                <w:lang w:val="en-US" w:eastAsia="zh-CN"/>
              </w:rPr>
              <w:t>等</w:t>
            </w:r>
            <w:r>
              <w:rPr>
                <w:rFonts w:hint="eastAsia"/>
                <w:color w:val="auto"/>
                <w:highlight w:val="none"/>
              </w:rPr>
              <w:t>答复供应商的询问和质疑</w:t>
            </w:r>
            <w:r>
              <w:rPr>
                <w:rFonts w:hint="eastAsia"/>
                <w:color w:val="auto"/>
                <w:highlight w:val="none"/>
                <w:lang w:eastAsia="zh-CN"/>
              </w:rPr>
              <w:t>，</w:t>
            </w:r>
            <w:r>
              <w:rPr>
                <w:rFonts w:hint="eastAsia"/>
                <w:color w:val="auto"/>
                <w:highlight w:val="none"/>
                <w:lang w:val="en-US" w:eastAsia="zh-CN"/>
              </w:rPr>
              <w:t>必要时可出具专家意见</w:t>
            </w:r>
            <w:r>
              <w:rPr>
                <w:rFonts w:hint="eastAsia"/>
                <w:color w:val="auto"/>
                <w:highlight w:val="none"/>
              </w:rPr>
              <w:t>。</w:t>
            </w:r>
          </w:p>
        </w:tc>
      </w:tr>
      <w:tr w14:paraId="5D26F5A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noWrap w:val="0"/>
            <w:vAlign w:val="center"/>
          </w:tcPr>
          <w:p w14:paraId="144AA999">
            <w:pPr>
              <w:snapToGrid w:val="0"/>
              <w:spacing w:line="360" w:lineRule="exact"/>
              <w:jc w:val="center"/>
              <w:rPr>
                <w:rFonts w:hint="eastAsia" w:ascii="宋体" w:hAnsi="宋体" w:eastAsia="宋体" w:cs="宋体"/>
                <w:snapToGrid w:val="0"/>
                <w:color w:val="auto"/>
                <w:kern w:val="0"/>
                <w:sz w:val="21"/>
                <w:szCs w:val="21"/>
                <w:highlight w:val="none"/>
                <w:lang w:val="en-US" w:eastAsia="zh-CN" w:bidi="ar-SA"/>
              </w:rPr>
            </w:pPr>
            <w:r>
              <w:rPr>
                <w:rFonts w:hint="eastAsia" w:ascii="宋体" w:hAnsi="宋体" w:eastAsia="宋体" w:cs="宋体"/>
                <w:snapToGrid w:val="0"/>
                <w:color w:val="auto"/>
                <w:kern w:val="0"/>
                <w:sz w:val="21"/>
                <w:szCs w:val="21"/>
                <w:highlight w:val="none"/>
              </w:rPr>
              <w:t>1</w:t>
            </w:r>
            <w:r>
              <w:rPr>
                <w:rFonts w:hint="eastAsia" w:ascii="宋体" w:hAnsi="宋体" w:cs="宋体"/>
                <w:snapToGrid w:val="0"/>
                <w:color w:val="auto"/>
                <w:kern w:val="0"/>
                <w:sz w:val="21"/>
                <w:szCs w:val="21"/>
                <w:highlight w:val="none"/>
                <w:lang w:val="en-US" w:eastAsia="zh-CN"/>
              </w:rPr>
              <w:t>7</w:t>
            </w:r>
          </w:p>
        </w:tc>
        <w:tc>
          <w:tcPr>
            <w:tcW w:w="1800" w:type="dxa"/>
            <w:noWrap w:val="0"/>
            <w:vAlign w:val="center"/>
          </w:tcPr>
          <w:p w14:paraId="7476A43B">
            <w:pPr>
              <w:snapToGrid w:val="0"/>
              <w:spacing w:line="360" w:lineRule="exact"/>
              <w:jc w:val="center"/>
              <w:rPr>
                <w:rFonts w:hint="eastAsia" w:ascii="宋体" w:hAnsi="宋体" w:eastAsia="宋体" w:cs="宋体"/>
                <w:snapToGrid w:val="0"/>
                <w:color w:val="auto"/>
                <w:kern w:val="0"/>
                <w:sz w:val="21"/>
                <w:szCs w:val="21"/>
                <w:highlight w:val="none"/>
              </w:rPr>
            </w:pPr>
            <w:r>
              <w:rPr>
                <w:rFonts w:hint="eastAsia" w:ascii="宋体" w:hAnsi="宋体" w:eastAsia="宋体" w:cs="宋体"/>
                <w:snapToGrid w:val="0"/>
                <w:color w:val="auto"/>
                <w:kern w:val="0"/>
                <w:sz w:val="21"/>
                <w:szCs w:val="21"/>
                <w:highlight w:val="none"/>
              </w:rPr>
              <w:t>投诉</w:t>
            </w:r>
          </w:p>
        </w:tc>
        <w:tc>
          <w:tcPr>
            <w:tcW w:w="6682" w:type="dxa"/>
            <w:noWrap w:val="0"/>
            <w:vAlign w:val="center"/>
          </w:tcPr>
          <w:p w14:paraId="40CF4954">
            <w:pPr>
              <w:snapToGrid w:val="0"/>
              <w:spacing w:line="360" w:lineRule="exact"/>
              <w:ind w:firstLine="420" w:firstLineChars="200"/>
              <w:jc w:val="left"/>
              <w:rPr>
                <w:rFonts w:hint="eastAsia" w:ascii="宋体" w:hAnsi="宋体"/>
                <w:color w:val="auto"/>
                <w:kern w:val="0"/>
                <w:highlight w:val="none"/>
              </w:rPr>
            </w:pPr>
            <w:r>
              <w:rPr>
                <w:rFonts w:hint="eastAsia" w:ascii="宋体" w:hAnsi="宋体"/>
                <w:color w:val="auto"/>
                <w:kern w:val="0"/>
                <w:highlight w:val="none"/>
              </w:rPr>
              <w:t>参</w:t>
            </w:r>
            <w:r>
              <w:rPr>
                <w:rFonts w:hint="eastAsia" w:ascii="宋体" w:hAnsi="宋体"/>
                <w:color w:val="auto"/>
                <w:highlight w:val="none"/>
              </w:rPr>
              <w:t>照</w:t>
            </w:r>
            <w:r>
              <w:rPr>
                <w:rFonts w:hint="eastAsia"/>
                <w:color w:val="auto"/>
                <w:highlight w:val="none"/>
              </w:rPr>
              <w:t>《</w:t>
            </w:r>
            <w:r>
              <w:rPr>
                <w:rFonts w:hint="eastAsia"/>
                <w:color w:val="auto"/>
                <w:highlight w:val="none"/>
                <w:lang w:val="en-US" w:eastAsia="zh-CN"/>
              </w:rPr>
              <w:t>上虞区农村集体经济组织货物（服务）采购实施意见（试行）</w:t>
            </w:r>
            <w:r>
              <w:rPr>
                <w:rFonts w:hint="eastAsia"/>
                <w:color w:val="auto"/>
                <w:highlight w:val="none"/>
              </w:rPr>
              <w:t>》的规定</w:t>
            </w:r>
            <w:r>
              <w:rPr>
                <w:rFonts w:hint="eastAsia" w:ascii="宋体" w:hAnsi="宋体"/>
                <w:color w:val="auto"/>
                <w:kern w:val="0"/>
                <w:highlight w:val="none"/>
              </w:rPr>
              <w:t>，质疑供应商对质疑的答复不满意，或者采购人或采购代理机构未在规定时间内答复的，可以在收到答复之日或者答复期满后15个工作日内依法向采购人</w:t>
            </w:r>
            <w:r>
              <w:rPr>
                <w:rFonts w:hint="eastAsia" w:ascii="宋体" w:hAnsi="宋体"/>
                <w:color w:val="auto"/>
                <w:kern w:val="0"/>
                <w:highlight w:val="none"/>
                <w:lang w:val="en-US" w:eastAsia="zh-CN"/>
              </w:rPr>
              <w:t>所在乡镇（街道）投诉</w:t>
            </w:r>
            <w:r>
              <w:rPr>
                <w:rFonts w:hint="eastAsia" w:ascii="宋体" w:hAnsi="宋体"/>
                <w:color w:val="auto"/>
                <w:kern w:val="0"/>
                <w:highlight w:val="none"/>
              </w:rPr>
              <w:t>。</w:t>
            </w:r>
            <w:r>
              <w:rPr>
                <w:rFonts w:hint="eastAsia" w:ascii="宋体" w:hAnsi="宋体"/>
                <w:color w:val="auto"/>
                <w:kern w:val="0"/>
                <w:highlight w:val="none"/>
                <w:lang w:val="en-US" w:eastAsia="zh-CN"/>
              </w:rPr>
              <w:t>乡镇（街道）</w:t>
            </w:r>
            <w:r>
              <w:rPr>
                <w:rFonts w:hint="eastAsia" w:ascii="宋体" w:hAnsi="宋体"/>
                <w:color w:val="auto"/>
                <w:kern w:val="0"/>
                <w:highlight w:val="none"/>
              </w:rPr>
              <w:t>应当在</w:t>
            </w:r>
            <w:r>
              <w:rPr>
                <w:rFonts w:hint="eastAsia" w:ascii="宋体" w:hAnsi="宋体"/>
                <w:color w:val="auto"/>
                <w:kern w:val="0"/>
                <w:highlight w:val="none"/>
                <w:lang w:val="en-US" w:eastAsia="zh-CN"/>
              </w:rPr>
              <w:t>正式受理投诉后</w:t>
            </w:r>
            <w:r>
              <w:rPr>
                <w:rFonts w:hint="eastAsia" w:ascii="宋体" w:hAnsi="宋体"/>
                <w:color w:val="auto"/>
                <w:kern w:val="0"/>
                <w:highlight w:val="none"/>
              </w:rPr>
              <w:t>30个工作日内</w:t>
            </w:r>
            <w:r>
              <w:rPr>
                <w:rFonts w:hint="eastAsia" w:ascii="宋体" w:hAnsi="宋体"/>
                <w:color w:val="auto"/>
                <w:kern w:val="0"/>
                <w:highlight w:val="none"/>
                <w:lang w:eastAsia="zh-CN"/>
              </w:rPr>
              <w:t>作出</w:t>
            </w:r>
            <w:r>
              <w:rPr>
                <w:rFonts w:hint="eastAsia" w:ascii="宋体" w:hAnsi="宋体"/>
                <w:color w:val="auto"/>
                <w:kern w:val="0"/>
                <w:highlight w:val="none"/>
              </w:rPr>
              <w:t>调查并</w:t>
            </w:r>
            <w:r>
              <w:rPr>
                <w:rFonts w:hint="eastAsia" w:ascii="宋体" w:hAnsi="宋体"/>
                <w:color w:val="auto"/>
                <w:kern w:val="0"/>
                <w:highlight w:val="none"/>
                <w:lang w:eastAsia="zh-CN"/>
              </w:rPr>
              <w:t>回</w:t>
            </w:r>
            <w:r>
              <w:rPr>
                <w:rFonts w:hint="eastAsia" w:ascii="宋体" w:hAnsi="宋体"/>
                <w:color w:val="auto"/>
                <w:kern w:val="0"/>
                <w:highlight w:val="none"/>
                <w:lang w:val="en-US" w:eastAsia="zh-CN"/>
              </w:rPr>
              <w:t>复，同时将投诉回复及调查结果通知采购人</w:t>
            </w:r>
            <w:r>
              <w:rPr>
                <w:rFonts w:hint="eastAsia" w:ascii="宋体" w:hAnsi="宋体"/>
                <w:color w:val="auto"/>
                <w:kern w:val="0"/>
                <w:highlight w:val="none"/>
              </w:rPr>
              <w:t>。</w:t>
            </w:r>
            <w:r>
              <w:rPr>
                <w:rFonts w:hint="eastAsia" w:ascii="宋体" w:hAnsi="宋体"/>
                <w:color w:val="auto"/>
                <w:kern w:val="0"/>
                <w:highlight w:val="none"/>
                <w:lang w:val="en-US" w:eastAsia="zh-CN"/>
              </w:rPr>
              <w:t xml:space="preserve">区农业农村局督促乡镇（街道）做好投诉件的答复和处 </w:t>
            </w:r>
          </w:p>
          <w:p w14:paraId="0B341406">
            <w:pPr>
              <w:snapToGrid w:val="0"/>
              <w:spacing w:line="360" w:lineRule="exact"/>
              <w:jc w:val="left"/>
              <w:rPr>
                <w:rFonts w:hint="eastAsia" w:ascii="宋体" w:hAnsi="宋体"/>
                <w:color w:val="auto"/>
                <w:kern w:val="0"/>
                <w:highlight w:val="none"/>
                <w:lang w:val="en-US" w:eastAsia="zh-CN"/>
              </w:rPr>
            </w:pPr>
            <w:r>
              <w:rPr>
                <w:rFonts w:hint="eastAsia" w:ascii="宋体" w:hAnsi="宋体"/>
                <w:color w:val="auto"/>
                <w:kern w:val="0"/>
                <w:highlight w:val="none"/>
                <w:lang w:val="en-US" w:eastAsia="zh-CN"/>
              </w:rPr>
              <w:t>理。</w:t>
            </w:r>
          </w:p>
          <w:p w14:paraId="6473122A">
            <w:pPr>
              <w:snapToGrid w:val="0"/>
              <w:spacing w:line="360" w:lineRule="exact"/>
              <w:ind w:firstLine="420" w:firstLineChars="200"/>
              <w:jc w:val="left"/>
              <w:rPr>
                <w:rFonts w:hint="eastAsia"/>
                <w:color w:val="auto"/>
                <w:highlight w:val="none"/>
              </w:rPr>
            </w:pPr>
            <w:r>
              <w:rPr>
                <w:rFonts w:hint="eastAsia" w:ascii="宋体" w:hAnsi="宋体"/>
                <w:color w:val="auto"/>
                <w:kern w:val="0"/>
                <w:highlight w:val="none"/>
              </w:rPr>
              <w:t>投诉人提交投诉件时，应当提供相关证据、依据和其他有关材料。</w:t>
            </w:r>
          </w:p>
        </w:tc>
      </w:tr>
      <w:tr w14:paraId="4C21F0E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noWrap w:val="0"/>
            <w:vAlign w:val="center"/>
          </w:tcPr>
          <w:p w14:paraId="1F8E569A">
            <w:pPr>
              <w:snapToGrid w:val="0"/>
              <w:spacing w:line="360" w:lineRule="exact"/>
              <w:jc w:val="center"/>
              <w:rPr>
                <w:rFonts w:hint="eastAsia" w:ascii="宋体" w:hAnsi="宋体" w:eastAsia="宋体" w:cs="宋体"/>
                <w:snapToGrid w:val="0"/>
                <w:color w:val="auto"/>
                <w:kern w:val="0"/>
                <w:sz w:val="21"/>
                <w:szCs w:val="21"/>
                <w:highlight w:val="none"/>
                <w:lang w:val="en-US" w:eastAsia="zh-CN" w:bidi="ar-SA"/>
              </w:rPr>
            </w:pPr>
            <w:r>
              <w:rPr>
                <w:rFonts w:hint="eastAsia" w:ascii="宋体" w:hAnsi="宋体" w:eastAsia="宋体" w:cs="宋体"/>
                <w:snapToGrid w:val="0"/>
                <w:color w:val="auto"/>
                <w:kern w:val="0"/>
                <w:sz w:val="21"/>
                <w:szCs w:val="21"/>
                <w:highlight w:val="none"/>
              </w:rPr>
              <w:t>1</w:t>
            </w:r>
            <w:r>
              <w:rPr>
                <w:rFonts w:hint="eastAsia" w:ascii="宋体" w:hAnsi="宋体" w:cs="宋体"/>
                <w:snapToGrid w:val="0"/>
                <w:color w:val="auto"/>
                <w:kern w:val="0"/>
                <w:sz w:val="21"/>
                <w:szCs w:val="21"/>
                <w:highlight w:val="none"/>
                <w:lang w:val="en-US" w:eastAsia="zh-CN"/>
              </w:rPr>
              <w:t>8</w:t>
            </w:r>
          </w:p>
        </w:tc>
        <w:tc>
          <w:tcPr>
            <w:tcW w:w="1800" w:type="dxa"/>
            <w:noWrap w:val="0"/>
            <w:vAlign w:val="center"/>
          </w:tcPr>
          <w:p w14:paraId="5A7251DD">
            <w:pPr>
              <w:snapToGrid w:val="0"/>
              <w:spacing w:line="360" w:lineRule="exact"/>
              <w:jc w:val="center"/>
              <w:rPr>
                <w:rFonts w:hint="eastAsia" w:ascii="宋体" w:hAnsi="宋体" w:eastAsia="宋体" w:cs="宋体"/>
                <w:snapToGrid w:val="0"/>
                <w:color w:val="auto"/>
                <w:kern w:val="0"/>
                <w:sz w:val="21"/>
                <w:szCs w:val="21"/>
                <w:highlight w:val="none"/>
              </w:rPr>
            </w:pPr>
            <w:r>
              <w:rPr>
                <w:rFonts w:hint="eastAsia" w:ascii="宋体" w:hAnsi="宋体" w:eastAsia="宋体" w:cs="宋体"/>
                <w:snapToGrid w:val="0"/>
                <w:color w:val="auto"/>
                <w:kern w:val="0"/>
                <w:sz w:val="21"/>
                <w:szCs w:val="21"/>
                <w:highlight w:val="none"/>
              </w:rPr>
              <w:t>特别说明</w:t>
            </w:r>
          </w:p>
        </w:tc>
        <w:tc>
          <w:tcPr>
            <w:tcW w:w="6682" w:type="dxa"/>
            <w:noWrap w:val="0"/>
            <w:vAlign w:val="center"/>
          </w:tcPr>
          <w:p w14:paraId="6C518EBC">
            <w:pPr>
              <w:pStyle w:val="16"/>
              <w:snapToGrid w:val="0"/>
              <w:spacing w:line="36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投标人应无条件的、认真仔细的阅读本招标文件及其澄清答疑、修改答复的补充文件，严格按照招标文件及补充文件的规定和要求编制投标文件。在编制投标文件过程中，应严格遵循实事求是、诚信投标的原则，针对招标文件中的采购需求、合同条款等各项内容进行确认，如有偏离，应如实填写响应偏离表。</w:t>
            </w:r>
          </w:p>
          <w:p w14:paraId="7206A171">
            <w:pPr>
              <w:pStyle w:val="16"/>
              <w:snapToGrid w:val="0"/>
              <w:spacing w:line="36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该项目中标公示期间，投标人不得通过非正当途径、更不得通过非正当手段获取法律法规规定评标委员会（包括其他相关人员）应当保密的相关内容。即便由此获得资料并作为向采购人或招标代理机构或监督管理部门提出异（质）疑或投诉或法院起诉的理由，均属于非法索取的依据。</w:t>
            </w:r>
          </w:p>
          <w:p w14:paraId="13919073">
            <w:pPr>
              <w:pStyle w:val="16"/>
              <w:snapToGrid w:val="0"/>
              <w:spacing w:line="360" w:lineRule="exact"/>
              <w:ind w:firstLine="420" w:firstLineChars="200"/>
              <w:jc w:val="left"/>
              <w:rPr>
                <w:rFonts w:hint="eastAsia" w:ascii="宋体" w:hAnsi="宋体" w:eastAsia="宋体" w:cs="宋体"/>
                <w:b/>
                <w:color w:val="auto"/>
                <w:kern w:val="0"/>
                <w:sz w:val="21"/>
                <w:szCs w:val="21"/>
                <w:highlight w:val="none"/>
              </w:rPr>
            </w:pPr>
            <w:r>
              <w:rPr>
                <w:rFonts w:hint="eastAsia" w:ascii="宋体" w:hAnsi="宋体" w:eastAsia="宋体" w:cs="宋体"/>
                <w:color w:val="auto"/>
                <w:kern w:val="0"/>
                <w:sz w:val="21"/>
                <w:szCs w:val="21"/>
                <w:highlight w:val="none"/>
              </w:rPr>
              <w:t>招标文件中凡标注“</w:t>
            </w:r>
            <w:r>
              <w:rPr>
                <w:rFonts w:hint="eastAsia" w:ascii="宋体" w:hAnsi="宋体" w:eastAsia="宋体" w:cs="宋体"/>
                <w:color w:val="auto"/>
                <w:sz w:val="21"/>
                <w:szCs w:val="21"/>
                <w:highlight w:val="none"/>
              </w:rPr>
              <w:t>★</w:t>
            </w:r>
            <w:r>
              <w:rPr>
                <w:rFonts w:hint="eastAsia" w:ascii="宋体" w:hAnsi="宋体" w:eastAsia="宋体" w:cs="宋体"/>
                <w:color w:val="auto"/>
                <w:kern w:val="0"/>
                <w:sz w:val="21"/>
                <w:szCs w:val="21"/>
                <w:highlight w:val="none"/>
              </w:rPr>
              <w:t>”的条款均为实质性要求，不响应的投标文件将作无效标处理。</w:t>
            </w:r>
          </w:p>
        </w:tc>
      </w:tr>
      <w:tr w14:paraId="3469BD9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noWrap w:val="0"/>
            <w:vAlign w:val="center"/>
          </w:tcPr>
          <w:p w14:paraId="2D98BF6C">
            <w:pPr>
              <w:snapToGrid w:val="0"/>
              <w:spacing w:line="360" w:lineRule="exact"/>
              <w:jc w:val="center"/>
              <w:rPr>
                <w:rFonts w:hint="default" w:ascii="宋体" w:hAnsi="宋体" w:eastAsia="宋体" w:cs="宋体"/>
                <w:snapToGrid w:val="0"/>
                <w:color w:val="auto"/>
                <w:kern w:val="0"/>
                <w:sz w:val="21"/>
                <w:szCs w:val="21"/>
                <w:highlight w:val="none"/>
                <w:lang w:val="en-US" w:eastAsia="zh-CN" w:bidi="ar-SA"/>
              </w:rPr>
            </w:pPr>
            <w:r>
              <w:rPr>
                <w:rFonts w:hint="eastAsia" w:ascii="宋体" w:hAnsi="宋体" w:cs="宋体"/>
                <w:snapToGrid w:val="0"/>
                <w:color w:val="auto"/>
                <w:kern w:val="0"/>
                <w:sz w:val="21"/>
                <w:szCs w:val="21"/>
                <w:highlight w:val="none"/>
                <w:lang w:val="en-US" w:eastAsia="zh-CN"/>
              </w:rPr>
              <w:t>19</w:t>
            </w:r>
          </w:p>
        </w:tc>
        <w:tc>
          <w:tcPr>
            <w:tcW w:w="1800" w:type="dxa"/>
            <w:noWrap w:val="0"/>
            <w:vAlign w:val="center"/>
          </w:tcPr>
          <w:p w14:paraId="4B850A0D">
            <w:pPr>
              <w:snapToGrid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是否允许分包</w:t>
            </w:r>
          </w:p>
        </w:tc>
        <w:tc>
          <w:tcPr>
            <w:tcW w:w="6682" w:type="dxa"/>
            <w:noWrap w:val="0"/>
            <w:vAlign w:val="center"/>
          </w:tcPr>
          <w:p w14:paraId="05DC9F5F">
            <w:pPr>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本项目不允许分包</w:t>
            </w:r>
          </w:p>
        </w:tc>
      </w:tr>
      <w:tr w14:paraId="51C14F1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noWrap w:val="0"/>
            <w:vAlign w:val="center"/>
          </w:tcPr>
          <w:p w14:paraId="0159AA1C">
            <w:pPr>
              <w:snapToGrid w:val="0"/>
              <w:spacing w:line="360" w:lineRule="exact"/>
              <w:jc w:val="center"/>
              <w:rPr>
                <w:rFonts w:hint="default" w:ascii="宋体" w:hAnsi="宋体" w:eastAsia="宋体" w:cs="宋体"/>
                <w:snapToGrid w:val="0"/>
                <w:color w:val="auto"/>
                <w:kern w:val="0"/>
                <w:sz w:val="21"/>
                <w:szCs w:val="21"/>
                <w:highlight w:val="none"/>
                <w:lang w:val="en-US" w:eastAsia="zh-CN" w:bidi="ar-SA"/>
              </w:rPr>
            </w:pPr>
            <w:r>
              <w:rPr>
                <w:rFonts w:hint="eastAsia" w:ascii="宋体" w:hAnsi="宋体" w:cs="宋体"/>
                <w:snapToGrid w:val="0"/>
                <w:color w:val="auto"/>
                <w:kern w:val="0"/>
                <w:sz w:val="21"/>
                <w:szCs w:val="21"/>
                <w:highlight w:val="none"/>
                <w:lang w:val="en-US" w:eastAsia="zh-CN" w:bidi="ar-SA"/>
              </w:rPr>
              <w:t>20</w:t>
            </w:r>
          </w:p>
        </w:tc>
        <w:tc>
          <w:tcPr>
            <w:tcW w:w="1800" w:type="dxa"/>
            <w:tcBorders>
              <w:top w:val="single" w:color="auto" w:sz="4" w:space="0"/>
            </w:tcBorders>
            <w:noWrap w:val="0"/>
            <w:vAlign w:val="center"/>
          </w:tcPr>
          <w:p w14:paraId="2D412D21">
            <w:pPr>
              <w:snapToGrid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是否提供演示</w:t>
            </w:r>
          </w:p>
        </w:tc>
        <w:tc>
          <w:tcPr>
            <w:tcW w:w="6682" w:type="dxa"/>
            <w:tcBorders>
              <w:top w:val="single" w:color="auto" w:sz="4" w:space="0"/>
            </w:tcBorders>
            <w:noWrap w:val="0"/>
            <w:vAlign w:val="center"/>
          </w:tcPr>
          <w:p w14:paraId="22F69D11">
            <w:pPr>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本项目</w:t>
            </w:r>
            <w:r>
              <w:rPr>
                <w:rFonts w:hint="eastAsia" w:ascii="宋体" w:hAnsi="宋体" w:eastAsia="宋体" w:cs="宋体"/>
                <w:color w:val="auto"/>
                <w:sz w:val="21"/>
                <w:szCs w:val="21"/>
                <w:highlight w:val="none"/>
                <w:u w:val="single"/>
              </w:rPr>
              <w:t>不需要</w:t>
            </w:r>
            <w:r>
              <w:rPr>
                <w:rFonts w:hint="eastAsia" w:ascii="宋体" w:hAnsi="宋体" w:eastAsia="宋体" w:cs="宋体"/>
                <w:color w:val="auto"/>
                <w:sz w:val="21"/>
                <w:szCs w:val="21"/>
                <w:highlight w:val="none"/>
              </w:rPr>
              <w:t>提供演示。</w:t>
            </w:r>
          </w:p>
        </w:tc>
      </w:tr>
      <w:tr w14:paraId="15F4C5E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noWrap w:val="0"/>
            <w:vAlign w:val="center"/>
          </w:tcPr>
          <w:p w14:paraId="6D2030D8">
            <w:pPr>
              <w:snapToGrid w:val="0"/>
              <w:spacing w:line="360" w:lineRule="exact"/>
              <w:jc w:val="center"/>
              <w:rPr>
                <w:rFonts w:hint="eastAsia" w:ascii="宋体" w:hAnsi="宋体" w:eastAsia="宋体" w:cs="宋体"/>
                <w:snapToGrid w:val="0"/>
                <w:color w:val="auto"/>
                <w:kern w:val="0"/>
                <w:sz w:val="21"/>
                <w:szCs w:val="21"/>
                <w:highlight w:val="none"/>
                <w:lang w:val="en-US" w:eastAsia="zh-CN" w:bidi="ar-SA"/>
              </w:rPr>
            </w:pPr>
            <w:r>
              <w:rPr>
                <w:rFonts w:hint="eastAsia" w:ascii="宋体" w:hAnsi="宋体" w:eastAsia="宋体" w:cs="宋体"/>
                <w:snapToGrid w:val="0"/>
                <w:color w:val="auto"/>
                <w:kern w:val="0"/>
                <w:sz w:val="21"/>
                <w:szCs w:val="21"/>
                <w:highlight w:val="none"/>
              </w:rPr>
              <w:t>2</w:t>
            </w:r>
            <w:r>
              <w:rPr>
                <w:rFonts w:hint="eastAsia" w:ascii="宋体" w:hAnsi="宋体" w:cs="宋体"/>
                <w:snapToGrid w:val="0"/>
                <w:color w:val="auto"/>
                <w:kern w:val="0"/>
                <w:sz w:val="21"/>
                <w:szCs w:val="21"/>
                <w:highlight w:val="none"/>
                <w:lang w:val="en-US" w:eastAsia="zh-CN"/>
              </w:rPr>
              <w:t>1</w:t>
            </w:r>
          </w:p>
        </w:tc>
        <w:tc>
          <w:tcPr>
            <w:tcW w:w="1800" w:type="dxa"/>
            <w:noWrap w:val="0"/>
            <w:vAlign w:val="center"/>
          </w:tcPr>
          <w:p w14:paraId="5BB618EF">
            <w:pPr>
              <w:snapToGrid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投标人信用信息查询渠道及截止时点、信用信息查询记录和证据留存的具体方式、信用信息的使用规则</w:t>
            </w:r>
          </w:p>
        </w:tc>
        <w:tc>
          <w:tcPr>
            <w:tcW w:w="6682" w:type="dxa"/>
            <w:noWrap w:val="0"/>
            <w:vAlign w:val="center"/>
          </w:tcPr>
          <w:p w14:paraId="01E9C245">
            <w:pPr>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1、查询渠道：信用中国（网址：http://www.creditchina.gov.cn）、中国政府采购网(网址：http://www.ccgp.gov.cn）。</w:t>
            </w:r>
          </w:p>
          <w:p w14:paraId="09B55C84">
            <w:pPr>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2、截止时点：开标后评标前。</w:t>
            </w:r>
          </w:p>
          <w:p w14:paraId="0CD5B085">
            <w:pPr>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3、信用信息查询记录和证据留存的具体方式：由采购组织机构在规定查询时间内打印信用信息查询记录并归入项目档案。</w:t>
            </w:r>
          </w:p>
          <w:p w14:paraId="44D02CF6">
            <w:pPr>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4、使用规则：对列入失信被执行人、重大税收违法案件当事人名单、政府采购严重违法失信行为记录名单及其他不符合《中华人民共和国政府采购法》第二十二条规定条件的供应商，将被拒绝其参与</w:t>
            </w:r>
            <w:r>
              <w:rPr>
                <w:rFonts w:hint="eastAsia" w:ascii="宋体" w:hAnsi="宋体" w:cs="宋体"/>
                <w:color w:val="auto"/>
                <w:szCs w:val="21"/>
                <w:highlight w:val="none"/>
                <w:lang w:val="en-US" w:eastAsia="zh-CN"/>
              </w:rPr>
              <w:t>村级</w:t>
            </w:r>
            <w:r>
              <w:rPr>
                <w:rFonts w:hint="eastAsia" w:ascii="宋体" w:hAnsi="宋体" w:eastAsia="宋体" w:cs="宋体"/>
                <w:color w:val="auto"/>
                <w:sz w:val="21"/>
                <w:szCs w:val="21"/>
                <w:highlight w:val="none"/>
              </w:rPr>
              <w:t>采购活动。</w:t>
            </w:r>
          </w:p>
        </w:tc>
      </w:tr>
      <w:tr w14:paraId="6932EB3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noWrap w:val="0"/>
            <w:vAlign w:val="center"/>
          </w:tcPr>
          <w:p w14:paraId="06582D2C">
            <w:pPr>
              <w:snapToGrid w:val="0"/>
              <w:spacing w:line="360" w:lineRule="exact"/>
              <w:jc w:val="center"/>
              <w:rPr>
                <w:rFonts w:hint="default" w:ascii="宋体" w:hAnsi="宋体" w:eastAsia="宋体" w:cs="宋体"/>
                <w:snapToGrid w:val="0"/>
                <w:color w:val="auto"/>
                <w:kern w:val="0"/>
                <w:sz w:val="21"/>
                <w:szCs w:val="21"/>
                <w:highlight w:val="none"/>
                <w:lang w:val="en-US" w:eastAsia="zh-CN"/>
              </w:rPr>
            </w:pPr>
            <w:r>
              <w:rPr>
                <w:rFonts w:hint="eastAsia" w:ascii="宋体" w:hAnsi="宋体" w:cs="宋体"/>
                <w:snapToGrid w:val="0"/>
                <w:color w:val="auto"/>
                <w:kern w:val="0"/>
                <w:sz w:val="21"/>
                <w:szCs w:val="21"/>
                <w:highlight w:val="none"/>
                <w:lang w:val="en-US" w:eastAsia="zh-CN"/>
              </w:rPr>
              <w:t>22</w:t>
            </w:r>
          </w:p>
        </w:tc>
        <w:tc>
          <w:tcPr>
            <w:tcW w:w="1800" w:type="dxa"/>
            <w:noWrap w:val="0"/>
            <w:vAlign w:val="center"/>
          </w:tcPr>
          <w:p w14:paraId="364D4A0E">
            <w:pPr>
              <w:snapToGrid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招标代理服务费</w:t>
            </w:r>
          </w:p>
        </w:tc>
        <w:tc>
          <w:tcPr>
            <w:tcW w:w="6682" w:type="dxa"/>
            <w:noWrap w:val="0"/>
            <w:vAlign w:val="center"/>
          </w:tcPr>
          <w:p w14:paraId="7435D132">
            <w:pPr>
              <w:autoSpaceDN w:val="0"/>
              <w:spacing w:line="340" w:lineRule="exact"/>
              <w:rPr>
                <w:color w:val="auto"/>
                <w:highlight w:val="none"/>
              </w:rPr>
            </w:pPr>
            <w:r>
              <w:rPr>
                <w:rFonts w:hint="eastAsia" w:ascii="宋体" w:hAnsi="宋体" w:cs="宋体"/>
                <w:snapToGrid w:val="0"/>
                <w:color w:val="auto"/>
                <w:kern w:val="0"/>
                <w:sz w:val="24"/>
                <w:szCs w:val="22"/>
                <w:highlight w:val="none"/>
              </w:rPr>
              <w:t>招标代理服务费</w:t>
            </w:r>
            <w:r>
              <w:rPr>
                <w:rFonts w:hint="eastAsia" w:ascii="宋体" w:hAnsi="宋体" w:cs="宋体"/>
                <w:snapToGrid w:val="0"/>
                <w:color w:val="auto"/>
                <w:kern w:val="0"/>
                <w:sz w:val="24"/>
                <w:szCs w:val="22"/>
                <w:highlight w:val="none"/>
                <w:lang w:eastAsia="zh-CN"/>
              </w:rPr>
              <w:t>及专家评审费用</w:t>
            </w:r>
            <w:r>
              <w:rPr>
                <w:rFonts w:hint="eastAsia" w:ascii="宋体" w:hAnsi="宋体" w:cs="宋体"/>
                <w:snapToGrid w:val="0"/>
                <w:color w:val="auto"/>
                <w:kern w:val="0"/>
                <w:sz w:val="24"/>
                <w:szCs w:val="22"/>
                <w:highlight w:val="none"/>
              </w:rPr>
              <w:t>由成交供应商支付，</w:t>
            </w:r>
            <w:r>
              <w:rPr>
                <w:rFonts w:hint="eastAsia" w:ascii="宋体" w:hAnsi="宋体" w:cs="宋体"/>
                <w:snapToGrid w:val="0"/>
                <w:color w:val="auto"/>
                <w:kern w:val="0"/>
                <w:sz w:val="24"/>
                <w:szCs w:val="22"/>
                <w:highlight w:val="none"/>
                <w:lang w:eastAsia="zh-CN"/>
              </w:rPr>
              <w:t>招标代理费</w:t>
            </w:r>
            <w:r>
              <w:rPr>
                <w:rFonts w:hint="eastAsia" w:ascii="宋体" w:hAnsi="宋体" w:cs="宋体"/>
                <w:snapToGrid w:val="0"/>
                <w:color w:val="auto"/>
                <w:kern w:val="0"/>
                <w:sz w:val="24"/>
                <w:szCs w:val="22"/>
                <w:highlight w:val="none"/>
              </w:rPr>
              <w:t>按下列服务招标计算方式计取。</w:t>
            </w:r>
          </w:p>
          <w:tbl>
            <w:tblPr>
              <w:tblStyle w:val="30"/>
              <w:tblW w:w="4732" w:type="pct"/>
              <w:jc w:val="center"/>
              <w:tblCellSpacing w:w="0" w:type="dxa"/>
              <w:tblBorders>
                <w:top w:val="outset" w:color="auto" w:sz="6" w:space="0"/>
                <w:left w:val="outset" w:color="auto" w:sz="6" w:space="0"/>
                <w:bottom w:val="outset" w:color="auto" w:sz="6" w:space="0"/>
                <w:right w:val="outset" w:color="auto" w:sz="6" w:space="0"/>
                <w:insideH w:val="none" w:color="auto" w:sz="0" w:space="0"/>
                <w:insideV w:val="none" w:color="auto" w:sz="0" w:space="0"/>
              </w:tblBorders>
              <w:tblLayout w:type="fixed"/>
              <w:tblCellMar>
                <w:top w:w="0" w:type="dxa"/>
                <w:left w:w="0" w:type="dxa"/>
                <w:bottom w:w="0" w:type="dxa"/>
                <w:right w:w="0" w:type="dxa"/>
              </w:tblCellMar>
            </w:tblPr>
            <w:tblGrid>
              <w:gridCol w:w="3102"/>
              <w:gridCol w:w="1007"/>
              <w:gridCol w:w="1007"/>
              <w:gridCol w:w="975"/>
            </w:tblGrid>
            <w:tr w14:paraId="2FB78E8B">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PrEx>
              <w:trPr>
                <w:trHeight w:val="300" w:hRule="atLeast"/>
                <w:tblCellSpacing w:w="0" w:type="dxa"/>
                <w:jc w:val="center"/>
              </w:trPr>
              <w:tc>
                <w:tcPr>
                  <w:tcW w:w="3980" w:type="dxa"/>
                  <w:tcBorders>
                    <w:top w:val="outset" w:color="auto" w:sz="6" w:space="0"/>
                    <w:left w:val="outset" w:color="auto" w:sz="6" w:space="0"/>
                    <w:bottom w:val="outset" w:color="auto" w:sz="6" w:space="0"/>
                    <w:right w:val="outset" w:color="auto" w:sz="6" w:space="0"/>
                  </w:tcBorders>
                  <w:noWrap w:val="0"/>
                  <w:vAlign w:val="center"/>
                </w:tcPr>
                <w:p w14:paraId="30BC5F1D">
                  <w:pPr>
                    <w:jc w:val="center"/>
                    <w:rPr>
                      <w:rFonts w:ascii="宋体" w:hAnsi="宋体" w:cs="宋体"/>
                      <w:color w:val="auto"/>
                      <w:highlight w:val="none"/>
                    </w:rPr>
                  </w:pPr>
                  <w:r>
                    <w:rPr>
                      <w:rFonts w:hint="eastAsia" w:ascii="宋体" w:hAnsi="宋体" w:cs="宋体"/>
                      <w:color w:val="auto"/>
                      <w:highlight w:val="none"/>
                    </w:rPr>
                    <w:t>服务类型 中标金额（万元）</w:t>
                  </w:r>
                </w:p>
              </w:tc>
              <w:tc>
                <w:tcPr>
                  <w:tcW w:w="1291" w:type="dxa"/>
                  <w:tcBorders>
                    <w:top w:val="outset" w:color="auto" w:sz="6" w:space="0"/>
                    <w:left w:val="outset" w:color="auto" w:sz="6" w:space="0"/>
                    <w:bottom w:val="outset" w:color="auto" w:sz="6" w:space="0"/>
                    <w:right w:val="outset" w:color="auto" w:sz="6" w:space="0"/>
                  </w:tcBorders>
                  <w:noWrap w:val="0"/>
                  <w:vAlign w:val="center"/>
                </w:tcPr>
                <w:p w14:paraId="6F5031C8">
                  <w:pPr>
                    <w:pStyle w:val="27"/>
                    <w:jc w:val="center"/>
                    <w:rPr>
                      <w:color w:val="auto"/>
                      <w:sz w:val="21"/>
                      <w:szCs w:val="21"/>
                      <w:highlight w:val="none"/>
                    </w:rPr>
                  </w:pPr>
                  <w:r>
                    <w:rPr>
                      <w:rFonts w:hint="eastAsia"/>
                      <w:color w:val="auto"/>
                      <w:sz w:val="21"/>
                      <w:szCs w:val="21"/>
                      <w:highlight w:val="none"/>
                    </w:rPr>
                    <w:t>货物招标</w:t>
                  </w:r>
                </w:p>
              </w:tc>
              <w:tc>
                <w:tcPr>
                  <w:tcW w:w="1291" w:type="dxa"/>
                  <w:tcBorders>
                    <w:top w:val="outset" w:color="auto" w:sz="6" w:space="0"/>
                    <w:left w:val="outset" w:color="auto" w:sz="6" w:space="0"/>
                    <w:bottom w:val="outset" w:color="auto" w:sz="6" w:space="0"/>
                    <w:right w:val="outset" w:color="auto" w:sz="6" w:space="0"/>
                  </w:tcBorders>
                  <w:noWrap w:val="0"/>
                  <w:vAlign w:val="center"/>
                </w:tcPr>
                <w:p w14:paraId="1DB88D09">
                  <w:pPr>
                    <w:jc w:val="center"/>
                    <w:rPr>
                      <w:rFonts w:ascii="宋体" w:hAnsi="宋体" w:cs="宋体"/>
                      <w:color w:val="auto"/>
                      <w:highlight w:val="none"/>
                    </w:rPr>
                  </w:pPr>
                  <w:r>
                    <w:rPr>
                      <w:rFonts w:hint="eastAsia" w:ascii="宋体" w:hAnsi="宋体" w:cs="宋体"/>
                      <w:color w:val="auto"/>
                      <w:highlight w:val="none"/>
                    </w:rPr>
                    <w:t>服务招标</w:t>
                  </w:r>
                </w:p>
              </w:tc>
              <w:tc>
                <w:tcPr>
                  <w:tcW w:w="1250" w:type="dxa"/>
                  <w:tcBorders>
                    <w:top w:val="outset" w:color="auto" w:sz="6" w:space="0"/>
                    <w:left w:val="outset" w:color="auto" w:sz="6" w:space="0"/>
                    <w:bottom w:val="outset" w:color="auto" w:sz="6" w:space="0"/>
                    <w:right w:val="outset" w:color="auto" w:sz="6" w:space="0"/>
                  </w:tcBorders>
                  <w:noWrap w:val="0"/>
                  <w:vAlign w:val="center"/>
                </w:tcPr>
                <w:p w14:paraId="0809EB9B">
                  <w:pPr>
                    <w:jc w:val="center"/>
                    <w:rPr>
                      <w:rFonts w:ascii="宋体" w:hAnsi="宋体" w:cs="宋体"/>
                      <w:color w:val="auto"/>
                      <w:highlight w:val="none"/>
                    </w:rPr>
                  </w:pPr>
                  <w:r>
                    <w:rPr>
                      <w:rFonts w:hint="eastAsia" w:ascii="宋体" w:hAnsi="宋体" w:cs="宋体"/>
                      <w:color w:val="auto"/>
                      <w:highlight w:val="none"/>
                    </w:rPr>
                    <w:t>工程招标</w:t>
                  </w:r>
                </w:p>
              </w:tc>
            </w:tr>
            <w:tr w14:paraId="5F511554">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210" w:hRule="atLeast"/>
                <w:tblCellSpacing w:w="0" w:type="dxa"/>
                <w:jc w:val="center"/>
              </w:trPr>
              <w:tc>
                <w:tcPr>
                  <w:tcW w:w="3980" w:type="dxa"/>
                  <w:tcBorders>
                    <w:top w:val="outset" w:color="auto" w:sz="6" w:space="0"/>
                    <w:left w:val="outset" w:color="auto" w:sz="6" w:space="0"/>
                    <w:bottom w:val="outset" w:color="auto" w:sz="6" w:space="0"/>
                    <w:right w:val="outset" w:color="auto" w:sz="6" w:space="0"/>
                  </w:tcBorders>
                  <w:noWrap w:val="0"/>
                  <w:vAlign w:val="center"/>
                </w:tcPr>
                <w:p w14:paraId="3CF6A332">
                  <w:pPr>
                    <w:jc w:val="center"/>
                    <w:rPr>
                      <w:rFonts w:ascii="宋体" w:hAnsi="宋体" w:cs="宋体"/>
                      <w:color w:val="auto"/>
                      <w:highlight w:val="none"/>
                    </w:rPr>
                  </w:pPr>
                  <w:r>
                    <w:rPr>
                      <w:rFonts w:hint="eastAsia" w:ascii="宋体" w:hAnsi="宋体" w:cs="宋体"/>
                      <w:color w:val="auto"/>
                      <w:highlight w:val="none"/>
                    </w:rPr>
                    <w:t>100以下</w:t>
                  </w:r>
                </w:p>
              </w:tc>
              <w:tc>
                <w:tcPr>
                  <w:tcW w:w="1291" w:type="dxa"/>
                  <w:tcBorders>
                    <w:top w:val="outset" w:color="auto" w:sz="6" w:space="0"/>
                    <w:left w:val="outset" w:color="auto" w:sz="6" w:space="0"/>
                    <w:bottom w:val="outset" w:color="auto" w:sz="6" w:space="0"/>
                    <w:right w:val="outset" w:color="auto" w:sz="6" w:space="0"/>
                  </w:tcBorders>
                  <w:noWrap w:val="0"/>
                  <w:vAlign w:val="center"/>
                </w:tcPr>
                <w:p w14:paraId="131EA1C3">
                  <w:pPr>
                    <w:jc w:val="center"/>
                    <w:rPr>
                      <w:rFonts w:ascii="宋体" w:hAnsi="宋体" w:cs="宋体"/>
                      <w:color w:val="auto"/>
                      <w:highlight w:val="none"/>
                    </w:rPr>
                  </w:pPr>
                  <w:r>
                    <w:rPr>
                      <w:rFonts w:hint="eastAsia" w:ascii="宋体" w:hAnsi="宋体" w:cs="宋体"/>
                      <w:color w:val="auto"/>
                      <w:highlight w:val="none"/>
                    </w:rPr>
                    <w:t>1.5％</w:t>
                  </w:r>
                </w:p>
              </w:tc>
              <w:tc>
                <w:tcPr>
                  <w:tcW w:w="1291" w:type="dxa"/>
                  <w:tcBorders>
                    <w:top w:val="outset" w:color="auto" w:sz="6" w:space="0"/>
                    <w:left w:val="outset" w:color="auto" w:sz="6" w:space="0"/>
                    <w:bottom w:val="outset" w:color="auto" w:sz="6" w:space="0"/>
                    <w:right w:val="outset" w:color="auto" w:sz="6" w:space="0"/>
                  </w:tcBorders>
                  <w:noWrap w:val="0"/>
                  <w:vAlign w:val="center"/>
                </w:tcPr>
                <w:p w14:paraId="668FCB1E">
                  <w:pPr>
                    <w:jc w:val="center"/>
                    <w:rPr>
                      <w:rFonts w:ascii="宋体" w:hAnsi="宋体" w:cs="宋体"/>
                      <w:color w:val="auto"/>
                      <w:highlight w:val="none"/>
                    </w:rPr>
                  </w:pPr>
                  <w:r>
                    <w:rPr>
                      <w:rFonts w:hint="eastAsia" w:ascii="宋体" w:hAnsi="宋体" w:cs="宋体"/>
                      <w:color w:val="auto"/>
                      <w:highlight w:val="none"/>
                    </w:rPr>
                    <w:t>1.5％</w:t>
                  </w:r>
                </w:p>
              </w:tc>
              <w:tc>
                <w:tcPr>
                  <w:tcW w:w="1250" w:type="dxa"/>
                  <w:tcBorders>
                    <w:top w:val="outset" w:color="auto" w:sz="6" w:space="0"/>
                    <w:left w:val="outset" w:color="auto" w:sz="6" w:space="0"/>
                    <w:bottom w:val="outset" w:color="auto" w:sz="6" w:space="0"/>
                    <w:right w:val="outset" w:color="auto" w:sz="6" w:space="0"/>
                  </w:tcBorders>
                  <w:noWrap w:val="0"/>
                  <w:vAlign w:val="center"/>
                </w:tcPr>
                <w:p w14:paraId="2B8B5A0F">
                  <w:pPr>
                    <w:jc w:val="center"/>
                    <w:rPr>
                      <w:rFonts w:ascii="宋体" w:hAnsi="宋体" w:cs="宋体"/>
                      <w:color w:val="auto"/>
                      <w:highlight w:val="none"/>
                    </w:rPr>
                  </w:pPr>
                  <w:r>
                    <w:rPr>
                      <w:rFonts w:hint="eastAsia" w:ascii="宋体" w:hAnsi="宋体" w:cs="宋体"/>
                      <w:color w:val="auto"/>
                      <w:highlight w:val="none"/>
                    </w:rPr>
                    <w:t>1.0％</w:t>
                  </w:r>
                </w:p>
              </w:tc>
            </w:tr>
            <w:tr w14:paraId="1075FB9F">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210" w:hRule="atLeast"/>
                <w:tblCellSpacing w:w="0" w:type="dxa"/>
                <w:jc w:val="center"/>
              </w:trPr>
              <w:tc>
                <w:tcPr>
                  <w:tcW w:w="3980" w:type="dxa"/>
                  <w:tcBorders>
                    <w:top w:val="outset" w:color="auto" w:sz="6" w:space="0"/>
                    <w:left w:val="outset" w:color="auto" w:sz="6" w:space="0"/>
                    <w:bottom w:val="outset" w:color="auto" w:sz="6" w:space="0"/>
                    <w:right w:val="outset" w:color="auto" w:sz="6" w:space="0"/>
                  </w:tcBorders>
                  <w:noWrap w:val="0"/>
                  <w:vAlign w:val="center"/>
                </w:tcPr>
                <w:p w14:paraId="211F3F93">
                  <w:pPr>
                    <w:jc w:val="center"/>
                    <w:rPr>
                      <w:rFonts w:ascii="宋体" w:hAnsi="宋体" w:cs="宋体"/>
                      <w:color w:val="auto"/>
                      <w:highlight w:val="none"/>
                    </w:rPr>
                  </w:pPr>
                  <w:r>
                    <w:rPr>
                      <w:rFonts w:hint="eastAsia" w:ascii="宋体" w:hAnsi="宋体" w:cs="宋体"/>
                      <w:color w:val="auto"/>
                      <w:highlight w:val="none"/>
                    </w:rPr>
                    <w:t>100—500</w:t>
                  </w:r>
                </w:p>
              </w:tc>
              <w:tc>
                <w:tcPr>
                  <w:tcW w:w="1291" w:type="dxa"/>
                  <w:tcBorders>
                    <w:top w:val="outset" w:color="auto" w:sz="6" w:space="0"/>
                    <w:left w:val="outset" w:color="auto" w:sz="6" w:space="0"/>
                    <w:bottom w:val="outset" w:color="auto" w:sz="6" w:space="0"/>
                    <w:right w:val="outset" w:color="auto" w:sz="6" w:space="0"/>
                  </w:tcBorders>
                  <w:noWrap w:val="0"/>
                  <w:vAlign w:val="center"/>
                </w:tcPr>
                <w:p w14:paraId="0640F154">
                  <w:pPr>
                    <w:jc w:val="center"/>
                    <w:rPr>
                      <w:rFonts w:ascii="宋体" w:hAnsi="宋体" w:cs="宋体"/>
                      <w:color w:val="auto"/>
                      <w:highlight w:val="none"/>
                    </w:rPr>
                  </w:pPr>
                  <w:r>
                    <w:rPr>
                      <w:rFonts w:hint="eastAsia" w:ascii="宋体" w:hAnsi="宋体" w:cs="宋体"/>
                      <w:color w:val="auto"/>
                      <w:highlight w:val="none"/>
                    </w:rPr>
                    <w:t>1.1％</w:t>
                  </w:r>
                </w:p>
              </w:tc>
              <w:tc>
                <w:tcPr>
                  <w:tcW w:w="1291" w:type="dxa"/>
                  <w:tcBorders>
                    <w:top w:val="outset" w:color="auto" w:sz="6" w:space="0"/>
                    <w:left w:val="outset" w:color="auto" w:sz="6" w:space="0"/>
                    <w:bottom w:val="outset" w:color="auto" w:sz="6" w:space="0"/>
                    <w:right w:val="outset" w:color="auto" w:sz="6" w:space="0"/>
                  </w:tcBorders>
                  <w:noWrap w:val="0"/>
                  <w:vAlign w:val="center"/>
                </w:tcPr>
                <w:p w14:paraId="604D0132">
                  <w:pPr>
                    <w:jc w:val="center"/>
                    <w:rPr>
                      <w:rFonts w:ascii="宋体" w:hAnsi="宋体" w:cs="宋体"/>
                      <w:color w:val="auto"/>
                      <w:highlight w:val="none"/>
                    </w:rPr>
                  </w:pPr>
                  <w:r>
                    <w:rPr>
                      <w:rFonts w:hint="eastAsia" w:ascii="宋体" w:hAnsi="宋体" w:cs="宋体"/>
                      <w:color w:val="auto"/>
                      <w:highlight w:val="none"/>
                    </w:rPr>
                    <w:t>0.8％</w:t>
                  </w:r>
                </w:p>
              </w:tc>
              <w:tc>
                <w:tcPr>
                  <w:tcW w:w="1250" w:type="dxa"/>
                  <w:tcBorders>
                    <w:top w:val="outset" w:color="auto" w:sz="6" w:space="0"/>
                    <w:left w:val="outset" w:color="auto" w:sz="6" w:space="0"/>
                    <w:bottom w:val="outset" w:color="auto" w:sz="6" w:space="0"/>
                    <w:right w:val="outset" w:color="auto" w:sz="6" w:space="0"/>
                  </w:tcBorders>
                  <w:noWrap w:val="0"/>
                  <w:vAlign w:val="center"/>
                </w:tcPr>
                <w:p w14:paraId="3CBE9EDC">
                  <w:pPr>
                    <w:jc w:val="center"/>
                    <w:rPr>
                      <w:rFonts w:ascii="宋体" w:hAnsi="宋体" w:cs="宋体"/>
                      <w:color w:val="auto"/>
                      <w:highlight w:val="none"/>
                    </w:rPr>
                  </w:pPr>
                  <w:r>
                    <w:rPr>
                      <w:rFonts w:hint="eastAsia" w:ascii="宋体" w:hAnsi="宋体" w:cs="宋体"/>
                      <w:color w:val="auto"/>
                      <w:highlight w:val="none"/>
                    </w:rPr>
                    <w:t>0.7％</w:t>
                  </w:r>
                </w:p>
              </w:tc>
            </w:tr>
          </w:tbl>
          <w:p w14:paraId="4528982E">
            <w:pPr>
              <w:spacing w:line="340" w:lineRule="exact"/>
              <w:ind w:firstLine="420" w:firstLineChars="200"/>
              <w:rPr>
                <w:rFonts w:hint="eastAsia" w:ascii="宋体" w:hAnsi="宋体" w:eastAsia="宋体" w:cs="宋体"/>
                <w:color w:val="auto"/>
                <w:sz w:val="21"/>
                <w:szCs w:val="21"/>
                <w:highlight w:val="none"/>
              </w:rPr>
            </w:pPr>
            <w:r>
              <w:rPr>
                <w:rFonts w:hint="eastAsia" w:ascii="宋体" w:hAnsi="宋体" w:cs="宋体"/>
                <w:snapToGrid w:val="0"/>
                <w:color w:val="auto"/>
                <w:kern w:val="0"/>
                <w:highlight w:val="none"/>
              </w:rPr>
              <w:t>结算方式及时间为：在领取中标通知书前由成交供应商一次性向采购代理机构付清。</w:t>
            </w:r>
          </w:p>
        </w:tc>
      </w:tr>
      <w:tr w14:paraId="490F81E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noWrap w:val="0"/>
            <w:vAlign w:val="center"/>
          </w:tcPr>
          <w:p w14:paraId="10FEB61E">
            <w:pPr>
              <w:snapToGrid w:val="0"/>
              <w:spacing w:line="360" w:lineRule="exact"/>
              <w:jc w:val="center"/>
              <w:rPr>
                <w:rFonts w:hint="default" w:ascii="宋体" w:hAnsi="宋体" w:eastAsia="宋体" w:cs="宋体"/>
                <w:snapToGrid w:val="0"/>
                <w:color w:val="auto"/>
                <w:kern w:val="0"/>
                <w:sz w:val="21"/>
                <w:szCs w:val="21"/>
                <w:highlight w:val="none"/>
                <w:lang w:val="en-US" w:eastAsia="zh-CN" w:bidi="ar-SA"/>
              </w:rPr>
            </w:pPr>
            <w:r>
              <w:rPr>
                <w:rFonts w:hint="eastAsia" w:ascii="宋体" w:hAnsi="宋体" w:eastAsia="宋体" w:cs="宋体"/>
                <w:snapToGrid w:val="0"/>
                <w:color w:val="auto"/>
                <w:kern w:val="0"/>
                <w:sz w:val="21"/>
                <w:szCs w:val="21"/>
                <w:highlight w:val="none"/>
                <w:lang w:val="en-US" w:eastAsia="zh-CN" w:bidi="ar-SA"/>
              </w:rPr>
              <w:t>2</w:t>
            </w:r>
            <w:r>
              <w:rPr>
                <w:rFonts w:hint="eastAsia" w:ascii="宋体" w:hAnsi="宋体" w:cs="宋体"/>
                <w:snapToGrid w:val="0"/>
                <w:color w:val="auto"/>
                <w:kern w:val="0"/>
                <w:sz w:val="21"/>
                <w:szCs w:val="21"/>
                <w:highlight w:val="none"/>
                <w:lang w:val="en-US" w:eastAsia="zh-CN" w:bidi="ar-SA"/>
              </w:rPr>
              <w:t>3</w:t>
            </w:r>
          </w:p>
        </w:tc>
        <w:tc>
          <w:tcPr>
            <w:tcW w:w="1800" w:type="dxa"/>
            <w:noWrap w:val="0"/>
            <w:vAlign w:val="center"/>
          </w:tcPr>
          <w:p w14:paraId="12E58F59">
            <w:pPr>
              <w:snapToGrid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其他</w:t>
            </w:r>
          </w:p>
        </w:tc>
        <w:tc>
          <w:tcPr>
            <w:tcW w:w="6682" w:type="dxa"/>
            <w:noWrap w:val="0"/>
            <w:vAlign w:val="center"/>
          </w:tcPr>
          <w:p w14:paraId="084B0F0F">
            <w:pPr>
              <w:ind w:firstLine="420" w:firstLineChars="200"/>
              <w:rPr>
                <w:rFonts w:hint="eastAsia"/>
                <w:color w:val="auto"/>
                <w:highlight w:val="none"/>
              </w:rPr>
            </w:pPr>
            <w:r>
              <w:rPr>
                <w:rFonts w:hint="eastAsia"/>
                <w:color w:val="auto"/>
                <w:highlight w:val="none"/>
              </w:rPr>
              <w:t>本招标文件要求提供的身份证</w:t>
            </w:r>
            <w:r>
              <w:rPr>
                <w:rFonts w:hint="eastAsia"/>
                <w:color w:val="auto"/>
                <w:highlight w:val="none"/>
                <w:lang w:eastAsia="zh-CN"/>
              </w:rPr>
              <w:t>扫描件</w:t>
            </w:r>
            <w:r>
              <w:rPr>
                <w:rFonts w:hint="eastAsia"/>
                <w:color w:val="auto"/>
                <w:highlight w:val="none"/>
              </w:rPr>
              <w:t>皆需提供正反面，否则按不提供处理。</w:t>
            </w:r>
          </w:p>
          <w:p w14:paraId="371155E3">
            <w:pPr>
              <w:pStyle w:val="4"/>
              <w:ind w:firstLine="420" w:firstLineChars="200"/>
              <w:rPr>
                <w:rFonts w:hint="eastAsia"/>
                <w:color w:val="auto"/>
                <w:highlight w:val="none"/>
              </w:rPr>
            </w:pPr>
            <w:r>
              <w:rPr>
                <w:rFonts w:hint="eastAsia" w:ascii="Times New Roman" w:hAnsi="Times New Roman" w:eastAsia="宋体" w:cs="Times New Roman"/>
                <w:b w:val="0"/>
                <w:color w:val="auto"/>
                <w:kern w:val="2"/>
                <w:sz w:val="21"/>
                <w:szCs w:val="24"/>
                <w:highlight w:val="none"/>
                <w:lang w:val="en-US" w:eastAsia="zh-CN" w:bidi="ar-SA"/>
              </w:rPr>
              <w:t>本项目货物如涉及柴油动力移动源，柴油动力移动源应当符合低排放要求。</w:t>
            </w:r>
          </w:p>
        </w:tc>
      </w:tr>
    </w:tbl>
    <w:p w14:paraId="0222C8F7">
      <w:pPr>
        <w:pStyle w:val="43"/>
        <w:spacing w:before="0"/>
        <w:ind w:firstLine="486"/>
        <w:rPr>
          <w:rFonts w:hint="eastAsia" w:ascii="宋体" w:hAnsi="宋体" w:eastAsia="宋体" w:cs="宋体"/>
          <w:sz w:val="21"/>
          <w:szCs w:val="21"/>
          <w:highlight w:val="none"/>
        </w:rPr>
      </w:pPr>
      <w:r>
        <w:rPr>
          <w:rFonts w:hint="eastAsia" w:ascii="宋体" w:hAnsi="宋体" w:eastAsia="宋体" w:cs="宋体"/>
          <w:sz w:val="21"/>
          <w:szCs w:val="21"/>
          <w:highlight w:val="none"/>
        </w:rPr>
        <w:t>注：以上内容如有变化将另行通知。如通知其中某一内容发生变化，其余未提及的将不作变动。</w:t>
      </w:r>
    </w:p>
    <w:p w14:paraId="2D8CC316">
      <w:pPr>
        <w:snapToGrid w:val="0"/>
        <w:spacing w:line="360" w:lineRule="auto"/>
        <w:jc w:val="center"/>
        <w:outlineLvl w:val="1"/>
        <w:rPr>
          <w:rFonts w:hint="eastAsia" w:ascii="宋体" w:hAnsi="宋体" w:eastAsia="宋体" w:cs="宋体"/>
          <w:b/>
          <w:sz w:val="32"/>
          <w:highlight w:val="none"/>
        </w:rPr>
      </w:pPr>
      <w:r>
        <w:rPr>
          <w:rFonts w:hint="eastAsia" w:ascii="宋体" w:hAnsi="宋体" w:eastAsia="宋体" w:cs="宋体"/>
          <w:b/>
          <w:sz w:val="32"/>
          <w:szCs w:val="20"/>
          <w:highlight w:val="none"/>
        </w:rPr>
        <w:br w:type="page"/>
      </w:r>
      <w:bookmarkStart w:id="21" w:name="_Toc18210"/>
      <w:bookmarkStart w:id="22" w:name="_Toc10200"/>
      <w:bookmarkStart w:id="23" w:name="_Toc1496"/>
      <w:r>
        <w:rPr>
          <w:rFonts w:hint="eastAsia" w:ascii="宋体" w:hAnsi="宋体" w:eastAsia="宋体" w:cs="宋体"/>
          <w:b/>
          <w:sz w:val="32"/>
          <w:highlight w:val="none"/>
        </w:rPr>
        <w:t>一、总则</w:t>
      </w:r>
      <w:bookmarkEnd w:id="9"/>
      <w:bookmarkEnd w:id="21"/>
      <w:bookmarkEnd w:id="22"/>
      <w:bookmarkEnd w:id="23"/>
    </w:p>
    <w:p w14:paraId="436018A8">
      <w:pPr>
        <w:pStyle w:val="16"/>
        <w:numPr>
          <w:ilvl w:val="0"/>
          <w:numId w:val="9"/>
        </w:numPr>
        <w:spacing w:line="360" w:lineRule="auto"/>
        <w:ind w:left="0" w:leftChars="0" w:firstLine="482" w:firstLineChars="200"/>
        <w:outlineLvl w:val="2"/>
        <w:rPr>
          <w:rFonts w:hint="eastAsia" w:ascii="宋体" w:hAnsi="宋体" w:eastAsia="宋体" w:cs="宋体"/>
          <w:b/>
          <w:sz w:val="24"/>
          <w:szCs w:val="24"/>
          <w:highlight w:val="none"/>
        </w:rPr>
      </w:pPr>
      <w:bookmarkStart w:id="24" w:name="_Hlt74714665"/>
      <w:bookmarkEnd w:id="24"/>
      <w:bookmarkStart w:id="25" w:name="_Hlt74730295"/>
      <w:bookmarkEnd w:id="25"/>
      <w:bookmarkStart w:id="26" w:name="_Toc27070"/>
      <w:bookmarkStart w:id="27" w:name="_Toc6344"/>
      <w:bookmarkStart w:id="28" w:name="_Toc91899872"/>
      <w:bookmarkStart w:id="29" w:name="_Hlt74730112"/>
      <w:bookmarkStart w:id="30" w:name="_Hlt74730208"/>
      <w:r>
        <w:rPr>
          <w:rFonts w:hint="eastAsia" w:ascii="宋体" w:hAnsi="宋体" w:eastAsia="宋体" w:cs="宋体"/>
          <w:b/>
          <w:sz w:val="24"/>
          <w:szCs w:val="24"/>
          <w:highlight w:val="none"/>
        </w:rPr>
        <w:t>项目说明</w:t>
      </w:r>
      <w:bookmarkEnd w:id="26"/>
      <w:bookmarkEnd w:id="27"/>
      <w:bookmarkEnd w:id="28"/>
    </w:p>
    <w:p w14:paraId="58140CF6">
      <w:pPr>
        <w:pStyle w:val="43"/>
        <w:keepNext w:val="0"/>
        <w:keepLines w:val="0"/>
        <w:pageBreakBefore w:val="0"/>
        <w:widowControl w:val="0"/>
        <w:numPr>
          <w:ilvl w:val="0"/>
          <w:numId w:val="10"/>
        </w:numPr>
        <w:tabs>
          <w:tab w:val="left" w:pos="0"/>
        </w:tabs>
        <w:kinsoku/>
        <w:wordWrap/>
        <w:overflowPunct/>
        <w:topLinePunct w:val="0"/>
        <w:autoSpaceDE/>
        <w:autoSpaceDN/>
        <w:bidi w:val="0"/>
        <w:adjustRightInd w:val="0"/>
        <w:snapToGrid/>
        <w:spacing w:before="0"/>
        <w:ind w:left="0" w:leftChars="0" w:firstLine="480" w:firstLineChars="200"/>
        <w:textAlignment w:val="auto"/>
        <w:rPr>
          <w:rFonts w:hint="eastAsia" w:ascii="宋体" w:hAnsi="宋体" w:eastAsia="宋体" w:cs="宋体"/>
          <w:szCs w:val="24"/>
          <w:highlight w:val="none"/>
        </w:rPr>
      </w:pPr>
      <w:r>
        <w:rPr>
          <w:rFonts w:hint="eastAsia" w:ascii="宋体" w:hAnsi="宋体" w:eastAsia="宋体" w:cs="宋体"/>
          <w:szCs w:val="24"/>
          <w:highlight w:val="none"/>
        </w:rPr>
        <w:t>项目说明见前附表所述。投标人一旦参与本次招标活动，即被视为接受了本招标文件的所有内容，如有任何异议，均已在法定时间内提出。</w:t>
      </w:r>
    </w:p>
    <w:p w14:paraId="42477AD6">
      <w:pPr>
        <w:pStyle w:val="43"/>
        <w:keepNext w:val="0"/>
        <w:keepLines w:val="0"/>
        <w:pageBreakBefore w:val="0"/>
        <w:widowControl w:val="0"/>
        <w:numPr>
          <w:ilvl w:val="0"/>
          <w:numId w:val="10"/>
        </w:numPr>
        <w:tabs>
          <w:tab w:val="left" w:pos="0"/>
        </w:tabs>
        <w:kinsoku/>
        <w:wordWrap/>
        <w:overflowPunct/>
        <w:topLinePunct w:val="0"/>
        <w:autoSpaceDE/>
        <w:autoSpaceDN/>
        <w:bidi w:val="0"/>
        <w:adjustRightInd w:val="0"/>
        <w:snapToGrid/>
        <w:spacing w:before="0"/>
        <w:ind w:left="0" w:leftChars="0" w:firstLine="480" w:firstLineChars="200"/>
        <w:textAlignment w:val="auto"/>
        <w:rPr>
          <w:rFonts w:hint="eastAsia" w:ascii="宋体" w:hAnsi="宋体" w:eastAsia="宋体" w:cs="宋体"/>
          <w:szCs w:val="24"/>
          <w:highlight w:val="none"/>
        </w:rPr>
      </w:pPr>
      <w:r>
        <w:rPr>
          <w:rFonts w:hint="eastAsia" w:ascii="宋体" w:hAnsi="宋体" w:eastAsia="宋体" w:cs="宋体"/>
          <w:szCs w:val="24"/>
          <w:highlight w:val="none"/>
        </w:rPr>
        <w:t>投标人须对所投方案、技术、服务等拥有合法的占有和处置权，并对涉及项目的所有内容可能侵权行为指控负责，保证不伤害采购人的利益。在法律范围内，如果出现文字、图片、商标和技术等侵权行为而造成的纠纷和产生的一切费用，采购人概不负责，由此给采购人造成损失的，</w:t>
      </w:r>
      <w:r>
        <w:rPr>
          <w:rFonts w:hint="eastAsia" w:ascii="宋体" w:hAnsi="宋体" w:eastAsia="宋体" w:cs="宋体"/>
          <w:szCs w:val="24"/>
          <w:highlight w:val="none"/>
          <w:lang w:val="zh-CN"/>
        </w:rPr>
        <w:t>供应商</w:t>
      </w:r>
      <w:r>
        <w:rPr>
          <w:rFonts w:hint="eastAsia" w:ascii="宋体" w:hAnsi="宋体" w:eastAsia="宋体" w:cs="宋体"/>
          <w:szCs w:val="24"/>
          <w:highlight w:val="none"/>
        </w:rPr>
        <w:t>应承担相应后果，</w:t>
      </w:r>
      <w:r>
        <w:rPr>
          <w:rFonts w:hint="eastAsia" w:ascii="宋体" w:hAnsi="宋体" w:eastAsia="宋体" w:cs="宋体"/>
          <w:szCs w:val="24"/>
          <w:highlight w:val="none"/>
          <w:lang w:val="zh-CN"/>
        </w:rPr>
        <w:t>并负责赔偿。</w:t>
      </w:r>
      <w:r>
        <w:rPr>
          <w:rFonts w:hint="eastAsia" w:ascii="宋体" w:hAnsi="宋体" w:eastAsia="宋体" w:cs="宋体"/>
          <w:szCs w:val="24"/>
          <w:highlight w:val="none"/>
        </w:rPr>
        <w:t>供应商为执行本项目合同而提供的技术资料等归采购人所有。</w:t>
      </w:r>
    </w:p>
    <w:p w14:paraId="04BB19C3">
      <w:pPr>
        <w:snapToGrid w:val="0"/>
        <w:spacing w:line="440" w:lineRule="exact"/>
        <w:ind w:firstLine="480" w:firstLineChars="200"/>
        <w:jc w:val="left"/>
        <w:rPr>
          <w:rFonts w:hint="eastAsia" w:ascii="宋体" w:hAnsi="宋体" w:eastAsia="宋体" w:cs="宋体"/>
          <w:kern w:val="2"/>
          <w:sz w:val="24"/>
          <w:szCs w:val="24"/>
          <w:highlight w:val="none"/>
          <w:lang w:val="en-US" w:eastAsia="zh-CN" w:bidi="ar-SA"/>
        </w:rPr>
      </w:pPr>
      <w:bookmarkStart w:id="31" w:name="_Toc91899873"/>
      <w:r>
        <w:rPr>
          <w:rFonts w:hint="eastAsia" w:ascii="宋体" w:hAnsi="宋体" w:eastAsia="宋体" w:cs="宋体"/>
          <w:kern w:val="2"/>
          <w:sz w:val="24"/>
          <w:szCs w:val="24"/>
          <w:highlight w:val="none"/>
          <w:lang w:val="en-US" w:eastAsia="zh-CN" w:bidi="ar-SA"/>
        </w:rPr>
        <w:t>1.3本招标文件所称公章是指单位法定名称章或者冠以单位法定名称的电子公章。</w:t>
      </w:r>
    </w:p>
    <w:p w14:paraId="61FB4469">
      <w:pPr>
        <w:snapToGrid w:val="0"/>
        <w:spacing w:line="440" w:lineRule="exact"/>
        <w:ind w:firstLine="480" w:firstLineChars="200"/>
        <w:jc w:val="left"/>
        <w:rPr>
          <w:rFonts w:hint="eastAsia" w:ascii="宋体" w:hAnsi="宋体" w:eastAsia="宋体" w:cs="宋体"/>
          <w:i w:val="0"/>
          <w:iCs w:val="0"/>
          <w:strike w:val="0"/>
          <w:dstrike w:val="0"/>
          <w:color w:val="auto"/>
          <w:sz w:val="24"/>
          <w:szCs w:val="24"/>
          <w:highlight w:val="none"/>
        </w:rPr>
      </w:pPr>
      <w:r>
        <w:rPr>
          <w:rFonts w:hint="eastAsia" w:ascii="宋体" w:hAnsi="宋体" w:eastAsia="宋体" w:cs="宋体"/>
          <w:kern w:val="2"/>
          <w:sz w:val="24"/>
          <w:szCs w:val="24"/>
          <w:highlight w:val="none"/>
          <w:lang w:val="en-US" w:eastAsia="zh-CN" w:bidi="ar-SA"/>
        </w:rPr>
        <w:t>1.4</w:t>
      </w:r>
      <w:r>
        <w:rPr>
          <w:rFonts w:hint="eastAsia" w:ascii="宋体" w:hAnsi="宋体" w:eastAsia="宋体" w:cs="宋体"/>
          <w:i w:val="0"/>
          <w:iCs w:val="0"/>
          <w:strike w:val="0"/>
          <w:dstrike w:val="0"/>
          <w:color w:val="auto"/>
          <w:sz w:val="24"/>
          <w:szCs w:val="24"/>
          <w:highlight w:val="none"/>
        </w:rPr>
        <w:t>公开招标数额标准以上的采购项目，投标截止后投标人不足3家或者通过资格审查或符合性审查的投标人不足3家的，除采购任务取消情形外，按照以下方式处理：</w:t>
      </w:r>
    </w:p>
    <w:p w14:paraId="6DA2A035">
      <w:pPr>
        <w:pStyle w:val="43"/>
        <w:numPr>
          <w:ilvl w:val="0"/>
          <w:numId w:val="11"/>
        </w:numPr>
        <w:spacing w:before="0"/>
        <w:ind w:left="0" w:leftChars="0" w:firstLine="480" w:firstLineChars="200"/>
        <w:rPr>
          <w:rFonts w:hint="eastAsia" w:ascii="宋体" w:hAnsi="宋体" w:eastAsia="宋体" w:cs="宋体"/>
          <w:i w:val="0"/>
          <w:iCs w:val="0"/>
          <w:strike w:val="0"/>
          <w:dstrike w:val="0"/>
          <w:color w:val="auto"/>
          <w:sz w:val="24"/>
          <w:szCs w:val="24"/>
          <w:highlight w:val="none"/>
        </w:rPr>
      </w:pPr>
      <w:r>
        <w:rPr>
          <w:rFonts w:hint="eastAsia" w:ascii="宋体" w:hAnsi="宋体" w:eastAsia="宋体" w:cs="宋体"/>
          <w:i w:val="0"/>
          <w:iCs w:val="0"/>
          <w:strike w:val="0"/>
          <w:dstrike w:val="0"/>
          <w:color w:val="auto"/>
          <w:sz w:val="24"/>
          <w:szCs w:val="24"/>
          <w:highlight w:val="none"/>
        </w:rPr>
        <w:t>招标文件存在不合理条款或者招标程序不符合规定的，采购人、采购代理机构改正后依法重新招标；</w:t>
      </w:r>
    </w:p>
    <w:p w14:paraId="51CA2AE4">
      <w:pPr>
        <w:pStyle w:val="43"/>
        <w:numPr>
          <w:ilvl w:val="0"/>
          <w:numId w:val="11"/>
        </w:numPr>
        <w:spacing w:before="0"/>
        <w:ind w:left="0" w:leftChars="0" w:firstLine="480" w:firstLineChars="200"/>
        <w:rPr>
          <w:rFonts w:hint="eastAsia" w:ascii="宋体" w:hAnsi="宋体" w:eastAsia="宋体" w:cs="宋体"/>
          <w:i w:val="0"/>
          <w:iCs w:val="0"/>
          <w:strike w:val="0"/>
          <w:dstrike w:val="0"/>
          <w:color w:val="auto"/>
          <w:sz w:val="24"/>
          <w:szCs w:val="24"/>
          <w:highlight w:val="none"/>
        </w:rPr>
      </w:pPr>
      <w:r>
        <w:rPr>
          <w:rFonts w:hint="eastAsia" w:ascii="宋体" w:hAnsi="宋体" w:eastAsia="宋体" w:cs="宋体"/>
          <w:i w:val="0"/>
          <w:iCs w:val="0"/>
          <w:strike w:val="0"/>
          <w:dstrike w:val="0"/>
          <w:color w:val="auto"/>
          <w:sz w:val="24"/>
          <w:szCs w:val="24"/>
          <w:highlight w:val="none"/>
        </w:rPr>
        <w:t>招标文件没有不合理条款、招标程序符合规定，需要采用其他采购方式采购的，采购人应当依法报</w:t>
      </w:r>
      <w:r>
        <w:rPr>
          <w:rFonts w:hint="eastAsia" w:ascii="宋体" w:hAnsi="宋体"/>
          <w:color w:val="auto"/>
          <w:kern w:val="0"/>
          <w:highlight w:val="none"/>
          <w:lang w:val="en-US" w:eastAsia="zh-CN"/>
        </w:rPr>
        <w:t>乡镇（街道）</w:t>
      </w:r>
      <w:r>
        <w:rPr>
          <w:rFonts w:hint="eastAsia" w:ascii="宋体" w:hAnsi="宋体" w:eastAsia="宋体" w:cs="宋体"/>
          <w:i w:val="0"/>
          <w:iCs w:val="0"/>
          <w:strike w:val="0"/>
          <w:dstrike w:val="0"/>
          <w:color w:val="auto"/>
          <w:sz w:val="24"/>
          <w:szCs w:val="24"/>
          <w:highlight w:val="none"/>
        </w:rPr>
        <w:t>批准。</w:t>
      </w:r>
    </w:p>
    <w:p w14:paraId="2195A232">
      <w:pPr>
        <w:pStyle w:val="16"/>
        <w:numPr>
          <w:ilvl w:val="0"/>
          <w:numId w:val="9"/>
        </w:numPr>
        <w:spacing w:line="360" w:lineRule="auto"/>
        <w:ind w:left="0" w:leftChars="0" w:firstLine="482" w:firstLineChars="200"/>
        <w:outlineLvl w:val="2"/>
        <w:rPr>
          <w:rFonts w:hint="eastAsia" w:ascii="宋体" w:hAnsi="宋体" w:eastAsia="宋体" w:cs="宋体"/>
          <w:b/>
          <w:sz w:val="24"/>
          <w:szCs w:val="24"/>
          <w:highlight w:val="none"/>
        </w:rPr>
      </w:pPr>
      <w:bookmarkStart w:id="32" w:name="_Toc14639"/>
      <w:bookmarkStart w:id="33" w:name="_Toc6819"/>
      <w:r>
        <w:rPr>
          <w:rFonts w:hint="eastAsia" w:ascii="宋体" w:hAnsi="宋体" w:eastAsia="宋体" w:cs="宋体"/>
          <w:b/>
          <w:sz w:val="24"/>
          <w:szCs w:val="24"/>
          <w:highlight w:val="none"/>
        </w:rPr>
        <w:t>采购方式</w:t>
      </w:r>
      <w:bookmarkEnd w:id="31"/>
      <w:bookmarkEnd w:id="32"/>
      <w:bookmarkEnd w:id="33"/>
    </w:p>
    <w:p w14:paraId="43C29D66">
      <w:pPr>
        <w:tabs>
          <w:tab w:val="left" w:pos="3780"/>
        </w:tabs>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公开招标。</w:t>
      </w:r>
      <w:bookmarkEnd w:id="29"/>
      <w:bookmarkEnd w:id="30"/>
      <w:bookmarkStart w:id="34" w:name="_Hlt68516771"/>
      <w:bookmarkEnd w:id="34"/>
      <w:bookmarkStart w:id="35" w:name="_Hlt74388212"/>
      <w:bookmarkEnd w:id="35"/>
    </w:p>
    <w:p w14:paraId="1C30E824">
      <w:pPr>
        <w:pStyle w:val="16"/>
        <w:numPr>
          <w:ilvl w:val="0"/>
          <w:numId w:val="9"/>
        </w:numPr>
        <w:spacing w:line="360" w:lineRule="auto"/>
        <w:ind w:left="0" w:leftChars="0" w:firstLine="482" w:firstLineChars="200"/>
        <w:outlineLvl w:val="2"/>
        <w:rPr>
          <w:rFonts w:hint="eastAsia" w:ascii="宋体" w:hAnsi="宋体" w:eastAsia="宋体" w:cs="宋体"/>
          <w:b/>
          <w:sz w:val="24"/>
          <w:szCs w:val="24"/>
          <w:highlight w:val="none"/>
        </w:rPr>
      </w:pPr>
      <w:bookmarkStart w:id="36" w:name="_Toc24291"/>
      <w:bookmarkStart w:id="37" w:name="_Toc91899877"/>
      <w:bookmarkStart w:id="38" w:name="_Toc22749"/>
      <w:bookmarkStart w:id="39" w:name="_Hlt74730303"/>
      <w:r>
        <w:rPr>
          <w:rFonts w:hint="eastAsia" w:ascii="宋体" w:hAnsi="宋体" w:eastAsia="宋体" w:cs="宋体"/>
          <w:b/>
          <w:sz w:val="24"/>
          <w:szCs w:val="24"/>
          <w:highlight w:val="none"/>
        </w:rPr>
        <w:t>投标费用</w:t>
      </w:r>
      <w:bookmarkEnd w:id="36"/>
      <w:bookmarkEnd w:id="37"/>
      <w:bookmarkEnd w:id="38"/>
    </w:p>
    <w:bookmarkEnd w:id="39"/>
    <w:p w14:paraId="142A85CF">
      <w:pPr>
        <w:autoSpaceDE w:val="0"/>
        <w:autoSpaceDN w:val="0"/>
        <w:spacing w:line="360" w:lineRule="auto"/>
        <w:ind w:firstLine="523" w:firstLineChars="218"/>
        <w:rPr>
          <w:rFonts w:hint="eastAsia" w:ascii="宋体" w:hAnsi="宋体" w:eastAsia="宋体" w:cs="宋体"/>
          <w:sz w:val="24"/>
          <w:highlight w:val="none"/>
          <w:lang w:val="zh-CN"/>
        </w:rPr>
      </w:pPr>
      <w:r>
        <w:rPr>
          <w:rFonts w:hint="eastAsia" w:ascii="宋体" w:hAnsi="宋体" w:eastAsia="宋体" w:cs="宋体"/>
          <w:sz w:val="24"/>
          <w:highlight w:val="none"/>
        </w:rPr>
        <w:t>投标人需自行承担涉及投标的一切费用（招标文件有其他相反规定除外）。</w:t>
      </w:r>
    </w:p>
    <w:p w14:paraId="5E7282F5">
      <w:pPr>
        <w:spacing w:line="360" w:lineRule="auto"/>
        <w:jc w:val="center"/>
        <w:rPr>
          <w:rFonts w:hint="eastAsia" w:ascii="宋体" w:hAnsi="宋体" w:eastAsia="宋体" w:cs="宋体"/>
          <w:b/>
          <w:sz w:val="24"/>
          <w:highlight w:val="none"/>
        </w:rPr>
      </w:pPr>
      <w:bookmarkStart w:id="40" w:name="_Hlt68072990"/>
      <w:bookmarkEnd w:id="40"/>
      <w:bookmarkStart w:id="41" w:name="_Hlt68057669"/>
      <w:bookmarkEnd w:id="41"/>
      <w:bookmarkStart w:id="42" w:name="_Hlt75236290"/>
      <w:bookmarkEnd w:id="42"/>
      <w:bookmarkStart w:id="43" w:name="_Hlt74729768"/>
      <w:bookmarkEnd w:id="43"/>
      <w:bookmarkStart w:id="44" w:name="_Hlt74707468"/>
      <w:bookmarkEnd w:id="44"/>
      <w:bookmarkStart w:id="45" w:name="_Toc91899879"/>
    </w:p>
    <w:p w14:paraId="5F587F1B">
      <w:pPr>
        <w:snapToGrid w:val="0"/>
        <w:spacing w:line="360" w:lineRule="auto"/>
        <w:jc w:val="center"/>
        <w:outlineLvl w:val="1"/>
        <w:rPr>
          <w:rFonts w:hint="eastAsia" w:ascii="宋体" w:hAnsi="宋体" w:eastAsia="宋体" w:cs="宋体"/>
          <w:b/>
          <w:sz w:val="32"/>
          <w:highlight w:val="none"/>
        </w:rPr>
      </w:pPr>
      <w:bookmarkStart w:id="46" w:name="_Toc6717"/>
      <w:bookmarkStart w:id="47" w:name="_Toc30571"/>
      <w:bookmarkStart w:id="48" w:name="_Toc24925"/>
      <w:r>
        <w:rPr>
          <w:rFonts w:hint="eastAsia" w:ascii="宋体" w:hAnsi="宋体" w:eastAsia="宋体" w:cs="宋体"/>
          <w:b/>
          <w:sz w:val="32"/>
          <w:highlight w:val="none"/>
        </w:rPr>
        <w:t>二、招标文件</w:t>
      </w:r>
      <w:bookmarkEnd w:id="45"/>
      <w:bookmarkEnd w:id="46"/>
      <w:bookmarkEnd w:id="47"/>
      <w:bookmarkEnd w:id="48"/>
    </w:p>
    <w:p w14:paraId="0258FA1B">
      <w:pPr>
        <w:pStyle w:val="16"/>
        <w:numPr>
          <w:ilvl w:val="0"/>
          <w:numId w:val="9"/>
        </w:numPr>
        <w:spacing w:line="360" w:lineRule="auto"/>
        <w:ind w:left="0" w:leftChars="0" w:firstLine="482" w:firstLineChars="200"/>
        <w:rPr>
          <w:rFonts w:hint="eastAsia" w:ascii="宋体" w:hAnsi="宋体" w:eastAsia="宋体" w:cs="宋体"/>
          <w:b/>
          <w:sz w:val="24"/>
          <w:szCs w:val="24"/>
          <w:highlight w:val="none"/>
        </w:rPr>
      </w:pPr>
      <w:bookmarkStart w:id="49" w:name="_Toc91899880"/>
      <w:bookmarkStart w:id="50" w:name="_Hlt74730307"/>
      <w:r>
        <w:rPr>
          <w:rFonts w:hint="eastAsia" w:ascii="宋体" w:hAnsi="宋体" w:eastAsia="宋体" w:cs="宋体"/>
          <w:b/>
          <w:sz w:val="24"/>
          <w:szCs w:val="24"/>
          <w:highlight w:val="none"/>
        </w:rPr>
        <w:t>招标文件的构成</w:t>
      </w:r>
      <w:bookmarkEnd w:id="49"/>
    </w:p>
    <w:bookmarkEnd w:id="50"/>
    <w:p w14:paraId="180C80AD">
      <w:pPr>
        <w:pStyle w:val="43"/>
        <w:keepNext w:val="0"/>
        <w:keepLines w:val="0"/>
        <w:pageBreakBefore w:val="0"/>
        <w:widowControl w:val="0"/>
        <w:numPr>
          <w:ilvl w:val="0"/>
          <w:numId w:val="12"/>
        </w:numPr>
        <w:kinsoku/>
        <w:wordWrap/>
        <w:overflowPunct/>
        <w:topLinePunct w:val="0"/>
        <w:autoSpaceDE/>
        <w:autoSpaceDN/>
        <w:bidi w:val="0"/>
        <w:adjustRightInd w:val="0"/>
        <w:snapToGrid/>
        <w:spacing w:before="0" w:beforeLines="0"/>
        <w:ind w:left="0" w:leftChars="0" w:firstLine="480" w:firstLineChars="200"/>
        <w:textAlignment w:val="auto"/>
        <w:rPr>
          <w:rFonts w:hint="eastAsia" w:ascii="宋体" w:hAnsi="宋体" w:eastAsia="宋体" w:cs="宋体"/>
          <w:szCs w:val="24"/>
          <w:highlight w:val="none"/>
        </w:rPr>
      </w:pPr>
      <w:r>
        <w:rPr>
          <w:rFonts w:hint="eastAsia" w:ascii="宋体" w:hAnsi="宋体" w:eastAsia="宋体" w:cs="宋体"/>
          <w:szCs w:val="24"/>
          <w:highlight w:val="none"/>
        </w:rPr>
        <w:t>招标文件包括下列文件及附件</w:t>
      </w:r>
    </w:p>
    <w:p w14:paraId="070C21A0">
      <w:pPr>
        <w:pStyle w:val="43"/>
        <w:keepNext w:val="0"/>
        <w:keepLines w:val="0"/>
        <w:pageBreakBefore w:val="0"/>
        <w:widowControl w:val="0"/>
        <w:numPr>
          <w:ilvl w:val="0"/>
          <w:numId w:val="13"/>
        </w:numPr>
        <w:kinsoku/>
        <w:wordWrap/>
        <w:overflowPunct/>
        <w:topLinePunct w:val="0"/>
        <w:autoSpaceDE/>
        <w:autoSpaceDN/>
        <w:bidi w:val="0"/>
        <w:adjustRightInd w:val="0"/>
        <w:snapToGrid/>
        <w:spacing w:before="0"/>
        <w:ind w:left="0" w:leftChars="0" w:firstLine="480" w:firstLineChars="200"/>
        <w:textAlignment w:val="auto"/>
        <w:rPr>
          <w:rFonts w:hint="eastAsia" w:ascii="宋体" w:hAnsi="宋体" w:eastAsia="宋体" w:cs="宋体"/>
          <w:szCs w:val="24"/>
          <w:highlight w:val="none"/>
        </w:rPr>
      </w:pPr>
      <w:r>
        <w:rPr>
          <w:rFonts w:hint="eastAsia" w:ascii="宋体" w:hAnsi="宋体" w:eastAsia="宋体" w:cs="宋体"/>
          <w:szCs w:val="24"/>
          <w:highlight w:val="none"/>
        </w:rPr>
        <w:t>第一部分 招标公告</w:t>
      </w:r>
    </w:p>
    <w:p w14:paraId="23C4E119">
      <w:pPr>
        <w:pStyle w:val="43"/>
        <w:numPr>
          <w:ilvl w:val="0"/>
          <w:numId w:val="13"/>
        </w:numPr>
        <w:spacing w:before="0"/>
        <w:ind w:left="0" w:leftChars="0" w:firstLine="480" w:firstLineChars="200"/>
        <w:rPr>
          <w:rFonts w:hint="eastAsia" w:ascii="宋体" w:hAnsi="宋体" w:eastAsia="宋体" w:cs="宋体"/>
          <w:szCs w:val="24"/>
          <w:highlight w:val="none"/>
        </w:rPr>
      </w:pPr>
      <w:r>
        <w:rPr>
          <w:rFonts w:hint="eastAsia" w:ascii="宋体" w:hAnsi="宋体" w:eastAsia="宋体" w:cs="宋体"/>
          <w:szCs w:val="24"/>
          <w:highlight w:val="none"/>
        </w:rPr>
        <w:t>第二部分</w:t>
      </w:r>
      <w:r>
        <w:rPr>
          <w:rFonts w:hint="eastAsia" w:ascii="宋体" w:hAnsi="宋体" w:eastAsia="宋体" w:cs="宋体"/>
          <w:szCs w:val="24"/>
          <w:highlight w:val="none"/>
          <w:lang w:val="en-US" w:eastAsia="zh-CN"/>
        </w:rPr>
        <w:t xml:space="preserve"> </w:t>
      </w:r>
      <w:r>
        <w:rPr>
          <w:rFonts w:hint="eastAsia" w:ascii="宋体" w:hAnsi="宋体" w:eastAsia="宋体" w:cs="宋体"/>
          <w:szCs w:val="24"/>
          <w:highlight w:val="none"/>
          <w:lang w:eastAsia="zh-CN"/>
        </w:rPr>
        <w:t>投标</w:t>
      </w:r>
      <w:r>
        <w:rPr>
          <w:rFonts w:hint="eastAsia" w:ascii="宋体" w:hAnsi="宋体" w:eastAsia="宋体" w:cs="宋体"/>
          <w:szCs w:val="24"/>
          <w:highlight w:val="none"/>
        </w:rPr>
        <w:t>须知</w:t>
      </w:r>
    </w:p>
    <w:p w14:paraId="675F32AE">
      <w:pPr>
        <w:pStyle w:val="43"/>
        <w:numPr>
          <w:ilvl w:val="0"/>
          <w:numId w:val="13"/>
        </w:numPr>
        <w:spacing w:before="0"/>
        <w:ind w:left="0" w:leftChars="0" w:firstLine="480" w:firstLineChars="200"/>
        <w:rPr>
          <w:rFonts w:hint="eastAsia" w:ascii="宋体" w:hAnsi="宋体" w:eastAsia="宋体" w:cs="宋体"/>
          <w:szCs w:val="24"/>
          <w:highlight w:val="none"/>
        </w:rPr>
      </w:pPr>
      <w:r>
        <w:rPr>
          <w:rFonts w:hint="eastAsia" w:ascii="宋体" w:hAnsi="宋体" w:eastAsia="宋体" w:cs="宋体"/>
          <w:szCs w:val="24"/>
          <w:highlight w:val="none"/>
        </w:rPr>
        <w:t>第三部分 评标办法及评分标准</w:t>
      </w:r>
    </w:p>
    <w:p w14:paraId="777F135F">
      <w:pPr>
        <w:pStyle w:val="43"/>
        <w:numPr>
          <w:ilvl w:val="0"/>
          <w:numId w:val="13"/>
        </w:numPr>
        <w:spacing w:before="0"/>
        <w:ind w:left="0" w:leftChars="0" w:firstLine="480" w:firstLineChars="200"/>
        <w:rPr>
          <w:rFonts w:hint="eastAsia" w:ascii="宋体" w:hAnsi="宋体" w:eastAsia="宋体" w:cs="宋体"/>
          <w:szCs w:val="24"/>
          <w:highlight w:val="none"/>
        </w:rPr>
      </w:pPr>
      <w:r>
        <w:rPr>
          <w:rFonts w:hint="eastAsia" w:ascii="宋体" w:hAnsi="宋体" w:eastAsia="宋体" w:cs="宋体"/>
          <w:szCs w:val="24"/>
          <w:highlight w:val="none"/>
        </w:rPr>
        <w:t>第四部分 采购需求</w:t>
      </w:r>
    </w:p>
    <w:p w14:paraId="1AEA64B7">
      <w:pPr>
        <w:pStyle w:val="43"/>
        <w:numPr>
          <w:ilvl w:val="0"/>
          <w:numId w:val="13"/>
        </w:numPr>
        <w:spacing w:before="0"/>
        <w:ind w:left="0" w:leftChars="0" w:firstLine="480" w:firstLineChars="200"/>
        <w:rPr>
          <w:rFonts w:hint="eastAsia" w:ascii="宋体" w:hAnsi="宋体" w:eastAsia="宋体" w:cs="宋体"/>
          <w:szCs w:val="24"/>
          <w:highlight w:val="none"/>
        </w:rPr>
      </w:pPr>
      <w:r>
        <w:rPr>
          <w:rFonts w:hint="eastAsia" w:ascii="宋体" w:hAnsi="宋体" w:eastAsia="宋体" w:cs="宋体"/>
          <w:szCs w:val="24"/>
          <w:highlight w:val="none"/>
        </w:rPr>
        <w:t>第五部分 采购合同的一般和特殊条款</w:t>
      </w:r>
    </w:p>
    <w:p w14:paraId="638E7C68">
      <w:pPr>
        <w:pStyle w:val="43"/>
        <w:numPr>
          <w:ilvl w:val="0"/>
          <w:numId w:val="13"/>
        </w:numPr>
        <w:spacing w:before="0"/>
        <w:ind w:left="0" w:leftChars="0" w:firstLine="480" w:firstLineChars="200"/>
        <w:rPr>
          <w:rFonts w:hint="eastAsia" w:ascii="宋体" w:hAnsi="宋体" w:eastAsia="宋体" w:cs="宋体"/>
          <w:szCs w:val="24"/>
          <w:highlight w:val="none"/>
        </w:rPr>
      </w:pPr>
      <w:r>
        <w:rPr>
          <w:rFonts w:hint="eastAsia" w:ascii="宋体" w:hAnsi="宋体" w:eastAsia="宋体" w:cs="宋体"/>
          <w:szCs w:val="24"/>
          <w:highlight w:val="none"/>
        </w:rPr>
        <w:t>第六部分 应提交的有关格式范例</w:t>
      </w:r>
    </w:p>
    <w:p w14:paraId="4B0565B2">
      <w:pPr>
        <w:pStyle w:val="43"/>
        <w:keepNext w:val="0"/>
        <w:keepLines w:val="0"/>
        <w:pageBreakBefore w:val="0"/>
        <w:widowControl w:val="0"/>
        <w:numPr>
          <w:ilvl w:val="0"/>
          <w:numId w:val="12"/>
        </w:numPr>
        <w:kinsoku/>
        <w:wordWrap/>
        <w:overflowPunct/>
        <w:topLinePunct w:val="0"/>
        <w:autoSpaceDE/>
        <w:autoSpaceDN/>
        <w:bidi w:val="0"/>
        <w:adjustRightInd w:val="0"/>
        <w:snapToGrid/>
        <w:spacing w:before="0"/>
        <w:ind w:left="0" w:leftChars="0" w:firstLine="480" w:firstLineChars="200"/>
        <w:textAlignment w:val="auto"/>
        <w:rPr>
          <w:rFonts w:hint="eastAsia" w:ascii="宋体" w:hAnsi="宋体" w:eastAsia="宋体" w:cs="宋体"/>
          <w:szCs w:val="24"/>
          <w:highlight w:val="none"/>
        </w:rPr>
      </w:pPr>
      <w:r>
        <w:rPr>
          <w:rFonts w:hint="eastAsia" w:ascii="宋体" w:hAnsi="宋体" w:eastAsia="宋体" w:cs="宋体"/>
          <w:szCs w:val="24"/>
          <w:highlight w:val="none"/>
        </w:rPr>
        <w:t>投标人应认真审阅招标文件中所有的内容，包括编制和提交采购响应文件须知、评标办法及评分标准、项目技术规范和服务要求、采购合同的一般和特殊条款、应提交的有关格式范例等。</w:t>
      </w:r>
    </w:p>
    <w:p w14:paraId="67983071">
      <w:pPr>
        <w:pStyle w:val="16"/>
        <w:numPr>
          <w:ilvl w:val="0"/>
          <w:numId w:val="9"/>
        </w:numPr>
        <w:spacing w:line="360" w:lineRule="auto"/>
        <w:ind w:left="0" w:leftChars="0" w:firstLine="482" w:firstLineChars="200"/>
        <w:rPr>
          <w:rFonts w:hint="eastAsia" w:ascii="宋体" w:hAnsi="宋体" w:eastAsia="宋体" w:cs="宋体"/>
          <w:b/>
          <w:sz w:val="24"/>
          <w:szCs w:val="24"/>
          <w:highlight w:val="none"/>
        </w:rPr>
      </w:pPr>
      <w:r>
        <w:rPr>
          <w:rFonts w:hint="eastAsia" w:ascii="宋体" w:hAnsi="宋体" w:eastAsia="宋体" w:cs="宋体"/>
          <w:b/>
          <w:sz w:val="24"/>
          <w:szCs w:val="24"/>
          <w:highlight w:val="none"/>
        </w:rPr>
        <w:t>招标文件的解释</w:t>
      </w:r>
    </w:p>
    <w:p w14:paraId="73FD0875">
      <w:pPr>
        <w:pStyle w:val="43"/>
        <w:keepNext w:val="0"/>
        <w:keepLines w:val="0"/>
        <w:pageBreakBefore w:val="0"/>
        <w:widowControl w:val="0"/>
        <w:numPr>
          <w:ilvl w:val="0"/>
          <w:numId w:val="14"/>
        </w:numPr>
        <w:kinsoku/>
        <w:wordWrap/>
        <w:overflowPunct/>
        <w:topLinePunct w:val="0"/>
        <w:autoSpaceDE/>
        <w:autoSpaceDN/>
        <w:bidi w:val="0"/>
        <w:adjustRightInd w:val="0"/>
        <w:snapToGrid/>
        <w:spacing w:before="0"/>
        <w:ind w:left="0" w:leftChars="0" w:firstLine="480" w:firstLineChars="200"/>
        <w:textAlignment w:val="auto"/>
        <w:rPr>
          <w:rFonts w:hint="eastAsia" w:ascii="宋体" w:hAnsi="宋体" w:eastAsia="宋体" w:cs="宋体"/>
          <w:szCs w:val="24"/>
          <w:highlight w:val="none"/>
        </w:rPr>
      </w:pPr>
      <w:r>
        <w:rPr>
          <w:rFonts w:hint="eastAsia" w:ascii="宋体" w:hAnsi="宋体" w:eastAsia="宋体" w:cs="宋体"/>
          <w:szCs w:val="24"/>
          <w:highlight w:val="none"/>
        </w:rPr>
        <w:t>已获取招标文件的潜在投标人，若有问题需要澄清，应于投标截止时间前，以书面形式向采购代理机构提出，采购代理机构与采购人研究后，对认为有必要回答的问题，将通过招标公告发布网站通知所有招标文件收受人。</w:t>
      </w:r>
    </w:p>
    <w:p w14:paraId="07F07FFF">
      <w:pPr>
        <w:pStyle w:val="43"/>
        <w:keepNext w:val="0"/>
        <w:keepLines w:val="0"/>
        <w:pageBreakBefore w:val="0"/>
        <w:widowControl w:val="0"/>
        <w:numPr>
          <w:ilvl w:val="0"/>
          <w:numId w:val="14"/>
        </w:numPr>
        <w:kinsoku/>
        <w:wordWrap/>
        <w:overflowPunct/>
        <w:topLinePunct w:val="0"/>
        <w:autoSpaceDE/>
        <w:autoSpaceDN/>
        <w:bidi w:val="0"/>
        <w:adjustRightInd w:val="0"/>
        <w:snapToGrid/>
        <w:spacing w:before="0"/>
        <w:ind w:left="0" w:leftChars="0" w:firstLine="480" w:firstLineChars="200"/>
        <w:textAlignment w:val="auto"/>
        <w:rPr>
          <w:rFonts w:hint="eastAsia" w:ascii="宋体" w:hAnsi="宋体" w:eastAsia="宋体" w:cs="宋体"/>
          <w:szCs w:val="24"/>
          <w:highlight w:val="none"/>
        </w:rPr>
      </w:pPr>
      <w:r>
        <w:rPr>
          <w:rFonts w:hint="eastAsia" w:ascii="宋体" w:hAnsi="宋体" w:eastAsia="宋体" w:cs="宋体"/>
          <w:szCs w:val="24"/>
          <w:highlight w:val="none"/>
        </w:rPr>
        <w:t>采购代理机构如对已发出的招标文件进行必要澄清或者修改的，将在发布招标公告的网站上发布更正公告，同时视情况延长投标截止时间和开标时间。该澄清或者修改的内容为招标文件的组成部分。</w:t>
      </w:r>
    </w:p>
    <w:p w14:paraId="5BC21033">
      <w:pPr>
        <w:pStyle w:val="43"/>
        <w:keepNext w:val="0"/>
        <w:keepLines w:val="0"/>
        <w:pageBreakBefore w:val="0"/>
        <w:widowControl w:val="0"/>
        <w:numPr>
          <w:ilvl w:val="0"/>
          <w:numId w:val="14"/>
        </w:numPr>
        <w:kinsoku/>
        <w:wordWrap/>
        <w:overflowPunct/>
        <w:topLinePunct w:val="0"/>
        <w:autoSpaceDE/>
        <w:autoSpaceDN/>
        <w:bidi w:val="0"/>
        <w:adjustRightInd w:val="0"/>
        <w:snapToGrid/>
        <w:spacing w:before="0"/>
        <w:ind w:left="0" w:leftChars="0" w:firstLine="480" w:firstLineChars="200"/>
        <w:textAlignment w:val="auto"/>
        <w:rPr>
          <w:rFonts w:hint="eastAsia" w:ascii="宋体" w:hAnsi="宋体" w:eastAsia="宋体" w:cs="宋体"/>
          <w:szCs w:val="24"/>
          <w:highlight w:val="none"/>
        </w:rPr>
      </w:pPr>
      <w:r>
        <w:rPr>
          <w:rFonts w:hint="eastAsia" w:ascii="宋体" w:hAnsi="宋体" w:eastAsia="宋体" w:cs="宋体"/>
          <w:szCs w:val="24"/>
          <w:highlight w:val="none"/>
        </w:rPr>
        <w:t>不论采购代理机构向投标人发送的资料文件，还是投标人提出的问题，均采用书面形式。</w:t>
      </w:r>
    </w:p>
    <w:p w14:paraId="23C4C738">
      <w:pPr>
        <w:pStyle w:val="16"/>
        <w:numPr>
          <w:ilvl w:val="0"/>
          <w:numId w:val="9"/>
        </w:numPr>
        <w:spacing w:line="360" w:lineRule="auto"/>
        <w:ind w:left="0" w:leftChars="0" w:firstLine="482" w:firstLineChars="200"/>
        <w:rPr>
          <w:rFonts w:hint="eastAsia" w:ascii="宋体" w:hAnsi="宋体" w:eastAsia="宋体" w:cs="宋体"/>
          <w:b/>
          <w:sz w:val="24"/>
          <w:szCs w:val="24"/>
          <w:highlight w:val="none"/>
        </w:rPr>
      </w:pPr>
      <w:r>
        <w:rPr>
          <w:rFonts w:hint="eastAsia" w:ascii="宋体" w:hAnsi="宋体" w:eastAsia="宋体" w:cs="宋体"/>
          <w:b/>
          <w:sz w:val="24"/>
          <w:szCs w:val="24"/>
          <w:highlight w:val="none"/>
        </w:rPr>
        <w:t>招标文件的修改、澄清</w:t>
      </w:r>
    </w:p>
    <w:p w14:paraId="72F0C801">
      <w:pPr>
        <w:pStyle w:val="43"/>
        <w:keepNext w:val="0"/>
        <w:keepLines w:val="0"/>
        <w:pageBreakBefore w:val="0"/>
        <w:widowControl w:val="0"/>
        <w:numPr>
          <w:ilvl w:val="0"/>
          <w:numId w:val="15"/>
        </w:numPr>
        <w:kinsoku/>
        <w:wordWrap/>
        <w:overflowPunct/>
        <w:topLinePunct w:val="0"/>
        <w:autoSpaceDE/>
        <w:autoSpaceDN/>
        <w:bidi w:val="0"/>
        <w:adjustRightInd w:val="0"/>
        <w:snapToGrid/>
        <w:spacing w:before="0"/>
        <w:ind w:left="0" w:leftChars="0" w:firstLine="480" w:firstLineChars="200"/>
        <w:textAlignment w:val="auto"/>
        <w:rPr>
          <w:rFonts w:hint="eastAsia" w:ascii="宋体" w:hAnsi="宋体" w:eastAsia="宋体" w:cs="宋体"/>
          <w:szCs w:val="24"/>
          <w:highlight w:val="none"/>
        </w:rPr>
      </w:pPr>
      <w:r>
        <w:rPr>
          <w:rFonts w:hint="eastAsia" w:ascii="宋体" w:hAnsi="宋体" w:eastAsia="宋体" w:cs="宋体"/>
          <w:szCs w:val="24"/>
          <w:highlight w:val="none"/>
        </w:rPr>
        <w:t>从招标文件发出至投标截止时间前，采购代理机构可能会以补充通知的方式修改招标文件。补充通知作为招标文件的组成部分，各潜在投标人应自行在公告发布网站查看。若有必要，采购代理机构将酌情延长递交投标文件的截止日期。</w:t>
      </w:r>
    </w:p>
    <w:p w14:paraId="3BA5B236">
      <w:pPr>
        <w:pStyle w:val="43"/>
        <w:keepNext w:val="0"/>
        <w:keepLines w:val="0"/>
        <w:pageBreakBefore w:val="0"/>
        <w:widowControl w:val="0"/>
        <w:numPr>
          <w:ilvl w:val="0"/>
          <w:numId w:val="15"/>
        </w:numPr>
        <w:kinsoku/>
        <w:wordWrap/>
        <w:overflowPunct/>
        <w:topLinePunct w:val="0"/>
        <w:autoSpaceDE/>
        <w:autoSpaceDN/>
        <w:bidi w:val="0"/>
        <w:adjustRightInd w:val="0"/>
        <w:snapToGrid/>
        <w:spacing w:before="0"/>
        <w:ind w:left="0" w:leftChars="0" w:firstLine="480" w:firstLineChars="200"/>
        <w:textAlignment w:val="auto"/>
        <w:rPr>
          <w:rFonts w:hint="eastAsia" w:ascii="宋体" w:hAnsi="宋体" w:eastAsia="宋体" w:cs="宋体"/>
          <w:szCs w:val="24"/>
          <w:highlight w:val="none"/>
        </w:rPr>
      </w:pPr>
      <w:r>
        <w:rPr>
          <w:rFonts w:hint="eastAsia" w:ascii="宋体" w:hAnsi="宋体" w:eastAsia="宋体" w:cs="宋体"/>
          <w:szCs w:val="24"/>
          <w:highlight w:val="none"/>
        </w:rPr>
        <w:t>对投标文件中含义不明、表述不一致或有明显计算错误等内容，评标委员会将对投标人进行询标，并要求投标人作电子澄清（询标由专家在</w:t>
      </w:r>
      <w:r>
        <w:rPr>
          <w:rFonts w:hint="eastAsia" w:ascii="宋体" w:hAnsi="宋体" w:cs="宋体"/>
          <w:szCs w:val="24"/>
          <w:highlight w:val="none"/>
          <w:lang w:val="en-US" w:eastAsia="zh-CN"/>
        </w:rPr>
        <w:t>乐</w:t>
      </w:r>
      <w:r>
        <w:rPr>
          <w:rFonts w:hint="eastAsia" w:ascii="宋体" w:hAnsi="宋体" w:eastAsia="宋体" w:cs="宋体"/>
          <w:szCs w:val="24"/>
          <w:highlight w:val="none"/>
        </w:rPr>
        <w:t>采云系统上发起询标函，投标人在澄清处在规定时间内进行答复）；投标人的电子澄清，应由法定代表人进行电子签章（也可由法定代表人或授权代表签字扫描后上传），作为投标文件的补充部分，但澄清的内容不得改变投标文件的实质性内容</w:t>
      </w:r>
      <w:r>
        <w:rPr>
          <w:rFonts w:hint="eastAsia" w:ascii="宋体" w:hAnsi="宋体" w:eastAsia="宋体" w:cs="宋体"/>
          <w:szCs w:val="24"/>
          <w:highlight w:val="none"/>
          <w:lang w:eastAsia="zh-CN"/>
        </w:rPr>
        <w:t>。</w:t>
      </w:r>
    </w:p>
    <w:p w14:paraId="4304D392">
      <w:pPr>
        <w:pStyle w:val="16"/>
        <w:numPr>
          <w:ilvl w:val="0"/>
          <w:numId w:val="9"/>
        </w:numPr>
        <w:spacing w:line="360" w:lineRule="auto"/>
        <w:ind w:left="0" w:leftChars="0" w:firstLine="482" w:firstLineChars="200"/>
        <w:rPr>
          <w:rFonts w:hint="eastAsia" w:ascii="宋体" w:hAnsi="宋体" w:eastAsia="宋体" w:cs="宋体"/>
          <w:b/>
          <w:sz w:val="24"/>
          <w:szCs w:val="24"/>
          <w:highlight w:val="none"/>
        </w:rPr>
      </w:pPr>
      <w:r>
        <w:rPr>
          <w:rFonts w:hint="eastAsia" w:ascii="宋体" w:hAnsi="宋体" w:eastAsia="宋体" w:cs="宋体"/>
          <w:b/>
          <w:sz w:val="24"/>
          <w:szCs w:val="24"/>
          <w:highlight w:val="none"/>
        </w:rPr>
        <w:t>投标报价</w:t>
      </w:r>
    </w:p>
    <w:p w14:paraId="38C40496">
      <w:pPr>
        <w:pStyle w:val="43"/>
        <w:keepNext w:val="0"/>
        <w:keepLines w:val="0"/>
        <w:pageBreakBefore w:val="0"/>
        <w:widowControl w:val="0"/>
        <w:numPr>
          <w:ilvl w:val="0"/>
          <w:numId w:val="16"/>
        </w:numPr>
        <w:kinsoku/>
        <w:wordWrap/>
        <w:overflowPunct/>
        <w:topLinePunct w:val="0"/>
        <w:autoSpaceDE/>
        <w:autoSpaceDN/>
        <w:bidi w:val="0"/>
        <w:adjustRightInd w:val="0"/>
        <w:snapToGrid/>
        <w:spacing w:before="0"/>
        <w:ind w:left="0" w:leftChars="0" w:firstLine="480" w:firstLineChars="200"/>
        <w:textAlignment w:val="auto"/>
        <w:rPr>
          <w:rFonts w:hint="eastAsia" w:ascii="宋体" w:hAnsi="宋体" w:eastAsia="宋体" w:cs="宋体"/>
          <w:color w:val="auto"/>
          <w:szCs w:val="24"/>
          <w:highlight w:val="none"/>
        </w:rPr>
      </w:pPr>
      <w:r>
        <w:rPr>
          <w:rFonts w:hint="eastAsia" w:ascii="宋体" w:hAnsi="宋体" w:cs="宋体"/>
          <w:color w:val="auto"/>
          <w:kern w:val="0"/>
          <w:sz w:val="24"/>
          <w:highlight w:val="none"/>
        </w:rPr>
        <w:t>投标报价统一为人民币计价，本次报价方式为总价包干，包括人员费用（保洁人员、垃圾清理人员及管理人员等）、按规定缴纳的各类保险、福利费、管理费用、税费、劳保用品、保洁用具、垃圾清运及处置费、招标代理费等本项目所需的一切费用。凡投标人在报价中未列明但又为本次采购所必须的项目或遗漏项目，采购人将一律视为已包括在合同价中，在合同执行中将不再另行支付。</w:t>
      </w:r>
    </w:p>
    <w:p w14:paraId="34401598">
      <w:pPr>
        <w:pStyle w:val="43"/>
        <w:keepNext w:val="0"/>
        <w:keepLines w:val="0"/>
        <w:pageBreakBefore w:val="0"/>
        <w:widowControl w:val="0"/>
        <w:numPr>
          <w:ilvl w:val="0"/>
          <w:numId w:val="16"/>
        </w:numPr>
        <w:kinsoku/>
        <w:wordWrap/>
        <w:overflowPunct/>
        <w:topLinePunct w:val="0"/>
        <w:autoSpaceDE/>
        <w:autoSpaceDN/>
        <w:bidi w:val="0"/>
        <w:adjustRightInd w:val="0"/>
        <w:snapToGrid/>
        <w:spacing w:before="0"/>
        <w:ind w:left="0" w:leftChars="0" w:firstLine="480" w:firstLineChars="200"/>
        <w:textAlignment w:val="auto"/>
        <w:rPr>
          <w:rFonts w:hint="eastAsia" w:ascii="宋体" w:hAnsi="宋体" w:eastAsia="宋体" w:cs="宋体"/>
          <w:szCs w:val="24"/>
          <w:highlight w:val="none"/>
        </w:rPr>
      </w:pPr>
      <w:r>
        <w:rPr>
          <w:rFonts w:hint="eastAsia" w:ascii="宋体" w:hAnsi="宋体" w:eastAsia="宋体" w:cs="宋体"/>
          <w:szCs w:val="24"/>
          <w:highlight w:val="none"/>
        </w:rPr>
        <w:t>其它费用处理</w:t>
      </w:r>
    </w:p>
    <w:p w14:paraId="06AEDA79">
      <w:pPr>
        <w:pStyle w:val="43"/>
        <w:keepNext w:val="0"/>
        <w:keepLines w:val="0"/>
        <w:pageBreakBefore w:val="0"/>
        <w:widowControl w:val="0"/>
        <w:numPr>
          <w:ilvl w:val="0"/>
          <w:numId w:val="0"/>
        </w:numPr>
        <w:tabs>
          <w:tab w:val="left" w:pos="0"/>
        </w:tabs>
        <w:kinsoku/>
        <w:wordWrap/>
        <w:overflowPunct/>
        <w:topLinePunct w:val="0"/>
        <w:autoSpaceDE/>
        <w:autoSpaceDN/>
        <w:bidi w:val="0"/>
        <w:adjustRightInd w:val="0"/>
        <w:snapToGrid/>
        <w:spacing w:before="0"/>
        <w:ind w:leftChars="200"/>
        <w:textAlignment w:val="auto"/>
        <w:rPr>
          <w:rFonts w:hint="eastAsia" w:ascii="宋体" w:hAnsi="宋体" w:eastAsia="宋体" w:cs="宋体"/>
          <w:szCs w:val="24"/>
          <w:highlight w:val="none"/>
        </w:rPr>
      </w:pPr>
      <w:r>
        <w:rPr>
          <w:rFonts w:hint="eastAsia" w:ascii="宋体" w:hAnsi="宋体" w:eastAsia="宋体" w:cs="宋体"/>
          <w:szCs w:val="24"/>
          <w:highlight w:val="none"/>
        </w:rPr>
        <w:t>招标文件未列明，而投标人认为必需的费用也需列入报价。</w:t>
      </w:r>
    </w:p>
    <w:p w14:paraId="502D532D">
      <w:pPr>
        <w:pStyle w:val="43"/>
        <w:keepNext w:val="0"/>
        <w:keepLines w:val="0"/>
        <w:pageBreakBefore w:val="0"/>
        <w:widowControl w:val="0"/>
        <w:numPr>
          <w:ilvl w:val="0"/>
          <w:numId w:val="16"/>
        </w:numPr>
        <w:kinsoku/>
        <w:wordWrap/>
        <w:overflowPunct/>
        <w:topLinePunct w:val="0"/>
        <w:autoSpaceDE/>
        <w:autoSpaceDN/>
        <w:bidi w:val="0"/>
        <w:adjustRightInd w:val="0"/>
        <w:snapToGrid/>
        <w:spacing w:before="0"/>
        <w:ind w:left="0" w:leftChars="0" w:firstLine="480" w:firstLineChars="200"/>
        <w:textAlignment w:val="auto"/>
        <w:rPr>
          <w:rFonts w:hint="eastAsia" w:ascii="宋体" w:hAnsi="宋体" w:eastAsia="宋体" w:cs="宋体"/>
          <w:szCs w:val="24"/>
          <w:highlight w:val="none"/>
        </w:rPr>
      </w:pPr>
      <w:r>
        <w:rPr>
          <w:rFonts w:hint="eastAsia" w:ascii="宋体" w:hAnsi="宋体" w:eastAsia="宋体" w:cs="宋体"/>
          <w:szCs w:val="24"/>
          <w:highlight w:val="none"/>
        </w:rPr>
        <w:t>投标货币</w:t>
      </w:r>
    </w:p>
    <w:p w14:paraId="44AF0229">
      <w:pPr>
        <w:pStyle w:val="43"/>
        <w:keepNext w:val="0"/>
        <w:keepLines w:val="0"/>
        <w:pageBreakBefore w:val="0"/>
        <w:widowControl w:val="0"/>
        <w:numPr>
          <w:ilvl w:val="0"/>
          <w:numId w:val="0"/>
        </w:numPr>
        <w:kinsoku/>
        <w:wordWrap/>
        <w:overflowPunct/>
        <w:topLinePunct w:val="0"/>
        <w:autoSpaceDE/>
        <w:autoSpaceDN/>
        <w:bidi w:val="0"/>
        <w:adjustRightInd w:val="0"/>
        <w:snapToGrid w:val="0"/>
        <w:spacing w:before="0" w:line="500" w:lineRule="exact"/>
        <w:ind w:firstLine="480" w:firstLineChars="20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投标文件中价格全部采用人民币报价。报价应是唯一的, 采购代理机构将不接受有选择的报价。</w:t>
      </w:r>
    </w:p>
    <w:p w14:paraId="4C62770E">
      <w:pPr>
        <w:pStyle w:val="10"/>
        <w:snapToGrid w:val="0"/>
        <w:ind w:firstLine="480" w:firstLineChars="200"/>
        <w:rPr>
          <w:rFonts w:hint="eastAsia" w:ascii="宋体" w:hAnsi="宋体" w:eastAsia="宋体" w:cs="宋体"/>
          <w:szCs w:val="24"/>
          <w:highlight w:val="none"/>
        </w:rPr>
      </w:pPr>
    </w:p>
    <w:p w14:paraId="1AE9D39B">
      <w:pPr>
        <w:snapToGrid w:val="0"/>
        <w:spacing w:line="360" w:lineRule="auto"/>
        <w:jc w:val="center"/>
        <w:outlineLvl w:val="1"/>
        <w:rPr>
          <w:rFonts w:hint="eastAsia" w:ascii="宋体" w:hAnsi="宋体" w:eastAsia="宋体" w:cs="宋体"/>
          <w:b/>
          <w:sz w:val="32"/>
          <w:highlight w:val="none"/>
        </w:rPr>
      </w:pPr>
      <w:bookmarkStart w:id="51" w:name="_Hlt75236011"/>
      <w:bookmarkEnd w:id="51"/>
      <w:bookmarkStart w:id="52" w:name="_Toc19363"/>
      <w:bookmarkStart w:id="53" w:name="_Toc12314"/>
      <w:bookmarkStart w:id="54" w:name="_Toc91899884"/>
      <w:bookmarkStart w:id="55" w:name="_Toc31934"/>
      <w:r>
        <w:rPr>
          <w:rFonts w:hint="eastAsia" w:ascii="宋体" w:hAnsi="宋体" w:eastAsia="宋体" w:cs="宋体"/>
          <w:b/>
          <w:sz w:val="32"/>
          <w:highlight w:val="none"/>
        </w:rPr>
        <w:t>三、投标文件的编制</w:t>
      </w:r>
      <w:bookmarkEnd w:id="52"/>
      <w:bookmarkEnd w:id="53"/>
      <w:bookmarkEnd w:id="54"/>
      <w:bookmarkEnd w:id="55"/>
    </w:p>
    <w:p w14:paraId="5B4FF60B">
      <w:pPr>
        <w:pStyle w:val="16"/>
        <w:numPr>
          <w:ilvl w:val="0"/>
          <w:numId w:val="9"/>
        </w:numPr>
        <w:spacing w:line="360" w:lineRule="auto"/>
        <w:ind w:left="0" w:leftChars="0" w:firstLine="482" w:firstLineChars="200"/>
        <w:rPr>
          <w:rFonts w:hint="eastAsia" w:ascii="宋体" w:hAnsi="宋体" w:eastAsia="宋体" w:cs="宋体"/>
          <w:b/>
          <w:sz w:val="24"/>
          <w:szCs w:val="24"/>
          <w:highlight w:val="none"/>
        </w:rPr>
      </w:pPr>
      <w:bookmarkStart w:id="56" w:name="_Toc86216991"/>
      <w:bookmarkStart w:id="57" w:name="_Toc91899892"/>
      <w:r>
        <w:rPr>
          <w:rFonts w:hint="eastAsia" w:ascii="宋体" w:hAnsi="宋体" w:eastAsia="宋体" w:cs="宋体"/>
          <w:b/>
          <w:sz w:val="24"/>
          <w:szCs w:val="24"/>
          <w:highlight w:val="none"/>
        </w:rPr>
        <w:t>投标文件的语言</w:t>
      </w:r>
    </w:p>
    <w:p w14:paraId="53BEC56C">
      <w:pPr>
        <w:pStyle w:val="43"/>
        <w:keepNext w:val="0"/>
        <w:keepLines w:val="0"/>
        <w:pageBreakBefore w:val="0"/>
        <w:widowControl w:val="0"/>
        <w:numPr>
          <w:ilvl w:val="0"/>
          <w:numId w:val="0"/>
        </w:numPr>
        <w:tabs>
          <w:tab w:val="left" w:pos="0"/>
        </w:tabs>
        <w:kinsoku/>
        <w:wordWrap/>
        <w:overflowPunct/>
        <w:topLinePunct w:val="0"/>
        <w:autoSpaceDE/>
        <w:autoSpaceDN/>
        <w:bidi w:val="0"/>
        <w:adjustRightInd w:val="0"/>
        <w:snapToGrid/>
        <w:spacing w:before="0"/>
        <w:ind w:firstLine="480" w:firstLineChars="200"/>
        <w:textAlignment w:val="auto"/>
        <w:rPr>
          <w:rFonts w:hint="eastAsia" w:ascii="宋体" w:hAnsi="宋体" w:eastAsia="宋体" w:cs="宋体"/>
          <w:szCs w:val="24"/>
          <w:highlight w:val="none"/>
          <w:lang w:val="zh-CN"/>
        </w:rPr>
      </w:pPr>
      <w:r>
        <w:rPr>
          <w:rFonts w:hint="eastAsia" w:ascii="宋体" w:hAnsi="宋体" w:eastAsia="宋体" w:cs="宋体"/>
          <w:szCs w:val="24"/>
          <w:highlight w:val="none"/>
        </w:rPr>
        <w:t>投标文件及投标人与采购有关的来往通知、函件和文件均应使用中文。</w:t>
      </w:r>
    </w:p>
    <w:p w14:paraId="1534F19E">
      <w:pPr>
        <w:pStyle w:val="16"/>
        <w:numPr>
          <w:ilvl w:val="0"/>
          <w:numId w:val="9"/>
        </w:numPr>
        <w:spacing w:line="360" w:lineRule="auto"/>
        <w:ind w:left="0" w:leftChars="0" w:firstLine="482" w:firstLineChars="200"/>
        <w:rPr>
          <w:rFonts w:hint="eastAsia" w:ascii="宋体" w:hAnsi="宋体" w:eastAsia="宋体" w:cs="宋体"/>
          <w:b/>
          <w:sz w:val="24"/>
          <w:szCs w:val="24"/>
          <w:highlight w:val="none"/>
        </w:rPr>
      </w:pPr>
      <w:r>
        <w:rPr>
          <w:rFonts w:hint="eastAsia" w:ascii="宋体" w:hAnsi="宋体" w:eastAsia="宋体" w:cs="宋体"/>
          <w:b/>
          <w:sz w:val="24"/>
          <w:szCs w:val="24"/>
          <w:highlight w:val="none"/>
        </w:rPr>
        <w:t>投标文件的组成</w:t>
      </w:r>
    </w:p>
    <w:p w14:paraId="7DF57A13">
      <w:pPr>
        <w:pStyle w:val="43"/>
        <w:keepNext w:val="0"/>
        <w:keepLines w:val="0"/>
        <w:pageBreakBefore w:val="0"/>
        <w:widowControl w:val="0"/>
        <w:numPr>
          <w:ilvl w:val="0"/>
          <w:numId w:val="0"/>
        </w:numPr>
        <w:tabs>
          <w:tab w:val="left" w:pos="0"/>
        </w:tabs>
        <w:kinsoku/>
        <w:wordWrap/>
        <w:overflowPunct/>
        <w:topLinePunct w:val="0"/>
        <w:autoSpaceDE/>
        <w:autoSpaceDN/>
        <w:bidi w:val="0"/>
        <w:adjustRightInd w:val="0"/>
        <w:snapToGrid/>
        <w:spacing w:before="0"/>
        <w:ind w:firstLine="480" w:firstLineChars="200"/>
        <w:textAlignment w:val="auto"/>
        <w:rPr>
          <w:rFonts w:hint="eastAsia" w:ascii="宋体" w:hAnsi="宋体" w:eastAsia="宋体" w:cs="宋体"/>
          <w:szCs w:val="24"/>
          <w:highlight w:val="none"/>
        </w:rPr>
      </w:pPr>
      <w:r>
        <w:rPr>
          <w:rFonts w:hint="eastAsia" w:ascii="宋体" w:hAnsi="宋体" w:eastAsia="宋体" w:cs="宋体"/>
          <w:szCs w:val="24"/>
          <w:highlight w:val="none"/>
        </w:rPr>
        <w:t>投标文件应当包括以下主要内容：资格文件、</w:t>
      </w:r>
      <w:r>
        <w:rPr>
          <w:rFonts w:hint="eastAsia" w:ascii="宋体" w:hAnsi="宋体" w:eastAsia="宋体" w:cs="宋体"/>
          <w:szCs w:val="24"/>
          <w:highlight w:val="none"/>
          <w:lang w:eastAsia="zh-CN"/>
        </w:rPr>
        <w:t>商务技术</w:t>
      </w:r>
      <w:r>
        <w:rPr>
          <w:rFonts w:hint="eastAsia" w:ascii="宋体" w:hAnsi="宋体" w:eastAsia="宋体" w:cs="宋体"/>
          <w:szCs w:val="24"/>
          <w:highlight w:val="none"/>
        </w:rPr>
        <w:t>文件、报价文件。</w:t>
      </w:r>
    </w:p>
    <w:p w14:paraId="789DC623">
      <w:pPr>
        <w:pStyle w:val="43"/>
        <w:keepNext w:val="0"/>
        <w:keepLines w:val="0"/>
        <w:pageBreakBefore w:val="0"/>
        <w:widowControl w:val="0"/>
        <w:numPr>
          <w:ilvl w:val="0"/>
          <w:numId w:val="17"/>
        </w:numPr>
        <w:kinsoku/>
        <w:wordWrap/>
        <w:overflowPunct/>
        <w:topLinePunct w:val="0"/>
        <w:autoSpaceDE/>
        <w:autoSpaceDN/>
        <w:bidi w:val="0"/>
        <w:adjustRightInd w:val="0"/>
        <w:snapToGrid/>
        <w:spacing w:before="0"/>
        <w:ind w:left="0" w:leftChars="0" w:firstLine="480" w:firstLineChars="200"/>
        <w:textAlignment w:val="auto"/>
        <w:rPr>
          <w:rFonts w:hint="eastAsia" w:ascii="宋体" w:hAnsi="宋体" w:eastAsia="宋体" w:cs="宋体"/>
          <w:szCs w:val="24"/>
          <w:highlight w:val="none"/>
        </w:rPr>
      </w:pPr>
      <w:r>
        <w:rPr>
          <w:rFonts w:hint="eastAsia" w:ascii="宋体" w:hAnsi="宋体" w:eastAsia="宋体" w:cs="宋体"/>
          <w:szCs w:val="24"/>
          <w:highlight w:val="none"/>
        </w:rPr>
        <w:t>资格文件包括以下内容：</w:t>
      </w:r>
    </w:p>
    <w:p w14:paraId="28522550">
      <w:pPr>
        <w:pStyle w:val="43"/>
        <w:numPr>
          <w:ilvl w:val="0"/>
          <w:numId w:val="18"/>
        </w:numPr>
        <w:spacing w:before="0"/>
        <w:ind w:left="0" w:leftChars="0" w:firstLine="400" w:firstLineChars="0"/>
        <w:rPr>
          <w:rFonts w:hint="eastAsia" w:ascii="宋体" w:hAnsi="宋体" w:eastAsia="宋体" w:cs="宋体"/>
          <w:szCs w:val="24"/>
          <w:highlight w:val="none"/>
        </w:rPr>
      </w:pPr>
      <w:r>
        <w:rPr>
          <w:rFonts w:hint="eastAsia" w:ascii="宋体" w:hAnsi="宋体" w:eastAsia="宋体" w:cs="宋体"/>
          <w:szCs w:val="24"/>
          <w:highlight w:val="none"/>
        </w:rPr>
        <w:t>法定代表人授权书（格式见附件）；如法定代表人直接参加投标并对相应文件签字的（签字是指线下签字扫描后上传或者线上进行电子签章），只需提供其身份证</w:t>
      </w:r>
      <w:r>
        <w:rPr>
          <w:rFonts w:hint="eastAsia" w:ascii="宋体" w:hAnsi="宋体" w:cs="宋体"/>
          <w:szCs w:val="24"/>
          <w:highlight w:val="none"/>
          <w:lang w:eastAsia="zh-CN"/>
        </w:rPr>
        <w:t>扫描件</w:t>
      </w:r>
      <w:r>
        <w:rPr>
          <w:rFonts w:hint="eastAsia" w:ascii="宋体" w:hAnsi="宋体" w:eastAsia="宋体" w:cs="宋体"/>
          <w:szCs w:val="24"/>
          <w:highlight w:val="none"/>
        </w:rPr>
        <w:t>，否则则应提供授权代表身份证</w:t>
      </w:r>
      <w:r>
        <w:rPr>
          <w:rFonts w:hint="eastAsia" w:ascii="宋体" w:hAnsi="宋体" w:cs="宋体"/>
          <w:szCs w:val="24"/>
          <w:highlight w:val="none"/>
          <w:lang w:eastAsia="zh-CN"/>
        </w:rPr>
        <w:t>扫描件</w:t>
      </w:r>
      <w:r>
        <w:rPr>
          <w:rFonts w:hint="eastAsia" w:ascii="宋体" w:hAnsi="宋体" w:eastAsia="宋体" w:cs="宋体"/>
          <w:szCs w:val="24"/>
          <w:highlight w:val="none"/>
        </w:rPr>
        <w:t>；</w:t>
      </w:r>
    </w:p>
    <w:p w14:paraId="39EAAA34">
      <w:pPr>
        <w:pStyle w:val="43"/>
        <w:numPr>
          <w:ilvl w:val="0"/>
          <w:numId w:val="18"/>
        </w:numPr>
        <w:spacing w:before="0"/>
        <w:ind w:left="0" w:leftChars="0" w:firstLine="400" w:firstLineChars="0"/>
        <w:rPr>
          <w:rFonts w:hint="eastAsia" w:ascii="宋体" w:hAnsi="宋体" w:eastAsia="宋体" w:cs="宋体"/>
          <w:szCs w:val="24"/>
          <w:highlight w:val="none"/>
        </w:rPr>
      </w:pPr>
      <w:r>
        <w:rPr>
          <w:rFonts w:hint="eastAsia" w:ascii="宋体" w:hAnsi="宋体" w:eastAsia="宋体" w:cs="宋体"/>
          <w:szCs w:val="24"/>
          <w:highlight w:val="none"/>
        </w:rPr>
        <w:t>营业执照(或事业法人登记证或其他工商等登记证明材料)</w:t>
      </w:r>
      <w:r>
        <w:rPr>
          <w:rFonts w:hint="eastAsia" w:ascii="宋体" w:hAnsi="宋体" w:cs="宋体"/>
          <w:szCs w:val="24"/>
          <w:highlight w:val="none"/>
          <w:lang w:eastAsia="zh-CN"/>
        </w:rPr>
        <w:t>扫描件</w:t>
      </w:r>
      <w:r>
        <w:rPr>
          <w:rFonts w:hint="eastAsia" w:ascii="宋体" w:hAnsi="宋体" w:eastAsia="宋体" w:cs="宋体"/>
          <w:szCs w:val="24"/>
          <w:highlight w:val="none"/>
        </w:rPr>
        <w:t>、税务登记证(或其它缴纳证明材料)</w:t>
      </w:r>
      <w:r>
        <w:rPr>
          <w:rFonts w:hint="eastAsia" w:ascii="宋体" w:hAnsi="宋体" w:cs="宋体"/>
          <w:szCs w:val="24"/>
          <w:highlight w:val="none"/>
          <w:lang w:eastAsia="zh-CN"/>
        </w:rPr>
        <w:t>扫描件</w:t>
      </w:r>
      <w:r>
        <w:rPr>
          <w:rFonts w:hint="eastAsia" w:ascii="宋体" w:hAnsi="宋体" w:eastAsia="宋体" w:cs="宋体"/>
          <w:szCs w:val="24"/>
          <w:highlight w:val="none"/>
        </w:rPr>
        <w:t>、社保登记证（或其它缴纳证明材料）</w:t>
      </w:r>
      <w:r>
        <w:rPr>
          <w:rFonts w:hint="eastAsia" w:ascii="宋体" w:hAnsi="宋体" w:cs="宋体"/>
          <w:szCs w:val="24"/>
          <w:highlight w:val="none"/>
          <w:lang w:eastAsia="zh-CN"/>
        </w:rPr>
        <w:t>扫描件</w:t>
      </w:r>
      <w:r>
        <w:rPr>
          <w:rFonts w:hint="eastAsia" w:ascii="宋体" w:hAnsi="宋体" w:eastAsia="宋体" w:cs="宋体"/>
          <w:szCs w:val="24"/>
          <w:highlight w:val="none"/>
        </w:rPr>
        <w:t>；实施“五证合一、一照一码”登记制度改革的，只需提供改革后取得的营业执照</w:t>
      </w:r>
      <w:r>
        <w:rPr>
          <w:rFonts w:hint="eastAsia" w:ascii="宋体" w:hAnsi="宋体" w:cs="宋体"/>
          <w:szCs w:val="24"/>
          <w:highlight w:val="none"/>
          <w:lang w:eastAsia="zh-CN"/>
        </w:rPr>
        <w:t>扫描件</w:t>
      </w:r>
      <w:r>
        <w:rPr>
          <w:rFonts w:hint="eastAsia" w:ascii="宋体" w:hAnsi="宋体" w:eastAsia="宋体" w:cs="宋体"/>
          <w:szCs w:val="24"/>
          <w:highlight w:val="none"/>
        </w:rPr>
        <w:t>；事业单位的，则提供有效的《事业单位法人证书》副本</w:t>
      </w:r>
      <w:r>
        <w:rPr>
          <w:rFonts w:hint="eastAsia" w:ascii="宋体" w:hAnsi="宋体" w:cs="宋体"/>
          <w:szCs w:val="24"/>
          <w:highlight w:val="none"/>
          <w:lang w:eastAsia="zh-CN"/>
        </w:rPr>
        <w:t>扫描件</w:t>
      </w:r>
      <w:r>
        <w:rPr>
          <w:rFonts w:hint="eastAsia" w:ascii="宋体" w:hAnsi="宋体" w:eastAsia="宋体" w:cs="宋体"/>
          <w:szCs w:val="24"/>
          <w:highlight w:val="none"/>
        </w:rPr>
        <w:t>并加盖单位公章；</w:t>
      </w:r>
    </w:p>
    <w:p w14:paraId="7772DD06">
      <w:pPr>
        <w:pStyle w:val="43"/>
        <w:numPr>
          <w:ilvl w:val="0"/>
          <w:numId w:val="0"/>
        </w:numPr>
        <w:spacing w:before="0"/>
        <w:ind w:left="400" w:leftChars="0" w:firstLine="480" w:firstLineChars="200"/>
        <w:rPr>
          <w:rFonts w:hint="eastAsia" w:ascii="宋体" w:hAnsi="宋体" w:eastAsia="宋体" w:cs="宋体"/>
          <w:szCs w:val="24"/>
          <w:highlight w:val="none"/>
        </w:rPr>
      </w:pPr>
      <w:r>
        <w:rPr>
          <w:rFonts w:hint="eastAsia" w:ascii="宋体" w:hAnsi="宋体" w:eastAsia="宋体" w:cs="宋体"/>
          <w:szCs w:val="24"/>
          <w:highlight w:val="none"/>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投标文件中提供相关材料），证明其具备实际承担责任的能力和法定的缔结合同能力，可以独立参加</w:t>
      </w:r>
      <w:r>
        <w:rPr>
          <w:rFonts w:hint="eastAsia" w:ascii="宋体" w:hAnsi="宋体" w:cs="宋体"/>
          <w:szCs w:val="24"/>
          <w:highlight w:val="none"/>
          <w:lang w:val="en-US" w:eastAsia="zh-CN"/>
        </w:rPr>
        <w:t>村级</w:t>
      </w:r>
      <w:r>
        <w:rPr>
          <w:rFonts w:hint="eastAsia" w:ascii="宋体" w:hAnsi="宋体" w:eastAsia="宋体" w:cs="宋体"/>
          <w:szCs w:val="24"/>
          <w:highlight w:val="none"/>
        </w:rPr>
        <w:t>采购活动，由单位负责人签署相关文件材料；</w:t>
      </w:r>
    </w:p>
    <w:p w14:paraId="2D50A02B">
      <w:pPr>
        <w:pStyle w:val="43"/>
        <w:numPr>
          <w:ilvl w:val="0"/>
          <w:numId w:val="18"/>
        </w:numPr>
        <w:spacing w:before="0"/>
        <w:ind w:left="0" w:leftChars="0" w:firstLine="400" w:firstLineChars="0"/>
        <w:rPr>
          <w:rFonts w:hint="eastAsia" w:ascii="宋体" w:hAnsi="宋体" w:eastAsia="宋体" w:cs="宋体"/>
          <w:szCs w:val="24"/>
          <w:highlight w:val="none"/>
        </w:rPr>
      </w:pPr>
      <w:r>
        <w:rPr>
          <w:rFonts w:hint="eastAsia" w:ascii="宋体" w:hAnsi="宋体" w:eastAsia="宋体" w:cs="宋体"/>
          <w:szCs w:val="24"/>
          <w:highlight w:val="none"/>
        </w:rPr>
        <w:t>具有履行合同所必需的产品和专业技术能力的承诺函</w:t>
      </w:r>
      <w:r>
        <w:rPr>
          <w:rFonts w:hint="eastAsia" w:ascii="宋体" w:hAnsi="宋体" w:cs="宋体"/>
          <w:szCs w:val="24"/>
          <w:highlight w:val="none"/>
          <w:lang w:eastAsia="zh-CN"/>
        </w:rPr>
        <w:t>（格式自拟）</w:t>
      </w:r>
      <w:r>
        <w:rPr>
          <w:rFonts w:hint="eastAsia" w:ascii="宋体" w:hAnsi="宋体" w:eastAsia="宋体" w:cs="宋体"/>
          <w:szCs w:val="24"/>
          <w:highlight w:val="none"/>
        </w:rPr>
        <w:t>；</w:t>
      </w:r>
    </w:p>
    <w:p w14:paraId="2313A448">
      <w:pPr>
        <w:pStyle w:val="43"/>
        <w:numPr>
          <w:ilvl w:val="0"/>
          <w:numId w:val="18"/>
        </w:numPr>
        <w:spacing w:before="0"/>
        <w:ind w:left="0" w:leftChars="0" w:firstLine="400" w:firstLineChars="0"/>
        <w:rPr>
          <w:rFonts w:hint="eastAsia" w:ascii="宋体" w:hAnsi="宋体" w:eastAsia="宋体" w:cs="宋体"/>
          <w:b/>
          <w:bCs/>
          <w:szCs w:val="24"/>
          <w:highlight w:val="none"/>
        </w:rPr>
      </w:pPr>
      <w:r>
        <w:rPr>
          <w:rFonts w:hint="eastAsia" w:ascii="宋体" w:hAnsi="宋体" w:cs="宋体"/>
          <w:highlight w:val="none"/>
          <w:lang w:eastAsia="zh-CN"/>
        </w:rPr>
        <w:t>投标人承诺函</w:t>
      </w:r>
      <w:r>
        <w:rPr>
          <w:rFonts w:hint="eastAsia" w:ascii="宋体" w:hAnsi="宋体" w:cs="宋体"/>
          <w:highlight w:val="none"/>
        </w:rPr>
        <w:t>（格式见附件）</w:t>
      </w:r>
      <w:r>
        <w:rPr>
          <w:rFonts w:hint="eastAsia" w:ascii="宋体" w:hAnsi="宋体" w:cs="宋体"/>
          <w:highlight w:val="none"/>
          <w:lang w:eastAsia="zh-CN"/>
        </w:rPr>
        <w:t>；</w:t>
      </w:r>
    </w:p>
    <w:p w14:paraId="2088DCDB">
      <w:pPr>
        <w:pStyle w:val="43"/>
        <w:numPr>
          <w:ilvl w:val="0"/>
          <w:numId w:val="18"/>
        </w:numPr>
        <w:spacing w:before="0"/>
        <w:ind w:left="0" w:leftChars="0" w:firstLine="400" w:firstLineChars="0"/>
        <w:rPr>
          <w:rFonts w:hint="eastAsia" w:ascii="宋体" w:hAnsi="宋体" w:eastAsia="宋体" w:cs="宋体"/>
          <w:color w:val="FF0000"/>
          <w:szCs w:val="24"/>
          <w:highlight w:val="none"/>
        </w:rPr>
      </w:pPr>
      <w:r>
        <w:rPr>
          <w:rFonts w:hint="eastAsia" w:ascii="宋体" w:hAnsi="宋体" w:cs="宋体"/>
          <w:b/>
          <w:bCs/>
          <w:color w:val="FF0000"/>
          <w:szCs w:val="24"/>
          <w:highlight w:val="none"/>
          <w:lang w:eastAsia="zh-CN"/>
        </w:rPr>
        <w:t>投标保证金交纳凭证。</w:t>
      </w:r>
    </w:p>
    <w:p w14:paraId="634B1195">
      <w:pPr>
        <w:pStyle w:val="43"/>
        <w:keepNext w:val="0"/>
        <w:keepLines w:val="0"/>
        <w:pageBreakBefore w:val="0"/>
        <w:widowControl w:val="0"/>
        <w:numPr>
          <w:ilvl w:val="0"/>
          <w:numId w:val="17"/>
        </w:numPr>
        <w:kinsoku/>
        <w:wordWrap/>
        <w:overflowPunct/>
        <w:topLinePunct w:val="0"/>
        <w:autoSpaceDE/>
        <w:autoSpaceDN/>
        <w:bidi w:val="0"/>
        <w:adjustRightInd w:val="0"/>
        <w:snapToGrid/>
        <w:spacing w:before="0"/>
        <w:ind w:left="0" w:leftChars="0" w:firstLine="480" w:firstLineChars="200"/>
        <w:textAlignment w:val="auto"/>
        <w:rPr>
          <w:rFonts w:hint="eastAsia" w:ascii="宋体" w:hAnsi="宋体" w:eastAsia="宋体" w:cs="宋体"/>
          <w:szCs w:val="24"/>
          <w:highlight w:val="none"/>
        </w:rPr>
      </w:pPr>
      <w:r>
        <w:rPr>
          <w:rFonts w:hint="eastAsia" w:ascii="宋体" w:hAnsi="宋体" w:eastAsia="宋体" w:cs="宋体"/>
          <w:szCs w:val="24"/>
          <w:highlight w:val="none"/>
          <w:lang w:eastAsia="zh-CN"/>
        </w:rPr>
        <w:t>商务技术</w:t>
      </w:r>
      <w:r>
        <w:rPr>
          <w:rFonts w:hint="eastAsia" w:ascii="宋体" w:hAnsi="宋体" w:eastAsia="宋体" w:cs="宋体"/>
          <w:szCs w:val="24"/>
          <w:highlight w:val="none"/>
        </w:rPr>
        <w:t>文件，本次招标需要投标人提供以下项所列的技术文件：</w:t>
      </w:r>
    </w:p>
    <w:p w14:paraId="6EE5A9AE">
      <w:pPr>
        <w:pStyle w:val="43"/>
        <w:numPr>
          <w:ilvl w:val="0"/>
          <w:numId w:val="19"/>
        </w:numPr>
        <w:spacing w:before="0"/>
        <w:ind w:left="0" w:leftChars="0" w:firstLine="480" w:firstLineChars="200"/>
        <w:rPr>
          <w:rFonts w:hint="eastAsia" w:ascii="宋体" w:hAnsi="宋体" w:eastAsia="宋体" w:cs="宋体"/>
          <w:color w:val="auto"/>
          <w:szCs w:val="24"/>
          <w:highlight w:val="none"/>
        </w:rPr>
      </w:pPr>
      <w:r>
        <w:rPr>
          <w:rFonts w:hint="eastAsia" w:ascii="宋体" w:hAnsi="宋体" w:eastAsia="宋体" w:cs="宋体"/>
          <w:color w:val="auto"/>
          <w:szCs w:val="24"/>
          <w:highlight w:val="none"/>
        </w:rPr>
        <w:t>评分对应表（格式见附件，主要用于评委对应评分内容）</w:t>
      </w:r>
      <w:r>
        <w:rPr>
          <w:rFonts w:hint="eastAsia" w:ascii="宋体" w:hAnsi="宋体" w:cs="宋体"/>
          <w:color w:val="auto"/>
          <w:szCs w:val="24"/>
          <w:highlight w:val="none"/>
          <w:lang w:eastAsia="zh-CN"/>
        </w:rPr>
        <w:t>；</w:t>
      </w:r>
    </w:p>
    <w:p w14:paraId="5149956D">
      <w:pPr>
        <w:pStyle w:val="43"/>
        <w:numPr>
          <w:ilvl w:val="0"/>
          <w:numId w:val="19"/>
        </w:numPr>
        <w:spacing w:before="0"/>
        <w:ind w:left="0" w:leftChars="0" w:firstLine="480" w:firstLineChars="200"/>
        <w:rPr>
          <w:rFonts w:hint="eastAsia" w:ascii="宋体" w:hAnsi="宋体" w:eastAsia="宋体" w:cs="宋体"/>
          <w:color w:val="auto"/>
          <w:szCs w:val="24"/>
          <w:highlight w:val="none"/>
        </w:rPr>
      </w:pPr>
      <w:r>
        <w:rPr>
          <w:rFonts w:hint="eastAsia" w:ascii="宋体" w:hAnsi="宋体" w:eastAsia="宋体" w:cs="宋体"/>
          <w:color w:val="auto"/>
          <w:szCs w:val="24"/>
          <w:highlight w:val="none"/>
        </w:rPr>
        <w:t>投标人</w:t>
      </w:r>
      <w:r>
        <w:rPr>
          <w:rFonts w:hint="eastAsia" w:ascii="宋体" w:hAnsi="宋体" w:eastAsia="宋体" w:cs="宋体"/>
          <w:color w:val="auto"/>
          <w:szCs w:val="24"/>
          <w:highlight w:val="none"/>
          <w:lang w:eastAsia="zh-CN"/>
        </w:rPr>
        <w:t>商务技术</w:t>
      </w:r>
      <w:r>
        <w:rPr>
          <w:rFonts w:hint="eastAsia" w:ascii="宋体" w:hAnsi="宋体" w:eastAsia="宋体" w:cs="宋体"/>
          <w:color w:val="auto"/>
          <w:szCs w:val="24"/>
          <w:highlight w:val="none"/>
        </w:rPr>
        <w:t>文件中资信分自评表（格式见附件）；</w:t>
      </w:r>
    </w:p>
    <w:p w14:paraId="433917D3">
      <w:pPr>
        <w:pStyle w:val="43"/>
        <w:numPr>
          <w:ilvl w:val="0"/>
          <w:numId w:val="19"/>
        </w:numPr>
        <w:spacing w:before="0"/>
        <w:ind w:left="0" w:leftChars="0" w:firstLine="480" w:firstLineChars="200"/>
        <w:rPr>
          <w:rFonts w:hint="eastAsia" w:ascii="宋体" w:hAnsi="宋体" w:eastAsia="宋体" w:cs="宋体"/>
          <w:color w:val="auto"/>
          <w:szCs w:val="24"/>
          <w:highlight w:val="none"/>
        </w:rPr>
      </w:pPr>
      <w:r>
        <w:rPr>
          <w:rFonts w:hint="eastAsia" w:ascii="宋体" w:hAnsi="宋体" w:cs="宋体"/>
          <w:color w:val="auto"/>
          <w:szCs w:val="24"/>
          <w:highlight w:val="none"/>
          <w:lang w:val="en-US" w:eastAsia="zh-CN"/>
        </w:rPr>
        <w:t>投标项目明细清单</w:t>
      </w:r>
      <w:r>
        <w:rPr>
          <w:rFonts w:hint="eastAsia" w:ascii="宋体" w:hAnsi="宋体" w:eastAsia="宋体" w:cs="宋体"/>
          <w:color w:val="auto"/>
          <w:szCs w:val="24"/>
          <w:highlight w:val="none"/>
        </w:rPr>
        <w:t>（格式见附件）；</w:t>
      </w:r>
    </w:p>
    <w:p w14:paraId="19FC049C">
      <w:pPr>
        <w:pStyle w:val="43"/>
        <w:numPr>
          <w:ilvl w:val="0"/>
          <w:numId w:val="19"/>
        </w:numPr>
        <w:spacing w:before="0"/>
        <w:ind w:left="0" w:leftChars="0" w:firstLine="480" w:firstLineChars="200"/>
        <w:rPr>
          <w:rFonts w:hint="eastAsia" w:ascii="宋体" w:hAnsi="宋体" w:eastAsia="宋体" w:cs="宋体"/>
          <w:color w:val="auto"/>
          <w:szCs w:val="24"/>
          <w:highlight w:val="none"/>
        </w:rPr>
      </w:pPr>
      <w:r>
        <w:rPr>
          <w:rFonts w:hint="eastAsia" w:ascii="宋体" w:hAnsi="宋体" w:eastAsia="宋体" w:cs="宋体"/>
          <w:color w:val="auto"/>
          <w:szCs w:val="24"/>
          <w:highlight w:val="none"/>
          <w:lang w:val="en-US" w:eastAsia="zh-CN"/>
        </w:rPr>
        <w:t>技术响应及建议表</w:t>
      </w:r>
      <w:r>
        <w:rPr>
          <w:rFonts w:hint="eastAsia" w:ascii="宋体" w:hAnsi="宋体" w:eastAsia="宋体" w:cs="宋体"/>
          <w:color w:val="auto"/>
          <w:szCs w:val="24"/>
          <w:highlight w:val="none"/>
        </w:rPr>
        <w:t>（格式见附件）；</w:t>
      </w:r>
    </w:p>
    <w:p w14:paraId="5E0E4E56">
      <w:pPr>
        <w:pStyle w:val="43"/>
        <w:numPr>
          <w:ilvl w:val="0"/>
          <w:numId w:val="19"/>
        </w:numPr>
        <w:spacing w:before="0"/>
        <w:ind w:left="0" w:leftChars="0" w:firstLine="480" w:firstLineChars="200"/>
        <w:rPr>
          <w:rFonts w:hint="eastAsia" w:ascii="宋体" w:hAnsi="宋体" w:eastAsia="宋体" w:cs="宋体"/>
          <w:color w:val="auto"/>
          <w:szCs w:val="24"/>
          <w:highlight w:val="none"/>
        </w:rPr>
      </w:pPr>
      <w:r>
        <w:rPr>
          <w:rFonts w:hint="eastAsia" w:ascii="宋体" w:hAnsi="宋体" w:eastAsia="宋体" w:cs="宋体"/>
          <w:color w:val="auto"/>
          <w:szCs w:val="24"/>
          <w:highlight w:val="none"/>
          <w:lang w:val="en-US" w:eastAsia="zh-CN"/>
        </w:rPr>
        <w:t>商务响应表</w:t>
      </w:r>
      <w:r>
        <w:rPr>
          <w:rFonts w:hint="eastAsia" w:ascii="宋体" w:hAnsi="宋体" w:eastAsia="宋体" w:cs="宋体"/>
          <w:color w:val="auto"/>
          <w:szCs w:val="24"/>
          <w:highlight w:val="none"/>
        </w:rPr>
        <w:t>（格式见附件）；</w:t>
      </w:r>
    </w:p>
    <w:p w14:paraId="2383CBB5">
      <w:pPr>
        <w:pStyle w:val="43"/>
        <w:numPr>
          <w:ilvl w:val="0"/>
          <w:numId w:val="19"/>
        </w:numPr>
        <w:spacing w:before="0"/>
        <w:ind w:left="0" w:leftChars="0" w:firstLine="480" w:firstLineChars="200"/>
        <w:rPr>
          <w:rFonts w:hint="eastAsia" w:ascii="宋体" w:hAnsi="宋体" w:eastAsia="宋体" w:cs="宋体"/>
          <w:color w:val="auto"/>
          <w:szCs w:val="24"/>
          <w:highlight w:val="none"/>
        </w:rPr>
      </w:pPr>
      <w:r>
        <w:rPr>
          <w:rFonts w:hint="eastAsia" w:ascii="宋体" w:hAnsi="宋体" w:cs="宋体"/>
          <w:color w:val="auto"/>
          <w:szCs w:val="24"/>
          <w:lang w:eastAsia="zh-CN"/>
        </w:rPr>
        <w:t>项目组人员清单</w:t>
      </w:r>
      <w:r>
        <w:rPr>
          <w:rFonts w:hint="eastAsia" w:ascii="宋体" w:hAnsi="宋体" w:cs="宋体"/>
          <w:color w:val="auto"/>
          <w:szCs w:val="24"/>
        </w:rPr>
        <w:t>（格式见附件）</w:t>
      </w:r>
    </w:p>
    <w:p w14:paraId="23E79427">
      <w:pPr>
        <w:pStyle w:val="43"/>
        <w:numPr>
          <w:ilvl w:val="0"/>
          <w:numId w:val="19"/>
        </w:numPr>
        <w:spacing w:before="0"/>
        <w:ind w:left="0" w:leftChars="0" w:firstLine="480" w:firstLineChars="200"/>
        <w:rPr>
          <w:rFonts w:hint="eastAsia" w:ascii="宋体" w:hAnsi="宋体" w:eastAsia="宋体" w:cs="宋体"/>
          <w:color w:val="auto"/>
          <w:szCs w:val="24"/>
          <w:highlight w:val="none"/>
        </w:rPr>
      </w:pPr>
      <w:r>
        <w:rPr>
          <w:rFonts w:hint="eastAsia" w:ascii="宋体" w:hAnsi="宋体" w:cs="宋体"/>
          <w:color w:val="auto"/>
          <w:sz w:val="24"/>
          <w:highlight w:val="none"/>
          <w:lang w:val="en-US" w:eastAsia="zh-CN"/>
        </w:rPr>
        <w:t>服务方案</w:t>
      </w:r>
      <w:r>
        <w:rPr>
          <w:rFonts w:hint="eastAsia" w:ascii="宋体" w:hAnsi="宋体" w:eastAsia="宋体" w:cs="宋体"/>
          <w:color w:val="auto"/>
          <w:szCs w:val="24"/>
          <w:highlight w:val="none"/>
        </w:rPr>
        <w:t>；</w:t>
      </w:r>
    </w:p>
    <w:p w14:paraId="6CB3739A">
      <w:pPr>
        <w:pStyle w:val="43"/>
        <w:numPr>
          <w:ilvl w:val="0"/>
          <w:numId w:val="19"/>
        </w:numPr>
        <w:spacing w:before="0"/>
        <w:ind w:left="0" w:leftChars="0" w:firstLine="480" w:firstLineChars="200"/>
        <w:rPr>
          <w:rFonts w:hint="eastAsia" w:ascii="宋体" w:hAnsi="宋体" w:eastAsia="宋体" w:cs="宋体"/>
          <w:color w:val="auto"/>
          <w:szCs w:val="24"/>
          <w:highlight w:val="none"/>
        </w:rPr>
      </w:pPr>
      <w:r>
        <w:rPr>
          <w:rFonts w:hint="eastAsia" w:ascii="宋体" w:hAnsi="宋体" w:cs="宋体"/>
          <w:color w:val="auto"/>
          <w:sz w:val="24"/>
          <w:highlight w:val="none"/>
          <w:lang w:val="en-US" w:eastAsia="zh-CN"/>
        </w:rPr>
        <w:t>重点、难点及解决措施</w:t>
      </w:r>
      <w:r>
        <w:rPr>
          <w:rFonts w:hint="eastAsia" w:ascii="宋体" w:hAnsi="宋体" w:eastAsia="宋体" w:cs="宋体"/>
          <w:color w:val="auto"/>
          <w:szCs w:val="24"/>
          <w:highlight w:val="none"/>
        </w:rPr>
        <w:t>；</w:t>
      </w:r>
    </w:p>
    <w:p w14:paraId="2CFE76AD">
      <w:pPr>
        <w:pStyle w:val="43"/>
        <w:numPr>
          <w:ilvl w:val="0"/>
          <w:numId w:val="19"/>
        </w:numPr>
        <w:spacing w:before="0"/>
        <w:ind w:left="0" w:leftChars="0" w:firstLine="480" w:firstLineChars="200"/>
        <w:rPr>
          <w:rFonts w:hint="eastAsia" w:ascii="宋体" w:hAnsi="宋体" w:eastAsia="宋体" w:cs="宋体"/>
          <w:color w:val="auto"/>
          <w:szCs w:val="24"/>
          <w:highlight w:val="none"/>
        </w:rPr>
      </w:pPr>
      <w:r>
        <w:rPr>
          <w:rFonts w:hint="eastAsia" w:ascii="宋体" w:hAnsi="宋体" w:cs="宋体"/>
          <w:color w:val="auto"/>
          <w:sz w:val="24"/>
          <w:highlight w:val="none"/>
          <w:lang w:val="en-US" w:eastAsia="zh-CN"/>
        </w:rPr>
        <w:t>设备投入</w:t>
      </w:r>
      <w:r>
        <w:rPr>
          <w:rFonts w:hint="eastAsia" w:ascii="宋体" w:hAnsi="宋体" w:eastAsia="宋体" w:cs="宋体"/>
          <w:color w:val="auto"/>
          <w:szCs w:val="24"/>
          <w:highlight w:val="none"/>
        </w:rPr>
        <w:t>；</w:t>
      </w:r>
    </w:p>
    <w:p w14:paraId="116A5BF1">
      <w:pPr>
        <w:pStyle w:val="43"/>
        <w:numPr>
          <w:ilvl w:val="0"/>
          <w:numId w:val="19"/>
        </w:numPr>
        <w:spacing w:before="0"/>
        <w:ind w:left="0" w:leftChars="0" w:firstLine="480" w:firstLineChars="200"/>
        <w:rPr>
          <w:rFonts w:hint="eastAsia" w:ascii="宋体" w:hAnsi="宋体" w:eastAsia="宋体" w:cs="宋体"/>
          <w:color w:val="auto"/>
          <w:szCs w:val="24"/>
          <w:highlight w:val="none"/>
        </w:rPr>
      </w:pPr>
      <w:r>
        <w:rPr>
          <w:rFonts w:hint="eastAsia" w:ascii="宋体" w:hAnsi="宋体" w:cs="宋体"/>
          <w:color w:val="auto"/>
          <w:sz w:val="24"/>
          <w:highlight w:val="none"/>
          <w:lang w:val="en-US" w:eastAsia="zh-CN"/>
        </w:rPr>
        <w:t>人员配备</w:t>
      </w:r>
      <w:r>
        <w:rPr>
          <w:rFonts w:hint="eastAsia" w:ascii="宋体" w:hAnsi="宋体" w:eastAsia="宋体" w:cs="宋体"/>
          <w:color w:val="auto"/>
          <w:szCs w:val="24"/>
          <w:highlight w:val="none"/>
        </w:rPr>
        <w:t>；</w:t>
      </w:r>
    </w:p>
    <w:p w14:paraId="53B83654">
      <w:pPr>
        <w:pStyle w:val="43"/>
        <w:numPr>
          <w:ilvl w:val="0"/>
          <w:numId w:val="19"/>
        </w:numPr>
        <w:spacing w:before="0"/>
        <w:ind w:left="0" w:leftChars="0" w:firstLine="480" w:firstLineChars="200"/>
        <w:rPr>
          <w:rFonts w:hint="eastAsia" w:ascii="宋体" w:hAnsi="宋体" w:eastAsia="宋体" w:cs="宋体"/>
          <w:color w:val="auto"/>
          <w:szCs w:val="24"/>
          <w:highlight w:val="none"/>
        </w:rPr>
      </w:pPr>
      <w:r>
        <w:rPr>
          <w:rFonts w:hint="eastAsia" w:ascii="宋体" w:hAnsi="宋体" w:cs="宋体"/>
          <w:color w:val="auto"/>
          <w:sz w:val="24"/>
          <w:highlight w:val="none"/>
          <w:lang w:val="en-US" w:eastAsia="zh-CN"/>
        </w:rPr>
        <w:t>管理制度</w:t>
      </w:r>
      <w:r>
        <w:rPr>
          <w:rFonts w:hint="eastAsia" w:ascii="宋体" w:hAnsi="宋体" w:eastAsia="宋体" w:cs="宋体"/>
          <w:color w:val="auto"/>
          <w:szCs w:val="24"/>
          <w:highlight w:val="none"/>
        </w:rPr>
        <w:t>；</w:t>
      </w:r>
    </w:p>
    <w:p w14:paraId="5160FE43">
      <w:pPr>
        <w:pStyle w:val="43"/>
        <w:numPr>
          <w:ilvl w:val="0"/>
          <w:numId w:val="19"/>
        </w:numPr>
        <w:spacing w:before="0"/>
        <w:ind w:left="0" w:leftChars="0" w:firstLine="480" w:firstLineChars="200"/>
        <w:rPr>
          <w:rFonts w:hint="eastAsia" w:ascii="宋体" w:hAnsi="宋体" w:eastAsia="宋体" w:cs="宋体"/>
          <w:color w:val="auto"/>
          <w:szCs w:val="24"/>
          <w:highlight w:val="none"/>
        </w:rPr>
      </w:pPr>
      <w:r>
        <w:rPr>
          <w:rFonts w:hint="eastAsia" w:ascii="宋体" w:hAnsi="宋体" w:cs="宋体"/>
          <w:color w:val="auto"/>
          <w:sz w:val="24"/>
          <w:highlight w:val="none"/>
          <w:lang w:val="en-US" w:eastAsia="zh-CN"/>
        </w:rPr>
        <w:t>保证</w:t>
      </w:r>
      <w:r>
        <w:rPr>
          <w:rFonts w:hint="eastAsia" w:ascii="宋体" w:hAnsi="宋体" w:cs="宋体"/>
          <w:color w:val="auto"/>
          <w:sz w:val="24"/>
          <w:highlight w:val="none"/>
        </w:rPr>
        <w:t>措施</w:t>
      </w:r>
      <w:r>
        <w:rPr>
          <w:rFonts w:hint="eastAsia" w:ascii="宋体" w:hAnsi="宋体" w:eastAsia="宋体" w:cs="宋体"/>
          <w:color w:val="auto"/>
          <w:szCs w:val="24"/>
          <w:highlight w:val="none"/>
          <w:lang w:val="en-US" w:eastAsia="zh-CN"/>
        </w:rPr>
        <w:t>；</w:t>
      </w:r>
    </w:p>
    <w:p w14:paraId="00B43D87">
      <w:pPr>
        <w:pStyle w:val="43"/>
        <w:numPr>
          <w:ilvl w:val="0"/>
          <w:numId w:val="19"/>
        </w:numPr>
        <w:spacing w:before="0"/>
        <w:ind w:left="0" w:leftChars="0" w:firstLine="480" w:firstLineChars="200"/>
        <w:rPr>
          <w:rFonts w:hint="eastAsia" w:ascii="宋体" w:hAnsi="宋体" w:eastAsia="宋体" w:cs="宋体"/>
          <w:color w:val="auto"/>
          <w:szCs w:val="24"/>
          <w:highlight w:val="none"/>
        </w:rPr>
      </w:pPr>
      <w:r>
        <w:rPr>
          <w:rFonts w:hint="eastAsia" w:ascii="宋体" w:hAnsi="宋体" w:eastAsia="宋体" w:cs="宋体"/>
          <w:color w:val="auto"/>
          <w:szCs w:val="24"/>
          <w:highlight w:val="none"/>
          <w:lang w:val="en-US" w:eastAsia="zh-CN"/>
        </w:rPr>
        <w:t>特殊时期的应急保</w:t>
      </w:r>
      <w:r>
        <w:rPr>
          <w:rFonts w:hint="eastAsia" w:ascii="宋体" w:hAnsi="宋体" w:cs="宋体"/>
          <w:color w:val="auto"/>
          <w:szCs w:val="24"/>
          <w:highlight w:val="none"/>
          <w:lang w:val="en-US" w:eastAsia="zh-CN"/>
        </w:rPr>
        <w:t>障</w:t>
      </w:r>
      <w:r>
        <w:rPr>
          <w:rFonts w:hint="eastAsia" w:ascii="宋体" w:hAnsi="宋体" w:eastAsia="宋体" w:cs="宋体"/>
          <w:color w:val="auto"/>
          <w:szCs w:val="24"/>
          <w:highlight w:val="none"/>
          <w:lang w:val="en-US" w:eastAsia="zh-CN"/>
        </w:rPr>
        <w:t>措施</w:t>
      </w:r>
      <w:r>
        <w:rPr>
          <w:rFonts w:hint="eastAsia" w:ascii="宋体" w:hAnsi="宋体" w:eastAsia="宋体" w:cs="宋体"/>
          <w:color w:val="auto"/>
          <w:szCs w:val="24"/>
          <w:highlight w:val="none"/>
        </w:rPr>
        <w:t>；</w:t>
      </w:r>
    </w:p>
    <w:p w14:paraId="1B529FE5">
      <w:pPr>
        <w:pStyle w:val="43"/>
        <w:numPr>
          <w:ilvl w:val="0"/>
          <w:numId w:val="19"/>
        </w:numPr>
        <w:spacing w:before="0"/>
        <w:ind w:left="0" w:leftChars="0" w:firstLine="480" w:firstLineChars="200"/>
        <w:rPr>
          <w:rFonts w:hint="eastAsia" w:ascii="宋体" w:hAnsi="宋体" w:eastAsia="宋体" w:cs="宋体"/>
          <w:color w:val="auto"/>
          <w:szCs w:val="24"/>
          <w:highlight w:val="none"/>
        </w:rPr>
      </w:pPr>
      <w:r>
        <w:rPr>
          <w:rFonts w:hint="eastAsia" w:ascii="宋体" w:hAnsi="宋体" w:eastAsia="宋体" w:cs="宋体"/>
          <w:color w:val="auto"/>
          <w:szCs w:val="24"/>
          <w:highlight w:val="none"/>
          <w:lang w:val="en-US" w:eastAsia="zh-CN"/>
        </w:rPr>
        <w:t>本地化服务</w:t>
      </w:r>
      <w:r>
        <w:rPr>
          <w:rFonts w:hint="eastAsia" w:ascii="宋体" w:hAnsi="宋体" w:eastAsia="宋体" w:cs="宋体"/>
          <w:color w:val="auto"/>
          <w:szCs w:val="24"/>
          <w:highlight w:val="none"/>
        </w:rPr>
        <w:t>；</w:t>
      </w:r>
    </w:p>
    <w:p w14:paraId="2EF9BBC4">
      <w:pPr>
        <w:pStyle w:val="43"/>
        <w:numPr>
          <w:ilvl w:val="0"/>
          <w:numId w:val="19"/>
        </w:numPr>
        <w:spacing w:before="0"/>
        <w:ind w:left="0" w:leftChars="0" w:firstLine="480" w:firstLineChars="200"/>
        <w:rPr>
          <w:rFonts w:hint="eastAsia" w:ascii="宋体" w:hAnsi="宋体" w:eastAsia="宋体" w:cs="宋体"/>
          <w:color w:val="auto"/>
          <w:szCs w:val="24"/>
          <w:highlight w:val="none"/>
        </w:rPr>
      </w:pPr>
      <w:r>
        <w:rPr>
          <w:rFonts w:hint="eastAsia" w:ascii="宋体" w:hAnsi="宋体" w:cs="宋体"/>
          <w:color w:val="auto"/>
          <w:sz w:val="24"/>
          <w:highlight w:val="none"/>
          <w:lang w:val="en-US" w:eastAsia="zh-CN"/>
        </w:rPr>
        <w:t>企业业绩</w:t>
      </w:r>
      <w:r>
        <w:rPr>
          <w:rFonts w:hint="eastAsia" w:ascii="宋体" w:hAnsi="宋体" w:eastAsia="宋体" w:cs="宋体"/>
          <w:color w:val="auto"/>
          <w:szCs w:val="24"/>
          <w:highlight w:val="none"/>
        </w:rPr>
        <w:t>；</w:t>
      </w:r>
    </w:p>
    <w:p w14:paraId="53105EE6">
      <w:pPr>
        <w:pStyle w:val="43"/>
        <w:numPr>
          <w:ilvl w:val="0"/>
          <w:numId w:val="19"/>
        </w:numPr>
        <w:spacing w:before="0"/>
        <w:ind w:left="0" w:leftChars="0" w:firstLine="480" w:firstLineChars="200"/>
        <w:rPr>
          <w:rFonts w:hint="eastAsia" w:ascii="宋体" w:hAnsi="宋体" w:eastAsia="宋体" w:cs="宋体"/>
          <w:color w:val="auto"/>
          <w:szCs w:val="24"/>
          <w:highlight w:val="none"/>
        </w:rPr>
      </w:pPr>
      <w:r>
        <w:rPr>
          <w:rFonts w:hint="eastAsia" w:ascii="宋体" w:hAnsi="宋体" w:cs="宋体"/>
          <w:color w:val="auto"/>
          <w:sz w:val="24"/>
          <w:highlight w:val="none"/>
          <w:lang w:val="en-US" w:eastAsia="zh-CN"/>
        </w:rPr>
        <w:t>企业认证</w:t>
      </w:r>
      <w:r>
        <w:rPr>
          <w:rFonts w:hint="eastAsia" w:ascii="宋体" w:hAnsi="宋体" w:eastAsia="宋体" w:cs="宋体"/>
          <w:color w:val="auto"/>
          <w:szCs w:val="24"/>
          <w:highlight w:val="none"/>
        </w:rPr>
        <w:t>；</w:t>
      </w:r>
    </w:p>
    <w:p w14:paraId="3FE85FF3">
      <w:pPr>
        <w:pStyle w:val="43"/>
        <w:numPr>
          <w:ilvl w:val="0"/>
          <w:numId w:val="19"/>
        </w:numPr>
        <w:spacing w:before="0"/>
        <w:ind w:left="0" w:leftChars="0" w:firstLine="480" w:firstLineChars="200"/>
        <w:rPr>
          <w:rFonts w:hint="eastAsia" w:ascii="宋体" w:hAnsi="宋体" w:eastAsia="宋体" w:cs="宋体"/>
          <w:color w:val="auto"/>
          <w:szCs w:val="24"/>
          <w:highlight w:val="none"/>
        </w:rPr>
      </w:pPr>
      <w:r>
        <w:rPr>
          <w:rFonts w:hint="eastAsia" w:ascii="宋体" w:hAnsi="宋体" w:cs="宋体"/>
          <w:color w:val="auto"/>
          <w:sz w:val="24"/>
          <w:highlight w:val="none"/>
          <w:lang w:val="en-US" w:eastAsia="zh-CN"/>
        </w:rPr>
        <w:t>项目负责人</w:t>
      </w:r>
      <w:r>
        <w:rPr>
          <w:rFonts w:hint="eastAsia" w:ascii="宋体" w:hAnsi="宋体" w:eastAsia="宋体" w:cs="宋体"/>
          <w:color w:val="auto"/>
          <w:szCs w:val="24"/>
          <w:highlight w:val="none"/>
        </w:rPr>
        <w:t>；</w:t>
      </w:r>
    </w:p>
    <w:p w14:paraId="3EADA3A6">
      <w:pPr>
        <w:pStyle w:val="43"/>
        <w:numPr>
          <w:ilvl w:val="0"/>
          <w:numId w:val="19"/>
        </w:numPr>
        <w:spacing w:before="0"/>
        <w:ind w:left="0" w:leftChars="0" w:firstLine="480" w:firstLineChars="200"/>
        <w:rPr>
          <w:rFonts w:hint="eastAsia" w:ascii="宋体" w:hAnsi="宋体" w:eastAsia="宋体" w:cs="宋体"/>
          <w:color w:val="auto"/>
          <w:szCs w:val="24"/>
          <w:highlight w:val="none"/>
        </w:rPr>
      </w:pPr>
      <w:r>
        <w:rPr>
          <w:rFonts w:hint="eastAsia" w:ascii="宋体" w:hAnsi="宋体" w:eastAsia="宋体" w:cs="宋体"/>
          <w:color w:val="auto"/>
          <w:szCs w:val="24"/>
          <w:highlight w:val="none"/>
          <w:lang w:val="en-US" w:eastAsia="zh-CN"/>
        </w:rPr>
        <w:t>其他与本项目有关的证明文件</w:t>
      </w:r>
      <w:r>
        <w:rPr>
          <w:rFonts w:hint="eastAsia" w:ascii="宋体" w:hAnsi="宋体" w:eastAsia="宋体" w:cs="宋体"/>
          <w:color w:val="auto"/>
          <w:szCs w:val="24"/>
          <w:highlight w:val="none"/>
        </w:rPr>
        <w:t xml:space="preserve">： </w:t>
      </w:r>
      <w:r>
        <w:rPr>
          <w:rFonts w:hint="eastAsia" w:ascii="宋体" w:hAnsi="宋体" w:eastAsia="宋体" w:cs="宋体"/>
          <w:color w:val="auto"/>
          <w:szCs w:val="24"/>
          <w:highlight w:val="none"/>
          <w:lang w:val="en-US" w:eastAsia="zh-CN"/>
        </w:rPr>
        <w:t>商务技术文件</w:t>
      </w:r>
      <w:r>
        <w:rPr>
          <w:rFonts w:hint="eastAsia" w:ascii="宋体" w:hAnsi="宋体" w:eastAsia="宋体" w:cs="宋体"/>
          <w:color w:val="auto"/>
          <w:szCs w:val="24"/>
          <w:highlight w:val="none"/>
        </w:rPr>
        <w:t>中要求递交的其他相关文件</w:t>
      </w:r>
      <w:r>
        <w:rPr>
          <w:rFonts w:hint="eastAsia" w:ascii="宋体" w:hAnsi="宋体" w:eastAsia="宋体" w:cs="宋体"/>
          <w:color w:val="auto"/>
          <w:szCs w:val="24"/>
          <w:highlight w:val="none"/>
          <w:lang w:eastAsia="zh-CN"/>
        </w:rPr>
        <w:t>。</w:t>
      </w:r>
    </w:p>
    <w:p w14:paraId="17EFC6FB">
      <w:pPr>
        <w:pStyle w:val="43"/>
        <w:keepNext w:val="0"/>
        <w:keepLines w:val="0"/>
        <w:pageBreakBefore w:val="0"/>
        <w:widowControl w:val="0"/>
        <w:numPr>
          <w:ilvl w:val="0"/>
          <w:numId w:val="0"/>
        </w:numPr>
        <w:tabs>
          <w:tab w:val="left" w:pos="0"/>
        </w:tabs>
        <w:kinsoku/>
        <w:wordWrap/>
        <w:overflowPunct/>
        <w:topLinePunct w:val="0"/>
        <w:autoSpaceDE/>
        <w:autoSpaceDN/>
        <w:bidi w:val="0"/>
        <w:adjustRightInd w:val="0"/>
        <w:snapToGrid/>
        <w:spacing w:before="0"/>
        <w:ind w:firstLine="480" w:firstLineChars="200"/>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注：以上内容应与评标办法中内容具有一致性。</w:t>
      </w:r>
    </w:p>
    <w:p w14:paraId="30474155">
      <w:pPr>
        <w:pStyle w:val="43"/>
        <w:keepNext w:val="0"/>
        <w:keepLines w:val="0"/>
        <w:pageBreakBefore w:val="0"/>
        <w:widowControl w:val="0"/>
        <w:numPr>
          <w:ilvl w:val="0"/>
          <w:numId w:val="0"/>
        </w:numPr>
        <w:tabs>
          <w:tab w:val="left" w:pos="0"/>
        </w:tabs>
        <w:kinsoku/>
        <w:wordWrap/>
        <w:overflowPunct/>
        <w:topLinePunct w:val="0"/>
        <w:autoSpaceDE/>
        <w:autoSpaceDN/>
        <w:bidi w:val="0"/>
        <w:adjustRightInd w:val="0"/>
        <w:snapToGrid/>
        <w:spacing w:before="0"/>
        <w:ind w:firstLine="480" w:firstLineChars="200"/>
        <w:textAlignment w:val="auto"/>
        <w:rPr>
          <w:rFonts w:hint="eastAsia" w:ascii="宋体" w:hAnsi="宋体" w:eastAsia="宋体" w:cs="宋体"/>
          <w:szCs w:val="24"/>
          <w:highlight w:val="none"/>
        </w:rPr>
      </w:pPr>
      <w:r>
        <w:rPr>
          <w:rFonts w:hint="eastAsia" w:ascii="宋体" w:hAnsi="宋体" w:eastAsia="宋体" w:cs="宋体"/>
          <w:szCs w:val="24"/>
          <w:highlight w:val="none"/>
        </w:rPr>
        <w:t>如果本项目涉及</w:t>
      </w:r>
      <w:r>
        <w:rPr>
          <w:rFonts w:hint="eastAsia" w:ascii="宋体" w:hAnsi="宋体" w:eastAsia="宋体" w:cs="宋体"/>
          <w:szCs w:val="24"/>
          <w:highlight w:val="none"/>
          <w:lang w:eastAsia="zh-CN"/>
        </w:rPr>
        <w:t>软件</w:t>
      </w:r>
      <w:r>
        <w:rPr>
          <w:rFonts w:hint="eastAsia" w:ascii="宋体" w:hAnsi="宋体" w:eastAsia="宋体" w:cs="宋体"/>
          <w:szCs w:val="24"/>
          <w:highlight w:val="none"/>
        </w:rPr>
        <w:t>采购，还需提供相关完整配置方案（</w:t>
      </w:r>
      <w:r>
        <w:rPr>
          <w:rFonts w:hint="eastAsia" w:ascii="宋体" w:hAnsi="宋体" w:eastAsia="宋体" w:cs="宋体"/>
          <w:szCs w:val="24"/>
          <w:highlight w:val="none"/>
          <w:lang w:eastAsia="zh-CN"/>
        </w:rPr>
        <w:t>软件</w:t>
      </w:r>
      <w:r>
        <w:rPr>
          <w:rFonts w:hint="eastAsia" w:ascii="宋体" w:hAnsi="宋体" w:eastAsia="宋体" w:cs="宋体"/>
          <w:szCs w:val="24"/>
          <w:highlight w:val="none"/>
        </w:rPr>
        <w:t>名称、品牌、规格型号、数量、主要技术参数等），提供主要投标产品的技术参数证明材料（如官网截图、产品彩页、技术说明等），明确表示该项指标所涉及的软件是标准配置还是选择配置。</w:t>
      </w:r>
    </w:p>
    <w:p w14:paraId="3D677344">
      <w:pPr>
        <w:pStyle w:val="43"/>
        <w:keepNext w:val="0"/>
        <w:keepLines w:val="0"/>
        <w:pageBreakBefore w:val="0"/>
        <w:widowControl w:val="0"/>
        <w:numPr>
          <w:ilvl w:val="0"/>
          <w:numId w:val="0"/>
        </w:numPr>
        <w:tabs>
          <w:tab w:val="left" w:pos="0"/>
        </w:tabs>
        <w:kinsoku/>
        <w:wordWrap/>
        <w:overflowPunct/>
        <w:topLinePunct w:val="0"/>
        <w:autoSpaceDE/>
        <w:autoSpaceDN/>
        <w:bidi w:val="0"/>
        <w:adjustRightInd w:val="0"/>
        <w:snapToGrid/>
        <w:spacing w:before="0"/>
        <w:ind w:firstLine="480" w:firstLineChars="200"/>
        <w:textAlignment w:val="auto"/>
        <w:rPr>
          <w:rFonts w:hint="eastAsia" w:ascii="宋体" w:hAnsi="宋体" w:eastAsia="宋体" w:cs="宋体"/>
          <w:szCs w:val="24"/>
          <w:highlight w:val="none"/>
        </w:rPr>
      </w:pPr>
      <w:r>
        <w:rPr>
          <w:rFonts w:hint="eastAsia" w:ascii="宋体" w:hAnsi="宋体" w:eastAsia="宋体" w:cs="宋体"/>
          <w:szCs w:val="24"/>
          <w:highlight w:val="none"/>
        </w:rPr>
        <w:t>投标人在投标文件中应对项目技术规范和服务要求中所提出各项要求进行答复、说明和解释。如果投标人在技术偏离表中注明无偏离，评标结束后、签订采购合同前又认为其实际产品与投标技术需求不一致的，视为投标人在投标有效期内对其投标文件进行了实质性修改，其投标将被追认为无效投标。</w:t>
      </w:r>
      <w:r>
        <w:rPr>
          <w:rFonts w:hint="eastAsia" w:ascii="宋体" w:hAnsi="宋体" w:eastAsia="宋体" w:cs="宋体"/>
          <w:b/>
          <w:bCs/>
          <w:szCs w:val="24"/>
          <w:highlight w:val="none"/>
        </w:rPr>
        <w:t>采购代理机构将把这一情况报送采购监管部门。实质性指标、关键性指标和重要指标需提供证明材料，如技术偏离表中仅复制粘贴而未说明或提供证明材料的，其产生的影响直至被认定为未实质性响应的后果将由供应商自行承担。</w:t>
      </w:r>
    </w:p>
    <w:p w14:paraId="5557493B">
      <w:pPr>
        <w:pStyle w:val="43"/>
        <w:keepNext w:val="0"/>
        <w:keepLines w:val="0"/>
        <w:pageBreakBefore w:val="0"/>
        <w:widowControl w:val="0"/>
        <w:numPr>
          <w:ilvl w:val="0"/>
          <w:numId w:val="17"/>
        </w:numPr>
        <w:kinsoku/>
        <w:wordWrap/>
        <w:overflowPunct/>
        <w:topLinePunct w:val="0"/>
        <w:autoSpaceDE/>
        <w:autoSpaceDN/>
        <w:bidi w:val="0"/>
        <w:adjustRightInd w:val="0"/>
        <w:snapToGrid/>
        <w:spacing w:before="0"/>
        <w:ind w:left="0" w:leftChars="0" w:firstLine="480" w:firstLineChars="200"/>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报价文件包括以下内容：</w:t>
      </w:r>
    </w:p>
    <w:p w14:paraId="558C5095">
      <w:pPr>
        <w:pStyle w:val="43"/>
        <w:numPr>
          <w:ilvl w:val="0"/>
          <w:numId w:val="20"/>
        </w:numPr>
        <w:spacing w:before="0"/>
        <w:ind w:left="0" w:leftChars="0" w:firstLine="480" w:firstLineChars="200"/>
        <w:rPr>
          <w:rFonts w:hint="eastAsia" w:ascii="宋体" w:hAnsi="宋体" w:eastAsia="宋体" w:cs="宋体"/>
          <w:color w:val="auto"/>
          <w:szCs w:val="24"/>
          <w:highlight w:val="none"/>
        </w:rPr>
      </w:pPr>
      <w:r>
        <w:rPr>
          <w:rFonts w:hint="eastAsia" w:ascii="宋体" w:hAnsi="宋体" w:eastAsia="宋体" w:cs="宋体"/>
          <w:color w:val="auto"/>
          <w:szCs w:val="24"/>
          <w:highlight w:val="none"/>
        </w:rPr>
        <w:t>投标函（格式见附件）；</w:t>
      </w:r>
    </w:p>
    <w:p w14:paraId="4A51CBA1">
      <w:pPr>
        <w:pStyle w:val="43"/>
        <w:numPr>
          <w:ilvl w:val="0"/>
          <w:numId w:val="20"/>
        </w:numPr>
        <w:spacing w:before="0"/>
        <w:ind w:left="0" w:leftChars="0" w:firstLine="480" w:firstLineChars="200"/>
        <w:rPr>
          <w:rFonts w:hint="eastAsia" w:ascii="宋体" w:hAnsi="宋体" w:eastAsia="宋体" w:cs="宋体"/>
          <w:color w:val="auto"/>
          <w:szCs w:val="24"/>
          <w:highlight w:val="none"/>
        </w:rPr>
      </w:pPr>
      <w:r>
        <w:rPr>
          <w:rFonts w:hint="eastAsia" w:ascii="宋体" w:hAnsi="宋体" w:eastAsia="宋体" w:cs="宋体"/>
          <w:color w:val="auto"/>
          <w:szCs w:val="24"/>
          <w:highlight w:val="none"/>
        </w:rPr>
        <w:t>开标一览表（格式见附件）；</w:t>
      </w:r>
    </w:p>
    <w:p w14:paraId="3B113F8D">
      <w:pPr>
        <w:pStyle w:val="43"/>
        <w:numPr>
          <w:ilvl w:val="0"/>
          <w:numId w:val="20"/>
        </w:numPr>
        <w:spacing w:before="0"/>
        <w:ind w:left="0" w:leftChars="0" w:firstLine="480" w:firstLineChars="200"/>
        <w:rPr>
          <w:rFonts w:hint="eastAsia" w:ascii="宋体" w:hAnsi="宋体" w:eastAsia="宋体" w:cs="宋体"/>
          <w:color w:val="auto"/>
          <w:szCs w:val="24"/>
          <w:highlight w:val="none"/>
        </w:rPr>
      </w:pPr>
      <w:r>
        <w:rPr>
          <w:rFonts w:hint="eastAsia" w:ascii="宋体" w:hAnsi="宋体" w:eastAsia="宋体" w:cs="宋体"/>
          <w:color w:val="auto"/>
          <w:szCs w:val="24"/>
          <w:highlight w:val="none"/>
        </w:rPr>
        <w:t>投标报价明细表（格式见附件）；</w:t>
      </w:r>
    </w:p>
    <w:p w14:paraId="3E4D548E">
      <w:pPr>
        <w:pStyle w:val="16"/>
        <w:numPr>
          <w:ilvl w:val="0"/>
          <w:numId w:val="9"/>
        </w:numPr>
        <w:spacing w:line="360" w:lineRule="auto"/>
        <w:ind w:left="0" w:leftChars="0" w:firstLine="482" w:firstLineChars="200"/>
        <w:rPr>
          <w:rFonts w:hint="eastAsia" w:ascii="宋体" w:hAnsi="宋体" w:eastAsia="宋体" w:cs="宋体"/>
          <w:b/>
          <w:color w:val="auto"/>
          <w:sz w:val="24"/>
          <w:szCs w:val="24"/>
          <w:highlight w:val="none"/>
        </w:rPr>
      </w:pPr>
      <w:bookmarkStart w:id="58" w:name="_Toc91899887"/>
      <w:r>
        <w:rPr>
          <w:rFonts w:hint="eastAsia" w:ascii="宋体" w:hAnsi="宋体" w:eastAsia="宋体" w:cs="宋体"/>
          <w:b/>
          <w:color w:val="auto"/>
          <w:sz w:val="24"/>
          <w:szCs w:val="24"/>
          <w:highlight w:val="none"/>
        </w:rPr>
        <w:t>投标有效期</w:t>
      </w:r>
    </w:p>
    <w:p w14:paraId="16A17CFC">
      <w:pPr>
        <w:pStyle w:val="43"/>
        <w:keepNext w:val="0"/>
        <w:keepLines w:val="0"/>
        <w:pageBreakBefore w:val="0"/>
        <w:widowControl w:val="0"/>
        <w:numPr>
          <w:ilvl w:val="0"/>
          <w:numId w:val="21"/>
        </w:numPr>
        <w:kinsoku/>
        <w:wordWrap/>
        <w:overflowPunct/>
        <w:topLinePunct w:val="0"/>
        <w:autoSpaceDE/>
        <w:autoSpaceDN/>
        <w:bidi w:val="0"/>
        <w:adjustRightInd w:val="0"/>
        <w:snapToGrid/>
        <w:spacing w:before="0"/>
        <w:ind w:left="0" w:leftChars="0" w:firstLine="480" w:firstLineChars="200"/>
        <w:textAlignment w:val="auto"/>
        <w:rPr>
          <w:rFonts w:hint="eastAsia" w:ascii="宋体" w:hAnsi="宋体" w:eastAsia="宋体" w:cs="宋体"/>
          <w:b w:val="0"/>
          <w:bCs w:val="0"/>
          <w:color w:val="auto"/>
          <w:szCs w:val="24"/>
          <w:highlight w:val="none"/>
        </w:rPr>
      </w:pPr>
      <w:r>
        <w:rPr>
          <w:rFonts w:hint="eastAsia" w:ascii="宋体" w:hAnsi="宋体" w:eastAsia="宋体" w:cs="宋体"/>
          <w:b w:val="0"/>
          <w:bCs w:val="0"/>
          <w:color w:val="auto"/>
          <w:sz w:val="24"/>
          <w:highlight w:val="none"/>
        </w:rPr>
        <w:t>投标文件未在投标截止时间前完成传输的</w:t>
      </w:r>
      <w:r>
        <w:rPr>
          <w:rFonts w:hint="eastAsia" w:ascii="宋体" w:hAnsi="宋体" w:eastAsia="宋体" w:cs="宋体"/>
          <w:b w:val="0"/>
          <w:bCs w:val="0"/>
          <w:color w:val="auto"/>
          <w:sz w:val="24"/>
          <w:highlight w:val="none"/>
          <w:lang w:eastAsia="zh-CN"/>
        </w:rPr>
        <w:t>或者未按时解密的</w:t>
      </w:r>
      <w:r>
        <w:rPr>
          <w:rFonts w:hint="eastAsia" w:ascii="宋体" w:hAnsi="宋体" w:eastAsia="宋体" w:cs="宋体"/>
          <w:b w:val="0"/>
          <w:bCs w:val="0"/>
          <w:color w:val="auto"/>
          <w:sz w:val="24"/>
          <w:highlight w:val="none"/>
        </w:rPr>
        <w:t>，视为</w:t>
      </w:r>
      <w:r>
        <w:rPr>
          <w:rFonts w:hint="eastAsia" w:ascii="宋体" w:hAnsi="宋体" w:eastAsia="宋体" w:cs="宋体"/>
          <w:b w:val="0"/>
          <w:bCs w:val="0"/>
          <w:color w:val="auto"/>
          <w:sz w:val="24"/>
          <w:highlight w:val="none"/>
          <w:lang w:eastAsia="zh-CN"/>
        </w:rPr>
        <w:t>放弃投标</w:t>
      </w:r>
      <w:r>
        <w:rPr>
          <w:rFonts w:hint="eastAsia" w:ascii="宋体" w:hAnsi="宋体" w:eastAsia="宋体" w:cs="宋体"/>
          <w:b w:val="0"/>
          <w:bCs w:val="0"/>
          <w:color w:val="auto"/>
          <w:sz w:val="24"/>
          <w:highlight w:val="none"/>
        </w:rPr>
        <w:t>；</w:t>
      </w:r>
      <w:r>
        <w:rPr>
          <w:rFonts w:hint="eastAsia" w:ascii="宋体" w:hAnsi="宋体" w:eastAsia="宋体" w:cs="宋体"/>
          <w:b w:val="0"/>
          <w:bCs w:val="0"/>
          <w:color w:val="auto"/>
          <w:sz w:val="24"/>
          <w:highlight w:val="none"/>
          <w:lang w:eastAsia="zh-CN"/>
        </w:rPr>
        <w:t>投标文件解密失败后未提供备份文件或者备份文件也出现异常情况无法进行评审的</w:t>
      </w:r>
      <w:r>
        <w:rPr>
          <w:rFonts w:hint="eastAsia" w:ascii="宋体" w:hAnsi="宋体" w:eastAsia="宋体" w:cs="宋体"/>
          <w:b w:val="0"/>
          <w:bCs w:val="0"/>
          <w:color w:val="auto"/>
          <w:sz w:val="24"/>
          <w:highlight w:val="none"/>
        </w:rPr>
        <w:t>，亦视为</w:t>
      </w:r>
      <w:r>
        <w:rPr>
          <w:rFonts w:hint="eastAsia" w:ascii="宋体" w:hAnsi="宋体" w:eastAsia="宋体" w:cs="宋体"/>
          <w:b w:val="0"/>
          <w:bCs w:val="0"/>
          <w:color w:val="auto"/>
          <w:sz w:val="24"/>
          <w:highlight w:val="none"/>
          <w:lang w:eastAsia="zh-CN"/>
        </w:rPr>
        <w:t>放弃投标</w:t>
      </w:r>
      <w:r>
        <w:rPr>
          <w:rFonts w:hint="eastAsia" w:ascii="宋体" w:hAnsi="宋体" w:eastAsia="宋体" w:cs="宋体"/>
          <w:b w:val="0"/>
          <w:bCs w:val="0"/>
          <w:color w:val="auto"/>
          <w:sz w:val="24"/>
          <w:highlight w:val="none"/>
        </w:rPr>
        <w:t>。</w:t>
      </w:r>
    </w:p>
    <w:p w14:paraId="7A88A751">
      <w:pPr>
        <w:pStyle w:val="43"/>
        <w:keepNext w:val="0"/>
        <w:keepLines w:val="0"/>
        <w:pageBreakBefore w:val="0"/>
        <w:widowControl w:val="0"/>
        <w:numPr>
          <w:ilvl w:val="0"/>
          <w:numId w:val="21"/>
        </w:numPr>
        <w:kinsoku/>
        <w:wordWrap/>
        <w:overflowPunct/>
        <w:topLinePunct w:val="0"/>
        <w:autoSpaceDE/>
        <w:autoSpaceDN/>
        <w:bidi w:val="0"/>
        <w:adjustRightInd w:val="0"/>
        <w:snapToGrid/>
        <w:spacing w:before="0"/>
        <w:ind w:left="0" w:leftChars="0" w:firstLine="480" w:firstLineChars="200"/>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投标文件</w:t>
      </w:r>
      <w:r>
        <w:rPr>
          <w:rFonts w:hint="eastAsia" w:ascii="宋体" w:hAnsi="宋体" w:eastAsia="宋体" w:cs="宋体"/>
          <w:color w:val="auto"/>
          <w:szCs w:val="24"/>
          <w:highlight w:val="none"/>
          <w:lang w:eastAsia="zh-CN"/>
        </w:rPr>
        <w:t>上传</w:t>
      </w:r>
      <w:r>
        <w:rPr>
          <w:rFonts w:hint="eastAsia" w:ascii="宋体" w:hAnsi="宋体" w:eastAsia="宋体" w:cs="宋体"/>
          <w:color w:val="auto"/>
          <w:szCs w:val="24"/>
          <w:highlight w:val="none"/>
        </w:rPr>
        <w:t>后，自投标截止日期起，在前附表所列的投标有效期内有效。</w:t>
      </w:r>
    </w:p>
    <w:p w14:paraId="11646092">
      <w:pPr>
        <w:pStyle w:val="43"/>
        <w:keepNext w:val="0"/>
        <w:keepLines w:val="0"/>
        <w:pageBreakBefore w:val="0"/>
        <w:widowControl w:val="0"/>
        <w:numPr>
          <w:ilvl w:val="0"/>
          <w:numId w:val="21"/>
        </w:numPr>
        <w:kinsoku/>
        <w:wordWrap/>
        <w:overflowPunct/>
        <w:topLinePunct w:val="0"/>
        <w:autoSpaceDE/>
        <w:autoSpaceDN/>
        <w:bidi w:val="0"/>
        <w:adjustRightInd w:val="0"/>
        <w:snapToGrid/>
        <w:spacing w:before="0"/>
        <w:ind w:left="0" w:leftChars="0" w:firstLine="480" w:firstLineChars="200"/>
        <w:textAlignment w:val="auto"/>
        <w:rPr>
          <w:rFonts w:hint="eastAsia" w:ascii="宋体" w:hAnsi="宋体" w:eastAsia="宋体" w:cs="宋体"/>
          <w:szCs w:val="24"/>
          <w:highlight w:val="none"/>
        </w:rPr>
      </w:pPr>
      <w:r>
        <w:rPr>
          <w:rFonts w:hint="eastAsia" w:ascii="宋体" w:hAnsi="宋体" w:eastAsia="宋体" w:cs="宋体"/>
          <w:color w:val="auto"/>
          <w:szCs w:val="24"/>
          <w:highlight w:val="none"/>
        </w:rPr>
        <w:t>在原定投标有效期</w:t>
      </w:r>
      <w:r>
        <w:rPr>
          <w:rFonts w:hint="eastAsia" w:ascii="宋体" w:hAnsi="宋体" w:eastAsia="宋体" w:cs="宋体"/>
          <w:szCs w:val="24"/>
          <w:highlight w:val="none"/>
        </w:rPr>
        <w:t>满之前，如果出现特殊情况，采购代理机构可以以书面形式通知投标人延长投标有效期。</w:t>
      </w:r>
    </w:p>
    <w:p w14:paraId="66D20FD3">
      <w:pPr>
        <w:pStyle w:val="16"/>
        <w:numPr>
          <w:ilvl w:val="0"/>
          <w:numId w:val="9"/>
        </w:numPr>
        <w:spacing w:line="360" w:lineRule="auto"/>
        <w:ind w:left="0" w:leftChars="0" w:firstLine="482" w:firstLineChars="200"/>
        <w:rPr>
          <w:rFonts w:hint="eastAsia" w:ascii="宋体" w:hAnsi="宋体" w:eastAsia="宋体" w:cs="宋体"/>
          <w:b/>
          <w:sz w:val="24"/>
          <w:szCs w:val="24"/>
          <w:highlight w:val="none"/>
        </w:rPr>
      </w:pPr>
      <w:r>
        <w:rPr>
          <w:rFonts w:hint="eastAsia" w:ascii="宋体" w:hAnsi="宋体" w:eastAsia="宋体" w:cs="宋体"/>
          <w:b/>
          <w:sz w:val="24"/>
          <w:szCs w:val="24"/>
          <w:highlight w:val="none"/>
        </w:rPr>
        <w:t>投标人如有下列情况之一者列入不良行为记录：</w:t>
      </w:r>
    </w:p>
    <w:p w14:paraId="18F3BEF1">
      <w:pPr>
        <w:pStyle w:val="43"/>
        <w:keepNext w:val="0"/>
        <w:keepLines w:val="0"/>
        <w:pageBreakBefore w:val="0"/>
        <w:widowControl w:val="0"/>
        <w:numPr>
          <w:ilvl w:val="0"/>
          <w:numId w:val="22"/>
        </w:numPr>
        <w:kinsoku/>
        <w:wordWrap/>
        <w:overflowPunct/>
        <w:topLinePunct w:val="0"/>
        <w:autoSpaceDE/>
        <w:autoSpaceDN/>
        <w:bidi w:val="0"/>
        <w:adjustRightInd w:val="0"/>
        <w:snapToGrid/>
        <w:spacing w:before="0"/>
        <w:ind w:left="0" w:leftChars="0" w:firstLine="480" w:firstLineChars="200"/>
        <w:textAlignment w:val="auto"/>
        <w:rPr>
          <w:rFonts w:hint="eastAsia" w:ascii="宋体" w:hAnsi="宋体" w:eastAsia="宋体" w:cs="宋体"/>
          <w:szCs w:val="24"/>
          <w:highlight w:val="none"/>
        </w:rPr>
      </w:pPr>
      <w:r>
        <w:rPr>
          <w:rFonts w:hint="eastAsia" w:ascii="宋体" w:hAnsi="宋体" w:eastAsia="宋体" w:cs="宋体"/>
          <w:szCs w:val="24"/>
          <w:highlight w:val="none"/>
        </w:rPr>
        <w:t>投标人在投标有效期内撤回投标的；</w:t>
      </w:r>
    </w:p>
    <w:p w14:paraId="2CE35185">
      <w:pPr>
        <w:pStyle w:val="43"/>
        <w:keepNext w:val="0"/>
        <w:keepLines w:val="0"/>
        <w:pageBreakBefore w:val="0"/>
        <w:widowControl w:val="0"/>
        <w:numPr>
          <w:ilvl w:val="0"/>
          <w:numId w:val="22"/>
        </w:numPr>
        <w:kinsoku/>
        <w:wordWrap/>
        <w:overflowPunct/>
        <w:topLinePunct w:val="0"/>
        <w:autoSpaceDE/>
        <w:autoSpaceDN/>
        <w:bidi w:val="0"/>
        <w:adjustRightInd w:val="0"/>
        <w:snapToGrid/>
        <w:spacing w:before="0"/>
        <w:ind w:left="0" w:leftChars="0" w:firstLine="480" w:firstLineChars="200"/>
        <w:textAlignment w:val="auto"/>
        <w:rPr>
          <w:rFonts w:hint="eastAsia" w:ascii="宋体" w:hAnsi="宋体" w:eastAsia="宋体" w:cs="宋体"/>
          <w:szCs w:val="24"/>
          <w:highlight w:val="none"/>
        </w:rPr>
      </w:pPr>
      <w:r>
        <w:rPr>
          <w:rFonts w:hint="eastAsia" w:ascii="宋体" w:hAnsi="宋体" w:eastAsia="宋体" w:cs="宋体"/>
          <w:szCs w:val="24"/>
          <w:highlight w:val="none"/>
        </w:rPr>
        <w:t>中标人或中标候选人放弃中标或中标候选人资格的；</w:t>
      </w:r>
    </w:p>
    <w:p w14:paraId="1FF0334A">
      <w:pPr>
        <w:pStyle w:val="43"/>
        <w:keepNext w:val="0"/>
        <w:keepLines w:val="0"/>
        <w:pageBreakBefore w:val="0"/>
        <w:widowControl w:val="0"/>
        <w:numPr>
          <w:ilvl w:val="0"/>
          <w:numId w:val="22"/>
        </w:numPr>
        <w:kinsoku/>
        <w:wordWrap/>
        <w:overflowPunct/>
        <w:topLinePunct w:val="0"/>
        <w:autoSpaceDE/>
        <w:autoSpaceDN/>
        <w:bidi w:val="0"/>
        <w:adjustRightInd w:val="0"/>
        <w:snapToGrid/>
        <w:spacing w:before="0"/>
        <w:ind w:left="0" w:leftChars="0" w:firstLine="480" w:firstLineChars="200"/>
        <w:textAlignment w:val="auto"/>
        <w:rPr>
          <w:rFonts w:hint="eastAsia" w:ascii="宋体" w:hAnsi="宋体" w:eastAsia="宋体" w:cs="宋体"/>
          <w:szCs w:val="24"/>
          <w:highlight w:val="none"/>
        </w:rPr>
      </w:pPr>
      <w:r>
        <w:rPr>
          <w:rFonts w:hint="eastAsia" w:ascii="宋体" w:hAnsi="宋体" w:eastAsia="宋体" w:cs="宋体"/>
          <w:szCs w:val="24"/>
          <w:highlight w:val="none"/>
        </w:rPr>
        <w:t>擅自修改或拒绝接受已经确认的条款；</w:t>
      </w:r>
    </w:p>
    <w:p w14:paraId="6416BE29">
      <w:pPr>
        <w:pStyle w:val="43"/>
        <w:keepNext w:val="0"/>
        <w:keepLines w:val="0"/>
        <w:pageBreakBefore w:val="0"/>
        <w:widowControl w:val="0"/>
        <w:numPr>
          <w:ilvl w:val="0"/>
          <w:numId w:val="22"/>
        </w:numPr>
        <w:kinsoku/>
        <w:wordWrap/>
        <w:overflowPunct/>
        <w:topLinePunct w:val="0"/>
        <w:autoSpaceDE/>
        <w:autoSpaceDN/>
        <w:bidi w:val="0"/>
        <w:adjustRightInd w:val="0"/>
        <w:snapToGrid/>
        <w:spacing w:before="0"/>
        <w:ind w:left="0" w:leftChars="0" w:firstLine="480" w:firstLineChars="200"/>
        <w:textAlignment w:val="auto"/>
        <w:rPr>
          <w:rFonts w:hint="eastAsia" w:ascii="宋体" w:hAnsi="宋体" w:eastAsia="宋体" w:cs="宋体"/>
          <w:szCs w:val="24"/>
          <w:highlight w:val="none"/>
        </w:rPr>
      </w:pPr>
      <w:r>
        <w:rPr>
          <w:rFonts w:hint="eastAsia" w:ascii="宋体" w:hAnsi="宋体" w:eastAsia="宋体" w:cs="宋体"/>
          <w:szCs w:val="24"/>
          <w:highlight w:val="none"/>
        </w:rPr>
        <w:t>中标人未按规定与采购人签订合同；</w:t>
      </w:r>
    </w:p>
    <w:p w14:paraId="3ABAED60">
      <w:pPr>
        <w:pStyle w:val="43"/>
        <w:keepNext w:val="0"/>
        <w:keepLines w:val="0"/>
        <w:pageBreakBefore w:val="0"/>
        <w:widowControl w:val="0"/>
        <w:numPr>
          <w:ilvl w:val="0"/>
          <w:numId w:val="22"/>
        </w:numPr>
        <w:kinsoku/>
        <w:wordWrap/>
        <w:overflowPunct/>
        <w:topLinePunct w:val="0"/>
        <w:autoSpaceDE/>
        <w:autoSpaceDN/>
        <w:bidi w:val="0"/>
        <w:adjustRightInd w:val="0"/>
        <w:snapToGrid/>
        <w:spacing w:before="0"/>
        <w:ind w:left="0" w:leftChars="0" w:firstLine="480" w:firstLineChars="200"/>
        <w:textAlignment w:val="auto"/>
        <w:rPr>
          <w:rFonts w:hint="eastAsia" w:ascii="宋体" w:hAnsi="宋体" w:eastAsia="宋体" w:cs="宋体"/>
          <w:szCs w:val="24"/>
          <w:highlight w:val="none"/>
        </w:rPr>
      </w:pPr>
      <w:r>
        <w:rPr>
          <w:rFonts w:hint="eastAsia" w:ascii="宋体" w:hAnsi="宋体" w:eastAsia="宋体" w:cs="宋体"/>
          <w:szCs w:val="24"/>
          <w:highlight w:val="none"/>
        </w:rPr>
        <w:t>未按规定提供履约保证金；</w:t>
      </w:r>
    </w:p>
    <w:p w14:paraId="4FA79C21">
      <w:pPr>
        <w:pStyle w:val="43"/>
        <w:keepNext w:val="0"/>
        <w:keepLines w:val="0"/>
        <w:pageBreakBefore w:val="0"/>
        <w:widowControl w:val="0"/>
        <w:numPr>
          <w:ilvl w:val="0"/>
          <w:numId w:val="22"/>
        </w:numPr>
        <w:kinsoku/>
        <w:wordWrap/>
        <w:overflowPunct/>
        <w:topLinePunct w:val="0"/>
        <w:autoSpaceDE/>
        <w:autoSpaceDN/>
        <w:bidi w:val="0"/>
        <w:adjustRightInd w:val="0"/>
        <w:snapToGrid/>
        <w:spacing w:before="0"/>
        <w:ind w:left="0" w:leftChars="0" w:firstLine="480" w:firstLineChars="200"/>
        <w:textAlignment w:val="auto"/>
        <w:rPr>
          <w:rFonts w:hint="eastAsia" w:ascii="宋体" w:hAnsi="宋体" w:eastAsia="宋体" w:cs="宋体"/>
          <w:szCs w:val="24"/>
          <w:highlight w:val="none"/>
        </w:rPr>
      </w:pPr>
      <w:r>
        <w:rPr>
          <w:rFonts w:hint="eastAsia" w:ascii="宋体" w:hAnsi="宋体" w:eastAsia="宋体" w:cs="宋体"/>
          <w:szCs w:val="24"/>
          <w:highlight w:val="none"/>
        </w:rPr>
        <w:t>投标人采取提供虚假资料等不正当手段的；</w:t>
      </w:r>
    </w:p>
    <w:p w14:paraId="4441E4DF">
      <w:pPr>
        <w:pStyle w:val="43"/>
        <w:keepNext w:val="0"/>
        <w:keepLines w:val="0"/>
        <w:pageBreakBefore w:val="0"/>
        <w:widowControl w:val="0"/>
        <w:numPr>
          <w:ilvl w:val="0"/>
          <w:numId w:val="22"/>
        </w:numPr>
        <w:kinsoku/>
        <w:wordWrap/>
        <w:overflowPunct/>
        <w:topLinePunct w:val="0"/>
        <w:autoSpaceDE/>
        <w:autoSpaceDN/>
        <w:bidi w:val="0"/>
        <w:adjustRightInd w:val="0"/>
        <w:snapToGrid/>
        <w:spacing w:before="0"/>
        <w:ind w:left="0" w:leftChars="0" w:firstLine="480" w:firstLineChars="200"/>
        <w:textAlignment w:val="auto"/>
        <w:rPr>
          <w:rFonts w:hint="eastAsia" w:ascii="宋体" w:hAnsi="宋体" w:eastAsia="宋体" w:cs="宋体"/>
          <w:szCs w:val="24"/>
          <w:highlight w:val="none"/>
        </w:rPr>
      </w:pPr>
      <w:r>
        <w:rPr>
          <w:rFonts w:hint="eastAsia" w:ascii="宋体" w:hAnsi="宋体" w:eastAsia="宋体" w:cs="宋体"/>
          <w:szCs w:val="24"/>
          <w:highlight w:val="none"/>
        </w:rPr>
        <w:t>投标人在投标过程中串通投标的。</w:t>
      </w:r>
    </w:p>
    <w:p w14:paraId="1E53F811">
      <w:pPr>
        <w:pStyle w:val="16"/>
        <w:numPr>
          <w:ilvl w:val="0"/>
          <w:numId w:val="9"/>
        </w:numPr>
        <w:spacing w:line="360" w:lineRule="auto"/>
        <w:ind w:left="0" w:leftChars="0" w:firstLine="482" w:firstLineChars="200"/>
        <w:rPr>
          <w:rFonts w:hint="eastAsia" w:ascii="宋体" w:hAnsi="宋体" w:eastAsia="宋体" w:cs="宋体"/>
          <w:b/>
          <w:sz w:val="24"/>
          <w:szCs w:val="24"/>
          <w:highlight w:val="none"/>
        </w:rPr>
      </w:pPr>
      <w:r>
        <w:rPr>
          <w:rFonts w:hint="eastAsia" w:ascii="宋体" w:hAnsi="宋体" w:eastAsia="宋体" w:cs="宋体"/>
          <w:b/>
          <w:sz w:val="24"/>
          <w:szCs w:val="24"/>
          <w:highlight w:val="none"/>
        </w:rPr>
        <w:t>投标文件的编制和签署</w:t>
      </w:r>
    </w:p>
    <w:bookmarkEnd w:id="58"/>
    <w:p w14:paraId="3AF61901">
      <w:pPr>
        <w:pStyle w:val="43"/>
        <w:keepNext w:val="0"/>
        <w:keepLines w:val="0"/>
        <w:pageBreakBefore w:val="0"/>
        <w:widowControl w:val="0"/>
        <w:numPr>
          <w:ilvl w:val="0"/>
          <w:numId w:val="23"/>
        </w:numPr>
        <w:kinsoku/>
        <w:wordWrap/>
        <w:overflowPunct/>
        <w:topLinePunct w:val="0"/>
        <w:autoSpaceDE/>
        <w:autoSpaceDN/>
        <w:bidi w:val="0"/>
        <w:adjustRightInd w:val="0"/>
        <w:snapToGrid/>
        <w:spacing w:before="0"/>
        <w:ind w:left="0" w:leftChars="0" w:firstLine="480" w:firstLineChars="200"/>
        <w:textAlignment w:val="auto"/>
        <w:rPr>
          <w:rFonts w:hint="eastAsia" w:ascii="宋体" w:hAnsi="宋体" w:eastAsia="宋体" w:cs="宋体"/>
          <w:szCs w:val="24"/>
          <w:highlight w:val="none"/>
        </w:rPr>
      </w:pPr>
      <w:r>
        <w:rPr>
          <w:rFonts w:hint="eastAsia" w:ascii="宋体" w:hAnsi="宋体" w:eastAsia="宋体" w:cs="宋体"/>
          <w:color w:val="000000"/>
          <w:sz w:val="24"/>
          <w:highlight w:val="none"/>
        </w:rPr>
        <w:t>按招标文件</w:t>
      </w:r>
      <w:r>
        <w:rPr>
          <w:rFonts w:hint="eastAsia" w:ascii="宋体" w:hAnsi="宋体" w:eastAsia="宋体" w:cs="宋体"/>
          <w:color w:val="000000"/>
          <w:sz w:val="24"/>
          <w:highlight w:val="none"/>
          <w:lang w:val="en-US" w:eastAsia="zh-CN"/>
        </w:rPr>
        <w:t>9</w:t>
      </w:r>
      <w:r>
        <w:rPr>
          <w:rFonts w:hint="eastAsia" w:ascii="宋体" w:hAnsi="宋体" w:eastAsia="宋体" w:cs="宋体"/>
          <w:color w:val="000000"/>
          <w:sz w:val="24"/>
          <w:highlight w:val="none"/>
        </w:rPr>
        <w:t>.1条、</w:t>
      </w:r>
      <w:r>
        <w:rPr>
          <w:rFonts w:hint="eastAsia" w:ascii="宋体" w:hAnsi="宋体" w:eastAsia="宋体" w:cs="宋体"/>
          <w:color w:val="000000"/>
          <w:sz w:val="24"/>
          <w:highlight w:val="none"/>
          <w:lang w:val="en-US" w:eastAsia="zh-CN"/>
        </w:rPr>
        <w:t>9</w:t>
      </w:r>
      <w:r>
        <w:rPr>
          <w:rFonts w:hint="eastAsia" w:ascii="宋体" w:hAnsi="宋体" w:eastAsia="宋体" w:cs="宋体"/>
          <w:color w:val="000000"/>
          <w:sz w:val="24"/>
          <w:highlight w:val="none"/>
        </w:rPr>
        <w:t>.2条、</w:t>
      </w:r>
      <w:r>
        <w:rPr>
          <w:rFonts w:hint="eastAsia" w:ascii="宋体" w:hAnsi="宋体" w:eastAsia="宋体" w:cs="宋体"/>
          <w:color w:val="000000"/>
          <w:sz w:val="24"/>
          <w:highlight w:val="none"/>
          <w:lang w:val="en-US" w:eastAsia="zh-CN"/>
        </w:rPr>
        <w:t>9</w:t>
      </w:r>
      <w:r>
        <w:rPr>
          <w:rFonts w:hint="eastAsia" w:ascii="宋体" w:hAnsi="宋体" w:eastAsia="宋体" w:cs="宋体"/>
          <w:color w:val="000000"/>
          <w:sz w:val="24"/>
          <w:highlight w:val="none"/>
        </w:rPr>
        <w:t>.3条要求提供的各种文件，投标文件分为资格文件、</w:t>
      </w:r>
      <w:r>
        <w:rPr>
          <w:rFonts w:hint="eastAsia" w:ascii="宋体" w:hAnsi="宋体" w:eastAsia="宋体" w:cs="宋体"/>
          <w:color w:val="000000"/>
          <w:sz w:val="24"/>
          <w:highlight w:val="none"/>
          <w:lang w:eastAsia="zh-CN"/>
        </w:rPr>
        <w:t>商务技术</w:t>
      </w:r>
      <w:r>
        <w:rPr>
          <w:rFonts w:hint="eastAsia" w:ascii="宋体" w:hAnsi="宋体" w:eastAsia="宋体" w:cs="宋体"/>
          <w:color w:val="000000"/>
          <w:sz w:val="24"/>
          <w:highlight w:val="none"/>
        </w:rPr>
        <w:t>文件和报价文件</w:t>
      </w:r>
      <w:r>
        <w:rPr>
          <w:rFonts w:hint="eastAsia" w:ascii="宋体" w:hAnsi="宋体" w:eastAsia="宋体" w:cs="宋体"/>
          <w:color w:val="000000"/>
          <w:sz w:val="24"/>
          <w:highlight w:val="none"/>
          <w:lang w:eastAsia="zh-CN"/>
        </w:rPr>
        <w:t>三</w:t>
      </w:r>
      <w:r>
        <w:rPr>
          <w:rFonts w:hint="eastAsia" w:ascii="宋体" w:hAnsi="宋体" w:eastAsia="宋体" w:cs="宋体"/>
          <w:color w:val="000000"/>
          <w:sz w:val="24"/>
          <w:highlight w:val="none"/>
        </w:rPr>
        <w:t>部分</w:t>
      </w:r>
      <w:r>
        <w:rPr>
          <w:rFonts w:hint="eastAsia" w:ascii="宋体" w:hAnsi="宋体" w:eastAsia="宋体" w:cs="宋体"/>
          <w:color w:val="000000"/>
          <w:sz w:val="24"/>
          <w:highlight w:val="none"/>
          <w:lang w:eastAsia="zh-CN"/>
        </w:rPr>
        <w:t>。</w:t>
      </w:r>
    </w:p>
    <w:p w14:paraId="45470D49">
      <w:pPr>
        <w:pStyle w:val="43"/>
        <w:keepNext w:val="0"/>
        <w:keepLines w:val="0"/>
        <w:pageBreakBefore w:val="0"/>
        <w:widowControl w:val="0"/>
        <w:numPr>
          <w:ilvl w:val="0"/>
          <w:numId w:val="23"/>
        </w:numPr>
        <w:kinsoku/>
        <w:wordWrap/>
        <w:overflowPunct/>
        <w:topLinePunct w:val="0"/>
        <w:autoSpaceDE/>
        <w:autoSpaceDN/>
        <w:bidi w:val="0"/>
        <w:adjustRightInd w:val="0"/>
        <w:snapToGrid/>
        <w:spacing w:before="0"/>
        <w:ind w:left="0" w:leftChars="0" w:firstLine="480" w:firstLineChars="200"/>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投标文件须按附件格式要求进行电子签章，投标人应写全称。（电子投标文件中所须加盖公章部分均应采用电子签章）</w:t>
      </w:r>
    </w:p>
    <w:p w14:paraId="37FAC941">
      <w:pPr>
        <w:pStyle w:val="43"/>
        <w:keepNext w:val="0"/>
        <w:keepLines w:val="0"/>
        <w:pageBreakBefore w:val="0"/>
        <w:widowControl w:val="0"/>
        <w:numPr>
          <w:ilvl w:val="0"/>
          <w:numId w:val="23"/>
        </w:numPr>
        <w:kinsoku/>
        <w:wordWrap/>
        <w:overflowPunct/>
        <w:topLinePunct w:val="0"/>
        <w:autoSpaceDE/>
        <w:autoSpaceDN/>
        <w:bidi w:val="0"/>
        <w:adjustRightInd w:val="0"/>
        <w:snapToGrid/>
        <w:spacing w:before="0"/>
        <w:ind w:left="0" w:leftChars="0" w:firstLine="480" w:firstLineChars="200"/>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全套投标文件应无涂改和行间插字，除非这些删改是根据采购代理机构要求进行，或者是投标人造成的必须修改的错误。所修改处应由法定代表人或其授权代表签字盖章予以确认。</w:t>
      </w:r>
    </w:p>
    <w:p w14:paraId="69CB5B1D">
      <w:pPr>
        <w:pStyle w:val="43"/>
        <w:keepNext w:val="0"/>
        <w:keepLines w:val="0"/>
        <w:pageBreakBefore w:val="0"/>
        <w:widowControl w:val="0"/>
        <w:numPr>
          <w:ilvl w:val="0"/>
          <w:numId w:val="23"/>
        </w:numPr>
        <w:kinsoku/>
        <w:wordWrap/>
        <w:overflowPunct/>
        <w:topLinePunct w:val="0"/>
        <w:autoSpaceDE/>
        <w:autoSpaceDN/>
        <w:bidi w:val="0"/>
        <w:adjustRightInd w:val="0"/>
        <w:snapToGrid/>
        <w:spacing w:before="0"/>
        <w:ind w:left="0" w:leftChars="0" w:firstLine="480" w:firstLineChars="200"/>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由于字迹模糊或表达不清引起的后果由投标人负责。</w:t>
      </w:r>
    </w:p>
    <w:p w14:paraId="57DAFB50">
      <w:pPr>
        <w:pStyle w:val="16"/>
        <w:numPr>
          <w:ilvl w:val="0"/>
          <w:numId w:val="9"/>
        </w:numPr>
        <w:spacing w:line="360" w:lineRule="auto"/>
        <w:ind w:left="0" w:leftChars="0"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 投标文件的</w:t>
      </w:r>
      <w:r>
        <w:rPr>
          <w:rFonts w:hint="eastAsia" w:ascii="宋体" w:hAnsi="宋体" w:eastAsia="宋体" w:cs="宋体"/>
          <w:b/>
          <w:color w:val="auto"/>
          <w:sz w:val="24"/>
          <w:szCs w:val="24"/>
          <w:highlight w:val="none"/>
          <w:lang w:eastAsia="zh-CN"/>
        </w:rPr>
        <w:t>形式</w:t>
      </w:r>
    </w:p>
    <w:p w14:paraId="3A4A96FB">
      <w:pPr>
        <w:autoSpaceDE w:val="0"/>
        <w:autoSpaceDN w:val="0"/>
        <w:spacing w:line="360" w:lineRule="auto"/>
        <w:ind w:firstLine="480" w:firstLineChars="200"/>
        <w:textAlignment w:val="bottom"/>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2"/>
          <w:sz w:val="24"/>
          <w:szCs w:val="21"/>
          <w:highlight w:val="none"/>
          <w:lang w:val="en-US" w:eastAsia="zh-CN" w:bidi="ar-SA"/>
        </w:rPr>
        <w:t>投标文件为电子投标文件，电子投标文件按“</w:t>
      </w:r>
      <w:r>
        <w:rPr>
          <w:rFonts w:hint="eastAsia" w:ascii="宋体" w:hAnsi="宋体" w:cs="宋体"/>
          <w:b w:val="0"/>
          <w:bCs w:val="0"/>
          <w:color w:val="auto"/>
          <w:kern w:val="2"/>
          <w:sz w:val="24"/>
          <w:szCs w:val="21"/>
          <w:highlight w:val="none"/>
          <w:lang w:val="en-US" w:eastAsia="zh-CN" w:bidi="ar-SA"/>
        </w:rPr>
        <w:t>乐</w:t>
      </w:r>
      <w:r>
        <w:rPr>
          <w:rFonts w:hint="eastAsia" w:ascii="宋体" w:hAnsi="宋体" w:eastAsia="宋体" w:cs="宋体"/>
          <w:b w:val="0"/>
          <w:bCs w:val="0"/>
          <w:color w:val="auto"/>
          <w:kern w:val="2"/>
          <w:sz w:val="24"/>
          <w:szCs w:val="21"/>
          <w:highlight w:val="none"/>
          <w:lang w:val="en-US" w:eastAsia="zh-CN" w:bidi="ar-SA"/>
        </w:rPr>
        <w:t>采云供应商项目采购-电子招投标操作指南”及本招标文件要求制作、加密传输。</w:t>
      </w:r>
      <w:r>
        <w:rPr>
          <w:rFonts w:hint="eastAsia" w:ascii="宋体" w:hAnsi="宋体" w:eastAsia="宋体" w:cs="宋体"/>
          <w:b w:val="0"/>
          <w:bCs w:val="0"/>
          <w:color w:val="auto"/>
          <w:sz w:val="24"/>
          <w:szCs w:val="24"/>
          <w:highlight w:val="none"/>
        </w:rPr>
        <w:t xml:space="preserve"> </w:t>
      </w:r>
    </w:p>
    <w:p w14:paraId="4937D93F">
      <w:pPr>
        <w:spacing w:line="360" w:lineRule="auto"/>
        <w:jc w:val="center"/>
        <w:rPr>
          <w:rFonts w:hint="eastAsia" w:ascii="宋体" w:hAnsi="宋体" w:eastAsia="宋体" w:cs="宋体"/>
          <w:b/>
          <w:color w:val="auto"/>
          <w:sz w:val="24"/>
          <w:highlight w:val="none"/>
        </w:rPr>
      </w:pPr>
    </w:p>
    <w:p w14:paraId="22B1FE30">
      <w:pPr>
        <w:snapToGrid w:val="0"/>
        <w:spacing w:line="360" w:lineRule="auto"/>
        <w:jc w:val="center"/>
        <w:outlineLvl w:val="1"/>
        <w:rPr>
          <w:rFonts w:hint="eastAsia" w:ascii="宋体" w:hAnsi="宋体" w:eastAsia="宋体" w:cs="宋体"/>
          <w:b/>
          <w:sz w:val="32"/>
          <w:highlight w:val="none"/>
        </w:rPr>
      </w:pPr>
      <w:bookmarkStart w:id="59" w:name="_Toc30606"/>
      <w:bookmarkStart w:id="60" w:name="_Toc22996"/>
      <w:bookmarkStart w:id="61" w:name="_Toc28310"/>
      <w:r>
        <w:rPr>
          <w:rFonts w:hint="eastAsia" w:ascii="宋体" w:hAnsi="宋体" w:eastAsia="宋体" w:cs="宋体"/>
          <w:b/>
          <w:sz w:val="32"/>
          <w:highlight w:val="none"/>
        </w:rPr>
        <w:t>四、投标文件的递交</w:t>
      </w:r>
      <w:bookmarkEnd w:id="56"/>
      <w:bookmarkEnd w:id="59"/>
      <w:bookmarkEnd w:id="60"/>
      <w:bookmarkEnd w:id="61"/>
    </w:p>
    <w:bookmarkEnd w:id="57"/>
    <w:p w14:paraId="2A542B5D">
      <w:pPr>
        <w:pStyle w:val="16"/>
        <w:numPr>
          <w:ilvl w:val="0"/>
          <w:numId w:val="9"/>
        </w:numPr>
        <w:spacing w:line="360" w:lineRule="auto"/>
        <w:ind w:left="0" w:leftChars="0" w:firstLine="482" w:firstLineChars="200"/>
        <w:rPr>
          <w:rFonts w:hint="eastAsia" w:ascii="宋体" w:hAnsi="宋体" w:eastAsia="宋体" w:cs="宋体"/>
          <w:b/>
          <w:sz w:val="24"/>
          <w:szCs w:val="24"/>
          <w:highlight w:val="none"/>
        </w:rPr>
      </w:pPr>
      <w:bookmarkStart w:id="62" w:name="第三部分"/>
      <w:bookmarkStart w:id="63" w:name="_Toc164416483"/>
      <w:r>
        <w:rPr>
          <w:rFonts w:hint="eastAsia" w:ascii="宋体" w:hAnsi="宋体" w:eastAsia="宋体" w:cs="宋体"/>
          <w:b/>
          <w:sz w:val="24"/>
          <w:szCs w:val="24"/>
          <w:highlight w:val="none"/>
        </w:rPr>
        <w:t>投标截止期</w:t>
      </w:r>
    </w:p>
    <w:p w14:paraId="2D50263B">
      <w:pPr>
        <w:pStyle w:val="43"/>
        <w:keepNext w:val="0"/>
        <w:keepLines w:val="0"/>
        <w:pageBreakBefore w:val="0"/>
        <w:widowControl w:val="0"/>
        <w:numPr>
          <w:ilvl w:val="0"/>
          <w:numId w:val="24"/>
        </w:numPr>
        <w:kinsoku/>
        <w:wordWrap/>
        <w:overflowPunct/>
        <w:topLinePunct w:val="0"/>
        <w:autoSpaceDE/>
        <w:autoSpaceDN/>
        <w:bidi w:val="0"/>
        <w:adjustRightInd w:val="0"/>
        <w:snapToGrid/>
        <w:spacing w:before="0"/>
        <w:ind w:left="0" w:leftChars="0" w:firstLine="480" w:firstLineChars="200"/>
        <w:textAlignment w:val="auto"/>
        <w:rPr>
          <w:rFonts w:hint="eastAsia" w:ascii="宋体" w:hAnsi="宋体" w:eastAsia="宋体" w:cs="宋体"/>
          <w:color w:val="auto"/>
          <w:szCs w:val="24"/>
          <w:highlight w:val="none"/>
        </w:rPr>
      </w:pPr>
      <w:r>
        <w:rPr>
          <w:rFonts w:hint="eastAsia" w:ascii="宋体" w:hAnsi="宋体" w:eastAsia="宋体" w:cs="宋体"/>
          <w:color w:val="auto"/>
          <w:sz w:val="24"/>
          <w:highlight w:val="none"/>
        </w:rPr>
        <w:t>投标文件必须在规定的投标截止时间前</w:t>
      </w:r>
      <w:r>
        <w:rPr>
          <w:rFonts w:hint="eastAsia" w:ascii="宋体" w:hAnsi="宋体" w:eastAsia="宋体" w:cs="宋体"/>
          <w:color w:val="auto"/>
          <w:sz w:val="24"/>
          <w:highlight w:val="none"/>
          <w:lang w:eastAsia="zh-CN"/>
        </w:rPr>
        <w:t>在</w:t>
      </w:r>
      <w:r>
        <w:rPr>
          <w:rFonts w:hint="eastAsia" w:ascii="宋体" w:hAnsi="宋体" w:cs="宋体"/>
          <w:color w:val="auto"/>
          <w:sz w:val="24"/>
          <w:highlight w:val="none"/>
          <w:lang w:val="en-US" w:eastAsia="zh-CN"/>
        </w:rPr>
        <w:t>乐</w:t>
      </w:r>
      <w:r>
        <w:rPr>
          <w:rFonts w:hint="eastAsia" w:ascii="宋体" w:hAnsi="宋体" w:eastAsia="宋体" w:cs="宋体"/>
          <w:color w:val="auto"/>
          <w:sz w:val="24"/>
          <w:highlight w:val="none"/>
          <w:lang w:eastAsia="zh-CN"/>
        </w:rPr>
        <w:t>采云系统内完成传输，</w:t>
      </w:r>
      <w:r>
        <w:rPr>
          <w:rFonts w:hint="eastAsia" w:ascii="宋体" w:hAnsi="宋体" w:eastAsia="宋体" w:cs="宋体"/>
          <w:color w:val="auto"/>
          <w:sz w:val="24"/>
          <w:highlight w:val="none"/>
        </w:rPr>
        <w:t>以</w:t>
      </w:r>
      <w:r>
        <w:rPr>
          <w:rFonts w:hint="eastAsia" w:ascii="宋体" w:hAnsi="宋体" w:eastAsia="宋体" w:cs="宋体"/>
          <w:color w:val="auto"/>
          <w:sz w:val="24"/>
          <w:highlight w:val="none"/>
          <w:lang w:eastAsia="zh-CN"/>
        </w:rPr>
        <w:t>纸质、</w:t>
      </w:r>
      <w:r>
        <w:rPr>
          <w:rFonts w:hint="eastAsia" w:ascii="宋体" w:hAnsi="宋体" w:eastAsia="宋体" w:cs="宋体"/>
          <w:color w:val="auto"/>
          <w:sz w:val="24"/>
          <w:highlight w:val="none"/>
        </w:rPr>
        <w:t>电报、电话、传真形式的投标概不接受。</w:t>
      </w:r>
      <w:r>
        <w:rPr>
          <w:rFonts w:hint="eastAsia" w:ascii="宋体" w:hAnsi="宋体" w:eastAsia="宋体" w:cs="宋体"/>
          <w:color w:val="auto"/>
          <w:sz w:val="24"/>
          <w:highlight w:val="none"/>
          <w:lang w:eastAsia="zh-CN"/>
        </w:rPr>
        <w:t>为应对投标文件解密失败等异常情况，投标人可指派授权代表在投标截止时间之前到达开标地点提交备份文件。</w:t>
      </w:r>
    </w:p>
    <w:p w14:paraId="493A9ADC">
      <w:pPr>
        <w:pStyle w:val="43"/>
        <w:keepNext w:val="0"/>
        <w:keepLines w:val="0"/>
        <w:pageBreakBefore w:val="0"/>
        <w:widowControl w:val="0"/>
        <w:numPr>
          <w:ilvl w:val="0"/>
          <w:numId w:val="24"/>
        </w:numPr>
        <w:kinsoku/>
        <w:wordWrap/>
        <w:overflowPunct/>
        <w:topLinePunct w:val="0"/>
        <w:autoSpaceDE/>
        <w:autoSpaceDN/>
        <w:bidi w:val="0"/>
        <w:adjustRightInd w:val="0"/>
        <w:snapToGrid/>
        <w:spacing w:before="0"/>
        <w:ind w:left="0" w:leftChars="0" w:firstLine="480" w:firstLineChars="200"/>
        <w:textAlignment w:val="auto"/>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highlight w:val="none"/>
        </w:rPr>
        <w:t>采购人因故推迟投标截止时间，将以</w:t>
      </w:r>
      <w:r>
        <w:rPr>
          <w:rFonts w:hint="eastAsia" w:ascii="宋体" w:hAnsi="宋体" w:eastAsia="宋体" w:cs="宋体"/>
          <w:b w:val="0"/>
          <w:bCs w:val="0"/>
          <w:color w:val="auto"/>
          <w:sz w:val="24"/>
          <w:highlight w:val="none"/>
          <w:lang w:eastAsia="zh-CN"/>
        </w:rPr>
        <w:t>公告</w:t>
      </w:r>
      <w:r>
        <w:rPr>
          <w:rFonts w:hint="eastAsia" w:ascii="宋体" w:hAnsi="宋体" w:eastAsia="宋体" w:cs="宋体"/>
          <w:b w:val="0"/>
          <w:bCs w:val="0"/>
          <w:color w:val="auto"/>
          <w:sz w:val="24"/>
          <w:highlight w:val="none"/>
        </w:rPr>
        <w:t>形式通知。在这种情况下，采购人和投标人的权利和义务将受到新的截止时间的约束。</w:t>
      </w:r>
    </w:p>
    <w:p w14:paraId="78647C4D">
      <w:pPr>
        <w:pStyle w:val="16"/>
        <w:numPr>
          <w:ilvl w:val="0"/>
          <w:numId w:val="9"/>
        </w:numPr>
        <w:spacing w:line="360" w:lineRule="auto"/>
        <w:ind w:left="0" w:leftChars="0"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投标文件的修改、撤销</w:t>
      </w:r>
    </w:p>
    <w:p w14:paraId="43349BB1">
      <w:pPr>
        <w:pStyle w:val="16"/>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应当在投标截止时间前完成电子交易文件的传输递交，投标截止时间前可以补充、修改或者撤回电子交易文件。补充或者修改电子交易文件的，应当先行撤回原文件，补充、修改后重新传输递交。投标截止时间前未完成传输的，视为投标文件撤回。</w:t>
      </w:r>
    </w:p>
    <w:p w14:paraId="5427AC6D">
      <w:pPr>
        <w:spacing w:line="360" w:lineRule="auto"/>
        <w:jc w:val="center"/>
        <w:rPr>
          <w:rFonts w:hint="eastAsia" w:ascii="宋体" w:hAnsi="宋体" w:eastAsia="宋体" w:cs="宋体"/>
          <w:b/>
          <w:sz w:val="24"/>
          <w:highlight w:val="none"/>
        </w:rPr>
      </w:pPr>
      <w:bookmarkStart w:id="64" w:name="_Toc91899897"/>
    </w:p>
    <w:p w14:paraId="5C80478A">
      <w:pPr>
        <w:snapToGrid w:val="0"/>
        <w:spacing w:line="360" w:lineRule="auto"/>
        <w:jc w:val="center"/>
        <w:outlineLvl w:val="1"/>
        <w:rPr>
          <w:rFonts w:hint="eastAsia" w:ascii="宋体" w:hAnsi="宋体" w:eastAsia="宋体" w:cs="宋体"/>
          <w:b/>
          <w:sz w:val="32"/>
          <w:highlight w:val="none"/>
        </w:rPr>
      </w:pPr>
      <w:bookmarkStart w:id="65" w:name="_Toc32581"/>
      <w:bookmarkStart w:id="66" w:name="_Toc27511"/>
      <w:bookmarkStart w:id="67" w:name="_Toc29172"/>
      <w:r>
        <w:rPr>
          <w:rFonts w:hint="eastAsia" w:ascii="宋体" w:hAnsi="宋体" w:eastAsia="宋体" w:cs="宋体"/>
          <w:b/>
          <w:sz w:val="32"/>
          <w:highlight w:val="none"/>
        </w:rPr>
        <w:t>五、开标</w:t>
      </w:r>
      <w:bookmarkEnd w:id="64"/>
      <w:bookmarkEnd w:id="65"/>
      <w:bookmarkEnd w:id="66"/>
      <w:bookmarkEnd w:id="67"/>
    </w:p>
    <w:p w14:paraId="463389A5">
      <w:pPr>
        <w:pStyle w:val="16"/>
        <w:numPr>
          <w:ilvl w:val="0"/>
          <w:numId w:val="9"/>
        </w:numPr>
        <w:spacing w:line="360" w:lineRule="auto"/>
        <w:ind w:left="0" w:leftChars="0" w:firstLine="482" w:firstLineChars="200"/>
        <w:rPr>
          <w:rFonts w:hint="eastAsia" w:ascii="宋体" w:hAnsi="宋体" w:eastAsia="宋体" w:cs="宋体"/>
          <w:b/>
          <w:sz w:val="24"/>
          <w:szCs w:val="24"/>
          <w:highlight w:val="none"/>
        </w:rPr>
      </w:pPr>
      <w:r>
        <w:rPr>
          <w:rFonts w:hint="eastAsia" w:ascii="宋体" w:hAnsi="宋体" w:eastAsia="宋体" w:cs="宋体"/>
          <w:b/>
          <w:sz w:val="24"/>
          <w:szCs w:val="24"/>
          <w:highlight w:val="none"/>
        </w:rPr>
        <w:t>开标</w:t>
      </w:r>
    </w:p>
    <w:p w14:paraId="0F74796A">
      <w:pPr>
        <w:pStyle w:val="16"/>
        <w:numPr>
          <w:ilvl w:val="0"/>
          <w:numId w:val="25"/>
        </w:numPr>
        <w:spacing w:line="360" w:lineRule="auto"/>
        <w:ind w:left="0" w:leftChars="0" w:firstLine="480" w:firstLineChars="200"/>
        <w:rPr>
          <w:rFonts w:hint="eastAsia" w:ascii="宋体" w:hAnsi="宋体" w:eastAsia="宋体" w:cs="宋体"/>
          <w:color w:val="000000"/>
          <w:sz w:val="24"/>
          <w:highlight w:val="none"/>
        </w:rPr>
      </w:pPr>
      <w:r>
        <w:rPr>
          <w:rFonts w:hint="eastAsia" w:ascii="宋体" w:hAnsi="宋体" w:eastAsia="宋体" w:cs="宋体"/>
          <w:color w:val="000000"/>
          <w:sz w:val="24"/>
          <w:highlight w:val="none"/>
        </w:rPr>
        <w:t>在投标截止时间前按规定提交投标文件的投标人在三家（含）以上的，由采购人</w:t>
      </w:r>
      <w:r>
        <w:rPr>
          <w:rFonts w:hint="eastAsia" w:hAnsi="宋体" w:eastAsia="宋体" w:cs="宋体"/>
          <w:color w:val="000000"/>
          <w:sz w:val="24"/>
          <w:highlight w:val="none"/>
          <w:lang w:eastAsia="zh-CN"/>
        </w:rPr>
        <w:t>或采购代理机构</w:t>
      </w:r>
      <w:r>
        <w:rPr>
          <w:rFonts w:hint="eastAsia" w:ascii="宋体" w:hAnsi="宋体" w:eastAsia="宋体" w:cs="宋体"/>
          <w:color w:val="000000"/>
          <w:sz w:val="24"/>
          <w:highlight w:val="none"/>
        </w:rPr>
        <w:t>组织进行开标。</w:t>
      </w:r>
    </w:p>
    <w:p w14:paraId="18424B9A">
      <w:pPr>
        <w:pStyle w:val="16"/>
        <w:numPr>
          <w:ilvl w:val="0"/>
          <w:numId w:val="25"/>
        </w:numPr>
        <w:spacing w:line="360" w:lineRule="auto"/>
        <w:ind w:left="0" w:leftChars="0" w:firstLine="482" w:firstLineChars="200"/>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b/>
          <w:bCs/>
          <w:color w:val="auto"/>
          <w:sz w:val="24"/>
          <w:highlight w:val="none"/>
        </w:rPr>
        <w:t>投标人登录</w:t>
      </w:r>
      <w:r>
        <w:rPr>
          <w:rFonts w:hint="eastAsia" w:hAnsi="宋体" w:cs="宋体"/>
          <w:b/>
          <w:bCs/>
          <w:color w:val="auto"/>
          <w:sz w:val="24"/>
          <w:highlight w:val="none"/>
          <w:lang w:val="en-US" w:eastAsia="zh-CN"/>
        </w:rPr>
        <w:t>乐</w:t>
      </w:r>
      <w:r>
        <w:rPr>
          <w:rFonts w:hint="eastAsia" w:ascii="宋体" w:hAnsi="宋体" w:eastAsia="宋体" w:cs="宋体"/>
          <w:b/>
          <w:bCs/>
          <w:color w:val="auto"/>
          <w:sz w:val="24"/>
          <w:highlight w:val="none"/>
        </w:rPr>
        <w:t>采云平台，用“项目采购-开标评标”功能对电子投标文件进行在线解密。在线解密电子投标文件时间为开标时间起</w:t>
      </w:r>
      <w:r>
        <w:rPr>
          <w:rFonts w:hint="eastAsia" w:hAnsi="宋体" w:eastAsia="宋体" w:cs="宋体"/>
          <w:b/>
          <w:bCs/>
          <w:color w:val="auto"/>
          <w:sz w:val="24"/>
          <w:highlight w:val="none"/>
          <w:lang w:val="en-US" w:eastAsia="zh-CN"/>
        </w:rPr>
        <w:t>30</w:t>
      </w:r>
      <w:r>
        <w:rPr>
          <w:rFonts w:hint="eastAsia" w:ascii="宋体" w:hAnsi="宋体" w:eastAsia="宋体" w:cs="宋体"/>
          <w:b/>
          <w:bCs/>
          <w:color w:val="auto"/>
          <w:sz w:val="24"/>
          <w:highlight w:val="none"/>
          <w:lang w:val="en-US" w:eastAsia="zh-CN"/>
        </w:rPr>
        <w:t>分钟</w:t>
      </w:r>
      <w:r>
        <w:rPr>
          <w:rFonts w:hint="eastAsia" w:ascii="宋体" w:hAnsi="宋体" w:eastAsia="宋体" w:cs="宋体"/>
          <w:b/>
          <w:bCs/>
          <w:color w:val="auto"/>
          <w:sz w:val="24"/>
          <w:highlight w:val="none"/>
        </w:rPr>
        <w:t>内。</w:t>
      </w:r>
      <w:r>
        <w:rPr>
          <w:rFonts w:hint="eastAsia" w:hAnsi="宋体" w:eastAsia="宋体" w:cs="宋体"/>
          <w:b/>
          <w:bCs/>
          <w:strike w:val="0"/>
          <w:dstrike w:val="0"/>
          <w:color w:val="auto"/>
          <w:sz w:val="24"/>
          <w:highlight w:val="none"/>
          <w:lang w:eastAsia="zh-CN"/>
        </w:rPr>
        <w:t>若电子投标文件解密失败，则由采购代理机构工作人员上传投标人提供的备份文件。</w:t>
      </w:r>
      <w:r>
        <w:rPr>
          <w:rFonts w:hint="eastAsia" w:ascii="宋体" w:hAnsi="宋体" w:eastAsia="宋体" w:cs="宋体"/>
          <w:color w:val="auto"/>
          <w:kern w:val="2"/>
          <w:sz w:val="24"/>
          <w:szCs w:val="24"/>
          <w:highlight w:val="none"/>
          <w:lang w:val="en-US" w:eastAsia="zh-CN" w:bidi="ar-SA"/>
        </w:rPr>
        <w:t>备份文件（后缀名为.bfbs）须存储在U盘中，与上传的电子投标文件一致，用信封进行密封并盖章，由</w:t>
      </w:r>
      <w:r>
        <w:rPr>
          <w:rFonts w:hint="eastAsia" w:ascii="宋体" w:hAnsi="宋体" w:eastAsia="宋体" w:cs="宋体"/>
          <w:kern w:val="2"/>
          <w:sz w:val="24"/>
          <w:szCs w:val="24"/>
          <w:highlight w:val="none"/>
          <w:lang w:val="en-US" w:eastAsia="zh-CN" w:bidi="ar-SA"/>
        </w:rPr>
        <w:t>授权代表在投标截止时间前递交至开标地点。</w:t>
      </w:r>
    </w:p>
    <w:p w14:paraId="2017B678">
      <w:pPr>
        <w:pStyle w:val="16"/>
        <w:numPr>
          <w:ilvl w:val="0"/>
          <w:numId w:val="25"/>
        </w:numPr>
        <w:spacing w:line="360" w:lineRule="auto"/>
        <w:ind w:left="0" w:leftChars="0" w:firstLine="480" w:firstLineChars="200"/>
        <w:rPr>
          <w:rFonts w:hint="eastAsia" w:ascii="宋体" w:hAnsi="宋体" w:eastAsia="宋体" w:cs="宋体"/>
          <w:color w:val="000000"/>
          <w:sz w:val="24"/>
          <w:highlight w:val="none"/>
        </w:rPr>
      </w:pPr>
      <w:r>
        <w:rPr>
          <w:rFonts w:hint="eastAsia" w:ascii="宋体" w:hAnsi="宋体" w:eastAsia="宋体" w:cs="宋体"/>
          <w:color w:val="000000"/>
          <w:sz w:val="24"/>
          <w:highlight w:val="none"/>
        </w:rPr>
        <w:t>采购人按招标文件规定的时间、地点公开开标。开标仪式由采购人</w:t>
      </w:r>
      <w:r>
        <w:rPr>
          <w:rFonts w:hint="eastAsia" w:hAnsi="宋体" w:eastAsia="宋体" w:cs="宋体"/>
          <w:color w:val="000000"/>
          <w:sz w:val="24"/>
          <w:highlight w:val="none"/>
          <w:lang w:eastAsia="zh-CN"/>
        </w:rPr>
        <w:t>或采购代理机构</w:t>
      </w:r>
      <w:r>
        <w:rPr>
          <w:rFonts w:hint="eastAsia" w:ascii="宋体" w:hAnsi="宋体" w:eastAsia="宋体" w:cs="宋体"/>
          <w:color w:val="000000"/>
          <w:sz w:val="24"/>
          <w:highlight w:val="none"/>
        </w:rPr>
        <w:t>主持及有关人员参加。</w:t>
      </w:r>
    </w:p>
    <w:p w14:paraId="652CDA32">
      <w:pPr>
        <w:pStyle w:val="43"/>
        <w:numPr>
          <w:ilvl w:val="0"/>
          <w:numId w:val="25"/>
        </w:numPr>
        <w:spacing w:before="0"/>
        <w:ind w:left="0" w:leftChars="0" w:firstLine="480" w:firstLineChars="200"/>
        <w:rPr>
          <w:rFonts w:hint="eastAsia" w:ascii="宋体" w:hAnsi="宋体" w:eastAsia="宋体" w:cs="宋体"/>
          <w:color w:val="auto"/>
          <w:szCs w:val="24"/>
          <w:highlight w:val="none"/>
        </w:rPr>
      </w:pPr>
      <w:r>
        <w:rPr>
          <w:rFonts w:hint="eastAsia" w:ascii="宋体" w:hAnsi="宋体" w:eastAsia="宋体" w:cs="宋体"/>
          <w:color w:val="auto"/>
          <w:szCs w:val="24"/>
          <w:highlight w:val="none"/>
        </w:rPr>
        <w:t>本项目为电子投标项目，</w:t>
      </w:r>
      <w:r>
        <w:rPr>
          <w:rFonts w:hint="eastAsia" w:ascii="宋体" w:hAnsi="宋体" w:eastAsia="宋体" w:cs="宋体"/>
          <w:color w:val="auto"/>
          <w:szCs w:val="24"/>
          <w:highlight w:val="none"/>
          <w:lang w:eastAsia="zh-CN"/>
        </w:rPr>
        <w:t>投标人一般不需要参加现场投标和开标，若投标人需要指派授权代表递交备份文件，则授权代表应</w:t>
      </w:r>
      <w:r>
        <w:rPr>
          <w:rFonts w:hint="eastAsia" w:ascii="宋体" w:hAnsi="宋体" w:eastAsia="宋体" w:cs="宋体"/>
          <w:color w:val="auto"/>
          <w:szCs w:val="24"/>
          <w:highlight w:val="none"/>
          <w:lang w:val="en-US" w:eastAsia="zh-CN"/>
        </w:rPr>
        <w:t>随身携带法定代表人授权书原件于投标截止时间前到达开标地点递交备份文件。若电子投标文件正常解锁，则U盘退还给供应商；若解锁失败，则由采购代理机构将U盘中的备份文件上传，该U盘将由采购代理机构保存。</w:t>
      </w:r>
    </w:p>
    <w:p w14:paraId="608CC6B9">
      <w:pPr>
        <w:pStyle w:val="43"/>
        <w:numPr>
          <w:ilvl w:val="0"/>
          <w:numId w:val="25"/>
        </w:numPr>
        <w:spacing w:before="0"/>
        <w:ind w:left="0" w:leftChars="0" w:firstLine="480" w:firstLineChars="200"/>
        <w:rPr>
          <w:rFonts w:hint="eastAsia" w:ascii="宋体" w:hAnsi="宋体" w:eastAsia="宋体" w:cs="宋体"/>
          <w:szCs w:val="24"/>
          <w:highlight w:val="none"/>
        </w:rPr>
      </w:pPr>
      <w:r>
        <w:rPr>
          <w:rFonts w:hint="eastAsia" w:ascii="宋体" w:hAnsi="宋体" w:eastAsia="宋体" w:cs="宋体"/>
          <w:color w:val="auto"/>
          <w:szCs w:val="24"/>
          <w:highlight w:val="none"/>
        </w:rPr>
        <w:t>两个以上</w:t>
      </w:r>
      <w:r>
        <w:rPr>
          <w:rFonts w:hint="eastAsia" w:ascii="宋体" w:hAnsi="宋体" w:eastAsia="宋体" w:cs="宋体"/>
          <w:szCs w:val="24"/>
          <w:highlight w:val="none"/>
        </w:rPr>
        <w:t>的自然人、法人或者其他组织组成一个联合体，以一个供应商的身份共同参加</w:t>
      </w:r>
      <w:r>
        <w:rPr>
          <w:rFonts w:hint="eastAsia" w:ascii="宋体" w:hAnsi="宋体" w:cs="宋体"/>
          <w:szCs w:val="24"/>
          <w:highlight w:val="none"/>
          <w:lang w:val="en-US" w:eastAsia="zh-CN"/>
        </w:rPr>
        <w:t>村级</w:t>
      </w:r>
      <w:r>
        <w:rPr>
          <w:rFonts w:hint="eastAsia" w:ascii="宋体" w:hAnsi="宋体" w:eastAsia="宋体" w:cs="宋体"/>
          <w:szCs w:val="24"/>
          <w:highlight w:val="none"/>
        </w:rPr>
        <w:t>采购活动的，应当对所有联合体成员进行信用记录查询，联合体成员存在不良信用记录的，视同联合体存在不良信用记录。</w:t>
      </w:r>
    </w:p>
    <w:p w14:paraId="713A4B24">
      <w:pPr>
        <w:spacing w:line="360" w:lineRule="auto"/>
        <w:jc w:val="center"/>
        <w:rPr>
          <w:rFonts w:hint="eastAsia" w:ascii="宋体" w:hAnsi="宋体" w:eastAsia="宋体" w:cs="宋体"/>
          <w:b/>
          <w:sz w:val="24"/>
          <w:highlight w:val="none"/>
        </w:rPr>
      </w:pPr>
    </w:p>
    <w:p w14:paraId="1C31B10F">
      <w:pPr>
        <w:snapToGrid w:val="0"/>
        <w:spacing w:line="360" w:lineRule="auto"/>
        <w:jc w:val="center"/>
        <w:outlineLvl w:val="1"/>
        <w:rPr>
          <w:rFonts w:hint="eastAsia" w:ascii="宋体" w:hAnsi="宋体" w:eastAsia="宋体" w:cs="宋体"/>
          <w:b/>
          <w:sz w:val="32"/>
          <w:highlight w:val="none"/>
        </w:rPr>
      </w:pPr>
      <w:bookmarkStart w:id="68" w:name="_Toc25219"/>
      <w:bookmarkStart w:id="69" w:name="_Toc24755"/>
      <w:bookmarkStart w:id="70" w:name="_Toc14679"/>
      <w:r>
        <w:rPr>
          <w:rFonts w:hint="eastAsia" w:ascii="宋体" w:hAnsi="宋体" w:eastAsia="宋体" w:cs="宋体"/>
          <w:b/>
          <w:sz w:val="32"/>
          <w:highlight w:val="none"/>
        </w:rPr>
        <w:t>六、资格审查</w:t>
      </w:r>
      <w:bookmarkEnd w:id="68"/>
      <w:bookmarkEnd w:id="69"/>
      <w:bookmarkEnd w:id="70"/>
    </w:p>
    <w:p w14:paraId="4B9C51E1">
      <w:pPr>
        <w:pStyle w:val="16"/>
        <w:numPr>
          <w:ilvl w:val="0"/>
          <w:numId w:val="9"/>
        </w:numPr>
        <w:spacing w:line="360" w:lineRule="auto"/>
        <w:ind w:left="0" w:leftChars="0" w:firstLine="482" w:firstLineChars="200"/>
        <w:rPr>
          <w:rFonts w:hint="eastAsia" w:ascii="宋体" w:hAnsi="宋体" w:eastAsia="宋体" w:cs="宋体"/>
          <w:b/>
          <w:sz w:val="24"/>
          <w:szCs w:val="24"/>
          <w:highlight w:val="none"/>
        </w:rPr>
      </w:pPr>
      <w:r>
        <w:rPr>
          <w:rFonts w:hint="eastAsia" w:ascii="宋体" w:hAnsi="宋体" w:eastAsia="宋体" w:cs="宋体"/>
          <w:b/>
          <w:sz w:val="24"/>
          <w:szCs w:val="24"/>
          <w:highlight w:val="none"/>
        </w:rPr>
        <w:t>资格审查</w:t>
      </w:r>
    </w:p>
    <w:p w14:paraId="3E980E72">
      <w:pPr>
        <w:pStyle w:val="43"/>
        <w:numPr>
          <w:ilvl w:val="0"/>
          <w:numId w:val="26"/>
        </w:numPr>
        <w:spacing w:before="0"/>
        <w:ind w:left="0" w:leftChars="0" w:firstLine="480" w:firstLineChars="200"/>
        <w:rPr>
          <w:rFonts w:hint="eastAsia" w:ascii="宋体" w:hAnsi="宋体" w:eastAsia="宋体" w:cs="宋体"/>
          <w:szCs w:val="24"/>
          <w:highlight w:val="none"/>
          <w:lang w:eastAsia="zh-CN"/>
        </w:rPr>
      </w:pPr>
      <w:bookmarkStart w:id="71" w:name="_Hlt75236101"/>
      <w:bookmarkEnd w:id="71"/>
      <w:bookmarkStart w:id="72" w:name="_Toc91899902"/>
      <w:r>
        <w:rPr>
          <w:rFonts w:hint="eastAsia" w:ascii="宋体" w:hAnsi="宋体" w:eastAsia="宋体" w:cs="宋体"/>
          <w:szCs w:val="24"/>
          <w:highlight w:val="none"/>
        </w:rPr>
        <w:t>开标后，采购人或采购代理机构将依法对投标人的资格进行审查</w:t>
      </w:r>
      <w:r>
        <w:rPr>
          <w:rFonts w:hint="eastAsia" w:ascii="宋体" w:hAnsi="宋体" w:eastAsia="宋体" w:cs="宋体"/>
          <w:szCs w:val="24"/>
          <w:highlight w:val="none"/>
          <w:lang w:eastAsia="zh-CN"/>
        </w:rPr>
        <w:t>；</w:t>
      </w:r>
    </w:p>
    <w:p w14:paraId="2DCEA409">
      <w:pPr>
        <w:pStyle w:val="43"/>
        <w:numPr>
          <w:ilvl w:val="0"/>
          <w:numId w:val="26"/>
        </w:numPr>
        <w:spacing w:before="0"/>
        <w:ind w:left="0" w:leftChars="0" w:firstLine="480" w:firstLineChars="200"/>
        <w:rPr>
          <w:rFonts w:hint="eastAsia" w:ascii="宋体" w:hAnsi="宋体" w:eastAsia="宋体" w:cs="宋体"/>
          <w:szCs w:val="24"/>
          <w:highlight w:val="none"/>
        </w:rPr>
      </w:pPr>
      <w:r>
        <w:rPr>
          <w:rFonts w:hint="eastAsia" w:ascii="宋体" w:hAnsi="宋体" w:eastAsia="宋体" w:cs="宋体"/>
          <w:szCs w:val="24"/>
          <w:highlight w:val="none"/>
        </w:rPr>
        <w:t>采购人或采购代理机构依据法律法规和招标文件的规定，对投标人的基本资格条件、特定资格条件进行审查。</w:t>
      </w:r>
    </w:p>
    <w:p w14:paraId="3461D3EF">
      <w:pPr>
        <w:pStyle w:val="43"/>
        <w:numPr>
          <w:ilvl w:val="0"/>
          <w:numId w:val="26"/>
        </w:numPr>
        <w:spacing w:before="0"/>
        <w:ind w:left="0" w:leftChars="0" w:firstLine="480" w:firstLineChars="200"/>
        <w:rPr>
          <w:rFonts w:hint="eastAsia" w:ascii="宋体" w:hAnsi="宋体" w:eastAsia="宋体" w:cs="宋体"/>
          <w:szCs w:val="24"/>
          <w:highlight w:val="none"/>
          <w:lang w:eastAsia="zh-CN"/>
        </w:rPr>
      </w:pPr>
      <w:r>
        <w:rPr>
          <w:rFonts w:hint="eastAsia" w:ascii="宋体" w:hAnsi="宋体" w:eastAsia="宋体" w:cs="宋体"/>
          <w:szCs w:val="24"/>
          <w:highlight w:val="none"/>
          <w:lang w:val="en-US" w:eastAsia="zh-CN"/>
        </w:rPr>
        <w:t>采购人或采购代理机构将</w:t>
      </w:r>
      <w:r>
        <w:rPr>
          <w:rFonts w:hint="eastAsia" w:ascii="宋体" w:hAnsi="宋体" w:eastAsia="宋体" w:cs="宋体"/>
          <w:szCs w:val="24"/>
          <w:highlight w:val="none"/>
        </w:rPr>
        <w:t>通过“信用中国”网站(www.creditchina.gov.cn)、中国政府采购网(</w:t>
      </w:r>
      <w:r>
        <w:rPr>
          <w:rFonts w:hint="eastAsia" w:ascii="宋体" w:hAnsi="宋体" w:eastAsia="宋体" w:cs="宋体"/>
          <w:szCs w:val="24"/>
          <w:highlight w:val="none"/>
        </w:rPr>
        <w:fldChar w:fldCharType="begin"/>
      </w:r>
      <w:r>
        <w:rPr>
          <w:rFonts w:hint="eastAsia" w:ascii="宋体" w:hAnsi="宋体" w:eastAsia="宋体" w:cs="宋体"/>
          <w:szCs w:val="24"/>
          <w:highlight w:val="none"/>
        </w:rPr>
        <w:instrText xml:space="preserve"> HYPERLINK "http://www.ccgp.gov.cn" </w:instrText>
      </w:r>
      <w:r>
        <w:rPr>
          <w:rFonts w:hint="eastAsia" w:ascii="宋体" w:hAnsi="宋体" w:eastAsia="宋体" w:cs="宋体"/>
          <w:szCs w:val="24"/>
          <w:highlight w:val="none"/>
        </w:rPr>
        <w:fldChar w:fldCharType="separate"/>
      </w:r>
      <w:r>
        <w:rPr>
          <w:rFonts w:hint="eastAsia" w:ascii="宋体" w:hAnsi="宋体" w:eastAsia="宋体" w:cs="宋体"/>
          <w:szCs w:val="24"/>
          <w:highlight w:val="none"/>
        </w:rPr>
        <w:t>www.ccgp.gov.cn</w:t>
      </w:r>
      <w:r>
        <w:rPr>
          <w:rFonts w:hint="eastAsia" w:ascii="宋体" w:hAnsi="宋体" w:eastAsia="宋体" w:cs="宋体"/>
          <w:szCs w:val="24"/>
          <w:highlight w:val="none"/>
        </w:rPr>
        <w:fldChar w:fldCharType="end"/>
      </w:r>
      <w:r>
        <w:rPr>
          <w:rFonts w:hint="eastAsia" w:ascii="宋体" w:hAnsi="宋体" w:eastAsia="宋体" w:cs="宋体"/>
          <w:szCs w:val="24"/>
          <w:highlight w:val="none"/>
        </w:rPr>
        <w:t>)渠道查询投标人开标后评标前的信用记录</w:t>
      </w:r>
      <w:r>
        <w:rPr>
          <w:rFonts w:hint="eastAsia" w:ascii="宋体" w:hAnsi="宋体" w:eastAsia="宋体" w:cs="宋体"/>
          <w:szCs w:val="24"/>
          <w:highlight w:val="none"/>
          <w:lang w:eastAsia="zh-CN"/>
        </w:rPr>
        <w:t>，</w:t>
      </w:r>
      <w:r>
        <w:rPr>
          <w:rFonts w:hint="eastAsia" w:ascii="宋体" w:hAnsi="宋体" w:eastAsia="宋体" w:cs="宋体"/>
          <w:szCs w:val="24"/>
          <w:highlight w:val="none"/>
        </w:rPr>
        <w:t>经查询投标人列入失信被执行人名单、重大税收违法案件当事人名单、政府采购严重违法失信行为记录名单的，其投标</w:t>
      </w:r>
      <w:r>
        <w:rPr>
          <w:rFonts w:hint="eastAsia" w:ascii="宋体" w:hAnsi="宋体" w:eastAsia="宋体" w:cs="宋体"/>
          <w:szCs w:val="24"/>
          <w:highlight w:val="none"/>
          <w:lang w:eastAsia="zh-CN"/>
        </w:rPr>
        <w:t>无效；</w:t>
      </w:r>
    </w:p>
    <w:p w14:paraId="635FDDB8">
      <w:pPr>
        <w:pStyle w:val="43"/>
        <w:numPr>
          <w:ilvl w:val="0"/>
          <w:numId w:val="26"/>
        </w:numPr>
        <w:spacing w:before="0"/>
        <w:ind w:left="0" w:leftChars="0" w:firstLine="480" w:firstLineChars="200"/>
        <w:rPr>
          <w:rFonts w:hint="eastAsia" w:ascii="宋体" w:hAnsi="宋体" w:eastAsia="宋体" w:cs="宋体"/>
          <w:szCs w:val="24"/>
          <w:highlight w:val="none"/>
        </w:rPr>
      </w:pPr>
      <w:r>
        <w:rPr>
          <w:rFonts w:hint="eastAsia" w:ascii="宋体" w:hAnsi="宋体" w:eastAsia="宋体" w:cs="宋体"/>
          <w:szCs w:val="24"/>
          <w:highlight w:val="none"/>
        </w:rPr>
        <w:t>采购人或采购代理机构出具《投标人资格审查意见表》，投标人未按照招标文件要求提供与基本资格条件、特定资格条件相应的有效资格证明材料的，视为投标人不具备招标文件中规定的资格要求，其投标无效。</w:t>
      </w:r>
    </w:p>
    <w:p w14:paraId="4AE9AA3E">
      <w:pPr>
        <w:spacing w:line="360" w:lineRule="auto"/>
        <w:jc w:val="center"/>
        <w:rPr>
          <w:rFonts w:hint="eastAsia" w:ascii="宋体" w:hAnsi="宋体" w:eastAsia="宋体" w:cs="宋体"/>
          <w:b/>
          <w:sz w:val="24"/>
          <w:highlight w:val="none"/>
        </w:rPr>
      </w:pPr>
    </w:p>
    <w:p w14:paraId="58473157">
      <w:pPr>
        <w:snapToGrid w:val="0"/>
        <w:spacing w:line="360" w:lineRule="auto"/>
        <w:jc w:val="center"/>
        <w:outlineLvl w:val="1"/>
        <w:rPr>
          <w:rFonts w:hint="eastAsia" w:ascii="宋体" w:hAnsi="宋体" w:eastAsia="宋体" w:cs="宋体"/>
          <w:b/>
          <w:sz w:val="32"/>
          <w:highlight w:val="none"/>
        </w:rPr>
      </w:pPr>
      <w:bookmarkStart w:id="73" w:name="_Toc24401"/>
      <w:bookmarkStart w:id="74" w:name="_Toc12356"/>
      <w:bookmarkStart w:id="75" w:name="_Toc31906"/>
      <w:r>
        <w:rPr>
          <w:rFonts w:hint="eastAsia" w:ascii="宋体" w:hAnsi="宋体" w:eastAsia="宋体" w:cs="宋体"/>
          <w:b/>
          <w:sz w:val="32"/>
          <w:highlight w:val="none"/>
        </w:rPr>
        <w:t>七、评标</w:t>
      </w:r>
      <w:bookmarkEnd w:id="72"/>
      <w:bookmarkEnd w:id="73"/>
      <w:bookmarkEnd w:id="74"/>
      <w:bookmarkEnd w:id="75"/>
    </w:p>
    <w:p w14:paraId="6E29E4BA">
      <w:pPr>
        <w:pStyle w:val="16"/>
        <w:numPr>
          <w:ilvl w:val="0"/>
          <w:numId w:val="9"/>
        </w:numPr>
        <w:spacing w:line="360" w:lineRule="auto"/>
        <w:ind w:left="0" w:leftChars="0" w:firstLine="482" w:firstLineChars="200"/>
        <w:rPr>
          <w:rFonts w:hint="eastAsia" w:ascii="宋体" w:hAnsi="宋体" w:eastAsia="宋体" w:cs="宋体"/>
          <w:b/>
          <w:sz w:val="24"/>
          <w:szCs w:val="24"/>
          <w:highlight w:val="none"/>
        </w:rPr>
      </w:pPr>
      <w:bookmarkStart w:id="76" w:name="_Toc91899903"/>
      <w:r>
        <w:rPr>
          <w:rFonts w:hint="eastAsia" w:ascii="宋体" w:hAnsi="宋体" w:eastAsia="宋体" w:cs="宋体"/>
          <w:b/>
          <w:sz w:val="24"/>
          <w:szCs w:val="24"/>
          <w:highlight w:val="none"/>
        </w:rPr>
        <w:t>评标原则</w:t>
      </w:r>
    </w:p>
    <w:p w14:paraId="4C788393">
      <w:pPr>
        <w:pStyle w:val="43"/>
        <w:numPr>
          <w:ilvl w:val="0"/>
          <w:numId w:val="27"/>
        </w:numPr>
        <w:spacing w:before="0"/>
        <w:ind w:left="0" w:leftChars="0" w:firstLine="480" w:firstLineChars="200"/>
        <w:rPr>
          <w:rFonts w:hint="eastAsia" w:ascii="宋体" w:hAnsi="宋体" w:eastAsia="宋体" w:cs="宋体"/>
          <w:szCs w:val="24"/>
          <w:highlight w:val="none"/>
        </w:rPr>
      </w:pPr>
      <w:r>
        <w:rPr>
          <w:rFonts w:hint="eastAsia" w:ascii="宋体" w:hAnsi="宋体" w:eastAsia="宋体" w:cs="宋体"/>
          <w:szCs w:val="24"/>
          <w:highlight w:val="none"/>
        </w:rPr>
        <w:t>竞争优选；</w:t>
      </w:r>
    </w:p>
    <w:p w14:paraId="1DDFFFC9">
      <w:pPr>
        <w:pStyle w:val="43"/>
        <w:numPr>
          <w:ilvl w:val="0"/>
          <w:numId w:val="27"/>
        </w:numPr>
        <w:spacing w:before="0"/>
        <w:ind w:left="0" w:leftChars="0" w:firstLine="480" w:firstLineChars="200"/>
        <w:rPr>
          <w:rFonts w:hint="eastAsia" w:ascii="宋体" w:hAnsi="宋体" w:eastAsia="宋体" w:cs="宋体"/>
          <w:szCs w:val="24"/>
          <w:highlight w:val="none"/>
        </w:rPr>
      </w:pPr>
      <w:r>
        <w:rPr>
          <w:rFonts w:hint="eastAsia" w:ascii="宋体" w:hAnsi="宋体" w:eastAsia="宋体" w:cs="宋体"/>
          <w:szCs w:val="24"/>
          <w:highlight w:val="none"/>
          <w:lang w:val="zh-CN"/>
        </w:rPr>
        <w:t>坚持公开</w:t>
      </w:r>
      <w:r>
        <w:rPr>
          <w:rFonts w:hint="eastAsia" w:ascii="宋体" w:hAnsi="宋体" w:eastAsia="宋体" w:cs="宋体"/>
          <w:szCs w:val="24"/>
          <w:highlight w:val="none"/>
        </w:rPr>
        <w:t>、公平、公正、科学合理</w:t>
      </w:r>
      <w:r>
        <w:rPr>
          <w:rFonts w:hint="eastAsia" w:ascii="宋体" w:hAnsi="宋体" w:eastAsia="宋体" w:cs="宋体"/>
          <w:szCs w:val="24"/>
          <w:highlight w:val="none"/>
          <w:lang w:val="zh-CN"/>
        </w:rPr>
        <w:t>的原则；</w:t>
      </w:r>
    </w:p>
    <w:p w14:paraId="1E6270DE">
      <w:pPr>
        <w:pStyle w:val="43"/>
        <w:numPr>
          <w:ilvl w:val="0"/>
          <w:numId w:val="27"/>
        </w:numPr>
        <w:spacing w:before="0"/>
        <w:ind w:left="0" w:leftChars="0" w:firstLine="480" w:firstLineChars="200"/>
        <w:rPr>
          <w:rFonts w:hint="eastAsia" w:ascii="宋体" w:hAnsi="宋体" w:eastAsia="宋体" w:cs="宋体"/>
          <w:szCs w:val="24"/>
          <w:highlight w:val="none"/>
          <w:lang w:val="zh-CN"/>
        </w:rPr>
      </w:pPr>
      <w:r>
        <w:rPr>
          <w:rFonts w:hint="eastAsia" w:ascii="宋体" w:hAnsi="宋体" w:eastAsia="宋体" w:cs="宋体"/>
          <w:szCs w:val="24"/>
          <w:highlight w:val="none"/>
        </w:rPr>
        <w:t>价格合理，方案、产品先进可行；</w:t>
      </w:r>
    </w:p>
    <w:p w14:paraId="01E249F7">
      <w:pPr>
        <w:pStyle w:val="43"/>
        <w:numPr>
          <w:ilvl w:val="0"/>
          <w:numId w:val="27"/>
        </w:numPr>
        <w:spacing w:before="0"/>
        <w:ind w:left="0" w:leftChars="0" w:firstLine="480" w:firstLineChars="200"/>
        <w:rPr>
          <w:rFonts w:hint="eastAsia" w:ascii="宋体" w:hAnsi="宋体" w:eastAsia="宋体" w:cs="宋体"/>
          <w:szCs w:val="24"/>
          <w:highlight w:val="none"/>
          <w:lang w:val="zh-CN"/>
        </w:rPr>
      </w:pPr>
      <w:r>
        <w:rPr>
          <w:rFonts w:hint="eastAsia" w:ascii="宋体" w:hAnsi="宋体" w:eastAsia="宋体" w:cs="宋体"/>
          <w:szCs w:val="24"/>
          <w:highlight w:val="none"/>
          <w:lang w:val="zh-CN"/>
        </w:rPr>
        <w:t>反对不正当竞争。</w:t>
      </w:r>
    </w:p>
    <w:p w14:paraId="478FD000">
      <w:pPr>
        <w:pStyle w:val="16"/>
        <w:numPr>
          <w:ilvl w:val="0"/>
          <w:numId w:val="9"/>
        </w:numPr>
        <w:spacing w:line="360" w:lineRule="auto"/>
        <w:ind w:left="0" w:leftChars="0" w:firstLine="482" w:firstLineChars="200"/>
        <w:rPr>
          <w:rFonts w:hint="eastAsia" w:ascii="宋体" w:hAnsi="宋体" w:eastAsia="宋体" w:cs="宋体"/>
          <w:b/>
          <w:sz w:val="24"/>
          <w:szCs w:val="24"/>
          <w:highlight w:val="none"/>
        </w:rPr>
      </w:pPr>
      <w:r>
        <w:rPr>
          <w:rFonts w:hint="eastAsia" w:ascii="宋体" w:hAnsi="宋体" w:eastAsia="宋体" w:cs="宋体"/>
          <w:b/>
          <w:sz w:val="24"/>
          <w:szCs w:val="24"/>
          <w:highlight w:val="none"/>
        </w:rPr>
        <w:t>评标组织</w:t>
      </w:r>
    </w:p>
    <w:p w14:paraId="25E8A42F">
      <w:pPr>
        <w:pStyle w:val="43"/>
        <w:numPr>
          <w:ilvl w:val="0"/>
          <w:numId w:val="28"/>
        </w:numPr>
        <w:spacing w:before="0"/>
        <w:ind w:left="0" w:leftChars="0" w:firstLine="480" w:firstLineChars="200"/>
        <w:rPr>
          <w:rFonts w:hint="eastAsia" w:ascii="宋体" w:hAnsi="宋体" w:eastAsia="宋体" w:cs="宋体"/>
          <w:szCs w:val="24"/>
          <w:highlight w:val="none"/>
          <w:lang w:val="zh-CN"/>
        </w:rPr>
      </w:pPr>
      <w:r>
        <w:rPr>
          <w:rFonts w:hint="eastAsia" w:ascii="宋体" w:hAnsi="宋体" w:eastAsia="宋体" w:cs="宋体"/>
          <w:szCs w:val="24"/>
          <w:highlight w:val="none"/>
          <w:lang w:val="zh-CN"/>
        </w:rPr>
        <w:t>评标委员会由采购人代表和评审专家组成，成员人数应当为5人以上单数，其中评审专家不得少于成员总数的三分之二；</w:t>
      </w:r>
    </w:p>
    <w:p w14:paraId="54FCEC0F">
      <w:pPr>
        <w:pStyle w:val="43"/>
        <w:numPr>
          <w:ilvl w:val="0"/>
          <w:numId w:val="28"/>
        </w:numPr>
        <w:spacing w:before="0"/>
        <w:ind w:left="0" w:leftChars="0" w:firstLine="480" w:firstLineChars="200"/>
        <w:rPr>
          <w:rFonts w:hint="eastAsia" w:ascii="宋体" w:hAnsi="宋体" w:eastAsia="宋体" w:cs="宋体"/>
          <w:strike w:val="0"/>
          <w:dstrike w:val="0"/>
          <w:szCs w:val="24"/>
          <w:highlight w:val="none"/>
          <w:lang w:val="zh-CN"/>
        </w:rPr>
      </w:pPr>
      <w:r>
        <w:rPr>
          <w:rFonts w:hint="eastAsia" w:ascii="宋体" w:hAnsi="宋体" w:eastAsia="宋体" w:cs="宋体"/>
          <w:szCs w:val="24"/>
          <w:highlight w:val="none"/>
          <w:lang w:val="zh-CN"/>
        </w:rPr>
        <w:t>评标工作由评标委员会负责，并推选产生的组长主持；</w:t>
      </w:r>
    </w:p>
    <w:p w14:paraId="19B5990B">
      <w:pPr>
        <w:pStyle w:val="43"/>
        <w:numPr>
          <w:ilvl w:val="0"/>
          <w:numId w:val="28"/>
        </w:numPr>
        <w:spacing w:before="0"/>
        <w:ind w:left="0" w:leftChars="0" w:firstLine="480" w:firstLineChars="200"/>
        <w:rPr>
          <w:rFonts w:hint="eastAsia" w:ascii="宋体" w:hAnsi="宋体" w:eastAsia="宋体" w:cs="宋体"/>
          <w:szCs w:val="24"/>
          <w:highlight w:val="none"/>
          <w:lang w:val="zh-CN"/>
        </w:rPr>
      </w:pPr>
      <w:r>
        <w:rPr>
          <w:rFonts w:hint="eastAsia" w:ascii="宋体" w:hAnsi="宋体" w:eastAsia="宋体" w:cs="宋体"/>
          <w:strike w:val="0"/>
          <w:dstrike w:val="0"/>
          <w:szCs w:val="24"/>
          <w:highlight w:val="none"/>
          <w:lang w:val="zh-CN"/>
        </w:rPr>
        <w:t>本次评标为在线评标。</w:t>
      </w:r>
    </w:p>
    <w:p w14:paraId="3542FA55">
      <w:pPr>
        <w:pStyle w:val="16"/>
        <w:numPr>
          <w:ilvl w:val="0"/>
          <w:numId w:val="9"/>
        </w:numPr>
        <w:spacing w:line="360" w:lineRule="auto"/>
        <w:ind w:left="0" w:leftChars="0" w:firstLine="482" w:firstLineChars="200"/>
        <w:rPr>
          <w:rFonts w:hint="eastAsia" w:ascii="宋体" w:hAnsi="宋体" w:eastAsia="宋体" w:cs="宋体"/>
          <w:b/>
          <w:sz w:val="24"/>
          <w:szCs w:val="24"/>
          <w:highlight w:val="none"/>
        </w:rPr>
      </w:pPr>
      <w:r>
        <w:rPr>
          <w:rFonts w:hint="eastAsia" w:ascii="宋体" w:hAnsi="宋体" w:eastAsia="宋体" w:cs="宋体"/>
          <w:b/>
          <w:sz w:val="24"/>
          <w:szCs w:val="24"/>
          <w:highlight w:val="none"/>
        </w:rPr>
        <w:t>评标办法</w:t>
      </w:r>
    </w:p>
    <w:p w14:paraId="768FB914">
      <w:pPr>
        <w:spacing w:line="360" w:lineRule="auto"/>
        <w:ind w:firstLine="467" w:firstLineChars="194"/>
        <w:rPr>
          <w:rFonts w:hint="eastAsia" w:ascii="宋体" w:hAnsi="宋体" w:eastAsia="宋体" w:cs="宋体"/>
          <w:b/>
          <w:color w:val="auto"/>
          <w:kern w:val="0"/>
          <w:sz w:val="24"/>
          <w:szCs w:val="20"/>
          <w:highlight w:val="none"/>
        </w:rPr>
      </w:pPr>
      <w:r>
        <w:rPr>
          <w:rFonts w:hint="eastAsia" w:ascii="宋体" w:hAnsi="宋体" w:eastAsia="宋体" w:cs="宋体"/>
          <w:b/>
          <w:kern w:val="0"/>
          <w:sz w:val="24"/>
          <w:szCs w:val="20"/>
          <w:highlight w:val="none"/>
        </w:rPr>
        <w:t>本项目评标办法</w:t>
      </w:r>
      <w:r>
        <w:rPr>
          <w:rFonts w:hint="eastAsia" w:ascii="宋体" w:hAnsi="宋体" w:eastAsia="宋体" w:cs="宋体"/>
          <w:b/>
          <w:color w:val="auto"/>
          <w:kern w:val="0"/>
          <w:sz w:val="24"/>
          <w:szCs w:val="20"/>
          <w:highlight w:val="none"/>
        </w:rPr>
        <w:t>是综合评分法，具体评标内容及评分标准等详见招标文件第三部分。</w:t>
      </w:r>
    </w:p>
    <w:p w14:paraId="7C136CF5">
      <w:pPr>
        <w:pStyle w:val="16"/>
        <w:numPr>
          <w:ilvl w:val="0"/>
          <w:numId w:val="9"/>
        </w:numPr>
        <w:spacing w:line="360" w:lineRule="auto"/>
        <w:ind w:left="0" w:leftChars="0"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投标文件符合性审查</w:t>
      </w:r>
    </w:p>
    <w:p w14:paraId="2CC8E4F1">
      <w:pPr>
        <w:pStyle w:val="43"/>
        <w:numPr>
          <w:ilvl w:val="0"/>
          <w:numId w:val="29"/>
        </w:numPr>
        <w:spacing w:before="0"/>
        <w:ind w:left="0" w:leftChars="0" w:firstLine="480" w:firstLineChars="200"/>
        <w:rPr>
          <w:rFonts w:hint="eastAsia" w:ascii="宋体" w:hAnsi="宋体" w:eastAsia="宋体" w:cs="宋体"/>
          <w:szCs w:val="24"/>
          <w:highlight w:val="none"/>
          <w:lang w:val="zh-CN"/>
        </w:rPr>
      </w:pPr>
      <w:r>
        <w:rPr>
          <w:rFonts w:hint="eastAsia" w:ascii="宋体" w:hAnsi="宋体" w:eastAsia="宋体" w:cs="宋体"/>
          <w:color w:val="auto"/>
          <w:szCs w:val="24"/>
          <w:highlight w:val="none"/>
          <w:lang w:val="zh-CN"/>
        </w:rPr>
        <w:t>投标文件符合性审查：评</w:t>
      </w:r>
      <w:r>
        <w:rPr>
          <w:rFonts w:hint="eastAsia" w:ascii="宋体" w:hAnsi="宋体" w:eastAsia="宋体" w:cs="宋体"/>
          <w:szCs w:val="24"/>
          <w:highlight w:val="none"/>
          <w:lang w:val="zh-CN"/>
        </w:rPr>
        <w:t>标委员会依据招标文件的规定，从投标文件的有效性、完整性和对招标文件的响应程度进行审查，以确定是否对招标文件的要求作出实质性响应。</w:t>
      </w:r>
    </w:p>
    <w:p w14:paraId="4CF18872">
      <w:pPr>
        <w:pStyle w:val="43"/>
        <w:numPr>
          <w:ilvl w:val="0"/>
          <w:numId w:val="29"/>
        </w:numPr>
        <w:spacing w:before="0"/>
        <w:ind w:left="0" w:leftChars="0" w:firstLine="480" w:firstLineChars="200"/>
        <w:rPr>
          <w:rFonts w:hint="eastAsia" w:ascii="宋体" w:hAnsi="宋体" w:eastAsia="宋体" w:cs="宋体"/>
          <w:szCs w:val="24"/>
          <w:highlight w:val="none"/>
          <w:lang w:val="zh-CN"/>
        </w:rPr>
      </w:pPr>
      <w:r>
        <w:rPr>
          <w:rFonts w:hint="eastAsia" w:ascii="宋体" w:hAnsi="宋体" w:eastAsia="宋体" w:cs="宋体"/>
          <w:szCs w:val="24"/>
          <w:highlight w:val="none"/>
          <w:lang w:val="zh-CN"/>
        </w:rPr>
        <w:t>实质性响应的投标应该是与招标文件要求的主要条款相符，没有重大偏离或保留的投标。所谓重大偏离或保留是指影响合同的内容、项目建设质量，或者在实质上与招标文件不一致，而且限制了合同中采购人的权利或投标人的义务，纠正这些偏离或保留将会对其他实质性响应要求的投标人的竞争地位产生不公正的影响。评标委员会决定投标文件的响应性只根据投标文件本身的内容，而不寻求外部证据。</w:t>
      </w:r>
    </w:p>
    <w:p w14:paraId="6C5C1FFF">
      <w:pPr>
        <w:pStyle w:val="43"/>
        <w:numPr>
          <w:ilvl w:val="0"/>
          <w:numId w:val="29"/>
        </w:numPr>
        <w:spacing w:before="0"/>
        <w:ind w:left="0" w:leftChars="0" w:firstLine="480" w:firstLineChars="200"/>
        <w:rPr>
          <w:rFonts w:hint="eastAsia" w:ascii="宋体" w:hAnsi="宋体" w:eastAsia="宋体" w:cs="宋体"/>
          <w:szCs w:val="24"/>
          <w:highlight w:val="none"/>
          <w:lang w:val="zh-CN"/>
        </w:rPr>
      </w:pPr>
      <w:r>
        <w:rPr>
          <w:rFonts w:hint="eastAsia" w:ascii="宋体" w:hAnsi="宋体" w:eastAsia="宋体" w:cs="宋体"/>
          <w:szCs w:val="24"/>
          <w:highlight w:val="none"/>
          <w:lang w:val="zh-CN"/>
        </w:rPr>
        <w:t xml:space="preserve">如果投标文件没有实质上响应招标文件的要求，评标委员会将判定无效投标，投标人不得通过修改或撤销不合要求的偏离或保留而使其投标成为实质性响应的投标。 </w:t>
      </w:r>
    </w:p>
    <w:p w14:paraId="4D5386EC">
      <w:pPr>
        <w:pStyle w:val="43"/>
        <w:numPr>
          <w:ilvl w:val="0"/>
          <w:numId w:val="29"/>
        </w:numPr>
        <w:spacing w:before="0"/>
        <w:ind w:left="0" w:leftChars="0" w:firstLine="480" w:firstLineChars="200"/>
        <w:rPr>
          <w:rFonts w:hint="eastAsia" w:ascii="宋体" w:hAnsi="宋体" w:eastAsia="宋体" w:cs="宋体"/>
          <w:szCs w:val="24"/>
          <w:highlight w:val="none"/>
          <w:lang w:val="zh-CN"/>
        </w:rPr>
      </w:pPr>
      <w:r>
        <w:rPr>
          <w:rFonts w:hint="eastAsia" w:ascii="宋体" w:hAnsi="宋体" w:eastAsia="宋体" w:cs="宋体"/>
          <w:szCs w:val="24"/>
          <w:highlight w:val="none"/>
          <w:lang w:val="zh-CN"/>
        </w:rPr>
        <w:t>即按《评分标准》确定</w:t>
      </w:r>
      <w:r>
        <w:rPr>
          <w:rFonts w:hint="eastAsia" w:ascii="宋体" w:hAnsi="宋体" w:eastAsia="宋体" w:cs="宋体"/>
          <w:color w:val="auto"/>
          <w:szCs w:val="24"/>
          <w:highlight w:val="none"/>
          <w:lang w:val="zh-CN"/>
        </w:rPr>
        <w:t>的标准，以经审查合格的投标文件进行资信、技术和商务评估，并综合进行比较与评价。根据《浙江省政府采购活动现场组织管理办法》的通知（浙财采监{2015}13号）规定，“对明显畸高、畸低的评分（其总评分偏离平均分30%以上的），评审小组组长应提醒相关</w:t>
      </w:r>
      <w:r>
        <w:rPr>
          <w:rFonts w:hint="eastAsia" w:ascii="宋体" w:hAnsi="宋体" w:eastAsia="宋体" w:cs="宋体"/>
          <w:szCs w:val="24"/>
          <w:highlight w:val="none"/>
          <w:lang w:val="zh-CN"/>
        </w:rPr>
        <w:t>评审人员进行复核或书面说明理由，评审人员拒绝说明的，由现场监督员据实记录；评审人员的评审、修改记录应保留原件，随项目其他资料一并存档。”</w:t>
      </w:r>
    </w:p>
    <w:p w14:paraId="3C839FC1">
      <w:pPr>
        <w:pStyle w:val="16"/>
        <w:numPr>
          <w:ilvl w:val="0"/>
          <w:numId w:val="9"/>
        </w:numPr>
        <w:spacing w:line="360" w:lineRule="auto"/>
        <w:ind w:left="0" w:leftChars="0" w:firstLine="482" w:firstLineChars="200"/>
        <w:rPr>
          <w:rFonts w:hint="eastAsia" w:ascii="宋体" w:hAnsi="宋体" w:eastAsia="宋体" w:cs="宋体"/>
          <w:b/>
          <w:sz w:val="24"/>
          <w:szCs w:val="24"/>
          <w:highlight w:val="none"/>
        </w:rPr>
      </w:pPr>
      <w:r>
        <w:rPr>
          <w:rFonts w:hint="eastAsia" w:ascii="宋体" w:hAnsi="宋体" w:eastAsia="宋体" w:cs="宋体"/>
          <w:b/>
          <w:sz w:val="24"/>
          <w:szCs w:val="24"/>
          <w:highlight w:val="none"/>
        </w:rPr>
        <w:t>修正原则</w:t>
      </w:r>
    </w:p>
    <w:p w14:paraId="11DFB94E">
      <w:pPr>
        <w:pStyle w:val="43"/>
        <w:numPr>
          <w:ilvl w:val="0"/>
          <w:numId w:val="0"/>
        </w:numPr>
        <w:spacing w:before="0"/>
        <w:ind w:leftChars="200"/>
        <w:rPr>
          <w:rFonts w:hint="eastAsia" w:ascii="宋体" w:hAnsi="宋体" w:eastAsia="宋体" w:cs="宋体"/>
          <w:szCs w:val="24"/>
          <w:highlight w:val="none"/>
          <w:lang w:val="zh-CN"/>
        </w:rPr>
      </w:pPr>
      <w:r>
        <w:rPr>
          <w:rFonts w:hint="eastAsia" w:ascii="宋体" w:hAnsi="宋体" w:eastAsia="宋体" w:cs="宋体"/>
          <w:szCs w:val="24"/>
          <w:highlight w:val="none"/>
          <w:lang w:val="zh-CN"/>
        </w:rPr>
        <w:t>投标文件报价出现前后不一致的，按照下列规定修正：</w:t>
      </w:r>
    </w:p>
    <w:p w14:paraId="01E08A9B">
      <w:pPr>
        <w:pStyle w:val="43"/>
        <w:numPr>
          <w:ilvl w:val="0"/>
          <w:numId w:val="30"/>
        </w:numPr>
        <w:spacing w:before="0"/>
        <w:ind w:left="0" w:leftChars="0" w:firstLine="480" w:firstLineChars="200"/>
        <w:rPr>
          <w:rFonts w:hint="eastAsia" w:ascii="宋体" w:hAnsi="宋体" w:eastAsia="宋体" w:cs="宋体"/>
          <w:szCs w:val="24"/>
          <w:highlight w:val="none"/>
          <w:lang w:val="zh-CN"/>
        </w:rPr>
      </w:pPr>
      <w:r>
        <w:rPr>
          <w:rFonts w:hint="eastAsia" w:ascii="宋体" w:hAnsi="宋体" w:eastAsia="宋体" w:cs="宋体"/>
          <w:szCs w:val="24"/>
          <w:highlight w:val="none"/>
          <w:lang w:val="zh-CN"/>
        </w:rPr>
        <w:t>投标文件中投标（开标）一览表内容与投标文件中相应内容不一致的，以投标（开标）一览表为准；</w:t>
      </w:r>
    </w:p>
    <w:p w14:paraId="5999FC98">
      <w:pPr>
        <w:pStyle w:val="43"/>
        <w:numPr>
          <w:ilvl w:val="0"/>
          <w:numId w:val="30"/>
        </w:numPr>
        <w:spacing w:before="0"/>
        <w:ind w:left="0" w:leftChars="0" w:firstLine="480" w:firstLineChars="200"/>
        <w:rPr>
          <w:rFonts w:hint="eastAsia" w:ascii="宋体" w:hAnsi="宋体" w:eastAsia="宋体" w:cs="宋体"/>
          <w:szCs w:val="24"/>
          <w:highlight w:val="none"/>
          <w:lang w:val="zh-CN"/>
        </w:rPr>
      </w:pPr>
      <w:r>
        <w:rPr>
          <w:rFonts w:hint="eastAsia" w:ascii="宋体" w:hAnsi="宋体" w:eastAsia="宋体" w:cs="宋体"/>
          <w:szCs w:val="24"/>
          <w:highlight w:val="none"/>
          <w:lang w:val="zh-CN"/>
        </w:rPr>
        <w:t>大写金额和小写金额不一致的，以大写金额为准；</w:t>
      </w:r>
    </w:p>
    <w:p w14:paraId="11A357AC">
      <w:pPr>
        <w:pStyle w:val="43"/>
        <w:numPr>
          <w:ilvl w:val="0"/>
          <w:numId w:val="30"/>
        </w:numPr>
        <w:spacing w:before="0"/>
        <w:ind w:left="0" w:leftChars="0" w:firstLine="480" w:firstLineChars="200"/>
        <w:rPr>
          <w:rFonts w:hint="eastAsia" w:ascii="宋体" w:hAnsi="宋体" w:eastAsia="宋体" w:cs="宋体"/>
          <w:szCs w:val="24"/>
          <w:highlight w:val="none"/>
          <w:lang w:val="zh-CN"/>
        </w:rPr>
      </w:pPr>
      <w:r>
        <w:rPr>
          <w:rFonts w:hint="eastAsia" w:ascii="宋体" w:hAnsi="宋体" w:eastAsia="宋体" w:cs="宋体"/>
          <w:szCs w:val="24"/>
          <w:highlight w:val="none"/>
          <w:lang w:val="zh-CN"/>
        </w:rPr>
        <w:t>单价金额小数点或者百分比有明显错位的，以投标（开标）一览表的总价为准，并修改单价；</w:t>
      </w:r>
    </w:p>
    <w:p w14:paraId="1E2B8273">
      <w:pPr>
        <w:pStyle w:val="43"/>
        <w:numPr>
          <w:ilvl w:val="0"/>
          <w:numId w:val="30"/>
        </w:numPr>
        <w:spacing w:before="0"/>
        <w:ind w:left="0" w:leftChars="0" w:firstLine="480" w:firstLineChars="200"/>
        <w:rPr>
          <w:rFonts w:hint="eastAsia" w:ascii="宋体" w:hAnsi="宋体" w:eastAsia="宋体" w:cs="宋体"/>
          <w:szCs w:val="24"/>
          <w:highlight w:val="none"/>
          <w:lang w:val="zh-CN"/>
        </w:rPr>
      </w:pPr>
      <w:r>
        <w:rPr>
          <w:rFonts w:hint="eastAsia" w:ascii="宋体" w:hAnsi="宋体" w:eastAsia="宋体" w:cs="宋体"/>
          <w:szCs w:val="24"/>
          <w:highlight w:val="none"/>
          <w:lang w:val="zh-CN"/>
        </w:rPr>
        <w:t>总价金额与按单价汇总金额不一致的，以单价金额计算结果为准。</w:t>
      </w:r>
    </w:p>
    <w:p w14:paraId="79363BC2">
      <w:pPr>
        <w:pStyle w:val="43"/>
        <w:numPr>
          <w:ilvl w:val="0"/>
          <w:numId w:val="0"/>
        </w:numPr>
        <w:spacing w:before="0"/>
        <w:ind w:firstLine="480" w:firstLineChars="200"/>
        <w:rPr>
          <w:rFonts w:hint="eastAsia" w:ascii="宋体" w:hAnsi="宋体" w:eastAsia="宋体" w:cs="宋体"/>
          <w:color w:val="auto"/>
          <w:szCs w:val="24"/>
          <w:highlight w:val="none"/>
          <w:lang w:val="zh-CN"/>
        </w:rPr>
      </w:pPr>
      <w:r>
        <w:rPr>
          <w:rFonts w:hint="eastAsia" w:ascii="宋体" w:hAnsi="宋体" w:eastAsia="宋体" w:cs="宋体"/>
          <w:color w:val="auto"/>
          <w:szCs w:val="24"/>
          <w:highlight w:val="none"/>
          <w:lang w:val="zh-CN"/>
        </w:rPr>
        <w:t>同时出现两种以上不一致的，按照前款规定的顺序修正。修正后的报价按照财政部公布第87号令 《政府采购产品和服务招标投标管理办法》第五十一条第二款的规定经投标人确认后产生约束力，投标人不确认的，其投标无效。</w:t>
      </w:r>
    </w:p>
    <w:p w14:paraId="299A36EA">
      <w:pPr>
        <w:pStyle w:val="16"/>
        <w:numPr>
          <w:ilvl w:val="0"/>
          <w:numId w:val="9"/>
        </w:numPr>
        <w:spacing w:line="360" w:lineRule="auto"/>
        <w:ind w:left="0" w:leftChars="0"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投标文件的澄清</w:t>
      </w:r>
    </w:p>
    <w:p w14:paraId="2C7AB344">
      <w:pPr>
        <w:pStyle w:val="43"/>
        <w:numPr>
          <w:ilvl w:val="0"/>
          <w:numId w:val="31"/>
        </w:numPr>
        <w:spacing w:before="0"/>
        <w:ind w:left="0" w:leftChars="0" w:firstLine="480" w:firstLineChars="200"/>
        <w:rPr>
          <w:rFonts w:hint="eastAsia" w:ascii="宋体" w:hAnsi="宋体" w:eastAsia="宋体" w:cs="宋体"/>
          <w:color w:val="auto"/>
          <w:szCs w:val="24"/>
          <w:highlight w:val="none"/>
          <w:lang w:val="zh-CN"/>
        </w:rPr>
      </w:pPr>
      <w:r>
        <w:rPr>
          <w:rFonts w:hint="eastAsia" w:ascii="宋体" w:hAnsi="宋体" w:eastAsia="宋体" w:cs="宋体"/>
          <w:color w:val="auto"/>
          <w:szCs w:val="24"/>
          <w:highlight w:val="none"/>
          <w:lang w:val="zh-CN"/>
        </w:rPr>
        <w:t>评审中</w:t>
      </w:r>
      <w:r>
        <w:rPr>
          <w:rFonts w:hint="eastAsia" w:ascii="宋体" w:hAnsi="宋体" w:eastAsia="宋体" w:cs="宋体"/>
          <w:color w:val="auto"/>
          <w:szCs w:val="24"/>
          <w:highlight w:val="none"/>
          <w:lang w:val="zh-CN" w:eastAsia="zh-CN"/>
        </w:rPr>
        <w:t>因投标文件</w:t>
      </w:r>
      <w:r>
        <w:rPr>
          <w:rFonts w:hint="eastAsia" w:ascii="宋体" w:hAnsi="宋体" w:eastAsia="宋体" w:cs="宋体"/>
          <w:color w:val="auto"/>
          <w:szCs w:val="24"/>
          <w:highlight w:val="none"/>
          <w:lang w:val="zh-CN"/>
        </w:rPr>
        <w:t>含义不明、表述不一致或有明显计算错误等内容需要供应商作出澄清、说明或者补正的，评标委员会和供应商应当通过</w:t>
      </w:r>
      <w:r>
        <w:rPr>
          <w:rFonts w:hint="eastAsia" w:ascii="宋体" w:hAnsi="宋体" w:cs="宋体"/>
          <w:color w:val="auto"/>
          <w:szCs w:val="24"/>
          <w:highlight w:val="none"/>
          <w:lang w:val="en-US" w:eastAsia="zh-CN"/>
        </w:rPr>
        <w:t>乐</w:t>
      </w:r>
      <w:r>
        <w:rPr>
          <w:rFonts w:hint="eastAsia" w:ascii="宋体" w:hAnsi="宋体" w:eastAsia="宋体" w:cs="宋体"/>
          <w:color w:val="auto"/>
          <w:szCs w:val="24"/>
          <w:highlight w:val="none"/>
          <w:lang w:val="zh-CN"/>
        </w:rPr>
        <w:t>采云平台交换数据电文</w:t>
      </w:r>
      <w:r>
        <w:rPr>
          <w:rFonts w:hint="eastAsia" w:ascii="宋体" w:hAnsi="宋体" w:eastAsia="宋体" w:cs="宋体"/>
          <w:color w:val="auto"/>
          <w:szCs w:val="24"/>
          <w:highlight w:val="none"/>
          <w:lang w:val="zh-CN" w:eastAsia="zh-CN"/>
        </w:rPr>
        <w:t>，</w:t>
      </w:r>
      <w:r>
        <w:rPr>
          <w:rFonts w:hint="eastAsia" w:ascii="宋体" w:hAnsi="宋体" w:eastAsia="宋体" w:cs="宋体"/>
          <w:color w:val="auto"/>
          <w:szCs w:val="24"/>
          <w:highlight w:val="none"/>
          <w:lang w:val="zh-CN"/>
        </w:rPr>
        <w:t>给予供应商提交澄清说明或补正的时间不少于半小时，供应商已经明确表示澄清说明或补正完毕的除外。</w:t>
      </w:r>
    </w:p>
    <w:p w14:paraId="028F507D">
      <w:pPr>
        <w:pStyle w:val="43"/>
        <w:numPr>
          <w:ilvl w:val="0"/>
          <w:numId w:val="31"/>
        </w:numPr>
        <w:spacing w:before="0"/>
        <w:ind w:left="0" w:leftChars="0" w:firstLine="480" w:firstLineChars="200"/>
        <w:rPr>
          <w:rFonts w:hint="eastAsia" w:ascii="宋体" w:hAnsi="宋体" w:eastAsia="宋体" w:cs="宋体"/>
          <w:color w:val="auto"/>
          <w:szCs w:val="24"/>
          <w:highlight w:val="none"/>
          <w:lang w:val="zh-CN"/>
        </w:rPr>
      </w:pPr>
      <w:r>
        <w:rPr>
          <w:rFonts w:hint="eastAsia" w:ascii="宋体" w:hAnsi="宋体" w:eastAsia="宋体" w:cs="宋体"/>
          <w:color w:val="auto"/>
          <w:szCs w:val="24"/>
          <w:highlight w:val="none"/>
          <w:lang w:val="zh-CN"/>
        </w:rPr>
        <w:t>供应商通过</w:t>
      </w:r>
      <w:r>
        <w:rPr>
          <w:rFonts w:hint="eastAsia" w:ascii="宋体" w:hAnsi="宋体" w:cs="宋体"/>
          <w:color w:val="auto"/>
          <w:szCs w:val="24"/>
          <w:highlight w:val="none"/>
          <w:lang w:val="en-US" w:eastAsia="zh-CN"/>
        </w:rPr>
        <w:t>乐</w:t>
      </w:r>
      <w:r>
        <w:rPr>
          <w:rFonts w:hint="eastAsia" w:ascii="宋体" w:hAnsi="宋体" w:eastAsia="宋体" w:cs="宋体"/>
          <w:color w:val="auto"/>
          <w:szCs w:val="24"/>
          <w:highlight w:val="none"/>
          <w:lang w:val="zh-CN"/>
        </w:rPr>
        <w:t>采云平台交换的数据电文必须进行电子签章。</w:t>
      </w:r>
    </w:p>
    <w:p w14:paraId="412EF7B9">
      <w:pPr>
        <w:pStyle w:val="16"/>
        <w:numPr>
          <w:ilvl w:val="0"/>
          <w:numId w:val="9"/>
        </w:numPr>
        <w:spacing w:line="360" w:lineRule="auto"/>
        <w:ind w:left="0" w:leftChars="0"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无效投标</w:t>
      </w:r>
    </w:p>
    <w:p w14:paraId="066F0E72">
      <w:pPr>
        <w:spacing w:line="360" w:lineRule="auto"/>
        <w:ind w:firstLine="480" w:firstLineChars="200"/>
        <w:rPr>
          <w:rFonts w:hint="eastAsia" w:ascii="宋体" w:hAnsi="宋体" w:eastAsia="宋体" w:cs="宋体"/>
          <w:color w:val="000000"/>
          <w:sz w:val="24"/>
          <w:szCs w:val="21"/>
          <w:highlight w:val="none"/>
        </w:rPr>
      </w:pPr>
      <w:r>
        <w:rPr>
          <w:rFonts w:hint="eastAsia" w:ascii="宋体" w:hAnsi="宋体" w:eastAsia="宋体" w:cs="宋体"/>
          <w:color w:val="000000"/>
          <w:sz w:val="24"/>
          <w:szCs w:val="21"/>
          <w:highlight w:val="none"/>
        </w:rPr>
        <w:t>经过审查，凡不符合有关规定，不响应招标文件的实质性条款，存在以下重大偏离之一的，经评标委员会认定，将因未通过资格性或符合性审查而被作为无效投标处理：</w:t>
      </w:r>
    </w:p>
    <w:p w14:paraId="213BDD7B">
      <w:pPr>
        <w:numPr>
          <w:ilvl w:val="0"/>
          <w:numId w:val="32"/>
        </w:numPr>
        <w:spacing w:line="360" w:lineRule="auto"/>
        <w:ind w:left="0" w:leftChars="0" w:firstLine="482" w:firstLineChars="200"/>
        <w:rPr>
          <w:rFonts w:hint="eastAsia" w:ascii="宋体" w:hAnsi="宋体" w:eastAsia="宋体" w:cs="宋体"/>
          <w:b/>
          <w:bCs/>
          <w:color w:val="000000"/>
          <w:sz w:val="24"/>
          <w:szCs w:val="21"/>
          <w:highlight w:val="none"/>
        </w:rPr>
      </w:pPr>
      <w:r>
        <w:rPr>
          <w:rFonts w:hint="eastAsia" w:ascii="宋体" w:hAnsi="宋体" w:eastAsia="宋体" w:cs="宋体"/>
          <w:b/>
          <w:bCs/>
          <w:color w:val="000000"/>
          <w:sz w:val="24"/>
          <w:szCs w:val="21"/>
          <w:highlight w:val="none"/>
        </w:rPr>
        <w:t>未按照招标文件规定要求签署、盖章的；</w:t>
      </w:r>
    </w:p>
    <w:p w14:paraId="504C1C8F">
      <w:pPr>
        <w:numPr>
          <w:ilvl w:val="0"/>
          <w:numId w:val="32"/>
        </w:numPr>
        <w:spacing w:line="360" w:lineRule="auto"/>
        <w:ind w:left="0" w:leftChars="0" w:firstLine="482" w:firstLineChars="200"/>
        <w:rPr>
          <w:rFonts w:hint="eastAsia" w:ascii="宋体" w:hAnsi="宋体" w:eastAsia="宋体" w:cs="宋体"/>
          <w:b/>
          <w:bCs/>
          <w:color w:val="000000"/>
          <w:sz w:val="24"/>
          <w:szCs w:val="21"/>
          <w:highlight w:val="none"/>
        </w:rPr>
      </w:pPr>
      <w:r>
        <w:rPr>
          <w:rFonts w:hint="eastAsia" w:ascii="宋体" w:hAnsi="宋体" w:eastAsia="宋体" w:cs="宋体"/>
          <w:b/>
          <w:bCs/>
          <w:color w:val="000000"/>
          <w:sz w:val="24"/>
          <w:szCs w:val="21"/>
          <w:highlight w:val="none"/>
        </w:rPr>
        <w:t>《法定代表人授权书》填写不全、错误、未加盖投标人公章</w:t>
      </w:r>
      <w:r>
        <w:rPr>
          <w:rFonts w:hint="eastAsia" w:ascii="宋体" w:hAnsi="宋体" w:eastAsia="宋体" w:cs="宋体"/>
          <w:b/>
          <w:bCs/>
          <w:color w:val="000000"/>
          <w:sz w:val="24"/>
          <w:szCs w:val="21"/>
          <w:highlight w:val="none"/>
          <w:lang w:eastAsia="zh-CN"/>
        </w:rPr>
        <w:t>（</w:t>
      </w:r>
      <w:r>
        <w:rPr>
          <w:rFonts w:hint="eastAsia" w:ascii="宋体" w:hAnsi="宋体" w:eastAsia="宋体" w:cs="宋体"/>
          <w:b/>
          <w:bCs/>
          <w:color w:val="000000"/>
          <w:sz w:val="24"/>
          <w:szCs w:val="21"/>
          <w:highlight w:val="none"/>
        </w:rPr>
        <w:t xml:space="preserve">公章和签字或盖章缺一不可）； </w:t>
      </w:r>
    </w:p>
    <w:p w14:paraId="5F00E039">
      <w:pPr>
        <w:numPr>
          <w:ilvl w:val="0"/>
          <w:numId w:val="32"/>
        </w:numPr>
        <w:spacing w:line="360" w:lineRule="auto"/>
        <w:ind w:left="0" w:leftChars="0" w:firstLine="482" w:firstLineChars="200"/>
        <w:rPr>
          <w:rFonts w:hint="eastAsia" w:ascii="宋体" w:hAnsi="宋体" w:eastAsia="宋体" w:cs="宋体"/>
          <w:b/>
          <w:bCs/>
          <w:color w:val="000000"/>
          <w:sz w:val="24"/>
          <w:szCs w:val="21"/>
          <w:highlight w:val="none"/>
        </w:rPr>
      </w:pPr>
      <w:r>
        <w:rPr>
          <w:rFonts w:hint="eastAsia" w:ascii="宋体" w:hAnsi="宋体" w:eastAsia="宋体" w:cs="宋体"/>
          <w:b/>
          <w:bCs/>
          <w:color w:val="000000"/>
          <w:sz w:val="24"/>
          <w:szCs w:val="21"/>
          <w:highlight w:val="none"/>
        </w:rPr>
        <w:t>个体工商户的身份证明与营业执照不一致的；</w:t>
      </w:r>
    </w:p>
    <w:p w14:paraId="25E700C8">
      <w:pPr>
        <w:numPr>
          <w:ilvl w:val="0"/>
          <w:numId w:val="32"/>
        </w:numPr>
        <w:spacing w:line="360" w:lineRule="auto"/>
        <w:ind w:left="0" w:leftChars="0" w:firstLine="482" w:firstLineChars="200"/>
        <w:rPr>
          <w:rFonts w:hint="eastAsia" w:ascii="宋体" w:hAnsi="宋体" w:eastAsia="宋体" w:cs="宋体"/>
          <w:b/>
          <w:bCs/>
          <w:color w:val="000000"/>
          <w:sz w:val="24"/>
          <w:szCs w:val="21"/>
          <w:highlight w:val="none"/>
        </w:rPr>
      </w:pPr>
      <w:r>
        <w:rPr>
          <w:rFonts w:hint="eastAsia" w:ascii="宋体" w:hAnsi="宋体" w:eastAsia="宋体" w:cs="宋体"/>
          <w:b/>
          <w:bCs/>
          <w:color w:val="000000"/>
          <w:sz w:val="24"/>
          <w:szCs w:val="21"/>
          <w:highlight w:val="none"/>
        </w:rPr>
        <w:t>投标文件中的投标函未加盖投标人的企业公章或填写不全的；</w:t>
      </w:r>
    </w:p>
    <w:p w14:paraId="21662535">
      <w:pPr>
        <w:numPr>
          <w:ilvl w:val="0"/>
          <w:numId w:val="32"/>
        </w:numPr>
        <w:spacing w:line="360" w:lineRule="auto"/>
        <w:ind w:left="0" w:leftChars="0" w:firstLine="482" w:firstLineChars="200"/>
        <w:rPr>
          <w:rFonts w:hint="eastAsia" w:ascii="宋体" w:hAnsi="宋体" w:eastAsia="宋体" w:cs="宋体"/>
          <w:b/>
          <w:bCs/>
          <w:color w:val="000000"/>
          <w:sz w:val="24"/>
          <w:szCs w:val="21"/>
          <w:highlight w:val="none"/>
        </w:rPr>
      </w:pPr>
      <w:r>
        <w:rPr>
          <w:rFonts w:hint="eastAsia" w:ascii="宋体" w:hAnsi="宋体" w:eastAsia="宋体" w:cs="宋体"/>
          <w:b/>
          <w:bCs/>
          <w:color w:val="000000"/>
          <w:sz w:val="24"/>
          <w:szCs w:val="21"/>
          <w:highlight w:val="none"/>
        </w:rPr>
        <w:t>报价一经涂改，未在涂改处加盖投标单位公章或者未经法定代表人或其授权代表签字或盖章的；</w:t>
      </w:r>
    </w:p>
    <w:p w14:paraId="00AC422C">
      <w:pPr>
        <w:numPr>
          <w:ilvl w:val="0"/>
          <w:numId w:val="32"/>
        </w:numPr>
        <w:spacing w:line="360" w:lineRule="auto"/>
        <w:ind w:left="0" w:leftChars="0" w:firstLine="482" w:firstLineChars="200"/>
        <w:rPr>
          <w:rFonts w:hint="eastAsia" w:ascii="宋体" w:hAnsi="宋体" w:eastAsia="宋体" w:cs="宋体"/>
          <w:b/>
          <w:bCs/>
          <w:color w:val="000000"/>
          <w:sz w:val="24"/>
          <w:szCs w:val="21"/>
          <w:highlight w:val="none"/>
        </w:rPr>
      </w:pPr>
      <w:r>
        <w:rPr>
          <w:rFonts w:hint="eastAsia" w:ascii="宋体" w:hAnsi="宋体" w:eastAsia="宋体" w:cs="宋体"/>
          <w:b/>
          <w:bCs/>
          <w:color w:val="000000"/>
          <w:sz w:val="24"/>
          <w:szCs w:val="21"/>
          <w:highlight w:val="none"/>
        </w:rPr>
        <w:t>因未按规定的格式填写，内容不全或主要实质性内容字迹模糊辨认不清,经评标委员会认定为无法评审的；</w:t>
      </w:r>
    </w:p>
    <w:p w14:paraId="3B93B4DF">
      <w:pPr>
        <w:numPr>
          <w:ilvl w:val="0"/>
          <w:numId w:val="32"/>
        </w:numPr>
        <w:spacing w:line="360" w:lineRule="auto"/>
        <w:ind w:left="0" w:leftChars="0" w:firstLine="482" w:firstLineChars="200"/>
        <w:rPr>
          <w:rFonts w:hint="eastAsia" w:ascii="宋体" w:hAnsi="宋体" w:eastAsia="宋体" w:cs="宋体"/>
          <w:b/>
          <w:bCs/>
          <w:color w:val="000000"/>
          <w:sz w:val="24"/>
          <w:szCs w:val="21"/>
          <w:highlight w:val="none"/>
        </w:rPr>
      </w:pPr>
      <w:r>
        <w:rPr>
          <w:rFonts w:hint="eastAsia" w:ascii="宋体" w:hAnsi="宋体" w:eastAsia="宋体" w:cs="宋体"/>
          <w:b/>
          <w:bCs/>
          <w:color w:val="000000"/>
          <w:sz w:val="24"/>
          <w:szCs w:val="21"/>
          <w:highlight w:val="none"/>
        </w:rPr>
        <w:t>出现同一标的物或本次招标产品(服务)内的主要产品(重要组成部分)出现技术、商务描述不一致或前后描述不一致，经评标委员会认定后为无法评审的；</w:t>
      </w:r>
    </w:p>
    <w:p w14:paraId="056C3018">
      <w:pPr>
        <w:numPr>
          <w:ilvl w:val="0"/>
          <w:numId w:val="32"/>
        </w:numPr>
        <w:spacing w:line="360" w:lineRule="auto"/>
        <w:ind w:left="0" w:leftChars="0" w:firstLine="482" w:firstLineChars="200"/>
        <w:rPr>
          <w:rFonts w:hint="eastAsia" w:ascii="宋体" w:hAnsi="宋体" w:eastAsia="宋体" w:cs="宋体"/>
          <w:b/>
          <w:bCs/>
          <w:color w:val="000000"/>
          <w:sz w:val="24"/>
          <w:szCs w:val="21"/>
          <w:highlight w:val="none"/>
        </w:rPr>
      </w:pPr>
      <w:r>
        <w:rPr>
          <w:rFonts w:hint="eastAsia" w:ascii="宋体" w:hAnsi="宋体" w:eastAsia="宋体" w:cs="宋体"/>
          <w:b/>
          <w:bCs/>
          <w:color w:val="000000"/>
          <w:sz w:val="24"/>
          <w:szCs w:val="21"/>
          <w:highlight w:val="none"/>
        </w:rPr>
        <w:t>投标详细配置清单响应表不真实填写或弄虚作假的；改变招标文件提供的清单中的计量单位、工程数量；</w:t>
      </w:r>
    </w:p>
    <w:p w14:paraId="20FCCF60">
      <w:pPr>
        <w:numPr>
          <w:ilvl w:val="0"/>
          <w:numId w:val="32"/>
        </w:numPr>
        <w:spacing w:line="360" w:lineRule="auto"/>
        <w:ind w:left="0" w:leftChars="0" w:firstLine="482" w:firstLineChars="200"/>
        <w:rPr>
          <w:rFonts w:hint="eastAsia" w:ascii="宋体" w:hAnsi="宋体" w:eastAsia="宋体" w:cs="宋体"/>
          <w:b/>
          <w:bCs/>
          <w:color w:val="000000"/>
          <w:sz w:val="24"/>
          <w:szCs w:val="21"/>
          <w:highlight w:val="none"/>
        </w:rPr>
      </w:pPr>
      <w:r>
        <w:rPr>
          <w:rFonts w:hint="eastAsia" w:ascii="宋体" w:hAnsi="宋体" w:eastAsia="宋体" w:cs="宋体"/>
          <w:b/>
          <w:bCs/>
          <w:color w:val="000000"/>
          <w:sz w:val="24"/>
          <w:szCs w:val="21"/>
          <w:highlight w:val="none"/>
        </w:rPr>
        <w:t>对招标产品技术规格未详细应答，致使其技术文件无法评审的；</w:t>
      </w:r>
    </w:p>
    <w:p w14:paraId="0C81DDE1">
      <w:pPr>
        <w:numPr>
          <w:ilvl w:val="0"/>
          <w:numId w:val="32"/>
        </w:numPr>
        <w:spacing w:line="360" w:lineRule="auto"/>
        <w:ind w:left="0" w:leftChars="0" w:firstLine="482" w:firstLineChars="200"/>
        <w:rPr>
          <w:rFonts w:hint="eastAsia" w:ascii="宋体" w:hAnsi="宋体" w:eastAsia="宋体" w:cs="宋体"/>
          <w:b/>
          <w:bCs/>
          <w:color w:val="auto"/>
          <w:sz w:val="24"/>
          <w:szCs w:val="21"/>
          <w:highlight w:val="none"/>
        </w:rPr>
      </w:pPr>
      <w:r>
        <w:rPr>
          <w:rFonts w:hint="eastAsia" w:ascii="宋体" w:hAnsi="宋体" w:eastAsia="宋体" w:cs="宋体"/>
          <w:b/>
          <w:bCs/>
          <w:color w:val="000000"/>
          <w:sz w:val="24"/>
          <w:szCs w:val="21"/>
          <w:highlight w:val="none"/>
        </w:rPr>
        <w:t>投标文件有招标方不</w:t>
      </w:r>
      <w:r>
        <w:rPr>
          <w:rFonts w:hint="eastAsia" w:ascii="宋体" w:hAnsi="宋体" w:eastAsia="宋体" w:cs="宋体"/>
          <w:b/>
          <w:bCs/>
          <w:color w:val="auto"/>
          <w:sz w:val="24"/>
          <w:szCs w:val="21"/>
          <w:highlight w:val="none"/>
        </w:rPr>
        <w:t>能接受的条件；</w:t>
      </w:r>
    </w:p>
    <w:p w14:paraId="457CD62A">
      <w:pPr>
        <w:numPr>
          <w:ilvl w:val="0"/>
          <w:numId w:val="32"/>
        </w:numPr>
        <w:spacing w:line="360" w:lineRule="auto"/>
        <w:ind w:left="0" w:leftChars="0" w:firstLine="482" w:firstLineChars="200"/>
        <w:rPr>
          <w:rFonts w:hint="eastAsia" w:ascii="宋体" w:hAnsi="宋体" w:eastAsia="宋体" w:cs="宋体"/>
          <w:b/>
          <w:bCs/>
          <w:color w:val="auto"/>
          <w:sz w:val="24"/>
          <w:szCs w:val="21"/>
          <w:highlight w:val="none"/>
        </w:rPr>
      </w:pPr>
      <w:r>
        <w:rPr>
          <w:rFonts w:hint="eastAsia" w:ascii="宋体" w:hAnsi="宋体" w:eastAsia="宋体" w:cs="宋体"/>
          <w:b/>
          <w:bCs/>
          <w:color w:val="auto"/>
          <w:sz w:val="24"/>
          <w:szCs w:val="21"/>
          <w:highlight w:val="none"/>
        </w:rPr>
        <w:t>评标委员会认为投标人的报价明显低于其他通过符合性审查投标人的报价，有可能影响产品质量或者不能诚信履约的，应当要求其在评标现场合理的时间内通过</w:t>
      </w:r>
      <w:r>
        <w:rPr>
          <w:rFonts w:hint="eastAsia" w:ascii="宋体" w:hAnsi="宋体" w:cs="宋体"/>
          <w:b/>
          <w:bCs/>
          <w:color w:val="auto"/>
          <w:sz w:val="24"/>
          <w:szCs w:val="21"/>
          <w:highlight w:val="none"/>
          <w:lang w:val="en-US" w:eastAsia="zh-CN"/>
        </w:rPr>
        <w:t>乐</w:t>
      </w:r>
      <w:r>
        <w:rPr>
          <w:rFonts w:hint="eastAsia" w:ascii="宋体" w:hAnsi="宋体" w:eastAsia="宋体" w:cs="宋体"/>
          <w:b/>
          <w:bCs/>
          <w:color w:val="auto"/>
          <w:sz w:val="24"/>
          <w:szCs w:val="21"/>
          <w:highlight w:val="none"/>
        </w:rPr>
        <w:t>采云平台提供线上说明，必要时提交相关证明材料。</w:t>
      </w:r>
    </w:p>
    <w:p w14:paraId="5ADA8916">
      <w:pPr>
        <w:numPr>
          <w:ilvl w:val="0"/>
          <w:numId w:val="32"/>
        </w:numPr>
        <w:spacing w:line="360" w:lineRule="auto"/>
        <w:ind w:left="0" w:leftChars="0" w:firstLine="482" w:firstLineChars="200"/>
        <w:rPr>
          <w:rFonts w:hint="eastAsia" w:ascii="宋体" w:hAnsi="宋体" w:eastAsia="宋体" w:cs="宋体"/>
          <w:b/>
          <w:bCs/>
          <w:color w:val="000000"/>
          <w:sz w:val="24"/>
          <w:szCs w:val="21"/>
          <w:highlight w:val="none"/>
        </w:rPr>
      </w:pPr>
      <w:r>
        <w:rPr>
          <w:rFonts w:hint="eastAsia" w:ascii="宋体" w:hAnsi="宋体" w:eastAsia="宋体" w:cs="宋体"/>
          <w:b/>
          <w:bCs/>
          <w:color w:val="auto"/>
          <w:sz w:val="24"/>
          <w:szCs w:val="21"/>
          <w:highlight w:val="none"/>
        </w:rPr>
        <w:t>投标报价超过预算金</w:t>
      </w:r>
      <w:r>
        <w:rPr>
          <w:rFonts w:hint="eastAsia" w:ascii="宋体" w:hAnsi="宋体" w:eastAsia="宋体" w:cs="宋体"/>
          <w:b/>
          <w:bCs/>
          <w:color w:val="000000"/>
          <w:sz w:val="24"/>
          <w:szCs w:val="21"/>
          <w:highlight w:val="none"/>
        </w:rPr>
        <w:t>额或最高限价的；</w:t>
      </w:r>
    </w:p>
    <w:p w14:paraId="5354D2BE">
      <w:pPr>
        <w:numPr>
          <w:ilvl w:val="0"/>
          <w:numId w:val="32"/>
        </w:numPr>
        <w:spacing w:line="360" w:lineRule="auto"/>
        <w:ind w:left="0" w:leftChars="0" w:firstLine="482" w:firstLineChars="200"/>
        <w:rPr>
          <w:rFonts w:hint="eastAsia" w:ascii="宋体" w:hAnsi="宋体" w:eastAsia="宋体" w:cs="宋体"/>
          <w:b/>
          <w:bCs/>
          <w:color w:val="000000"/>
          <w:sz w:val="24"/>
          <w:szCs w:val="21"/>
          <w:highlight w:val="none"/>
        </w:rPr>
      </w:pPr>
      <w:r>
        <w:rPr>
          <w:rFonts w:hint="eastAsia" w:ascii="宋体" w:hAnsi="宋体" w:eastAsia="宋体" w:cs="宋体"/>
          <w:b/>
          <w:bCs/>
          <w:color w:val="000000"/>
          <w:sz w:val="24"/>
          <w:szCs w:val="21"/>
          <w:highlight w:val="none"/>
        </w:rPr>
        <w:t>投标文件“</w:t>
      </w:r>
      <w:r>
        <w:rPr>
          <w:rFonts w:hint="eastAsia" w:ascii="宋体" w:hAnsi="宋体" w:eastAsia="宋体" w:cs="宋体"/>
          <w:b/>
          <w:bCs/>
          <w:color w:val="000000"/>
          <w:sz w:val="24"/>
          <w:szCs w:val="21"/>
          <w:highlight w:val="none"/>
          <w:lang w:eastAsia="zh-CN"/>
        </w:rPr>
        <w:t>商务技术</w:t>
      </w:r>
      <w:r>
        <w:rPr>
          <w:rFonts w:hint="eastAsia" w:ascii="宋体" w:hAnsi="宋体" w:eastAsia="宋体" w:cs="宋体"/>
          <w:b/>
          <w:bCs/>
          <w:color w:val="000000"/>
          <w:sz w:val="24"/>
          <w:szCs w:val="21"/>
          <w:highlight w:val="none"/>
        </w:rPr>
        <w:t>文件资料”部分中出现《开标一览表》或《投标报价明细表》相关内容的；</w:t>
      </w:r>
    </w:p>
    <w:p w14:paraId="613AE175">
      <w:pPr>
        <w:numPr>
          <w:ilvl w:val="0"/>
          <w:numId w:val="32"/>
        </w:numPr>
        <w:spacing w:line="360" w:lineRule="auto"/>
        <w:ind w:left="0" w:leftChars="0" w:firstLine="482" w:firstLineChars="200"/>
        <w:rPr>
          <w:rFonts w:hint="eastAsia" w:ascii="宋体" w:hAnsi="宋体" w:eastAsia="宋体" w:cs="宋体"/>
          <w:b/>
          <w:bCs/>
          <w:color w:val="000000"/>
          <w:sz w:val="24"/>
          <w:szCs w:val="21"/>
          <w:highlight w:val="none"/>
        </w:rPr>
      </w:pPr>
      <w:r>
        <w:rPr>
          <w:rFonts w:hint="eastAsia" w:ascii="宋体" w:hAnsi="宋体" w:eastAsia="宋体" w:cs="宋体"/>
          <w:b/>
          <w:bCs/>
          <w:color w:val="000000"/>
          <w:sz w:val="24"/>
          <w:szCs w:val="21"/>
          <w:highlight w:val="none"/>
        </w:rPr>
        <w:t>评标委员会认定有重大偏差或实质性不响应招标文件要求的，即“★”的关键性指标及技术参数要求负偏离或缺漏；</w:t>
      </w:r>
    </w:p>
    <w:p w14:paraId="4CCFA6F1">
      <w:pPr>
        <w:numPr>
          <w:ilvl w:val="0"/>
          <w:numId w:val="32"/>
        </w:numPr>
        <w:spacing w:line="360" w:lineRule="auto"/>
        <w:ind w:left="0" w:leftChars="0" w:firstLine="482" w:firstLineChars="200"/>
        <w:rPr>
          <w:rFonts w:hint="eastAsia" w:ascii="宋体" w:hAnsi="宋体" w:eastAsia="宋体" w:cs="宋体"/>
          <w:b/>
          <w:bCs/>
          <w:color w:val="auto"/>
          <w:sz w:val="24"/>
          <w:szCs w:val="21"/>
          <w:highlight w:val="none"/>
        </w:rPr>
      </w:pPr>
      <w:r>
        <w:rPr>
          <w:rFonts w:hint="eastAsia" w:ascii="宋体" w:hAnsi="宋体" w:eastAsia="宋体" w:cs="宋体"/>
          <w:b/>
          <w:bCs/>
          <w:color w:val="auto"/>
          <w:sz w:val="24"/>
          <w:szCs w:val="21"/>
          <w:highlight w:val="none"/>
        </w:rPr>
        <w:t>投标人拒绝按招标文件规定的修正原则对投标文件进行修改的；</w:t>
      </w:r>
    </w:p>
    <w:p w14:paraId="30C2F16D">
      <w:pPr>
        <w:numPr>
          <w:ilvl w:val="0"/>
          <w:numId w:val="32"/>
        </w:numPr>
        <w:spacing w:line="360" w:lineRule="auto"/>
        <w:ind w:left="0" w:leftChars="0" w:firstLine="482" w:firstLineChars="200"/>
        <w:rPr>
          <w:rFonts w:hint="eastAsia" w:ascii="宋体" w:hAnsi="宋体" w:eastAsia="宋体" w:cs="宋体"/>
          <w:b/>
          <w:bCs/>
          <w:color w:val="auto"/>
          <w:sz w:val="24"/>
          <w:szCs w:val="21"/>
          <w:highlight w:val="none"/>
        </w:rPr>
      </w:pPr>
      <w:r>
        <w:rPr>
          <w:rFonts w:hint="eastAsia" w:ascii="宋体" w:hAnsi="宋体" w:eastAsia="宋体" w:cs="宋体"/>
          <w:b/>
          <w:bCs/>
          <w:color w:val="auto"/>
          <w:sz w:val="24"/>
          <w:szCs w:val="21"/>
          <w:highlight w:val="none"/>
        </w:rPr>
        <w:t>有下列情形之一的，视为投标人串通投标，其投标无效：</w:t>
      </w:r>
    </w:p>
    <w:p w14:paraId="4D3D2051">
      <w:pPr>
        <w:numPr>
          <w:ilvl w:val="0"/>
          <w:numId w:val="33"/>
        </w:numPr>
        <w:spacing w:line="360" w:lineRule="auto"/>
        <w:ind w:left="0" w:leftChars="0" w:firstLine="482" w:firstLineChars="200"/>
        <w:rPr>
          <w:rFonts w:hint="eastAsia" w:ascii="宋体" w:hAnsi="宋体" w:eastAsia="宋体" w:cs="宋体"/>
          <w:b/>
          <w:bCs/>
          <w:color w:val="auto"/>
          <w:sz w:val="24"/>
          <w:szCs w:val="21"/>
          <w:highlight w:val="none"/>
        </w:rPr>
      </w:pPr>
      <w:r>
        <w:rPr>
          <w:rFonts w:hint="eastAsia" w:ascii="宋体" w:hAnsi="宋体" w:eastAsia="宋体" w:cs="宋体"/>
          <w:b/>
          <w:bCs/>
          <w:color w:val="auto"/>
          <w:sz w:val="24"/>
          <w:szCs w:val="21"/>
          <w:highlight w:val="none"/>
        </w:rPr>
        <w:t>不同投标人的投标文件由同一单位或者个人编制；</w:t>
      </w:r>
    </w:p>
    <w:p w14:paraId="7BAD650E">
      <w:pPr>
        <w:numPr>
          <w:ilvl w:val="0"/>
          <w:numId w:val="33"/>
        </w:numPr>
        <w:spacing w:line="360" w:lineRule="auto"/>
        <w:ind w:left="0" w:leftChars="0" w:firstLine="482" w:firstLineChars="200"/>
        <w:rPr>
          <w:rFonts w:hint="eastAsia" w:ascii="宋体" w:hAnsi="宋体" w:eastAsia="宋体" w:cs="宋体"/>
          <w:b/>
          <w:bCs/>
          <w:color w:val="auto"/>
          <w:sz w:val="24"/>
          <w:szCs w:val="21"/>
          <w:highlight w:val="none"/>
        </w:rPr>
      </w:pPr>
      <w:r>
        <w:rPr>
          <w:rFonts w:hint="eastAsia" w:ascii="宋体" w:hAnsi="宋体" w:eastAsia="宋体" w:cs="宋体"/>
          <w:b/>
          <w:bCs/>
          <w:color w:val="auto"/>
          <w:sz w:val="24"/>
          <w:szCs w:val="21"/>
          <w:highlight w:val="none"/>
        </w:rPr>
        <w:t>不同投标人委托同一单位或者个人办理投标事宜；</w:t>
      </w:r>
    </w:p>
    <w:p w14:paraId="3E95DCD9">
      <w:pPr>
        <w:numPr>
          <w:ilvl w:val="0"/>
          <w:numId w:val="33"/>
        </w:numPr>
        <w:spacing w:line="360" w:lineRule="auto"/>
        <w:ind w:left="0" w:leftChars="0" w:firstLine="482" w:firstLineChars="200"/>
        <w:rPr>
          <w:rFonts w:hint="eastAsia" w:ascii="宋体" w:hAnsi="宋体" w:eastAsia="宋体" w:cs="宋体"/>
          <w:b/>
          <w:bCs/>
          <w:color w:val="auto"/>
          <w:sz w:val="24"/>
          <w:szCs w:val="21"/>
          <w:highlight w:val="none"/>
        </w:rPr>
      </w:pPr>
      <w:r>
        <w:rPr>
          <w:rFonts w:hint="eastAsia" w:ascii="宋体" w:hAnsi="宋体" w:eastAsia="宋体" w:cs="宋体"/>
          <w:b/>
          <w:bCs/>
          <w:color w:val="auto"/>
          <w:sz w:val="24"/>
          <w:szCs w:val="21"/>
          <w:highlight w:val="none"/>
        </w:rPr>
        <w:t>不同投标人的投标文件载明的项目管理成员或者联系人员为同一人；</w:t>
      </w:r>
    </w:p>
    <w:p w14:paraId="26B89457">
      <w:pPr>
        <w:numPr>
          <w:ilvl w:val="0"/>
          <w:numId w:val="33"/>
        </w:numPr>
        <w:spacing w:line="360" w:lineRule="auto"/>
        <w:ind w:left="0" w:leftChars="0" w:firstLine="482" w:firstLineChars="200"/>
        <w:rPr>
          <w:rFonts w:hint="eastAsia" w:ascii="宋体" w:hAnsi="宋体" w:eastAsia="宋体" w:cs="宋体"/>
          <w:b/>
          <w:bCs/>
          <w:color w:val="auto"/>
          <w:sz w:val="24"/>
          <w:szCs w:val="21"/>
          <w:highlight w:val="none"/>
        </w:rPr>
      </w:pPr>
      <w:r>
        <w:rPr>
          <w:rFonts w:hint="eastAsia" w:ascii="宋体" w:hAnsi="宋体" w:eastAsia="宋体" w:cs="宋体"/>
          <w:b/>
          <w:bCs/>
          <w:color w:val="auto"/>
          <w:sz w:val="24"/>
          <w:szCs w:val="21"/>
          <w:highlight w:val="none"/>
        </w:rPr>
        <w:t>不同投标人的投标文件异常一致或者投标报价呈规律性差异；</w:t>
      </w:r>
    </w:p>
    <w:p w14:paraId="5EA4E2A8">
      <w:pPr>
        <w:numPr>
          <w:ilvl w:val="0"/>
          <w:numId w:val="33"/>
        </w:numPr>
        <w:spacing w:line="360" w:lineRule="auto"/>
        <w:ind w:left="0" w:leftChars="0" w:firstLine="482" w:firstLineChars="200"/>
        <w:rPr>
          <w:rFonts w:hint="eastAsia" w:ascii="宋体" w:hAnsi="宋体" w:eastAsia="宋体" w:cs="宋体"/>
          <w:b/>
          <w:bCs/>
          <w:color w:val="auto"/>
          <w:sz w:val="24"/>
          <w:szCs w:val="21"/>
          <w:highlight w:val="none"/>
        </w:rPr>
      </w:pPr>
      <w:r>
        <w:rPr>
          <w:rFonts w:hint="eastAsia" w:ascii="宋体" w:hAnsi="宋体" w:eastAsia="宋体" w:cs="宋体"/>
          <w:b/>
          <w:bCs/>
          <w:color w:val="auto"/>
          <w:sz w:val="24"/>
          <w:szCs w:val="21"/>
          <w:highlight w:val="none"/>
          <w:lang w:eastAsia="zh-CN"/>
        </w:rPr>
        <w:t>不同</w:t>
      </w:r>
      <w:r>
        <w:rPr>
          <w:rFonts w:hint="eastAsia" w:ascii="宋体" w:hAnsi="宋体" w:eastAsia="宋体" w:cs="宋体"/>
          <w:b/>
          <w:bCs/>
          <w:color w:val="auto"/>
          <w:sz w:val="24"/>
          <w:szCs w:val="21"/>
          <w:highlight w:val="none"/>
        </w:rPr>
        <w:t>投标人提供的投标文件出自同一终端设备的，或在相同Internet主机分配地址（相同IP地址）报名或网上投标的，且经询标澄清投标人无令人信服的理由和可靠证据证明其合理性的，经评标委员会半数以上成员确认有串通投标嫌疑的</w:t>
      </w:r>
      <w:r>
        <w:rPr>
          <w:rFonts w:hint="eastAsia" w:ascii="宋体" w:hAnsi="宋体" w:eastAsia="宋体" w:cs="宋体"/>
          <w:b/>
          <w:bCs/>
          <w:color w:val="auto"/>
          <w:sz w:val="24"/>
          <w:szCs w:val="21"/>
          <w:highlight w:val="none"/>
          <w:lang w:eastAsia="zh-CN"/>
        </w:rPr>
        <w:t>。</w:t>
      </w:r>
    </w:p>
    <w:p w14:paraId="498BFC07">
      <w:pPr>
        <w:pStyle w:val="16"/>
        <w:numPr>
          <w:ilvl w:val="0"/>
          <w:numId w:val="9"/>
        </w:numPr>
        <w:spacing w:line="360" w:lineRule="auto"/>
        <w:ind w:left="0" w:leftChars="0"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废标</w:t>
      </w:r>
    </w:p>
    <w:p w14:paraId="28130F7F">
      <w:pPr>
        <w:spacing w:line="360" w:lineRule="auto"/>
        <w:ind w:firstLine="480" w:firstLineChars="200"/>
        <w:rPr>
          <w:rFonts w:hint="eastAsia" w:ascii="宋体" w:hAnsi="宋体" w:eastAsia="宋体" w:cs="宋体"/>
          <w:color w:val="000000"/>
          <w:sz w:val="24"/>
          <w:szCs w:val="21"/>
          <w:highlight w:val="none"/>
        </w:rPr>
      </w:pPr>
      <w:r>
        <w:rPr>
          <w:rFonts w:hint="eastAsia" w:ascii="宋体" w:hAnsi="宋体" w:eastAsia="宋体" w:cs="宋体"/>
          <w:color w:val="auto"/>
          <w:sz w:val="24"/>
          <w:szCs w:val="21"/>
          <w:highlight w:val="none"/>
        </w:rPr>
        <w:t>根据《中华人民共和国政府采购法》第三十六条之规定，在采</w:t>
      </w:r>
      <w:r>
        <w:rPr>
          <w:rFonts w:hint="eastAsia" w:ascii="宋体" w:hAnsi="宋体" w:eastAsia="宋体" w:cs="宋体"/>
          <w:color w:val="000000"/>
          <w:sz w:val="24"/>
          <w:szCs w:val="21"/>
          <w:highlight w:val="none"/>
        </w:rPr>
        <w:t>购中，出现下列情形之一的，应予废标：</w:t>
      </w:r>
    </w:p>
    <w:p w14:paraId="7FD498C1">
      <w:pPr>
        <w:pStyle w:val="43"/>
        <w:numPr>
          <w:ilvl w:val="0"/>
          <w:numId w:val="34"/>
        </w:numPr>
        <w:spacing w:before="0"/>
        <w:ind w:left="0" w:leftChars="0" w:firstLine="480" w:firstLineChars="200"/>
        <w:rPr>
          <w:rFonts w:hint="eastAsia" w:ascii="宋体" w:hAnsi="宋体" w:eastAsia="宋体" w:cs="宋体"/>
          <w:color w:val="auto"/>
          <w:szCs w:val="24"/>
          <w:highlight w:val="none"/>
          <w:lang w:val="zh-CN"/>
        </w:rPr>
      </w:pPr>
      <w:r>
        <w:rPr>
          <w:rFonts w:hint="eastAsia" w:ascii="宋体" w:hAnsi="宋体" w:eastAsia="宋体" w:cs="宋体"/>
          <w:color w:val="auto"/>
          <w:szCs w:val="24"/>
          <w:highlight w:val="none"/>
          <w:lang w:val="zh-CN"/>
        </w:rPr>
        <w:t>符合专业条件的供应商或者对招标文件作实质响应的供应商不足3家的；</w:t>
      </w:r>
    </w:p>
    <w:p w14:paraId="490C0349">
      <w:pPr>
        <w:pStyle w:val="43"/>
        <w:numPr>
          <w:ilvl w:val="0"/>
          <w:numId w:val="34"/>
        </w:numPr>
        <w:spacing w:before="0"/>
        <w:ind w:left="0" w:leftChars="0" w:firstLine="480" w:firstLineChars="200"/>
        <w:rPr>
          <w:rFonts w:hint="eastAsia" w:ascii="宋体" w:hAnsi="宋体" w:eastAsia="宋体" w:cs="宋体"/>
          <w:color w:val="auto"/>
          <w:szCs w:val="24"/>
          <w:highlight w:val="none"/>
          <w:lang w:val="zh-CN"/>
        </w:rPr>
      </w:pPr>
      <w:r>
        <w:rPr>
          <w:rFonts w:hint="eastAsia" w:ascii="宋体" w:hAnsi="宋体" w:eastAsia="宋体" w:cs="宋体"/>
          <w:color w:val="auto"/>
          <w:szCs w:val="24"/>
          <w:highlight w:val="none"/>
          <w:lang w:val="zh-CN"/>
        </w:rPr>
        <w:t>出现影响采购公正的违法、违规行为的；</w:t>
      </w:r>
    </w:p>
    <w:p w14:paraId="2592C4E5">
      <w:pPr>
        <w:pStyle w:val="43"/>
        <w:numPr>
          <w:ilvl w:val="0"/>
          <w:numId w:val="34"/>
        </w:numPr>
        <w:spacing w:before="0"/>
        <w:ind w:left="0" w:leftChars="0" w:firstLine="480" w:firstLineChars="200"/>
        <w:rPr>
          <w:rFonts w:hint="eastAsia" w:ascii="宋体" w:hAnsi="宋体" w:eastAsia="宋体" w:cs="宋体"/>
          <w:color w:val="auto"/>
          <w:szCs w:val="24"/>
          <w:highlight w:val="none"/>
          <w:lang w:val="zh-CN"/>
        </w:rPr>
      </w:pPr>
      <w:r>
        <w:rPr>
          <w:rFonts w:hint="eastAsia" w:ascii="宋体" w:hAnsi="宋体" w:eastAsia="宋体" w:cs="宋体"/>
          <w:color w:val="auto"/>
          <w:szCs w:val="24"/>
          <w:highlight w:val="none"/>
          <w:lang w:val="zh-CN"/>
        </w:rPr>
        <w:t>投标人的报价均超过了采购预算，采购人不能支付的；</w:t>
      </w:r>
    </w:p>
    <w:p w14:paraId="52BD2C4E">
      <w:pPr>
        <w:pStyle w:val="43"/>
        <w:numPr>
          <w:ilvl w:val="0"/>
          <w:numId w:val="34"/>
        </w:numPr>
        <w:spacing w:before="0"/>
        <w:ind w:left="0" w:leftChars="0" w:firstLine="480" w:firstLineChars="200"/>
        <w:rPr>
          <w:rFonts w:hint="eastAsia" w:ascii="宋体" w:hAnsi="宋体" w:eastAsia="宋体" w:cs="宋体"/>
          <w:color w:val="auto"/>
          <w:szCs w:val="24"/>
          <w:highlight w:val="none"/>
          <w:lang w:val="zh-CN"/>
        </w:rPr>
      </w:pPr>
      <w:r>
        <w:rPr>
          <w:rFonts w:hint="eastAsia" w:ascii="宋体" w:hAnsi="宋体" w:eastAsia="宋体" w:cs="宋体"/>
          <w:color w:val="auto"/>
          <w:szCs w:val="24"/>
          <w:highlight w:val="none"/>
          <w:lang w:val="zh-CN"/>
        </w:rPr>
        <w:t>因重大变故，采购任务取消的。</w:t>
      </w:r>
    </w:p>
    <w:p w14:paraId="113A08B9">
      <w:pPr>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废标后，采购代理机构应当将废标理由通知所有投标人。</w:t>
      </w:r>
    </w:p>
    <w:p w14:paraId="1AF2D0FE">
      <w:pPr>
        <w:pStyle w:val="16"/>
        <w:numPr>
          <w:ilvl w:val="0"/>
          <w:numId w:val="9"/>
        </w:numPr>
        <w:spacing w:line="360" w:lineRule="auto"/>
        <w:ind w:left="0" w:leftChars="0" w:firstLine="482" w:firstLineChars="200"/>
        <w:rPr>
          <w:rFonts w:hint="eastAsia" w:ascii="宋体" w:hAnsi="宋体" w:eastAsia="宋体" w:cs="宋体"/>
          <w:b/>
          <w:color w:val="auto"/>
          <w:sz w:val="24"/>
          <w:szCs w:val="24"/>
          <w:highlight w:val="none"/>
        </w:rPr>
      </w:pPr>
      <w:r>
        <w:rPr>
          <w:rFonts w:hint="eastAsia" w:ascii="宋体" w:hAnsi="宋体" w:eastAsia="宋体" w:cs="宋体"/>
          <w:b/>
          <w:bCs/>
          <w:color w:val="auto"/>
          <w:sz w:val="24"/>
          <w:szCs w:val="24"/>
          <w:highlight w:val="none"/>
          <w:lang w:val="zh-CN"/>
        </w:rPr>
        <w:t>中止电子交易活动</w:t>
      </w:r>
      <w:r>
        <w:rPr>
          <w:rFonts w:hint="eastAsia" w:hAnsi="宋体" w:eastAsia="宋体" w:cs="宋体"/>
          <w:b/>
          <w:bCs/>
          <w:color w:val="auto"/>
          <w:sz w:val="24"/>
          <w:szCs w:val="24"/>
          <w:highlight w:val="none"/>
          <w:lang w:val="zh-CN"/>
        </w:rPr>
        <w:t>和</w:t>
      </w:r>
      <w:r>
        <w:rPr>
          <w:rFonts w:hint="eastAsia" w:ascii="宋体" w:hAnsi="宋体" w:eastAsia="宋体" w:cs="宋体"/>
          <w:b/>
          <w:color w:val="auto"/>
          <w:sz w:val="24"/>
          <w:szCs w:val="24"/>
          <w:highlight w:val="none"/>
        </w:rPr>
        <w:t>重新组织采购</w:t>
      </w:r>
    </w:p>
    <w:p w14:paraId="0A50B343">
      <w:pPr>
        <w:pStyle w:val="43"/>
        <w:numPr>
          <w:ilvl w:val="0"/>
          <w:numId w:val="0"/>
        </w:numPr>
        <w:tabs>
          <w:tab w:val="left" w:pos="0"/>
        </w:tabs>
        <w:spacing w:before="0"/>
        <w:ind w:leftChars="200"/>
        <w:rPr>
          <w:rFonts w:hint="eastAsia" w:ascii="宋体" w:hAnsi="宋体" w:eastAsia="宋体" w:cs="宋体"/>
          <w:color w:val="auto"/>
          <w:szCs w:val="24"/>
          <w:highlight w:val="none"/>
          <w:lang w:val="zh-CN"/>
        </w:rPr>
      </w:pPr>
      <w:r>
        <w:rPr>
          <w:rFonts w:hint="eastAsia" w:ascii="宋体" w:hAnsi="宋体" w:eastAsia="宋体" w:cs="宋体"/>
          <w:color w:val="auto"/>
          <w:szCs w:val="24"/>
          <w:highlight w:val="none"/>
          <w:lang w:val="en-US" w:eastAsia="zh-CN"/>
        </w:rPr>
        <w:t>26.1</w:t>
      </w:r>
      <w:r>
        <w:rPr>
          <w:rFonts w:hint="eastAsia" w:ascii="宋体" w:hAnsi="宋体" w:eastAsia="宋体" w:cs="宋体"/>
          <w:color w:val="auto"/>
          <w:szCs w:val="24"/>
          <w:highlight w:val="none"/>
          <w:lang w:val="zh-CN"/>
        </w:rPr>
        <w:t>采购过程中出现以下情形，导致电子交易平台无法正常运行，或者无法保证电子交易的公平、公正和安全时，采购组织机构可中止电子交易活动：</w:t>
      </w:r>
    </w:p>
    <w:p w14:paraId="71C2212D">
      <w:pPr>
        <w:numPr>
          <w:ilvl w:val="0"/>
          <w:numId w:val="35"/>
        </w:numPr>
        <w:tabs>
          <w:tab w:val="left" w:pos="0"/>
        </w:tabs>
        <w:spacing w:line="360" w:lineRule="auto"/>
        <w:ind w:left="0" w:leftChars="0" w:firstLine="480" w:firstLineChars="200"/>
        <w:rPr>
          <w:rFonts w:hint="eastAsia" w:ascii="宋体" w:hAnsi="宋体" w:eastAsia="宋体" w:cs="宋体"/>
          <w:b w:val="0"/>
          <w:bCs w:val="0"/>
          <w:color w:val="auto"/>
          <w:sz w:val="24"/>
          <w:szCs w:val="21"/>
          <w:highlight w:val="none"/>
        </w:rPr>
      </w:pPr>
      <w:r>
        <w:rPr>
          <w:rFonts w:hint="eastAsia" w:ascii="宋体" w:hAnsi="宋体" w:eastAsia="宋体" w:cs="宋体"/>
          <w:b w:val="0"/>
          <w:bCs w:val="0"/>
          <w:color w:val="auto"/>
          <w:sz w:val="24"/>
          <w:szCs w:val="21"/>
          <w:highlight w:val="none"/>
        </w:rPr>
        <w:t xml:space="preserve">电子交易平台发生故障而无法登录访问的； </w:t>
      </w:r>
    </w:p>
    <w:p w14:paraId="7232FC14">
      <w:pPr>
        <w:numPr>
          <w:ilvl w:val="0"/>
          <w:numId w:val="35"/>
        </w:numPr>
        <w:tabs>
          <w:tab w:val="left" w:pos="0"/>
        </w:tabs>
        <w:spacing w:line="360" w:lineRule="auto"/>
        <w:ind w:left="0" w:leftChars="0" w:firstLine="480" w:firstLineChars="200"/>
        <w:rPr>
          <w:rFonts w:hint="eastAsia" w:ascii="宋体" w:hAnsi="宋体" w:eastAsia="宋体" w:cs="宋体"/>
          <w:b w:val="0"/>
          <w:bCs w:val="0"/>
          <w:color w:val="auto"/>
          <w:sz w:val="24"/>
          <w:szCs w:val="21"/>
          <w:highlight w:val="none"/>
        </w:rPr>
      </w:pPr>
      <w:r>
        <w:rPr>
          <w:rFonts w:hint="eastAsia" w:ascii="宋体" w:hAnsi="宋体" w:eastAsia="宋体" w:cs="宋体"/>
          <w:b w:val="0"/>
          <w:bCs w:val="0"/>
          <w:color w:val="auto"/>
          <w:sz w:val="24"/>
          <w:szCs w:val="21"/>
          <w:highlight w:val="none"/>
        </w:rPr>
        <w:t>电子交易平台应用或数据库出现错误，不能进行正常操作的；</w:t>
      </w:r>
    </w:p>
    <w:p w14:paraId="13441A43">
      <w:pPr>
        <w:numPr>
          <w:ilvl w:val="0"/>
          <w:numId w:val="35"/>
        </w:numPr>
        <w:tabs>
          <w:tab w:val="left" w:pos="0"/>
        </w:tabs>
        <w:spacing w:line="360" w:lineRule="auto"/>
        <w:ind w:left="0" w:leftChars="0" w:firstLine="480" w:firstLineChars="200"/>
        <w:rPr>
          <w:rFonts w:hint="eastAsia" w:ascii="宋体" w:hAnsi="宋体" w:eastAsia="宋体" w:cs="宋体"/>
          <w:b w:val="0"/>
          <w:bCs w:val="0"/>
          <w:color w:val="auto"/>
          <w:sz w:val="24"/>
          <w:szCs w:val="21"/>
          <w:highlight w:val="none"/>
        </w:rPr>
      </w:pPr>
      <w:r>
        <w:rPr>
          <w:rFonts w:hint="eastAsia" w:ascii="宋体" w:hAnsi="宋体" w:eastAsia="宋体" w:cs="宋体"/>
          <w:b w:val="0"/>
          <w:bCs w:val="0"/>
          <w:color w:val="auto"/>
          <w:sz w:val="24"/>
          <w:szCs w:val="21"/>
          <w:highlight w:val="none"/>
        </w:rPr>
        <w:t>电子交易平台发现严重安全漏洞，有潜在泄密危险的；</w:t>
      </w:r>
    </w:p>
    <w:p w14:paraId="77116F23">
      <w:pPr>
        <w:numPr>
          <w:ilvl w:val="0"/>
          <w:numId w:val="35"/>
        </w:numPr>
        <w:tabs>
          <w:tab w:val="left" w:pos="0"/>
        </w:tabs>
        <w:spacing w:line="360" w:lineRule="auto"/>
        <w:ind w:left="0" w:leftChars="0" w:firstLine="480" w:firstLineChars="200"/>
        <w:rPr>
          <w:rFonts w:hint="eastAsia" w:ascii="宋体" w:hAnsi="宋体" w:eastAsia="宋体" w:cs="宋体"/>
          <w:b w:val="0"/>
          <w:bCs w:val="0"/>
          <w:color w:val="auto"/>
          <w:sz w:val="24"/>
          <w:szCs w:val="21"/>
          <w:highlight w:val="none"/>
        </w:rPr>
      </w:pPr>
      <w:r>
        <w:rPr>
          <w:rFonts w:hint="eastAsia" w:ascii="宋体" w:hAnsi="宋体" w:eastAsia="宋体" w:cs="宋体"/>
          <w:b w:val="0"/>
          <w:bCs w:val="0"/>
          <w:color w:val="auto"/>
          <w:sz w:val="24"/>
          <w:szCs w:val="21"/>
          <w:highlight w:val="none"/>
        </w:rPr>
        <w:t xml:space="preserve">病毒发作导致不能进行正常操作的； </w:t>
      </w:r>
    </w:p>
    <w:p w14:paraId="2BB03909">
      <w:pPr>
        <w:numPr>
          <w:ilvl w:val="0"/>
          <w:numId w:val="35"/>
        </w:numPr>
        <w:tabs>
          <w:tab w:val="left" w:pos="0"/>
        </w:tabs>
        <w:spacing w:line="360" w:lineRule="auto"/>
        <w:ind w:left="0" w:leftChars="0" w:firstLine="480" w:firstLineChars="200"/>
        <w:rPr>
          <w:rFonts w:hint="eastAsia" w:ascii="宋体" w:hAnsi="宋体" w:eastAsia="宋体" w:cs="宋体"/>
          <w:b w:val="0"/>
          <w:bCs w:val="0"/>
          <w:color w:val="auto"/>
          <w:sz w:val="24"/>
          <w:szCs w:val="21"/>
          <w:highlight w:val="none"/>
        </w:rPr>
      </w:pPr>
      <w:r>
        <w:rPr>
          <w:rFonts w:hint="eastAsia" w:ascii="宋体" w:hAnsi="宋体" w:eastAsia="宋体" w:cs="宋体"/>
          <w:b w:val="0"/>
          <w:bCs w:val="0"/>
          <w:color w:val="auto"/>
          <w:sz w:val="24"/>
          <w:szCs w:val="21"/>
          <w:highlight w:val="none"/>
        </w:rPr>
        <w:t>其他无法保证电子交易的公平、公正和安全的情况。</w:t>
      </w:r>
    </w:p>
    <w:p w14:paraId="6B3E008C">
      <w:pPr>
        <w:pStyle w:val="43"/>
        <w:keepNext w:val="0"/>
        <w:keepLines w:val="0"/>
        <w:pageBreakBefore w:val="0"/>
        <w:widowControl w:val="0"/>
        <w:numPr>
          <w:ilvl w:val="0"/>
          <w:numId w:val="0"/>
        </w:numPr>
        <w:tabs>
          <w:tab w:val="left" w:pos="0"/>
        </w:tabs>
        <w:kinsoku/>
        <w:wordWrap/>
        <w:overflowPunct/>
        <w:topLinePunct w:val="0"/>
        <w:autoSpaceDE/>
        <w:autoSpaceDN/>
        <w:bidi w:val="0"/>
        <w:adjustRightInd w:val="0"/>
        <w:snapToGrid/>
        <w:spacing w:before="0"/>
        <w:ind w:leftChars="0" w:firstLine="480" w:firstLineChars="200"/>
        <w:textAlignment w:val="auto"/>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26.2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75177067">
      <w:pPr>
        <w:pStyle w:val="16"/>
        <w:numPr>
          <w:ilvl w:val="0"/>
          <w:numId w:val="9"/>
        </w:numPr>
        <w:spacing w:line="360" w:lineRule="auto"/>
        <w:ind w:left="0" w:leftChars="0" w:firstLine="482" w:firstLineChars="200"/>
        <w:rPr>
          <w:rFonts w:hint="eastAsia" w:ascii="宋体" w:hAnsi="宋体" w:eastAsia="宋体" w:cs="宋体"/>
          <w:b/>
          <w:sz w:val="24"/>
          <w:szCs w:val="24"/>
          <w:highlight w:val="none"/>
          <w:lang w:val="en-US" w:eastAsia="zh-CN"/>
        </w:rPr>
      </w:pPr>
      <w:r>
        <w:rPr>
          <w:rFonts w:hint="eastAsia" w:ascii="宋体" w:hAnsi="宋体" w:eastAsia="宋体" w:cs="宋体"/>
          <w:b/>
          <w:sz w:val="24"/>
          <w:szCs w:val="24"/>
          <w:highlight w:val="none"/>
        </w:rPr>
        <w:t>保密及其它注意事项</w:t>
      </w:r>
    </w:p>
    <w:p w14:paraId="27363DDC">
      <w:pPr>
        <w:pStyle w:val="43"/>
        <w:numPr>
          <w:ilvl w:val="0"/>
          <w:numId w:val="36"/>
        </w:numPr>
        <w:spacing w:before="0"/>
        <w:ind w:left="0" w:leftChars="0" w:firstLine="480" w:firstLineChars="200"/>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评标是招标工作的重要环节，评标工作由评标委员会独立进行。评标委员会将遵照评标原则，公正、平等地对待所有投标人；</w:t>
      </w:r>
    </w:p>
    <w:p w14:paraId="108177EF">
      <w:pPr>
        <w:pStyle w:val="43"/>
        <w:numPr>
          <w:ilvl w:val="0"/>
          <w:numId w:val="36"/>
        </w:numPr>
        <w:spacing w:before="0"/>
        <w:ind w:left="0" w:leftChars="0" w:firstLine="480" w:firstLineChars="200"/>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在开标、投标期间，投标人不得向评委询问评标情况，不得进行旨在影响评标结果的活动。采购人不得在中标人确定前，与投标人就投标价格、投标方案等实质性内容进行谈判；</w:t>
      </w:r>
    </w:p>
    <w:p w14:paraId="67F08807">
      <w:pPr>
        <w:pStyle w:val="43"/>
        <w:numPr>
          <w:ilvl w:val="0"/>
          <w:numId w:val="36"/>
        </w:numPr>
        <w:spacing w:before="0"/>
        <w:ind w:left="0" w:leftChars="0" w:firstLine="480" w:firstLineChars="200"/>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为保证定标的公正性，在评标过程中，评委不得与投标人私下交换意见。在招标工作结束后，凡与评标情况有接触的任何人，不得也不应将评标情况扩散出评委人员之外；</w:t>
      </w:r>
    </w:p>
    <w:p w14:paraId="4D880CF8">
      <w:pPr>
        <w:pStyle w:val="43"/>
        <w:numPr>
          <w:ilvl w:val="0"/>
          <w:numId w:val="36"/>
        </w:numPr>
        <w:spacing w:before="0"/>
        <w:ind w:left="0" w:leftChars="0" w:firstLine="480" w:firstLineChars="200"/>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投标人相互之间，或与采购人相互不得串通投标，不得排挤其他投标人的公平竞争，损害采购人或者其他投标人的合法权益；</w:t>
      </w:r>
    </w:p>
    <w:p w14:paraId="7CFC7802">
      <w:pPr>
        <w:pStyle w:val="43"/>
        <w:numPr>
          <w:ilvl w:val="0"/>
          <w:numId w:val="36"/>
        </w:numPr>
        <w:spacing w:before="0"/>
        <w:ind w:left="0" w:leftChars="0" w:firstLine="480" w:firstLineChars="200"/>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评标委员会不向投标人解释未中标的原因；</w:t>
      </w:r>
    </w:p>
    <w:p w14:paraId="277D8D18">
      <w:pPr>
        <w:pStyle w:val="43"/>
        <w:numPr>
          <w:ilvl w:val="0"/>
          <w:numId w:val="36"/>
        </w:numPr>
        <w:spacing w:before="0"/>
        <w:ind w:left="0" w:leftChars="0" w:firstLine="480" w:firstLineChars="200"/>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特别说明：</w:t>
      </w:r>
      <w:r>
        <w:rPr>
          <w:rFonts w:hint="eastAsia" w:ascii="宋体" w:hAnsi="宋体" w:cs="宋体"/>
          <w:color w:val="auto"/>
          <w:szCs w:val="24"/>
          <w:highlight w:val="none"/>
          <w:lang w:val="en-US" w:eastAsia="zh-CN"/>
        </w:rPr>
        <w:t>乐</w:t>
      </w:r>
      <w:r>
        <w:rPr>
          <w:rFonts w:hint="eastAsia" w:ascii="宋体" w:hAnsi="宋体" w:eastAsia="宋体" w:cs="宋体"/>
          <w:color w:val="auto"/>
          <w:szCs w:val="24"/>
          <w:highlight w:val="none"/>
          <w:lang w:val="en-US" w:eastAsia="zh-CN"/>
        </w:rPr>
        <w:t>采云公司如对电子化开标及评审程序有调整的，按调整后的程序操作。</w:t>
      </w:r>
    </w:p>
    <w:p w14:paraId="199886EF">
      <w:pPr>
        <w:spacing w:line="360" w:lineRule="auto"/>
        <w:ind w:firstLine="420" w:firstLineChars="0"/>
        <w:jc w:val="center"/>
        <w:rPr>
          <w:rFonts w:hint="eastAsia" w:ascii="宋体" w:hAnsi="宋体" w:eastAsia="宋体" w:cs="宋体"/>
          <w:b/>
          <w:sz w:val="24"/>
          <w:highlight w:val="none"/>
        </w:rPr>
      </w:pPr>
    </w:p>
    <w:p w14:paraId="7C0601EC">
      <w:pPr>
        <w:snapToGrid w:val="0"/>
        <w:spacing w:line="360" w:lineRule="auto"/>
        <w:jc w:val="center"/>
        <w:outlineLvl w:val="1"/>
        <w:rPr>
          <w:rFonts w:hint="eastAsia" w:ascii="宋体" w:hAnsi="宋体" w:eastAsia="宋体" w:cs="宋体"/>
          <w:b/>
          <w:sz w:val="32"/>
          <w:highlight w:val="none"/>
        </w:rPr>
      </w:pPr>
      <w:bookmarkStart w:id="77" w:name="_Toc31361"/>
      <w:bookmarkStart w:id="78" w:name="_Toc5331"/>
      <w:bookmarkStart w:id="79" w:name="_Toc19547"/>
      <w:bookmarkStart w:id="80" w:name="_Toc19498"/>
      <w:r>
        <w:rPr>
          <w:rFonts w:hint="eastAsia" w:ascii="宋体" w:hAnsi="宋体" w:eastAsia="宋体" w:cs="宋体"/>
          <w:b/>
          <w:sz w:val="32"/>
          <w:highlight w:val="none"/>
        </w:rPr>
        <w:t>八、定标</w:t>
      </w:r>
      <w:bookmarkEnd w:id="77"/>
      <w:bookmarkEnd w:id="78"/>
      <w:bookmarkEnd w:id="79"/>
      <w:bookmarkEnd w:id="80"/>
    </w:p>
    <w:p w14:paraId="0866DBD5">
      <w:pPr>
        <w:pStyle w:val="43"/>
        <w:keepNext w:val="0"/>
        <w:keepLines w:val="0"/>
        <w:pageBreakBefore w:val="0"/>
        <w:widowControl w:val="0"/>
        <w:numPr>
          <w:ilvl w:val="0"/>
          <w:numId w:val="0"/>
        </w:numPr>
        <w:tabs>
          <w:tab w:val="left" w:pos="0"/>
        </w:tabs>
        <w:kinsoku/>
        <w:wordWrap/>
        <w:overflowPunct/>
        <w:topLinePunct w:val="0"/>
        <w:autoSpaceDE/>
        <w:autoSpaceDN/>
        <w:bidi w:val="0"/>
        <w:adjustRightInd w:val="0"/>
        <w:snapToGrid/>
        <w:spacing w:before="0"/>
        <w:ind w:leftChars="0" w:firstLine="480" w:firstLineChars="200"/>
        <w:textAlignment w:val="auto"/>
        <w:rPr>
          <w:rFonts w:hint="eastAsia" w:ascii="宋体" w:hAnsi="宋体" w:eastAsia="宋体" w:cs="宋体"/>
          <w:color w:val="auto"/>
          <w:kern w:val="2"/>
          <w:sz w:val="24"/>
          <w:szCs w:val="24"/>
          <w:highlight w:val="none"/>
          <w:lang w:val="en-US" w:eastAsia="zh-CN" w:bidi="ar-SA"/>
        </w:rPr>
      </w:pPr>
      <w:bookmarkStart w:id="81" w:name="_Toc15760"/>
      <w:r>
        <w:rPr>
          <w:rFonts w:hint="eastAsia" w:ascii="宋体" w:hAnsi="宋体" w:eastAsia="宋体" w:cs="宋体"/>
          <w:color w:val="auto"/>
          <w:kern w:val="2"/>
          <w:sz w:val="24"/>
          <w:szCs w:val="24"/>
          <w:highlight w:val="none"/>
          <w:lang w:val="en-US" w:eastAsia="zh-CN" w:bidi="ar-SA"/>
        </w:rPr>
        <w:t>28.1项目由评标委员会根据第三章《评标办法与评分标准》规定提出中标候选人排序。</w:t>
      </w:r>
    </w:p>
    <w:p w14:paraId="6376A213">
      <w:pPr>
        <w:pStyle w:val="43"/>
        <w:keepNext w:val="0"/>
        <w:keepLines w:val="0"/>
        <w:pageBreakBefore w:val="0"/>
        <w:widowControl w:val="0"/>
        <w:numPr>
          <w:ilvl w:val="0"/>
          <w:numId w:val="0"/>
        </w:numPr>
        <w:tabs>
          <w:tab w:val="left" w:pos="0"/>
        </w:tabs>
        <w:kinsoku/>
        <w:wordWrap/>
        <w:overflowPunct/>
        <w:topLinePunct w:val="0"/>
        <w:autoSpaceDE/>
        <w:autoSpaceDN/>
        <w:bidi w:val="0"/>
        <w:adjustRightInd w:val="0"/>
        <w:snapToGrid/>
        <w:spacing w:before="0"/>
        <w:ind w:leftChars="0" w:firstLine="480" w:firstLineChars="20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28.2采购代理机构应当在评标结束后2个工作日内将评标报告送采购人。</w:t>
      </w:r>
    </w:p>
    <w:p w14:paraId="713E9785">
      <w:pPr>
        <w:pStyle w:val="43"/>
        <w:keepNext w:val="0"/>
        <w:keepLines w:val="0"/>
        <w:pageBreakBefore w:val="0"/>
        <w:widowControl w:val="0"/>
        <w:numPr>
          <w:ilvl w:val="0"/>
          <w:numId w:val="0"/>
        </w:numPr>
        <w:tabs>
          <w:tab w:val="left" w:pos="0"/>
        </w:tabs>
        <w:kinsoku/>
        <w:wordWrap/>
        <w:overflowPunct/>
        <w:topLinePunct w:val="0"/>
        <w:autoSpaceDE/>
        <w:autoSpaceDN/>
        <w:bidi w:val="0"/>
        <w:adjustRightInd w:val="0"/>
        <w:snapToGrid/>
        <w:spacing w:before="0"/>
        <w:ind w:leftChars="0" w:firstLine="480" w:firstLineChars="20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28.3采购人应当自收到评标报告之日起5个工作日内，在评标报告确定的中标候选人名单中按顺序确定中标人。采购人在收到评标报告5个工作日内未按评标报告推荐的中标候选人顺序确定中标人，又不能说明合法理由的，视同按评标报告推荐的顺序确定排名第一的中标候选人为中标人。</w:t>
      </w:r>
    </w:p>
    <w:p w14:paraId="1F591B91">
      <w:pPr>
        <w:pStyle w:val="43"/>
        <w:keepNext w:val="0"/>
        <w:keepLines w:val="0"/>
        <w:pageBreakBefore w:val="0"/>
        <w:widowControl w:val="0"/>
        <w:numPr>
          <w:ilvl w:val="0"/>
          <w:numId w:val="0"/>
        </w:numPr>
        <w:tabs>
          <w:tab w:val="left" w:pos="0"/>
        </w:tabs>
        <w:kinsoku/>
        <w:wordWrap/>
        <w:overflowPunct/>
        <w:topLinePunct w:val="0"/>
        <w:autoSpaceDE/>
        <w:autoSpaceDN/>
        <w:bidi w:val="0"/>
        <w:adjustRightInd w:val="0"/>
        <w:snapToGrid/>
        <w:spacing w:before="0"/>
        <w:ind w:leftChars="0" w:firstLine="480" w:firstLineChars="20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28.4采购人或者采购代理机构应当自中标人确定之日起2个工作日内，在发布招标公告的网站上公告中标结果，公告期限为</w:t>
      </w:r>
      <w:r>
        <w:rPr>
          <w:rFonts w:hint="eastAsia" w:ascii="宋体" w:hAnsi="宋体" w:cs="宋体"/>
          <w:color w:val="auto"/>
          <w:kern w:val="2"/>
          <w:sz w:val="24"/>
          <w:szCs w:val="24"/>
          <w:highlight w:val="none"/>
          <w:lang w:val="en-US" w:eastAsia="zh-CN" w:bidi="ar-SA"/>
        </w:rPr>
        <w:t>1</w:t>
      </w:r>
      <w:r>
        <w:rPr>
          <w:rFonts w:hint="eastAsia" w:ascii="宋体" w:hAnsi="宋体" w:eastAsia="宋体" w:cs="宋体"/>
          <w:color w:val="auto"/>
          <w:kern w:val="2"/>
          <w:sz w:val="24"/>
          <w:szCs w:val="24"/>
          <w:highlight w:val="none"/>
          <w:lang w:val="en-US" w:eastAsia="zh-CN" w:bidi="ar-SA"/>
        </w:rPr>
        <w:t>个工作日。在公告中标结果的同时，采购人或者采购代理机构应当向中标人发出中标通知书；</w:t>
      </w:r>
    </w:p>
    <w:p w14:paraId="1978585D">
      <w:pPr>
        <w:pStyle w:val="43"/>
        <w:keepNext w:val="0"/>
        <w:keepLines w:val="0"/>
        <w:pageBreakBefore w:val="0"/>
        <w:widowControl w:val="0"/>
        <w:numPr>
          <w:ilvl w:val="0"/>
          <w:numId w:val="0"/>
        </w:numPr>
        <w:tabs>
          <w:tab w:val="left" w:pos="0"/>
        </w:tabs>
        <w:kinsoku/>
        <w:wordWrap/>
        <w:overflowPunct/>
        <w:topLinePunct w:val="0"/>
        <w:autoSpaceDE/>
        <w:autoSpaceDN/>
        <w:bidi w:val="0"/>
        <w:adjustRightInd w:val="0"/>
        <w:snapToGrid/>
        <w:spacing w:before="0"/>
        <w:ind w:leftChars="0" w:firstLine="480" w:firstLineChars="20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28.5中标人应携带介绍信自行前往采购代理机构领取中标通知书。</w:t>
      </w:r>
    </w:p>
    <w:p w14:paraId="2518EB40">
      <w:pPr>
        <w:keepNext w:val="0"/>
        <w:keepLines w:val="0"/>
        <w:pageBreakBefore w:val="0"/>
        <w:widowControl w:val="0"/>
        <w:kinsoku/>
        <w:wordWrap/>
        <w:overflowPunct/>
        <w:topLinePunct w:val="0"/>
        <w:autoSpaceDE/>
        <w:autoSpaceDN/>
        <w:bidi w:val="0"/>
        <w:adjustRightInd/>
        <w:snapToGrid w:val="0"/>
        <w:spacing w:line="360" w:lineRule="auto"/>
        <w:ind w:firstLine="480" w:firstLineChars="200"/>
        <w:jc w:val="left"/>
        <w:textAlignment w:val="auto"/>
        <w:outlineLvl w:val="0"/>
        <w:rPr>
          <w:rFonts w:hint="eastAsia" w:ascii="宋体" w:hAnsi="宋体" w:eastAsia="宋体" w:cs="宋体"/>
          <w:b/>
          <w:sz w:val="32"/>
          <w:highlight w:val="none"/>
        </w:rPr>
      </w:pPr>
      <w:bookmarkStart w:id="82" w:name="_Toc27239"/>
      <w:bookmarkStart w:id="83" w:name="_Toc1932"/>
      <w:bookmarkStart w:id="84" w:name="_Toc27357"/>
      <w:bookmarkStart w:id="85" w:name="_Toc23365"/>
      <w:bookmarkStart w:id="86" w:name="_Toc23740"/>
      <w:r>
        <w:rPr>
          <w:rFonts w:hint="eastAsia" w:ascii="宋体" w:hAnsi="宋体" w:eastAsia="宋体" w:cs="宋体"/>
          <w:color w:val="auto"/>
          <w:kern w:val="2"/>
          <w:sz w:val="24"/>
          <w:szCs w:val="24"/>
          <w:highlight w:val="none"/>
          <w:lang w:val="en-US" w:eastAsia="zh-CN" w:bidi="ar-SA"/>
        </w:rPr>
        <w:t>28.6中标通知书发出后，采购人不得违法改变中标结果，中标人无正当理由不得放弃中标。</w:t>
      </w:r>
      <w:bookmarkEnd w:id="82"/>
      <w:bookmarkEnd w:id="83"/>
      <w:bookmarkEnd w:id="84"/>
      <w:bookmarkEnd w:id="85"/>
      <w:bookmarkEnd w:id="86"/>
    </w:p>
    <w:p w14:paraId="1547B35F">
      <w:pPr>
        <w:snapToGrid w:val="0"/>
        <w:spacing w:line="360" w:lineRule="auto"/>
        <w:jc w:val="center"/>
        <w:outlineLvl w:val="9"/>
        <w:rPr>
          <w:rFonts w:hint="eastAsia" w:ascii="宋体" w:hAnsi="宋体" w:eastAsia="宋体" w:cs="宋体"/>
          <w:b/>
          <w:sz w:val="32"/>
          <w:highlight w:val="none"/>
        </w:rPr>
      </w:pPr>
    </w:p>
    <w:p w14:paraId="6BD80677">
      <w:pPr>
        <w:snapToGrid w:val="0"/>
        <w:spacing w:line="360" w:lineRule="auto"/>
        <w:jc w:val="center"/>
        <w:outlineLvl w:val="0"/>
        <w:rPr>
          <w:rFonts w:hint="eastAsia" w:ascii="宋体" w:hAnsi="宋体" w:eastAsia="宋体" w:cs="宋体"/>
          <w:b/>
          <w:sz w:val="32"/>
          <w:highlight w:val="none"/>
        </w:rPr>
      </w:pPr>
      <w:bookmarkStart w:id="87" w:name="_Toc8428"/>
      <w:bookmarkStart w:id="88" w:name="_Toc10448"/>
      <w:bookmarkStart w:id="89" w:name="_Toc13548"/>
      <w:r>
        <w:rPr>
          <w:rFonts w:hint="eastAsia" w:ascii="宋体" w:hAnsi="宋体" w:eastAsia="宋体" w:cs="宋体"/>
          <w:b/>
          <w:sz w:val="32"/>
          <w:highlight w:val="none"/>
        </w:rPr>
        <w:t>九、合同签订及其他</w:t>
      </w:r>
      <w:bookmarkEnd w:id="81"/>
      <w:bookmarkEnd w:id="87"/>
      <w:bookmarkEnd w:id="88"/>
      <w:bookmarkEnd w:id="89"/>
    </w:p>
    <w:p w14:paraId="7E72ED54">
      <w:pPr>
        <w:pStyle w:val="43"/>
        <w:numPr>
          <w:ilvl w:val="0"/>
          <w:numId w:val="0"/>
        </w:numPr>
        <w:tabs>
          <w:tab w:val="left" w:pos="0"/>
        </w:tabs>
        <w:spacing w:before="0"/>
        <w:ind w:firstLine="480" w:firstLineChars="200"/>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29.1 采购人应当自中标通知书发出之日起30日内，按照招标文件和中标人投标文件的规定，与中标人签订书面合同。所签订的合同不得对招标文件确定的事项和中标人投标文件作实质性修改。</w:t>
      </w:r>
    </w:p>
    <w:p w14:paraId="6E704035">
      <w:pPr>
        <w:pStyle w:val="43"/>
        <w:numPr>
          <w:ilvl w:val="0"/>
          <w:numId w:val="0"/>
        </w:numPr>
        <w:tabs>
          <w:tab w:val="left" w:pos="0"/>
        </w:tabs>
        <w:spacing w:before="0"/>
        <w:ind w:firstLine="480" w:firstLineChars="200"/>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29.2 中标或者成交供应商拒绝与采购人签订合同的，采购人可以按照评审报告推荐的中标或者成交候选人名单排序，确定下一候选人为中标或者成交供应商，也可以重新开展采购活动。</w:t>
      </w:r>
    </w:p>
    <w:p w14:paraId="1D446EF2">
      <w:pPr>
        <w:pStyle w:val="16"/>
        <w:numPr>
          <w:ilvl w:val="0"/>
          <w:numId w:val="0"/>
        </w:numPr>
        <w:spacing w:line="360" w:lineRule="auto"/>
        <w:ind w:leftChars="200"/>
        <w:rPr>
          <w:rFonts w:hint="eastAsia" w:ascii="宋体" w:hAnsi="宋体" w:eastAsia="宋体" w:cs="宋体"/>
          <w:b/>
          <w:color w:val="auto"/>
          <w:sz w:val="24"/>
          <w:szCs w:val="24"/>
          <w:highlight w:val="none"/>
        </w:rPr>
      </w:pPr>
      <w:r>
        <w:rPr>
          <w:rFonts w:hint="eastAsia" w:hAnsi="宋体" w:eastAsia="宋体" w:cs="宋体"/>
          <w:b/>
          <w:color w:val="auto"/>
          <w:sz w:val="24"/>
          <w:szCs w:val="24"/>
          <w:highlight w:val="none"/>
          <w:lang w:val="en-US" w:eastAsia="zh-CN"/>
        </w:rPr>
        <w:t>30.</w:t>
      </w:r>
      <w:r>
        <w:rPr>
          <w:rFonts w:hint="eastAsia" w:ascii="宋体" w:hAnsi="宋体" w:eastAsia="宋体" w:cs="宋体"/>
          <w:b/>
          <w:color w:val="auto"/>
          <w:sz w:val="24"/>
          <w:szCs w:val="24"/>
          <w:highlight w:val="none"/>
        </w:rPr>
        <w:t>履约保证金</w:t>
      </w:r>
    </w:p>
    <w:p w14:paraId="6DDD14B7">
      <w:pPr>
        <w:pStyle w:val="43"/>
        <w:numPr>
          <w:ilvl w:val="0"/>
          <w:numId w:val="0"/>
        </w:numPr>
        <w:tabs>
          <w:tab w:val="left" w:pos="0"/>
        </w:tabs>
        <w:spacing w:before="0"/>
        <w:ind w:firstLine="480" w:firstLineChars="200"/>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采购合同条款要求中标供应商提交履约保证金的，供应商应当以支票、汇票、本票或者金融机构、保险公司、担保机构出具的保函等非现金形式提交。</w:t>
      </w:r>
    </w:p>
    <w:p w14:paraId="45CFD017">
      <w:pPr>
        <w:pStyle w:val="16"/>
        <w:numPr>
          <w:ilvl w:val="0"/>
          <w:numId w:val="0"/>
        </w:numPr>
        <w:spacing w:line="360" w:lineRule="auto"/>
        <w:ind w:leftChars="200"/>
        <w:rPr>
          <w:rFonts w:hint="eastAsia" w:ascii="宋体" w:hAnsi="宋体" w:eastAsia="宋体" w:cs="宋体"/>
          <w:b/>
          <w:color w:val="auto"/>
          <w:sz w:val="24"/>
          <w:szCs w:val="24"/>
          <w:highlight w:val="none"/>
        </w:rPr>
      </w:pPr>
      <w:r>
        <w:rPr>
          <w:rFonts w:hint="eastAsia" w:hAnsi="宋体" w:eastAsia="宋体" w:cs="宋体"/>
          <w:b/>
          <w:color w:val="auto"/>
          <w:sz w:val="24"/>
          <w:szCs w:val="24"/>
          <w:highlight w:val="none"/>
          <w:lang w:val="en-US" w:eastAsia="zh-CN"/>
        </w:rPr>
        <w:t>31.</w:t>
      </w:r>
      <w:r>
        <w:rPr>
          <w:rFonts w:hint="eastAsia" w:ascii="宋体" w:hAnsi="宋体" w:eastAsia="宋体" w:cs="宋体"/>
          <w:b/>
          <w:color w:val="auto"/>
          <w:sz w:val="24"/>
          <w:szCs w:val="24"/>
          <w:highlight w:val="none"/>
        </w:rPr>
        <w:t>验收</w:t>
      </w:r>
    </w:p>
    <w:p w14:paraId="610B0300">
      <w:pPr>
        <w:pStyle w:val="43"/>
        <w:keepNext w:val="0"/>
        <w:keepLines w:val="0"/>
        <w:pageBreakBefore w:val="0"/>
        <w:widowControl w:val="0"/>
        <w:numPr>
          <w:ilvl w:val="0"/>
          <w:numId w:val="0"/>
        </w:numPr>
        <w:tabs>
          <w:tab w:val="left" w:pos="0"/>
        </w:tabs>
        <w:kinsoku/>
        <w:wordWrap/>
        <w:overflowPunct/>
        <w:topLinePunct w:val="0"/>
        <w:autoSpaceDE/>
        <w:autoSpaceDN/>
        <w:bidi w:val="0"/>
        <w:adjustRightInd w:val="0"/>
        <w:snapToGrid/>
        <w:spacing w:before="0"/>
        <w:ind w:leftChars="0" w:firstLine="480" w:firstLineChars="200"/>
        <w:textAlignment w:val="auto"/>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31.1采购人组织对供应商履约的验收，大型或者复杂的</w:t>
      </w:r>
      <w:r>
        <w:rPr>
          <w:rFonts w:hint="eastAsia" w:ascii="宋体" w:hAnsi="宋体" w:cs="宋体"/>
          <w:color w:val="auto"/>
          <w:szCs w:val="24"/>
          <w:highlight w:val="none"/>
          <w:lang w:val="en-US" w:eastAsia="zh-CN"/>
        </w:rPr>
        <w:t>村级</w:t>
      </w:r>
      <w:r>
        <w:rPr>
          <w:rFonts w:hint="eastAsia" w:ascii="宋体" w:hAnsi="宋体" w:eastAsia="宋体" w:cs="宋体"/>
          <w:color w:val="auto"/>
          <w:szCs w:val="24"/>
          <w:highlight w:val="none"/>
          <w:lang w:val="en-US" w:eastAsia="zh-CN"/>
        </w:rPr>
        <w:t>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69A94BF9">
      <w:pPr>
        <w:pStyle w:val="43"/>
        <w:keepNext w:val="0"/>
        <w:keepLines w:val="0"/>
        <w:pageBreakBefore w:val="0"/>
        <w:widowControl w:val="0"/>
        <w:numPr>
          <w:ilvl w:val="0"/>
          <w:numId w:val="0"/>
        </w:numPr>
        <w:tabs>
          <w:tab w:val="left" w:pos="0"/>
        </w:tabs>
        <w:kinsoku/>
        <w:wordWrap/>
        <w:overflowPunct/>
        <w:topLinePunct w:val="0"/>
        <w:autoSpaceDE/>
        <w:autoSpaceDN/>
        <w:bidi w:val="0"/>
        <w:adjustRightInd w:val="0"/>
        <w:snapToGrid/>
        <w:spacing w:before="0"/>
        <w:ind w:leftChars="0" w:firstLine="480" w:firstLineChars="200"/>
        <w:textAlignment w:val="auto"/>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31.2采购人应当及时对采购项目进行验收，采购人可以邀请参加本项目的其他投标人或者第三方机构参与验收，参与验收的投标人或者第三方机构的意见作为验收书的参考资料一并存档。</w:t>
      </w:r>
    </w:p>
    <w:p w14:paraId="2E1A73EC">
      <w:pPr>
        <w:pStyle w:val="43"/>
        <w:keepNext w:val="0"/>
        <w:keepLines w:val="0"/>
        <w:pageBreakBefore w:val="0"/>
        <w:widowControl w:val="0"/>
        <w:numPr>
          <w:ilvl w:val="0"/>
          <w:numId w:val="0"/>
        </w:numPr>
        <w:tabs>
          <w:tab w:val="left" w:pos="0"/>
        </w:tabs>
        <w:kinsoku/>
        <w:wordWrap/>
        <w:overflowPunct/>
        <w:topLinePunct w:val="0"/>
        <w:autoSpaceDE/>
        <w:autoSpaceDN/>
        <w:bidi w:val="0"/>
        <w:adjustRightInd w:val="0"/>
        <w:snapToGrid/>
        <w:spacing w:before="0"/>
        <w:ind w:leftChars="0" w:firstLine="480" w:firstLineChars="200"/>
        <w:textAlignment w:val="auto"/>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31.3采购人负责加强对中标人的履约管理，并按照采购合同约定，及时向中标人支付采购资金。对于中标人违反采购合同约定的行为，采购人应当及时处理，依法追究其违约责任。</w:t>
      </w:r>
    </w:p>
    <w:p w14:paraId="062365B1">
      <w:pPr>
        <w:pStyle w:val="16"/>
        <w:numPr>
          <w:ilvl w:val="0"/>
          <w:numId w:val="0"/>
        </w:numPr>
        <w:spacing w:line="360" w:lineRule="auto"/>
        <w:ind w:leftChars="200"/>
        <w:rPr>
          <w:rFonts w:hint="eastAsia" w:ascii="宋体" w:hAnsi="宋体" w:eastAsia="宋体" w:cs="宋体"/>
          <w:b/>
          <w:sz w:val="24"/>
          <w:szCs w:val="24"/>
          <w:highlight w:val="none"/>
        </w:rPr>
      </w:pPr>
      <w:r>
        <w:rPr>
          <w:rFonts w:hint="eastAsia" w:hAnsi="宋体" w:eastAsia="宋体" w:cs="宋体"/>
          <w:b/>
          <w:sz w:val="24"/>
          <w:szCs w:val="24"/>
          <w:highlight w:val="none"/>
          <w:lang w:val="en-US" w:eastAsia="zh-CN"/>
        </w:rPr>
        <w:t>32.</w:t>
      </w:r>
      <w:r>
        <w:rPr>
          <w:rFonts w:hint="eastAsia" w:ascii="宋体" w:hAnsi="宋体" w:eastAsia="宋体" w:cs="宋体"/>
          <w:b/>
          <w:sz w:val="24"/>
          <w:szCs w:val="24"/>
          <w:highlight w:val="none"/>
        </w:rPr>
        <w:t>货款结算方式</w:t>
      </w:r>
    </w:p>
    <w:p w14:paraId="3B7AAB07">
      <w:pPr>
        <w:tabs>
          <w:tab w:val="left" w:pos="0"/>
        </w:tabs>
        <w:spacing w:line="360" w:lineRule="auto"/>
        <w:ind w:firstLine="480"/>
        <w:rPr>
          <w:rFonts w:hint="eastAsia" w:ascii="宋体" w:hAnsi="宋体" w:eastAsia="宋体" w:cs="宋体"/>
          <w:sz w:val="24"/>
          <w:highlight w:val="none"/>
        </w:rPr>
      </w:pPr>
      <w:r>
        <w:rPr>
          <w:rFonts w:hint="eastAsia" w:ascii="宋体" w:hAnsi="宋体" w:eastAsia="宋体" w:cs="宋体"/>
          <w:sz w:val="24"/>
          <w:highlight w:val="none"/>
        </w:rPr>
        <w:t>付款方式：采购人与中标人依照</w:t>
      </w:r>
      <w:r>
        <w:rPr>
          <w:rFonts w:hint="eastAsia" w:ascii="宋体" w:hAnsi="宋体" w:eastAsia="宋体" w:cs="宋体"/>
          <w:sz w:val="24"/>
          <w:highlight w:val="none"/>
          <w:lang w:eastAsia="zh-CN"/>
        </w:rPr>
        <w:t>招标文件</w:t>
      </w:r>
      <w:r>
        <w:rPr>
          <w:rFonts w:hint="eastAsia" w:ascii="宋体" w:hAnsi="宋体" w:eastAsia="宋体" w:cs="宋体"/>
          <w:sz w:val="24"/>
          <w:highlight w:val="none"/>
        </w:rPr>
        <w:t>规定的付款方式进行项目款项的支付。</w:t>
      </w:r>
    </w:p>
    <w:p w14:paraId="634DB373">
      <w:pPr>
        <w:pStyle w:val="16"/>
        <w:numPr>
          <w:ilvl w:val="0"/>
          <w:numId w:val="0"/>
        </w:numPr>
        <w:spacing w:line="360" w:lineRule="auto"/>
        <w:ind w:leftChars="200"/>
        <w:rPr>
          <w:rFonts w:hint="eastAsia" w:ascii="宋体" w:hAnsi="宋体" w:eastAsia="宋体" w:cs="宋体"/>
          <w:b/>
          <w:sz w:val="24"/>
          <w:szCs w:val="24"/>
          <w:highlight w:val="none"/>
        </w:rPr>
      </w:pPr>
      <w:r>
        <w:rPr>
          <w:rFonts w:hint="eastAsia" w:hAnsi="宋体" w:eastAsia="宋体" w:cs="宋体"/>
          <w:b/>
          <w:sz w:val="24"/>
          <w:szCs w:val="24"/>
          <w:highlight w:val="none"/>
          <w:lang w:val="en-US" w:eastAsia="zh-CN"/>
        </w:rPr>
        <w:t>33.</w:t>
      </w:r>
      <w:r>
        <w:rPr>
          <w:rFonts w:hint="eastAsia" w:ascii="宋体" w:hAnsi="宋体" w:eastAsia="宋体" w:cs="宋体"/>
          <w:b/>
          <w:sz w:val="24"/>
          <w:szCs w:val="24"/>
          <w:highlight w:val="none"/>
        </w:rPr>
        <w:t>售后服务考核</w:t>
      </w:r>
    </w:p>
    <w:p w14:paraId="3C3EDE36">
      <w:pPr>
        <w:tabs>
          <w:tab w:val="left" w:pos="0"/>
        </w:tabs>
        <w:spacing w:line="360" w:lineRule="auto"/>
        <w:ind w:firstLine="480"/>
        <w:rPr>
          <w:rFonts w:hint="eastAsia" w:ascii="宋体" w:hAnsi="宋体" w:eastAsia="宋体" w:cs="宋体"/>
          <w:sz w:val="24"/>
          <w:highlight w:val="none"/>
        </w:rPr>
      </w:pPr>
      <w:r>
        <w:rPr>
          <w:rFonts w:hint="eastAsia" w:ascii="宋体" w:hAnsi="宋体" w:eastAsia="宋体" w:cs="宋体"/>
          <w:sz w:val="24"/>
          <w:highlight w:val="none"/>
        </w:rPr>
        <w:t>采购代理机构将配合</w:t>
      </w:r>
      <w:r>
        <w:rPr>
          <w:rFonts w:hint="eastAsia" w:ascii="宋体" w:hAnsi="宋体" w:cs="宋体"/>
          <w:szCs w:val="24"/>
          <w:highlight w:val="none"/>
          <w:lang w:val="en-US" w:eastAsia="zh-CN"/>
        </w:rPr>
        <w:t>村级</w:t>
      </w:r>
      <w:r>
        <w:rPr>
          <w:rFonts w:hint="eastAsia" w:ascii="宋体" w:hAnsi="宋体" w:eastAsia="宋体" w:cs="宋体"/>
          <w:sz w:val="24"/>
          <w:highlight w:val="none"/>
        </w:rPr>
        <w:t>采购监管部门不定期对合同的履约情况进行检查，发现弄虚作假，偷工减料，以次充好，达不到国家、行业有关标准和技术文件规定的，一经查实，由</w:t>
      </w:r>
      <w:r>
        <w:rPr>
          <w:rFonts w:hint="eastAsia" w:ascii="宋体" w:hAnsi="宋体" w:cs="宋体"/>
          <w:szCs w:val="24"/>
          <w:highlight w:val="none"/>
          <w:lang w:val="en-US" w:eastAsia="zh-CN"/>
        </w:rPr>
        <w:t>村级</w:t>
      </w:r>
      <w:r>
        <w:rPr>
          <w:rFonts w:hint="eastAsia" w:ascii="宋体" w:hAnsi="宋体" w:eastAsia="宋体" w:cs="宋体"/>
          <w:sz w:val="24"/>
          <w:highlight w:val="none"/>
        </w:rPr>
        <w:t>采购监督管理部门给予相应处罚。</w:t>
      </w:r>
    </w:p>
    <w:p w14:paraId="3C7114E9">
      <w:pPr>
        <w:spacing w:line="360" w:lineRule="auto"/>
        <w:jc w:val="center"/>
        <w:rPr>
          <w:rFonts w:hint="eastAsia" w:ascii="宋体" w:hAnsi="宋体" w:eastAsia="宋体" w:cs="宋体"/>
          <w:b/>
          <w:sz w:val="24"/>
          <w:highlight w:val="none"/>
        </w:rPr>
      </w:pPr>
    </w:p>
    <w:p w14:paraId="1C9B2DAE">
      <w:pPr>
        <w:snapToGrid w:val="0"/>
        <w:spacing w:line="360" w:lineRule="auto"/>
        <w:jc w:val="center"/>
        <w:outlineLvl w:val="0"/>
        <w:rPr>
          <w:rFonts w:hint="eastAsia" w:ascii="宋体" w:hAnsi="宋体" w:eastAsia="宋体" w:cs="宋体"/>
          <w:b/>
          <w:sz w:val="32"/>
          <w:highlight w:val="none"/>
        </w:rPr>
      </w:pPr>
      <w:bookmarkStart w:id="90" w:name="_Toc3034"/>
      <w:bookmarkStart w:id="91" w:name="_Toc10926"/>
      <w:bookmarkStart w:id="92" w:name="_Toc13800"/>
      <w:bookmarkStart w:id="93" w:name="_Toc19112"/>
      <w:r>
        <w:rPr>
          <w:rFonts w:hint="eastAsia" w:ascii="宋体" w:hAnsi="宋体" w:eastAsia="宋体" w:cs="宋体"/>
          <w:b/>
          <w:sz w:val="32"/>
          <w:highlight w:val="none"/>
        </w:rPr>
        <w:t>十、质疑与投诉</w:t>
      </w:r>
      <w:bookmarkEnd w:id="90"/>
      <w:bookmarkEnd w:id="91"/>
      <w:bookmarkEnd w:id="92"/>
      <w:bookmarkEnd w:id="93"/>
    </w:p>
    <w:p w14:paraId="6502EB76">
      <w:pPr>
        <w:keepNext w:val="0"/>
        <w:keepLines w:val="0"/>
        <w:pageBreakBefore w:val="0"/>
        <w:widowControl w:val="0"/>
        <w:tabs>
          <w:tab w:val="left" w:pos="0"/>
        </w:tabs>
        <w:kinsoku/>
        <w:wordWrap/>
        <w:overflowPunct/>
        <w:topLinePunct w:val="0"/>
        <w:autoSpaceDE/>
        <w:autoSpaceDN/>
        <w:bidi w:val="0"/>
        <w:snapToGrid w:val="0"/>
        <w:spacing w:line="360" w:lineRule="auto"/>
        <w:ind w:firstLine="480"/>
        <w:textAlignment w:val="auto"/>
        <w:rPr>
          <w:rFonts w:hint="eastAsia" w:ascii="宋体" w:hAnsi="宋体" w:cs="宋体"/>
          <w:color w:val="auto"/>
          <w:sz w:val="24"/>
        </w:rPr>
      </w:pPr>
      <w:r>
        <w:rPr>
          <w:rFonts w:hint="eastAsia" w:ascii="宋体" w:hAnsi="宋体" w:cs="宋体"/>
          <w:color w:val="auto"/>
          <w:sz w:val="24"/>
        </w:rPr>
        <w:t>根据《上虞区农村集体经济组织货物（服务）采购实施意见（试行）》的规定，政府采购供应商可以依法提起质疑和投诉。</w:t>
      </w:r>
    </w:p>
    <w:p w14:paraId="0AC673CD">
      <w:pPr>
        <w:pStyle w:val="16"/>
        <w:numPr>
          <w:ilvl w:val="0"/>
          <w:numId w:val="0"/>
        </w:numPr>
        <w:spacing w:line="360" w:lineRule="auto"/>
        <w:ind w:leftChars="200"/>
        <w:rPr>
          <w:rFonts w:hint="eastAsia" w:ascii="宋体" w:hAnsi="宋体" w:eastAsia="宋体" w:cs="宋体"/>
          <w:b/>
          <w:color w:val="auto"/>
          <w:sz w:val="24"/>
          <w:szCs w:val="24"/>
          <w:highlight w:val="none"/>
          <w:lang w:val="zh-CN"/>
        </w:rPr>
      </w:pPr>
      <w:r>
        <w:rPr>
          <w:rFonts w:hint="eastAsia" w:hAnsi="宋体" w:eastAsia="宋体" w:cs="宋体"/>
          <w:b/>
          <w:color w:val="auto"/>
          <w:sz w:val="24"/>
          <w:szCs w:val="24"/>
          <w:highlight w:val="none"/>
          <w:lang w:val="en-US" w:eastAsia="zh-CN"/>
        </w:rPr>
        <w:t>34.</w:t>
      </w:r>
      <w:r>
        <w:rPr>
          <w:rFonts w:hint="eastAsia" w:ascii="宋体" w:hAnsi="宋体" w:eastAsia="宋体" w:cs="宋体"/>
          <w:b/>
          <w:color w:val="auto"/>
          <w:sz w:val="24"/>
          <w:szCs w:val="24"/>
          <w:highlight w:val="none"/>
          <w:lang w:val="zh-CN"/>
        </w:rPr>
        <w:t>供应商询问</w:t>
      </w:r>
    </w:p>
    <w:p w14:paraId="202A7F1F">
      <w:pPr>
        <w:pStyle w:val="16"/>
        <w:spacing w:line="360" w:lineRule="auto"/>
        <w:ind w:firstLine="480" w:firstLineChars="200"/>
        <w:rPr>
          <w:rFonts w:hint="eastAsia" w:hAnsi="宋体" w:cs="宋体"/>
          <w:color w:val="auto"/>
          <w:sz w:val="24"/>
          <w:highlight w:val="none"/>
        </w:rPr>
      </w:pPr>
      <w:r>
        <w:rPr>
          <w:rFonts w:hint="eastAsia" w:hAnsi="宋体" w:cs="宋体"/>
          <w:color w:val="auto"/>
          <w:sz w:val="24"/>
          <w:highlight w:val="none"/>
        </w:rPr>
        <w:t>供应商对政府采购活动事项有疑问的，可以向采购代理机构提出询问，采购代理机构将对供应商依法提出的询问作出答复，但答复的内容不得涉及商业秘密。</w:t>
      </w:r>
    </w:p>
    <w:p w14:paraId="1B542BB8">
      <w:pPr>
        <w:pStyle w:val="16"/>
        <w:numPr>
          <w:ilvl w:val="0"/>
          <w:numId w:val="0"/>
        </w:numPr>
        <w:spacing w:line="360" w:lineRule="auto"/>
        <w:ind w:leftChars="200"/>
        <w:rPr>
          <w:rFonts w:hint="eastAsia" w:ascii="宋体" w:hAnsi="宋体" w:eastAsia="宋体" w:cs="宋体"/>
          <w:b/>
          <w:color w:val="auto"/>
          <w:sz w:val="24"/>
          <w:szCs w:val="24"/>
          <w:highlight w:val="none"/>
          <w:lang w:val="zh-CN"/>
        </w:rPr>
      </w:pPr>
      <w:r>
        <w:rPr>
          <w:rFonts w:hint="eastAsia" w:hAnsi="宋体" w:eastAsia="宋体" w:cs="宋体"/>
          <w:b/>
          <w:color w:val="auto"/>
          <w:sz w:val="24"/>
          <w:szCs w:val="24"/>
          <w:highlight w:val="none"/>
          <w:lang w:val="en-US" w:eastAsia="zh-CN"/>
        </w:rPr>
        <w:t>35.</w:t>
      </w:r>
      <w:r>
        <w:rPr>
          <w:rFonts w:hint="eastAsia" w:ascii="宋体" w:hAnsi="宋体" w:eastAsia="宋体" w:cs="宋体"/>
          <w:b/>
          <w:color w:val="auto"/>
          <w:sz w:val="24"/>
          <w:szCs w:val="24"/>
          <w:highlight w:val="none"/>
          <w:lang w:val="zh-CN"/>
        </w:rPr>
        <w:t>供应商质疑</w:t>
      </w:r>
    </w:p>
    <w:p w14:paraId="5239E34A">
      <w:pPr>
        <w:pStyle w:val="16"/>
        <w:keepNext w:val="0"/>
        <w:keepLines w:val="0"/>
        <w:pageBreakBefore w:val="0"/>
        <w:widowControl w:val="0"/>
        <w:kinsoku/>
        <w:wordWrap/>
        <w:overflowPunct/>
        <w:topLinePunct w:val="0"/>
        <w:autoSpaceDE/>
        <w:autoSpaceDN/>
        <w:bidi w:val="0"/>
        <w:snapToGrid w:val="0"/>
        <w:spacing w:line="360" w:lineRule="auto"/>
        <w:ind w:firstLine="480" w:firstLineChars="200"/>
        <w:textAlignment w:val="auto"/>
        <w:rPr>
          <w:rFonts w:hint="eastAsia" w:ascii="宋体" w:hAnsi="宋体" w:eastAsia="宋体" w:cs="宋体"/>
          <w:color w:val="auto"/>
          <w:sz w:val="24"/>
          <w:lang w:eastAsia="zh-CN"/>
        </w:rPr>
      </w:pPr>
      <w:r>
        <w:rPr>
          <w:rFonts w:hint="eastAsia" w:ascii="宋体" w:hAnsi="宋体" w:eastAsia="宋体" w:cs="宋体"/>
          <w:color w:val="auto"/>
          <w:sz w:val="24"/>
          <w:lang w:val="en-US" w:eastAsia="zh-CN"/>
        </w:rPr>
        <w:t>35.1</w:t>
      </w:r>
      <w:r>
        <w:rPr>
          <w:rFonts w:hint="eastAsia" w:ascii="宋体" w:hAnsi="宋体" w:eastAsia="宋体" w:cs="宋体"/>
          <w:color w:val="auto"/>
          <w:sz w:val="24"/>
        </w:rPr>
        <w:t>供应商认为采购文件、采购过程和成交结果使自己的权益受到损害的，可以在知道或者应知其权益受到损害之日起七个工作日内，以书面形式向采购代理机构提出质疑，否则，采购代理机构不予受理</w:t>
      </w:r>
      <w:r>
        <w:rPr>
          <w:rFonts w:hint="eastAsia" w:ascii="宋体" w:hAnsi="宋体" w:eastAsia="宋体" w:cs="宋体"/>
          <w:color w:val="auto"/>
          <w:sz w:val="24"/>
          <w:lang w:eastAsia="zh-CN"/>
        </w:rPr>
        <w:t>。</w:t>
      </w:r>
    </w:p>
    <w:p w14:paraId="048119E8">
      <w:pPr>
        <w:pStyle w:val="16"/>
        <w:keepNext w:val="0"/>
        <w:keepLines w:val="0"/>
        <w:pageBreakBefore w:val="0"/>
        <w:widowControl w:val="0"/>
        <w:kinsoku/>
        <w:wordWrap/>
        <w:overflowPunct/>
        <w:topLinePunct w:val="0"/>
        <w:autoSpaceDE/>
        <w:autoSpaceDN/>
        <w:bidi w:val="0"/>
        <w:snapToGrid w:val="0"/>
        <w:spacing w:line="360" w:lineRule="auto"/>
        <w:ind w:firstLine="480" w:firstLineChars="200"/>
        <w:textAlignment w:val="auto"/>
        <w:rPr>
          <w:rFonts w:hint="eastAsia" w:ascii="宋体" w:hAnsi="宋体" w:eastAsia="宋体" w:cs="宋体"/>
          <w:color w:val="auto"/>
          <w:szCs w:val="24"/>
          <w:highlight w:val="none"/>
          <w:lang w:val="en-US" w:eastAsia="zh-CN"/>
        </w:rPr>
      </w:pPr>
      <w:r>
        <w:rPr>
          <w:rFonts w:hint="eastAsia" w:hAnsi="宋体" w:cs="宋体"/>
          <w:color w:val="auto"/>
          <w:sz w:val="24"/>
        </w:rPr>
        <w:t>供应商认为采购文件使自己的权益受到损害的，可以自收到采购文件之日（发售截止日之后收到采购文件的，以发售截止日为准）或者采购文件公告期限届满之日（公告发布后的第6个工作日）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r>
        <w:rPr>
          <w:rFonts w:hint="eastAsia" w:hAnsi="宋体" w:cs="宋体"/>
          <w:b/>
          <w:color w:val="auto"/>
          <w:sz w:val="24"/>
        </w:rPr>
        <w:t>供应商在法定质疑期内应一次性提出针对同一采购程序环节的质疑，否则质疑将不予受理。</w:t>
      </w:r>
    </w:p>
    <w:p w14:paraId="1C3E7392">
      <w:pPr>
        <w:pStyle w:val="43"/>
        <w:numPr>
          <w:ilvl w:val="0"/>
          <w:numId w:val="0"/>
        </w:numPr>
        <w:tabs>
          <w:tab w:val="left" w:pos="0"/>
        </w:tabs>
        <w:spacing w:before="0"/>
        <w:ind w:leftChars="200"/>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35.2供应商提交的质疑书需一式三份，由法定代表人签字（或盖章）并加盖单位公章。质疑书至少应包括下列主要内容：</w:t>
      </w:r>
    </w:p>
    <w:p w14:paraId="79B0FE2A">
      <w:pPr>
        <w:pStyle w:val="16"/>
        <w:numPr>
          <w:ilvl w:val="0"/>
          <w:numId w:val="37"/>
        </w:numPr>
        <w:spacing w:line="360" w:lineRule="auto"/>
        <w:ind w:left="0" w:leftChars="0" w:firstLine="480" w:firstLineChars="200"/>
        <w:rPr>
          <w:rFonts w:hint="eastAsia" w:ascii="宋体" w:hAnsi="宋体" w:eastAsia="宋体" w:cs="宋体"/>
          <w:sz w:val="24"/>
          <w:highlight w:val="none"/>
        </w:rPr>
      </w:pPr>
      <w:r>
        <w:rPr>
          <w:rFonts w:hint="eastAsia" w:ascii="宋体" w:hAnsi="宋体" w:eastAsia="宋体" w:cs="宋体"/>
          <w:sz w:val="24"/>
          <w:highlight w:val="none"/>
        </w:rPr>
        <w:t>质疑人的名称、地址、邮政编码、联系人、联系电话，以及被质疑人名称及联系方式；</w:t>
      </w:r>
    </w:p>
    <w:p w14:paraId="0B5BB7AF">
      <w:pPr>
        <w:pStyle w:val="16"/>
        <w:numPr>
          <w:ilvl w:val="0"/>
          <w:numId w:val="37"/>
        </w:numPr>
        <w:spacing w:line="360" w:lineRule="auto"/>
        <w:ind w:left="0" w:leftChars="0" w:firstLine="480" w:firstLineChars="200"/>
        <w:rPr>
          <w:rFonts w:hint="eastAsia" w:ascii="宋体" w:hAnsi="宋体" w:eastAsia="宋体" w:cs="宋体"/>
          <w:sz w:val="24"/>
          <w:highlight w:val="none"/>
        </w:rPr>
      </w:pPr>
      <w:r>
        <w:rPr>
          <w:rFonts w:hint="eastAsia" w:ascii="宋体" w:hAnsi="宋体" w:eastAsia="宋体" w:cs="宋体"/>
          <w:sz w:val="24"/>
          <w:highlight w:val="none"/>
        </w:rPr>
        <w:t>被质疑采购项目名称、编号及采购内容；</w:t>
      </w:r>
    </w:p>
    <w:p w14:paraId="1649ABDA">
      <w:pPr>
        <w:pStyle w:val="16"/>
        <w:numPr>
          <w:ilvl w:val="0"/>
          <w:numId w:val="37"/>
        </w:numPr>
        <w:spacing w:line="360" w:lineRule="auto"/>
        <w:ind w:left="0" w:leftChars="0" w:firstLine="480" w:firstLineChars="200"/>
        <w:rPr>
          <w:rFonts w:hint="eastAsia" w:ascii="宋体" w:hAnsi="宋体" w:eastAsia="宋体" w:cs="宋体"/>
          <w:sz w:val="24"/>
          <w:highlight w:val="none"/>
        </w:rPr>
      </w:pPr>
      <w:r>
        <w:rPr>
          <w:rFonts w:hint="eastAsia" w:ascii="宋体" w:hAnsi="宋体" w:eastAsia="宋体" w:cs="宋体"/>
          <w:sz w:val="24"/>
          <w:highlight w:val="none"/>
        </w:rPr>
        <w:t>具体的质疑事项及事实依据；</w:t>
      </w:r>
    </w:p>
    <w:p w14:paraId="75D2067A">
      <w:pPr>
        <w:pStyle w:val="16"/>
        <w:numPr>
          <w:ilvl w:val="0"/>
          <w:numId w:val="37"/>
        </w:numPr>
        <w:spacing w:line="360" w:lineRule="auto"/>
        <w:ind w:left="0" w:leftChars="0" w:firstLine="480" w:firstLineChars="200"/>
        <w:rPr>
          <w:rFonts w:hint="eastAsia" w:ascii="宋体" w:hAnsi="宋体" w:eastAsia="宋体" w:cs="宋体"/>
          <w:sz w:val="24"/>
          <w:highlight w:val="none"/>
        </w:rPr>
      </w:pPr>
      <w:r>
        <w:rPr>
          <w:rFonts w:hint="eastAsia" w:ascii="宋体" w:hAnsi="宋体" w:eastAsia="宋体" w:cs="宋体"/>
          <w:sz w:val="24"/>
          <w:highlight w:val="none"/>
        </w:rPr>
        <w:t>认为自己合法权益受到损害或可能受到损害的相关证据材料；</w:t>
      </w:r>
    </w:p>
    <w:p w14:paraId="1E5C6572">
      <w:pPr>
        <w:pStyle w:val="16"/>
        <w:numPr>
          <w:ilvl w:val="0"/>
          <w:numId w:val="37"/>
        </w:numPr>
        <w:spacing w:line="360" w:lineRule="auto"/>
        <w:ind w:left="0" w:leftChars="0" w:firstLine="480" w:firstLineChars="200"/>
        <w:rPr>
          <w:rFonts w:hint="eastAsia" w:ascii="宋体" w:hAnsi="宋体" w:eastAsia="宋体" w:cs="宋体"/>
          <w:sz w:val="24"/>
          <w:highlight w:val="none"/>
        </w:rPr>
      </w:pPr>
      <w:r>
        <w:rPr>
          <w:rFonts w:hint="eastAsia" w:ascii="宋体" w:hAnsi="宋体" w:eastAsia="宋体" w:cs="宋体"/>
          <w:sz w:val="24"/>
          <w:highlight w:val="none"/>
        </w:rPr>
        <w:t>提出质疑的日期。</w:t>
      </w:r>
    </w:p>
    <w:p w14:paraId="0F356788">
      <w:pPr>
        <w:pStyle w:val="16"/>
        <w:spacing w:line="360" w:lineRule="auto"/>
        <w:ind w:firstLine="482" w:firstLineChars="200"/>
        <w:rPr>
          <w:rFonts w:hint="eastAsia" w:ascii="宋体" w:hAnsi="宋体" w:eastAsia="宋体" w:cs="宋体"/>
          <w:b/>
          <w:sz w:val="24"/>
          <w:highlight w:val="none"/>
          <w:u w:val="none"/>
        </w:rPr>
      </w:pPr>
      <w:r>
        <w:rPr>
          <w:rFonts w:hint="eastAsia" w:ascii="宋体" w:hAnsi="宋体" w:eastAsia="宋体" w:cs="宋体"/>
          <w:b/>
          <w:sz w:val="24"/>
          <w:highlight w:val="none"/>
          <w:u w:val="none"/>
        </w:rPr>
        <w:t>未按上述内容填写的质疑书将不予受理。</w:t>
      </w:r>
    </w:p>
    <w:p w14:paraId="69B0B634">
      <w:pPr>
        <w:pStyle w:val="43"/>
        <w:keepNext w:val="0"/>
        <w:keepLines w:val="0"/>
        <w:pageBreakBefore w:val="0"/>
        <w:widowControl w:val="0"/>
        <w:numPr>
          <w:ilvl w:val="0"/>
          <w:numId w:val="0"/>
        </w:numPr>
        <w:tabs>
          <w:tab w:val="left" w:pos="0"/>
        </w:tabs>
        <w:kinsoku/>
        <w:wordWrap/>
        <w:overflowPunct/>
        <w:topLinePunct w:val="0"/>
        <w:autoSpaceDE/>
        <w:autoSpaceDN/>
        <w:bidi w:val="0"/>
        <w:adjustRightInd w:val="0"/>
        <w:snapToGrid/>
        <w:spacing w:before="0"/>
        <w:ind w:leftChars="0" w:firstLine="480" w:firstLineChars="200"/>
        <w:textAlignment w:val="auto"/>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35.3采购代理机构应当在收到供应商的书面质疑后七个工作日内作出答复，并以书面形式通知质疑供应商和其他与质疑处理结果有利害关系的</w:t>
      </w:r>
      <w:r>
        <w:rPr>
          <w:rFonts w:hint="eastAsia" w:ascii="宋体" w:hAnsi="宋体" w:cs="宋体"/>
          <w:color w:val="auto"/>
          <w:szCs w:val="24"/>
          <w:highlight w:val="none"/>
          <w:lang w:val="en-US" w:eastAsia="zh-CN"/>
        </w:rPr>
        <w:t>村级</w:t>
      </w:r>
      <w:r>
        <w:rPr>
          <w:rFonts w:hint="eastAsia" w:ascii="宋体" w:hAnsi="宋体" w:eastAsia="宋体" w:cs="宋体"/>
          <w:color w:val="auto"/>
          <w:szCs w:val="24"/>
          <w:highlight w:val="none"/>
          <w:lang w:val="en-US" w:eastAsia="zh-CN"/>
        </w:rPr>
        <w:t>采购当事人，但答复的内容不得涉及商业秘密。</w:t>
      </w:r>
    </w:p>
    <w:p w14:paraId="2860E466">
      <w:pPr>
        <w:pStyle w:val="43"/>
        <w:keepNext w:val="0"/>
        <w:keepLines w:val="0"/>
        <w:pageBreakBefore w:val="0"/>
        <w:widowControl w:val="0"/>
        <w:numPr>
          <w:ilvl w:val="0"/>
          <w:numId w:val="0"/>
        </w:numPr>
        <w:tabs>
          <w:tab w:val="left" w:pos="0"/>
        </w:tabs>
        <w:kinsoku/>
        <w:wordWrap/>
        <w:overflowPunct/>
        <w:topLinePunct w:val="0"/>
        <w:autoSpaceDE/>
        <w:autoSpaceDN/>
        <w:bidi w:val="0"/>
        <w:adjustRightInd w:val="0"/>
        <w:snapToGrid/>
        <w:spacing w:before="0"/>
        <w:ind w:leftChars="0" w:firstLine="480" w:firstLineChars="200"/>
        <w:textAlignment w:val="auto"/>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35.4询问或者质疑事项可能影响采购结果的，采购人应当暂停签订合同，已经签订合同的，应当中止履行合同。</w:t>
      </w:r>
    </w:p>
    <w:p w14:paraId="4A33F7AA">
      <w:pPr>
        <w:pStyle w:val="16"/>
        <w:numPr>
          <w:ilvl w:val="0"/>
          <w:numId w:val="0"/>
        </w:numPr>
        <w:spacing w:line="360" w:lineRule="auto"/>
        <w:ind w:leftChars="200"/>
        <w:rPr>
          <w:rFonts w:hint="eastAsia" w:ascii="宋体" w:hAnsi="宋体" w:eastAsia="宋体" w:cs="宋体"/>
          <w:b/>
          <w:sz w:val="24"/>
          <w:szCs w:val="24"/>
          <w:highlight w:val="none"/>
          <w:lang w:val="zh-CN"/>
        </w:rPr>
      </w:pPr>
      <w:r>
        <w:rPr>
          <w:rFonts w:hint="eastAsia" w:hAnsi="宋体" w:eastAsia="宋体" w:cs="宋体"/>
          <w:b/>
          <w:sz w:val="24"/>
          <w:szCs w:val="24"/>
          <w:highlight w:val="none"/>
          <w:lang w:val="en-US" w:eastAsia="zh-CN"/>
        </w:rPr>
        <w:t>36</w:t>
      </w:r>
      <w:r>
        <w:rPr>
          <w:rFonts w:hint="eastAsia" w:ascii="宋体" w:hAnsi="宋体" w:eastAsia="宋体" w:cs="宋体"/>
          <w:b/>
          <w:sz w:val="24"/>
          <w:szCs w:val="24"/>
          <w:highlight w:val="none"/>
          <w:lang w:val="zh-CN"/>
        </w:rPr>
        <w:t>供应商投诉</w:t>
      </w:r>
    </w:p>
    <w:p w14:paraId="5C9FBBC3">
      <w:pPr>
        <w:pStyle w:val="43"/>
        <w:keepNext w:val="0"/>
        <w:keepLines w:val="0"/>
        <w:pageBreakBefore w:val="0"/>
        <w:widowControl w:val="0"/>
        <w:numPr>
          <w:ilvl w:val="0"/>
          <w:numId w:val="0"/>
        </w:numPr>
        <w:tabs>
          <w:tab w:val="left" w:pos="0"/>
        </w:tabs>
        <w:kinsoku/>
        <w:wordWrap/>
        <w:overflowPunct/>
        <w:topLinePunct w:val="0"/>
        <w:autoSpaceDE/>
        <w:autoSpaceDN/>
        <w:bidi w:val="0"/>
        <w:adjustRightInd w:val="0"/>
        <w:snapToGrid/>
        <w:spacing w:before="0"/>
        <w:ind w:leftChars="0" w:firstLine="480" w:firstLineChars="200"/>
        <w:textAlignment w:val="auto"/>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36.1供应商质疑、投诉应当有明确的请求和必要的证明材料，供应商投诉的事项不得超出已质疑事项的范围，不符合上述要求的投诉将不予受理。</w:t>
      </w:r>
    </w:p>
    <w:p w14:paraId="735057CC">
      <w:pPr>
        <w:pStyle w:val="43"/>
        <w:keepNext w:val="0"/>
        <w:keepLines w:val="0"/>
        <w:pageBreakBefore w:val="0"/>
        <w:widowControl w:val="0"/>
        <w:numPr>
          <w:ilvl w:val="0"/>
          <w:numId w:val="0"/>
        </w:numPr>
        <w:tabs>
          <w:tab w:val="left" w:pos="0"/>
        </w:tabs>
        <w:kinsoku/>
        <w:wordWrap/>
        <w:overflowPunct/>
        <w:topLinePunct w:val="0"/>
        <w:autoSpaceDE/>
        <w:autoSpaceDN/>
        <w:bidi w:val="0"/>
        <w:adjustRightInd w:val="0"/>
        <w:snapToGrid/>
        <w:spacing w:before="0"/>
        <w:ind w:leftChars="0" w:firstLine="480" w:firstLineChars="200"/>
        <w:textAlignment w:val="auto"/>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36.2质疑供应商对质疑的答复不满意，采购人或采购代理机构未在规定时间内答复的，</w:t>
      </w:r>
      <w:r>
        <w:rPr>
          <w:rFonts w:hint="eastAsia" w:ascii="宋体" w:hAnsi="宋体" w:cs="宋体"/>
          <w:color w:val="auto"/>
          <w:szCs w:val="24"/>
        </w:rPr>
        <w:t>可以在答复期满后15个工作日内依法向采购人所在乡镇（街道）投诉</w:t>
      </w:r>
      <w:r>
        <w:rPr>
          <w:rFonts w:hint="eastAsia" w:ascii="宋体" w:hAnsi="宋体" w:eastAsia="宋体" w:cs="宋体"/>
          <w:color w:val="auto"/>
          <w:szCs w:val="24"/>
          <w:highlight w:val="none"/>
          <w:lang w:val="en-US" w:eastAsia="zh-CN"/>
        </w:rPr>
        <w:t>。乡镇（街道）应当在正式受理投诉后30个工作日内作出调查并回复，同时将投诉回复及调查结果通知采购人。区农业农村局督促乡镇（街道）做好投诉件的答复和处理。</w:t>
      </w:r>
    </w:p>
    <w:p w14:paraId="7CB625D8">
      <w:pPr>
        <w:pStyle w:val="43"/>
        <w:keepNext w:val="0"/>
        <w:keepLines w:val="0"/>
        <w:pageBreakBefore w:val="0"/>
        <w:widowControl w:val="0"/>
        <w:numPr>
          <w:ilvl w:val="0"/>
          <w:numId w:val="0"/>
        </w:numPr>
        <w:tabs>
          <w:tab w:val="left" w:pos="0"/>
        </w:tabs>
        <w:kinsoku/>
        <w:wordWrap/>
        <w:overflowPunct/>
        <w:topLinePunct w:val="0"/>
        <w:autoSpaceDE/>
        <w:autoSpaceDN/>
        <w:bidi w:val="0"/>
        <w:adjustRightInd w:val="0"/>
        <w:snapToGrid/>
        <w:spacing w:before="0"/>
        <w:ind w:leftChars="0" w:firstLine="480" w:firstLineChars="20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投诉人提交投诉件时，应当提供相关证据、依据和其他有关材料。</w:t>
      </w:r>
    </w:p>
    <w:bookmarkEnd w:id="76"/>
    <w:p w14:paraId="7879E034">
      <w:pPr>
        <w:adjustRightInd/>
        <w:spacing w:after="167" w:afterLines="50" w:line="360" w:lineRule="auto"/>
        <w:jc w:val="center"/>
        <w:outlineLvl w:val="0"/>
        <w:rPr>
          <w:rFonts w:hint="eastAsia" w:ascii="宋体" w:hAnsi="宋体" w:eastAsia="宋体" w:cs="宋体"/>
          <w:b/>
          <w:sz w:val="36"/>
          <w:szCs w:val="36"/>
          <w:highlight w:val="none"/>
        </w:rPr>
      </w:pPr>
      <w:r>
        <w:rPr>
          <w:rFonts w:hint="eastAsia" w:ascii="宋体" w:hAnsi="宋体" w:eastAsia="宋体" w:cs="宋体"/>
          <w:sz w:val="24"/>
          <w:szCs w:val="20"/>
          <w:highlight w:val="none"/>
        </w:rPr>
        <w:br w:type="page"/>
      </w:r>
      <w:bookmarkStart w:id="94" w:name="_Toc1468"/>
      <w:bookmarkStart w:id="95" w:name="_Toc13529"/>
      <w:bookmarkStart w:id="96" w:name="_Toc24714"/>
      <w:r>
        <w:rPr>
          <w:rFonts w:hint="eastAsia" w:ascii="宋体" w:hAnsi="宋体" w:eastAsia="宋体" w:cs="宋体"/>
          <w:b/>
          <w:sz w:val="36"/>
          <w:szCs w:val="36"/>
          <w:highlight w:val="none"/>
        </w:rPr>
        <w:t xml:space="preserve">第三部分 </w:t>
      </w:r>
      <w:bookmarkEnd w:id="62"/>
      <w:bookmarkEnd w:id="63"/>
      <w:bookmarkStart w:id="97" w:name="_Toc184310316"/>
      <w:bookmarkEnd w:id="97"/>
      <w:bookmarkStart w:id="98" w:name="_Toc184313262"/>
      <w:bookmarkEnd w:id="98"/>
      <w:bookmarkStart w:id="99" w:name="_Toc184313272"/>
      <w:bookmarkEnd w:id="99"/>
      <w:bookmarkStart w:id="100" w:name="_Toc184308107"/>
      <w:bookmarkEnd w:id="100"/>
      <w:bookmarkStart w:id="101" w:name="_Toc184314431"/>
      <w:bookmarkEnd w:id="101"/>
      <w:bookmarkStart w:id="102" w:name="_Toc184308079"/>
      <w:bookmarkEnd w:id="102"/>
      <w:bookmarkStart w:id="103" w:name="_Toc184314477"/>
      <w:bookmarkEnd w:id="103"/>
      <w:bookmarkStart w:id="104" w:name="_Toc184313282"/>
      <w:bookmarkEnd w:id="104"/>
      <w:bookmarkStart w:id="105" w:name="_Toc184310289"/>
      <w:bookmarkEnd w:id="105"/>
      <w:bookmarkStart w:id="106" w:name="_Toc184310294"/>
      <w:bookmarkEnd w:id="106"/>
      <w:bookmarkStart w:id="107" w:name="_Toc184313298"/>
      <w:bookmarkEnd w:id="107"/>
      <w:bookmarkStart w:id="108" w:name="_Toc184313245"/>
      <w:bookmarkEnd w:id="108"/>
      <w:bookmarkStart w:id="109" w:name="_Toc184313273"/>
      <w:bookmarkEnd w:id="109"/>
      <w:bookmarkStart w:id="110" w:name="_Toc184310284"/>
      <w:bookmarkEnd w:id="110"/>
      <w:bookmarkStart w:id="111" w:name="_Toc184314460"/>
      <w:bookmarkEnd w:id="111"/>
      <w:bookmarkStart w:id="112" w:name="_Toc184313256"/>
      <w:bookmarkEnd w:id="112"/>
      <w:bookmarkStart w:id="113" w:name="_Toc184312075"/>
      <w:bookmarkEnd w:id="113"/>
      <w:bookmarkStart w:id="114" w:name="_Toc184310336"/>
      <w:bookmarkEnd w:id="114"/>
      <w:bookmarkStart w:id="115" w:name="_Toc184314442"/>
      <w:bookmarkEnd w:id="115"/>
      <w:bookmarkStart w:id="116" w:name="_Toc184314449"/>
      <w:bookmarkEnd w:id="116"/>
      <w:bookmarkStart w:id="117" w:name="_Toc184313251"/>
      <w:bookmarkEnd w:id="117"/>
      <w:bookmarkStart w:id="118" w:name="_Toc184312137"/>
      <w:bookmarkEnd w:id="118"/>
      <w:bookmarkStart w:id="119" w:name="_Toc184313294"/>
      <w:bookmarkEnd w:id="119"/>
      <w:bookmarkStart w:id="120" w:name="_Toc184310337"/>
      <w:bookmarkEnd w:id="120"/>
      <w:bookmarkStart w:id="121" w:name="_Toc184310339"/>
      <w:bookmarkEnd w:id="121"/>
      <w:bookmarkStart w:id="122" w:name="_Toc184313259"/>
      <w:bookmarkEnd w:id="122"/>
      <w:bookmarkStart w:id="123" w:name="_Toc184313268"/>
      <w:bookmarkEnd w:id="123"/>
      <w:bookmarkStart w:id="124" w:name="_Toc184308063"/>
      <w:bookmarkEnd w:id="124"/>
      <w:bookmarkStart w:id="125" w:name="_Toc184312100"/>
      <w:bookmarkEnd w:id="125"/>
      <w:bookmarkStart w:id="126" w:name="_Toc184314426"/>
      <w:bookmarkEnd w:id="126"/>
      <w:bookmarkStart w:id="127" w:name="_Toc184314459"/>
      <w:bookmarkEnd w:id="127"/>
      <w:bookmarkStart w:id="128" w:name="_Toc184312127"/>
      <w:bookmarkEnd w:id="128"/>
      <w:bookmarkStart w:id="129" w:name="_Toc184312069"/>
      <w:bookmarkEnd w:id="129"/>
      <w:bookmarkStart w:id="130" w:name="_Toc184312083"/>
      <w:bookmarkEnd w:id="130"/>
      <w:bookmarkStart w:id="131" w:name="_Toc184313269"/>
      <w:bookmarkEnd w:id="131"/>
      <w:bookmarkStart w:id="132" w:name="_Toc184308099"/>
      <w:bookmarkEnd w:id="132"/>
      <w:bookmarkStart w:id="133" w:name="_Toc184313288"/>
      <w:bookmarkEnd w:id="133"/>
      <w:bookmarkStart w:id="134" w:name="_Toc184314466"/>
      <w:bookmarkEnd w:id="134"/>
      <w:bookmarkStart w:id="135" w:name="_Toc184308060"/>
      <w:bookmarkEnd w:id="135"/>
      <w:bookmarkStart w:id="136" w:name="_Toc184313277"/>
      <w:bookmarkEnd w:id="136"/>
      <w:bookmarkStart w:id="137" w:name="_Toc184314432"/>
      <w:bookmarkEnd w:id="137"/>
      <w:bookmarkStart w:id="138" w:name="_Toc184313248"/>
      <w:bookmarkEnd w:id="138"/>
      <w:bookmarkStart w:id="139" w:name="_Toc184313293"/>
      <w:bookmarkEnd w:id="139"/>
      <w:bookmarkStart w:id="140" w:name="_Toc184310308"/>
      <w:bookmarkEnd w:id="140"/>
      <w:bookmarkStart w:id="141" w:name="_Toc184313302"/>
      <w:bookmarkEnd w:id="141"/>
      <w:bookmarkStart w:id="142" w:name="_Toc184313278"/>
      <w:bookmarkEnd w:id="142"/>
      <w:bookmarkStart w:id="143" w:name="_Toc184312125"/>
      <w:bookmarkEnd w:id="143"/>
      <w:bookmarkStart w:id="144" w:name="_Toc184308108"/>
      <w:bookmarkEnd w:id="144"/>
      <w:bookmarkStart w:id="145" w:name="_Toc184313287"/>
      <w:bookmarkEnd w:id="145"/>
      <w:bookmarkStart w:id="146" w:name="_Toc184313252"/>
      <w:bookmarkEnd w:id="146"/>
      <w:bookmarkStart w:id="147" w:name="_Toc184308051"/>
      <w:bookmarkEnd w:id="147"/>
      <w:bookmarkStart w:id="148" w:name="_Toc184310343"/>
      <w:bookmarkEnd w:id="148"/>
      <w:bookmarkStart w:id="149" w:name="_Toc184314425"/>
      <w:bookmarkEnd w:id="149"/>
      <w:bookmarkStart w:id="150" w:name="_Toc184312087"/>
      <w:bookmarkEnd w:id="150"/>
      <w:bookmarkStart w:id="151" w:name="_Toc184313310"/>
      <w:bookmarkEnd w:id="151"/>
      <w:bookmarkStart w:id="152" w:name="_Toc184310334"/>
      <w:bookmarkEnd w:id="152"/>
      <w:bookmarkStart w:id="153" w:name="_Toc184312110"/>
      <w:bookmarkEnd w:id="153"/>
      <w:bookmarkStart w:id="154" w:name="_Toc184308083"/>
      <w:bookmarkEnd w:id="154"/>
      <w:bookmarkStart w:id="155" w:name="_Toc184310301"/>
      <w:bookmarkEnd w:id="155"/>
      <w:bookmarkStart w:id="156" w:name="_Toc184310286"/>
      <w:bookmarkEnd w:id="156"/>
      <w:bookmarkStart w:id="157" w:name="_Toc184312123"/>
      <w:bookmarkEnd w:id="157"/>
      <w:bookmarkStart w:id="158" w:name="_Toc184314427"/>
      <w:bookmarkEnd w:id="158"/>
      <w:bookmarkStart w:id="159" w:name="_Toc184314444"/>
      <w:bookmarkEnd w:id="159"/>
      <w:bookmarkStart w:id="160" w:name="_Toc184314448"/>
      <w:bookmarkEnd w:id="160"/>
      <w:bookmarkStart w:id="161" w:name="_Toc184312072"/>
      <w:bookmarkEnd w:id="161"/>
      <w:bookmarkStart w:id="162" w:name="_Toc184312082"/>
      <w:bookmarkEnd w:id="162"/>
      <w:bookmarkStart w:id="163" w:name="_Toc184313241"/>
      <w:bookmarkEnd w:id="163"/>
      <w:bookmarkStart w:id="164" w:name="_Toc184310304"/>
      <w:bookmarkEnd w:id="164"/>
      <w:bookmarkStart w:id="165" w:name="_Toc184310278"/>
      <w:bookmarkEnd w:id="165"/>
      <w:bookmarkStart w:id="166" w:name="_Toc184308036"/>
      <w:bookmarkEnd w:id="166"/>
      <w:bookmarkStart w:id="167" w:name="_Toc184310344"/>
      <w:bookmarkEnd w:id="167"/>
      <w:bookmarkStart w:id="168" w:name="_Toc184310282"/>
      <w:bookmarkEnd w:id="168"/>
      <w:bookmarkStart w:id="169" w:name="_Toc184313280"/>
      <w:bookmarkEnd w:id="169"/>
      <w:bookmarkStart w:id="170" w:name="_Toc184312135"/>
      <w:bookmarkEnd w:id="170"/>
      <w:bookmarkStart w:id="171" w:name="_Toc184312080"/>
      <w:bookmarkEnd w:id="171"/>
      <w:bookmarkStart w:id="172" w:name="_Toc184310319"/>
      <w:bookmarkEnd w:id="172"/>
      <w:bookmarkStart w:id="173" w:name="_Toc184312094"/>
      <w:bookmarkEnd w:id="173"/>
      <w:bookmarkStart w:id="174" w:name="_Toc184310275"/>
      <w:bookmarkEnd w:id="174"/>
      <w:bookmarkStart w:id="175" w:name="_Toc184313246"/>
      <w:bookmarkEnd w:id="175"/>
      <w:bookmarkStart w:id="176" w:name="_Toc184312129"/>
      <w:bookmarkEnd w:id="176"/>
      <w:bookmarkStart w:id="177" w:name="_Toc184312071"/>
      <w:bookmarkEnd w:id="177"/>
      <w:bookmarkStart w:id="178" w:name="_Toc184313307"/>
      <w:bookmarkEnd w:id="178"/>
      <w:bookmarkStart w:id="179" w:name="_Toc184308039"/>
      <w:bookmarkEnd w:id="179"/>
      <w:bookmarkStart w:id="180" w:name="_Toc184308072"/>
      <w:bookmarkEnd w:id="180"/>
      <w:bookmarkStart w:id="181" w:name="_Toc184313299"/>
      <w:bookmarkEnd w:id="181"/>
      <w:bookmarkStart w:id="182" w:name="_Toc184313264"/>
      <w:bookmarkEnd w:id="182"/>
      <w:bookmarkStart w:id="183" w:name="_Toc184312097"/>
      <w:bookmarkEnd w:id="183"/>
      <w:bookmarkStart w:id="184" w:name="_Toc184312101"/>
      <w:bookmarkEnd w:id="184"/>
      <w:bookmarkStart w:id="185" w:name="_Toc184312115"/>
      <w:bookmarkEnd w:id="185"/>
      <w:bookmarkStart w:id="186" w:name="_Toc184313261"/>
      <w:bookmarkEnd w:id="186"/>
      <w:bookmarkStart w:id="187" w:name="_Toc184308062"/>
      <w:bookmarkEnd w:id="187"/>
      <w:bookmarkStart w:id="188" w:name="_Toc184314480"/>
      <w:bookmarkEnd w:id="188"/>
      <w:bookmarkStart w:id="189" w:name="_Toc184308042"/>
      <w:bookmarkEnd w:id="189"/>
      <w:bookmarkStart w:id="190" w:name="_Toc184308080"/>
      <w:bookmarkEnd w:id="190"/>
      <w:bookmarkStart w:id="191" w:name="_Toc184310303"/>
      <w:bookmarkEnd w:id="191"/>
      <w:bookmarkStart w:id="192" w:name="_Toc184314465"/>
      <w:bookmarkEnd w:id="192"/>
      <w:bookmarkStart w:id="193" w:name="_Toc184312088"/>
      <w:bookmarkEnd w:id="193"/>
      <w:bookmarkStart w:id="194" w:name="_Toc184308071"/>
      <w:bookmarkEnd w:id="194"/>
      <w:bookmarkStart w:id="195" w:name="_Toc184312111"/>
      <w:bookmarkEnd w:id="195"/>
      <w:bookmarkStart w:id="196" w:name="_Toc184308066"/>
      <w:bookmarkEnd w:id="196"/>
      <w:bookmarkStart w:id="197" w:name="_Toc184313289"/>
      <w:bookmarkEnd w:id="197"/>
      <w:bookmarkStart w:id="198" w:name="_Toc184314455"/>
      <w:bookmarkEnd w:id="198"/>
      <w:bookmarkStart w:id="199" w:name="_Toc184314482"/>
      <w:bookmarkEnd w:id="199"/>
      <w:bookmarkStart w:id="200" w:name="_Toc184310274"/>
      <w:bookmarkEnd w:id="200"/>
      <w:bookmarkStart w:id="201" w:name="_Toc184312130"/>
      <w:bookmarkEnd w:id="201"/>
      <w:bookmarkStart w:id="202" w:name="_Toc184312099"/>
      <w:bookmarkEnd w:id="202"/>
      <w:bookmarkStart w:id="203" w:name="_Toc184308050"/>
      <w:bookmarkEnd w:id="203"/>
      <w:bookmarkStart w:id="204" w:name="_Toc184308104"/>
      <w:bookmarkEnd w:id="204"/>
      <w:bookmarkStart w:id="205" w:name="_Toc184312096"/>
      <w:bookmarkEnd w:id="205"/>
      <w:bookmarkStart w:id="206" w:name="_Toc184312081"/>
      <w:bookmarkEnd w:id="206"/>
      <w:bookmarkStart w:id="207" w:name="_Toc184314453"/>
      <w:bookmarkEnd w:id="207"/>
      <w:bookmarkStart w:id="208" w:name="_Toc184314481"/>
      <w:bookmarkEnd w:id="208"/>
      <w:bookmarkStart w:id="209" w:name="_Toc184312102"/>
      <w:bookmarkEnd w:id="209"/>
      <w:bookmarkStart w:id="210" w:name="_Toc184308045"/>
      <w:bookmarkEnd w:id="210"/>
      <w:bookmarkStart w:id="211" w:name="_Toc184310310"/>
      <w:bookmarkEnd w:id="211"/>
      <w:bookmarkStart w:id="212" w:name="_Toc184310307"/>
      <w:bookmarkEnd w:id="212"/>
      <w:bookmarkStart w:id="213" w:name="_Toc184312089"/>
      <w:bookmarkEnd w:id="213"/>
      <w:bookmarkStart w:id="214" w:name="_Toc184314464"/>
      <w:bookmarkEnd w:id="214"/>
      <w:bookmarkStart w:id="215" w:name="_Toc184314415"/>
      <w:bookmarkEnd w:id="215"/>
      <w:bookmarkStart w:id="216" w:name="_Toc184310317"/>
      <w:bookmarkEnd w:id="216"/>
      <w:bookmarkStart w:id="217" w:name="_Toc184308047"/>
      <w:bookmarkEnd w:id="217"/>
      <w:bookmarkStart w:id="218" w:name="_Toc184314461"/>
      <w:bookmarkEnd w:id="218"/>
      <w:bookmarkStart w:id="219" w:name="_Toc184312109"/>
      <w:bookmarkEnd w:id="219"/>
      <w:bookmarkStart w:id="220" w:name="_Toc184308059"/>
      <w:bookmarkEnd w:id="220"/>
      <w:bookmarkStart w:id="221" w:name="_Toc184314470"/>
      <w:bookmarkEnd w:id="221"/>
      <w:bookmarkStart w:id="222" w:name="_Toc184312128"/>
      <w:bookmarkEnd w:id="222"/>
      <w:bookmarkStart w:id="223" w:name="_Toc184313254"/>
      <w:bookmarkEnd w:id="223"/>
      <w:bookmarkStart w:id="224" w:name="_Toc184314440"/>
      <w:bookmarkEnd w:id="224"/>
      <w:bookmarkStart w:id="225" w:name="_Toc184308067"/>
      <w:bookmarkEnd w:id="225"/>
      <w:bookmarkStart w:id="226" w:name="_Toc184310309"/>
      <w:bookmarkEnd w:id="226"/>
      <w:bookmarkStart w:id="227" w:name="_Toc184310318"/>
      <w:bookmarkEnd w:id="227"/>
      <w:bookmarkStart w:id="228" w:name="_Toc184308057"/>
      <w:bookmarkEnd w:id="228"/>
      <w:bookmarkStart w:id="229" w:name="_Toc184313242"/>
      <w:bookmarkEnd w:id="229"/>
      <w:bookmarkStart w:id="230" w:name="_Toc184312076"/>
      <w:bookmarkEnd w:id="230"/>
      <w:bookmarkStart w:id="231" w:name="_Toc184308097"/>
      <w:bookmarkEnd w:id="231"/>
      <w:bookmarkStart w:id="232" w:name="_Toc184310293"/>
      <w:bookmarkEnd w:id="232"/>
      <w:bookmarkStart w:id="233" w:name="_Toc184308064"/>
      <w:bookmarkEnd w:id="233"/>
      <w:bookmarkStart w:id="234" w:name="_Toc184310285"/>
      <w:bookmarkEnd w:id="234"/>
      <w:bookmarkStart w:id="235" w:name="_Toc184308088"/>
      <w:bookmarkEnd w:id="235"/>
      <w:bookmarkStart w:id="236" w:name="_Toc184314414"/>
      <w:bookmarkEnd w:id="236"/>
      <w:bookmarkStart w:id="237" w:name="_Toc184312092"/>
      <w:bookmarkEnd w:id="237"/>
      <w:bookmarkStart w:id="238" w:name="_Toc184312107"/>
      <w:bookmarkEnd w:id="238"/>
      <w:bookmarkStart w:id="239" w:name="_Toc184314412"/>
      <w:bookmarkEnd w:id="239"/>
      <w:bookmarkStart w:id="240" w:name="_Toc184314433"/>
      <w:bookmarkEnd w:id="240"/>
      <w:bookmarkStart w:id="241" w:name="_Toc184308091"/>
      <w:bookmarkEnd w:id="241"/>
      <w:bookmarkStart w:id="242" w:name="_Toc184308100"/>
      <w:bookmarkEnd w:id="242"/>
      <w:bookmarkStart w:id="243" w:name="_Toc184310287"/>
      <w:bookmarkEnd w:id="243"/>
      <w:bookmarkStart w:id="244" w:name="_Toc184308038"/>
      <w:bookmarkEnd w:id="244"/>
      <w:bookmarkStart w:id="245" w:name="_Toc184313239"/>
      <w:bookmarkEnd w:id="245"/>
      <w:bookmarkStart w:id="246" w:name="_Toc184308105"/>
      <w:bookmarkEnd w:id="246"/>
      <w:bookmarkStart w:id="247" w:name="_Toc184314458"/>
      <w:bookmarkEnd w:id="247"/>
      <w:bookmarkStart w:id="248" w:name="_Toc184310327"/>
      <w:bookmarkEnd w:id="248"/>
      <w:bookmarkStart w:id="249" w:name="_Toc184308037"/>
      <w:bookmarkEnd w:id="249"/>
      <w:bookmarkStart w:id="250" w:name="_Toc184310299"/>
      <w:bookmarkEnd w:id="250"/>
      <w:bookmarkStart w:id="251" w:name="_Toc184312122"/>
      <w:bookmarkEnd w:id="251"/>
      <w:bookmarkStart w:id="252" w:name="_Toc184308078"/>
      <w:bookmarkEnd w:id="252"/>
      <w:bookmarkStart w:id="253" w:name="_Toc184313274"/>
      <w:bookmarkEnd w:id="253"/>
      <w:bookmarkStart w:id="254" w:name="_Toc184314429"/>
      <w:bookmarkEnd w:id="254"/>
      <w:bookmarkStart w:id="255" w:name="_Toc184314430"/>
      <w:bookmarkEnd w:id="255"/>
      <w:bookmarkStart w:id="256" w:name="_Toc184310295"/>
      <w:bookmarkEnd w:id="256"/>
      <w:bookmarkStart w:id="257" w:name="_Toc184310279"/>
      <w:bookmarkEnd w:id="257"/>
      <w:bookmarkStart w:id="258" w:name="_Toc184312074"/>
      <w:bookmarkEnd w:id="258"/>
      <w:bookmarkStart w:id="259" w:name="_Toc184314471"/>
      <w:bookmarkEnd w:id="259"/>
      <w:bookmarkStart w:id="260" w:name="_Toc184312131"/>
      <w:bookmarkEnd w:id="260"/>
      <w:bookmarkStart w:id="261" w:name="_Toc184314411"/>
      <w:bookmarkEnd w:id="261"/>
      <w:bookmarkStart w:id="262" w:name="_Toc184308086"/>
      <w:bookmarkEnd w:id="262"/>
      <w:bookmarkStart w:id="263" w:name="_Toc184310276"/>
      <w:bookmarkEnd w:id="263"/>
      <w:bookmarkStart w:id="264" w:name="_Toc184314478"/>
      <w:bookmarkEnd w:id="264"/>
      <w:bookmarkStart w:id="265" w:name="_Toc184312084"/>
      <w:bookmarkEnd w:id="265"/>
      <w:bookmarkStart w:id="266" w:name="_Toc184310288"/>
      <w:bookmarkEnd w:id="266"/>
      <w:bookmarkStart w:id="267" w:name="_Toc184314472"/>
      <w:bookmarkEnd w:id="267"/>
      <w:bookmarkStart w:id="268" w:name="_Toc184308043"/>
      <w:bookmarkEnd w:id="268"/>
      <w:bookmarkStart w:id="269" w:name="_Toc184313300"/>
      <w:bookmarkEnd w:id="269"/>
      <w:bookmarkStart w:id="270" w:name="_Toc184308075"/>
      <w:bookmarkEnd w:id="270"/>
      <w:bookmarkStart w:id="271" w:name="_Toc184314441"/>
      <w:bookmarkEnd w:id="271"/>
      <w:bookmarkStart w:id="272" w:name="_Toc184310324"/>
      <w:bookmarkEnd w:id="272"/>
      <w:bookmarkStart w:id="273" w:name="_Toc184312078"/>
      <w:bookmarkEnd w:id="273"/>
      <w:bookmarkStart w:id="274" w:name="_Toc184314468"/>
      <w:bookmarkEnd w:id="274"/>
      <w:bookmarkStart w:id="275" w:name="_Toc184312118"/>
      <w:bookmarkEnd w:id="275"/>
      <w:bookmarkStart w:id="276" w:name="_Toc184312085"/>
      <w:bookmarkEnd w:id="276"/>
      <w:bookmarkStart w:id="277" w:name="_Toc184312113"/>
      <w:bookmarkEnd w:id="277"/>
      <w:bookmarkStart w:id="278" w:name="_Toc184308095"/>
      <w:bookmarkEnd w:id="278"/>
      <w:bookmarkStart w:id="279" w:name="_Toc184313253"/>
      <w:bookmarkEnd w:id="279"/>
      <w:bookmarkStart w:id="280" w:name="_Toc184313295"/>
      <w:bookmarkEnd w:id="280"/>
      <w:bookmarkStart w:id="281" w:name="_Toc184312079"/>
      <w:bookmarkEnd w:id="281"/>
      <w:bookmarkStart w:id="282" w:name="_Toc184314439"/>
      <w:bookmarkEnd w:id="282"/>
      <w:bookmarkStart w:id="283" w:name="_Toc184313275"/>
      <w:bookmarkEnd w:id="283"/>
      <w:bookmarkStart w:id="284" w:name="_Toc184308041"/>
      <w:bookmarkEnd w:id="284"/>
      <w:bookmarkStart w:id="285" w:name="_Toc184313306"/>
      <w:bookmarkEnd w:id="285"/>
      <w:bookmarkStart w:id="286" w:name="_Toc184314419"/>
      <w:bookmarkEnd w:id="286"/>
      <w:bookmarkStart w:id="287" w:name="_Toc184310341"/>
      <w:bookmarkEnd w:id="287"/>
      <w:bookmarkStart w:id="288" w:name="_Toc184308085"/>
      <w:bookmarkEnd w:id="288"/>
      <w:bookmarkStart w:id="289" w:name="_Toc184312093"/>
      <w:bookmarkEnd w:id="289"/>
      <w:bookmarkStart w:id="290" w:name="_Toc184313297"/>
      <w:bookmarkEnd w:id="290"/>
      <w:bookmarkStart w:id="291" w:name="_Toc184310328"/>
      <w:bookmarkEnd w:id="291"/>
      <w:bookmarkStart w:id="292" w:name="_Toc184314410"/>
      <w:bookmarkEnd w:id="292"/>
      <w:bookmarkStart w:id="293" w:name="_Toc184313265"/>
      <w:bookmarkEnd w:id="293"/>
      <w:bookmarkStart w:id="294" w:name="_Toc184313292"/>
      <w:bookmarkEnd w:id="294"/>
      <w:bookmarkStart w:id="295" w:name="_Toc184313286"/>
      <w:bookmarkEnd w:id="295"/>
      <w:bookmarkStart w:id="296" w:name="_Toc184313285"/>
      <w:bookmarkEnd w:id="296"/>
      <w:bookmarkStart w:id="297" w:name="_Toc184308092"/>
      <w:bookmarkEnd w:id="297"/>
      <w:bookmarkStart w:id="298" w:name="_Toc184313290"/>
      <w:bookmarkEnd w:id="298"/>
      <w:bookmarkStart w:id="299" w:name="_Toc184312139"/>
      <w:bookmarkEnd w:id="299"/>
      <w:bookmarkStart w:id="300" w:name="_Toc184312124"/>
      <w:bookmarkEnd w:id="300"/>
      <w:bookmarkStart w:id="301" w:name="_Toc184312119"/>
      <w:bookmarkEnd w:id="301"/>
      <w:bookmarkStart w:id="302" w:name="_Toc184308040"/>
      <w:bookmarkEnd w:id="302"/>
      <w:bookmarkStart w:id="303" w:name="_Toc184312132"/>
      <w:bookmarkEnd w:id="303"/>
      <w:bookmarkStart w:id="304" w:name="_Toc184310273"/>
      <w:bookmarkEnd w:id="304"/>
      <w:bookmarkStart w:id="305" w:name="_Toc184314416"/>
      <w:bookmarkEnd w:id="305"/>
      <w:bookmarkStart w:id="306" w:name="_Toc184308098"/>
      <w:bookmarkEnd w:id="306"/>
      <w:bookmarkStart w:id="307" w:name="_Toc184313255"/>
      <w:bookmarkEnd w:id="307"/>
      <w:bookmarkStart w:id="308" w:name="_Toc184310333"/>
      <w:bookmarkEnd w:id="308"/>
      <w:bookmarkStart w:id="309" w:name="_Toc184314434"/>
      <w:bookmarkEnd w:id="309"/>
      <w:bookmarkStart w:id="310" w:name="_Toc184308101"/>
      <w:bookmarkEnd w:id="310"/>
      <w:bookmarkStart w:id="311" w:name="_Toc184308049"/>
      <w:bookmarkEnd w:id="311"/>
      <w:bookmarkStart w:id="312" w:name="_Toc184310311"/>
      <w:bookmarkEnd w:id="312"/>
      <w:bookmarkStart w:id="313" w:name="_Toc184312121"/>
      <w:bookmarkEnd w:id="313"/>
      <w:bookmarkStart w:id="314" w:name="_Toc184310335"/>
      <w:bookmarkEnd w:id="314"/>
      <w:bookmarkStart w:id="315" w:name="_Toc184312106"/>
      <w:bookmarkEnd w:id="315"/>
      <w:bookmarkStart w:id="316" w:name="_Toc184308046"/>
      <w:bookmarkEnd w:id="316"/>
      <w:bookmarkStart w:id="317" w:name="_Toc184313266"/>
      <w:bookmarkEnd w:id="317"/>
      <w:bookmarkStart w:id="318" w:name="_Toc184313263"/>
      <w:bookmarkEnd w:id="318"/>
      <w:bookmarkStart w:id="319" w:name="_Toc184314421"/>
      <w:bookmarkEnd w:id="319"/>
      <w:bookmarkStart w:id="320" w:name="_Toc184308061"/>
      <w:bookmarkEnd w:id="320"/>
      <w:bookmarkStart w:id="321" w:name="_Toc184310300"/>
      <w:bookmarkEnd w:id="321"/>
      <w:bookmarkStart w:id="322" w:name="_Toc184314467"/>
      <w:bookmarkEnd w:id="322"/>
      <w:bookmarkStart w:id="323" w:name="_Toc184308089"/>
      <w:bookmarkEnd w:id="323"/>
      <w:bookmarkStart w:id="324" w:name="_Toc184308069"/>
      <w:bookmarkEnd w:id="324"/>
      <w:bookmarkStart w:id="325" w:name="_Toc184308070"/>
      <w:bookmarkEnd w:id="325"/>
      <w:bookmarkStart w:id="326" w:name="_Toc184312098"/>
      <w:bookmarkEnd w:id="326"/>
      <w:bookmarkStart w:id="327" w:name="_Toc184313281"/>
      <w:bookmarkEnd w:id="327"/>
      <w:bookmarkStart w:id="328" w:name="_Toc184314462"/>
      <w:bookmarkEnd w:id="328"/>
      <w:bookmarkStart w:id="329" w:name="_Toc184312090"/>
      <w:bookmarkEnd w:id="329"/>
      <w:bookmarkStart w:id="330" w:name="_Toc184308096"/>
      <w:bookmarkEnd w:id="330"/>
      <w:bookmarkStart w:id="331" w:name="_Toc184314438"/>
      <w:bookmarkEnd w:id="331"/>
      <w:bookmarkStart w:id="332" w:name="_Toc184313271"/>
      <w:bookmarkEnd w:id="332"/>
      <w:bookmarkStart w:id="333" w:name="_Toc184308077"/>
      <w:bookmarkEnd w:id="333"/>
      <w:bookmarkStart w:id="334" w:name="_Toc184313284"/>
      <w:bookmarkEnd w:id="334"/>
      <w:bookmarkStart w:id="335" w:name="_Toc184308054"/>
      <w:bookmarkEnd w:id="335"/>
      <w:bookmarkStart w:id="336" w:name="_Toc184310340"/>
      <w:bookmarkEnd w:id="336"/>
      <w:bookmarkStart w:id="337" w:name="_Toc184310321"/>
      <w:bookmarkEnd w:id="337"/>
      <w:bookmarkStart w:id="338" w:name="_Toc184313270"/>
      <w:bookmarkEnd w:id="338"/>
      <w:bookmarkStart w:id="339" w:name="_Toc184314456"/>
      <w:bookmarkEnd w:id="339"/>
      <w:bookmarkStart w:id="340" w:name="_Toc184313250"/>
      <w:bookmarkEnd w:id="340"/>
      <w:bookmarkStart w:id="341" w:name="_Toc184308090"/>
      <w:bookmarkEnd w:id="341"/>
      <w:bookmarkStart w:id="342" w:name="_Toc184313308"/>
      <w:bookmarkEnd w:id="342"/>
      <w:bookmarkStart w:id="343" w:name="_Toc184312134"/>
      <w:bookmarkEnd w:id="343"/>
      <w:bookmarkStart w:id="344" w:name="_Toc184308103"/>
      <w:bookmarkEnd w:id="344"/>
      <w:bookmarkStart w:id="345" w:name="_Toc184310314"/>
      <w:bookmarkEnd w:id="345"/>
      <w:bookmarkStart w:id="346" w:name="_Toc184313260"/>
      <w:bookmarkEnd w:id="346"/>
      <w:bookmarkStart w:id="347" w:name="_Toc184308055"/>
      <w:bookmarkEnd w:id="347"/>
      <w:bookmarkStart w:id="348" w:name="_Toc184308094"/>
      <w:bookmarkEnd w:id="348"/>
      <w:bookmarkStart w:id="349" w:name="_Toc184310320"/>
      <w:bookmarkEnd w:id="349"/>
      <w:bookmarkStart w:id="350" w:name="_Toc184308084"/>
      <w:bookmarkEnd w:id="350"/>
      <w:bookmarkStart w:id="351" w:name="_Toc184312067"/>
      <w:bookmarkEnd w:id="351"/>
      <w:bookmarkStart w:id="352" w:name="_Toc184310272"/>
      <w:bookmarkEnd w:id="352"/>
      <w:bookmarkStart w:id="353" w:name="_Toc184314476"/>
      <w:bookmarkEnd w:id="353"/>
      <w:bookmarkStart w:id="354" w:name="_Toc184312077"/>
      <w:bookmarkEnd w:id="354"/>
      <w:bookmarkStart w:id="355" w:name="_Toc184313247"/>
      <w:bookmarkEnd w:id="355"/>
      <w:bookmarkStart w:id="356" w:name="_Toc184312136"/>
      <w:bookmarkEnd w:id="356"/>
      <w:bookmarkStart w:id="357" w:name="_Toc184314473"/>
      <w:bookmarkEnd w:id="357"/>
      <w:bookmarkStart w:id="358" w:name="_Toc184308106"/>
      <w:bookmarkEnd w:id="358"/>
      <w:bookmarkStart w:id="359" w:name="_Toc184312073"/>
      <w:bookmarkEnd w:id="359"/>
      <w:bookmarkStart w:id="360" w:name="_Toc184312105"/>
      <w:bookmarkEnd w:id="360"/>
      <w:bookmarkStart w:id="361" w:name="_Toc184314451"/>
      <w:bookmarkEnd w:id="361"/>
      <w:bookmarkStart w:id="362" w:name="_Toc184313303"/>
      <w:bookmarkEnd w:id="362"/>
      <w:bookmarkStart w:id="363" w:name="_Toc184313258"/>
      <w:bookmarkEnd w:id="363"/>
      <w:bookmarkStart w:id="364" w:name="_Toc184312117"/>
      <w:bookmarkEnd w:id="364"/>
      <w:bookmarkStart w:id="365" w:name="_Toc184313240"/>
      <w:bookmarkEnd w:id="365"/>
      <w:bookmarkStart w:id="366" w:name="_Toc184310338"/>
      <w:bookmarkEnd w:id="366"/>
      <w:bookmarkStart w:id="367" w:name="_Toc184310325"/>
      <w:bookmarkEnd w:id="367"/>
      <w:bookmarkStart w:id="368" w:name="_Toc184310330"/>
      <w:bookmarkEnd w:id="368"/>
      <w:bookmarkStart w:id="369" w:name="_Toc184313249"/>
      <w:bookmarkEnd w:id="369"/>
      <w:bookmarkStart w:id="370" w:name="_Toc184312120"/>
      <w:bookmarkEnd w:id="370"/>
      <w:bookmarkStart w:id="371" w:name="_Toc184310323"/>
      <w:bookmarkEnd w:id="371"/>
      <w:bookmarkStart w:id="372" w:name="_Toc184310292"/>
      <w:bookmarkEnd w:id="372"/>
      <w:bookmarkStart w:id="373" w:name="_Toc184313244"/>
      <w:bookmarkEnd w:id="373"/>
      <w:bookmarkStart w:id="374" w:name="_Toc184310326"/>
      <w:bookmarkEnd w:id="374"/>
      <w:bookmarkStart w:id="375" w:name="_Toc184308044"/>
      <w:bookmarkEnd w:id="375"/>
      <w:bookmarkStart w:id="376" w:name="_Toc184312068"/>
      <w:bookmarkEnd w:id="376"/>
      <w:bookmarkStart w:id="377" w:name="_Toc184310322"/>
      <w:bookmarkEnd w:id="377"/>
      <w:bookmarkStart w:id="378" w:name="_Toc184310332"/>
      <w:bookmarkEnd w:id="378"/>
      <w:bookmarkStart w:id="379" w:name="_Toc184313296"/>
      <w:bookmarkEnd w:id="379"/>
      <w:bookmarkStart w:id="380" w:name="_Toc184314428"/>
      <w:bookmarkEnd w:id="380"/>
      <w:bookmarkStart w:id="381" w:name="_Toc184308093"/>
      <w:bookmarkEnd w:id="381"/>
      <w:bookmarkStart w:id="382" w:name="_Toc184310313"/>
      <w:bookmarkEnd w:id="382"/>
      <w:bookmarkStart w:id="383" w:name="_Toc184310302"/>
      <w:bookmarkEnd w:id="383"/>
      <w:bookmarkStart w:id="384" w:name="_Toc184310280"/>
      <w:bookmarkEnd w:id="384"/>
      <w:bookmarkStart w:id="385" w:name="_Toc184313304"/>
      <w:bookmarkEnd w:id="385"/>
      <w:bookmarkStart w:id="386" w:name="_Toc184308087"/>
      <w:bookmarkEnd w:id="386"/>
      <w:bookmarkStart w:id="387" w:name="_Toc184308068"/>
      <w:bookmarkEnd w:id="387"/>
      <w:bookmarkStart w:id="388" w:name="_Toc184308076"/>
      <w:bookmarkEnd w:id="388"/>
      <w:bookmarkStart w:id="389" w:name="_Toc184310298"/>
      <w:bookmarkEnd w:id="389"/>
      <w:bookmarkStart w:id="390" w:name="_Toc184308053"/>
      <w:bookmarkEnd w:id="390"/>
      <w:bookmarkStart w:id="391" w:name="_Toc184313276"/>
      <w:bookmarkEnd w:id="391"/>
      <w:bookmarkStart w:id="392" w:name="_Toc184314435"/>
      <w:bookmarkEnd w:id="392"/>
      <w:bookmarkStart w:id="393" w:name="_Toc184313257"/>
      <w:bookmarkEnd w:id="393"/>
      <w:bookmarkStart w:id="394" w:name="_Toc184312114"/>
      <w:bookmarkEnd w:id="394"/>
      <w:bookmarkStart w:id="395" w:name="_Toc184312116"/>
      <w:bookmarkEnd w:id="395"/>
      <w:bookmarkStart w:id="396" w:name="_Toc184313301"/>
      <w:bookmarkEnd w:id="396"/>
      <w:bookmarkStart w:id="397" w:name="_Toc184310281"/>
      <w:bookmarkEnd w:id="397"/>
      <w:bookmarkStart w:id="398" w:name="_Toc184314445"/>
      <w:bookmarkEnd w:id="398"/>
      <w:bookmarkStart w:id="399" w:name="_Toc184313279"/>
      <w:bookmarkEnd w:id="399"/>
      <w:bookmarkStart w:id="400" w:name="_Toc184314447"/>
      <w:bookmarkEnd w:id="400"/>
      <w:bookmarkStart w:id="401" w:name="_Toc184308058"/>
      <w:bookmarkEnd w:id="401"/>
      <w:bookmarkStart w:id="402" w:name="_Toc184314443"/>
      <w:bookmarkEnd w:id="402"/>
      <w:bookmarkStart w:id="403" w:name="_Toc184314436"/>
      <w:bookmarkEnd w:id="403"/>
      <w:bookmarkStart w:id="404" w:name="_Toc184310283"/>
      <w:bookmarkEnd w:id="404"/>
      <w:bookmarkStart w:id="405" w:name="_Toc184314469"/>
      <w:bookmarkEnd w:id="405"/>
      <w:bookmarkStart w:id="406" w:name="_Toc184310315"/>
      <w:bookmarkEnd w:id="406"/>
      <w:bookmarkStart w:id="407" w:name="_Toc184314479"/>
      <w:bookmarkEnd w:id="407"/>
      <w:bookmarkStart w:id="408" w:name="_Toc184314423"/>
      <w:bookmarkEnd w:id="408"/>
      <w:bookmarkStart w:id="409" w:name="_Toc184310297"/>
      <w:bookmarkEnd w:id="409"/>
      <w:bookmarkStart w:id="410" w:name="_Toc184310291"/>
      <w:bookmarkEnd w:id="410"/>
      <w:bookmarkStart w:id="411" w:name="_Toc184314450"/>
      <w:bookmarkEnd w:id="411"/>
      <w:bookmarkStart w:id="412" w:name="_Toc184312070"/>
      <w:bookmarkEnd w:id="412"/>
      <w:bookmarkStart w:id="413" w:name="_Toc184312108"/>
      <w:bookmarkEnd w:id="413"/>
      <w:bookmarkStart w:id="414" w:name="_Toc184313291"/>
      <w:bookmarkEnd w:id="414"/>
      <w:bookmarkStart w:id="415" w:name="_Toc184314463"/>
      <w:bookmarkEnd w:id="415"/>
      <w:bookmarkStart w:id="416" w:name="_Toc184312086"/>
      <w:bookmarkEnd w:id="416"/>
      <w:bookmarkStart w:id="417" w:name="_Toc184314452"/>
      <w:bookmarkEnd w:id="417"/>
      <w:bookmarkStart w:id="418" w:name="_Toc184310296"/>
      <w:bookmarkEnd w:id="418"/>
      <w:bookmarkStart w:id="419" w:name="_Toc184313243"/>
      <w:bookmarkEnd w:id="419"/>
      <w:bookmarkStart w:id="420" w:name="_Toc184308048"/>
      <w:bookmarkEnd w:id="420"/>
      <w:bookmarkStart w:id="421" w:name="_Toc184310277"/>
      <w:bookmarkEnd w:id="421"/>
      <w:bookmarkStart w:id="422" w:name="_Toc184314454"/>
      <w:bookmarkEnd w:id="422"/>
      <w:bookmarkStart w:id="423" w:name="_Toc184312126"/>
      <w:bookmarkEnd w:id="423"/>
      <w:bookmarkStart w:id="424" w:name="_Toc184310342"/>
      <w:bookmarkEnd w:id="424"/>
      <w:bookmarkStart w:id="425" w:name="_Toc184314417"/>
      <w:bookmarkEnd w:id="425"/>
      <w:bookmarkStart w:id="426" w:name="_Toc184312091"/>
      <w:bookmarkEnd w:id="426"/>
      <w:bookmarkStart w:id="427" w:name="_Toc184308082"/>
      <w:bookmarkEnd w:id="427"/>
      <w:bookmarkStart w:id="428" w:name="_Toc184312138"/>
      <w:bookmarkEnd w:id="428"/>
      <w:bookmarkStart w:id="429" w:name="_Toc184310305"/>
      <w:bookmarkEnd w:id="429"/>
      <w:bookmarkStart w:id="430" w:name="_Toc184312104"/>
      <w:bookmarkEnd w:id="430"/>
      <w:bookmarkStart w:id="431" w:name="_Toc184310290"/>
      <w:bookmarkEnd w:id="431"/>
      <w:bookmarkStart w:id="432" w:name="_Toc184312133"/>
      <w:bookmarkEnd w:id="432"/>
      <w:bookmarkStart w:id="433" w:name="_Toc184308065"/>
      <w:bookmarkEnd w:id="433"/>
      <w:bookmarkStart w:id="434" w:name="_Toc184310306"/>
      <w:bookmarkEnd w:id="434"/>
      <w:bookmarkStart w:id="435" w:name="_Toc184308073"/>
      <w:bookmarkEnd w:id="435"/>
      <w:bookmarkStart w:id="436" w:name="_Toc184313283"/>
      <w:bookmarkEnd w:id="436"/>
      <w:bookmarkStart w:id="437" w:name="_Toc184314424"/>
      <w:bookmarkEnd w:id="437"/>
      <w:bookmarkStart w:id="438" w:name="_Toc184310312"/>
      <w:bookmarkEnd w:id="438"/>
      <w:bookmarkStart w:id="439" w:name="_Toc184313238"/>
      <w:bookmarkEnd w:id="439"/>
      <w:bookmarkStart w:id="440" w:name="_Toc184314437"/>
      <w:bookmarkEnd w:id="440"/>
      <w:bookmarkStart w:id="441" w:name="_Toc184312112"/>
      <w:bookmarkEnd w:id="441"/>
      <w:bookmarkStart w:id="442" w:name="_Toc184308056"/>
      <w:bookmarkEnd w:id="442"/>
      <w:bookmarkStart w:id="443" w:name="_Toc184308102"/>
      <w:bookmarkEnd w:id="443"/>
      <w:bookmarkStart w:id="444" w:name="_Toc184314474"/>
      <w:bookmarkEnd w:id="444"/>
      <w:bookmarkStart w:id="445" w:name="_Toc184314413"/>
      <w:bookmarkEnd w:id="445"/>
      <w:bookmarkStart w:id="446" w:name="_Toc184313309"/>
      <w:bookmarkEnd w:id="446"/>
      <w:bookmarkStart w:id="447" w:name="_Toc184314475"/>
      <w:bookmarkEnd w:id="447"/>
      <w:bookmarkStart w:id="448" w:name="_Toc184312095"/>
      <w:bookmarkEnd w:id="448"/>
      <w:bookmarkStart w:id="449" w:name="_Toc184314446"/>
      <w:bookmarkEnd w:id="449"/>
      <w:bookmarkStart w:id="450" w:name="_Toc184308052"/>
      <w:bookmarkEnd w:id="450"/>
      <w:bookmarkStart w:id="451" w:name="_Toc184314457"/>
      <w:bookmarkEnd w:id="451"/>
      <w:bookmarkStart w:id="452" w:name="_Toc184308081"/>
      <w:bookmarkEnd w:id="452"/>
      <w:bookmarkStart w:id="453" w:name="_Toc184310331"/>
      <w:bookmarkEnd w:id="453"/>
      <w:bookmarkStart w:id="454" w:name="_Toc184314420"/>
      <w:bookmarkEnd w:id="454"/>
      <w:bookmarkStart w:id="455" w:name="_Toc184313267"/>
      <w:bookmarkEnd w:id="455"/>
      <w:bookmarkStart w:id="456" w:name="_Toc184314418"/>
      <w:bookmarkEnd w:id="456"/>
      <w:bookmarkStart w:id="457" w:name="_Toc184314422"/>
      <w:bookmarkEnd w:id="457"/>
      <w:bookmarkStart w:id="458" w:name="_Toc184310329"/>
      <w:bookmarkEnd w:id="458"/>
      <w:bookmarkStart w:id="459" w:name="_Toc184313305"/>
      <w:bookmarkEnd w:id="459"/>
      <w:bookmarkStart w:id="460" w:name="_Toc184308074"/>
      <w:bookmarkEnd w:id="460"/>
      <w:bookmarkStart w:id="461" w:name="_Toc184312103"/>
      <w:bookmarkEnd w:id="461"/>
      <w:bookmarkStart w:id="462" w:name="第四部分"/>
      <w:r>
        <w:rPr>
          <w:rFonts w:hint="eastAsia" w:ascii="宋体" w:hAnsi="宋体" w:eastAsia="宋体" w:cs="宋体"/>
          <w:b/>
          <w:sz w:val="36"/>
          <w:szCs w:val="36"/>
          <w:highlight w:val="none"/>
        </w:rPr>
        <w:t>评标办法及评分标准</w:t>
      </w:r>
      <w:bookmarkEnd w:id="94"/>
      <w:bookmarkEnd w:id="95"/>
      <w:bookmarkEnd w:id="96"/>
    </w:p>
    <w:p w14:paraId="2C132D52">
      <w:pPr>
        <w:pStyle w:val="4"/>
        <w:numPr>
          <w:ilvl w:val="0"/>
          <w:numId w:val="0"/>
        </w:numPr>
        <w:spacing w:line="360" w:lineRule="auto"/>
        <w:ind w:leftChars="0"/>
        <w:jc w:val="center"/>
        <w:rPr>
          <w:rFonts w:hint="eastAsia" w:ascii="宋体" w:hAnsi="宋体" w:eastAsia="宋体" w:cs="宋体"/>
          <w:b/>
          <w:bCs/>
          <w:highlight w:val="none"/>
        </w:rPr>
      </w:pPr>
      <w:bookmarkStart w:id="463" w:name="_Toc1764"/>
      <w:bookmarkStart w:id="464" w:name="_Toc15630"/>
      <w:bookmarkStart w:id="465" w:name="_Toc6678"/>
      <w:r>
        <w:rPr>
          <w:rFonts w:hint="eastAsia" w:ascii="宋体" w:hAnsi="宋体" w:eastAsia="宋体" w:cs="宋体"/>
          <w:b/>
          <w:bCs/>
          <w:highlight w:val="none"/>
        </w:rPr>
        <w:t>第一章</w:t>
      </w:r>
      <w:r>
        <w:rPr>
          <w:rFonts w:hint="eastAsia" w:hAnsi="宋体" w:cs="宋体"/>
          <w:b/>
          <w:bCs/>
          <w:highlight w:val="none"/>
          <w:lang w:val="en-US" w:eastAsia="zh-CN"/>
        </w:rPr>
        <w:t xml:space="preserve"> </w:t>
      </w:r>
      <w:r>
        <w:rPr>
          <w:rFonts w:hint="eastAsia" w:ascii="宋体" w:hAnsi="宋体" w:eastAsia="宋体" w:cs="宋体"/>
          <w:b/>
          <w:bCs/>
          <w:highlight w:val="none"/>
        </w:rPr>
        <w:t>评标办法</w:t>
      </w:r>
      <w:bookmarkEnd w:id="463"/>
      <w:bookmarkEnd w:id="464"/>
      <w:bookmarkEnd w:id="465"/>
    </w:p>
    <w:p w14:paraId="3112BED4">
      <w:pPr>
        <w:spacing w:line="360" w:lineRule="auto"/>
        <w:ind w:firstLine="482" w:firstLineChars="200"/>
        <w:rPr>
          <w:rFonts w:hint="eastAsia" w:ascii="宋体" w:hAnsi="宋体" w:eastAsia="宋体" w:cs="宋体"/>
          <w:b/>
          <w:bCs/>
          <w:color w:val="auto"/>
          <w:sz w:val="24"/>
          <w:szCs w:val="21"/>
          <w:highlight w:val="none"/>
        </w:rPr>
      </w:pPr>
      <w:r>
        <w:rPr>
          <w:rFonts w:hint="eastAsia" w:ascii="宋体" w:hAnsi="宋体" w:eastAsia="宋体" w:cs="宋体"/>
          <w:b/>
          <w:bCs/>
          <w:color w:val="auto"/>
          <w:sz w:val="24"/>
          <w:szCs w:val="21"/>
          <w:highlight w:val="none"/>
        </w:rPr>
        <w:t>一、本次招标将按下列第</w:t>
      </w:r>
      <w:r>
        <w:rPr>
          <w:rFonts w:hint="eastAsia" w:ascii="宋体" w:hAnsi="宋体" w:eastAsia="宋体" w:cs="宋体"/>
          <w:b/>
          <w:bCs/>
          <w:color w:val="auto"/>
          <w:sz w:val="24"/>
          <w:szCs w:val="21"/>
          <w:highlight w:val="none"/>
          <w:u w:val="single"/>
        </w:rPr>
        <w:t>　</w:t>
      </w:r>
      <w:r>
        <w:rPr>
          <w:rFonts w:hint="eastAsia" w:ascii="宋体" w:hAnsi="宋体" w:eastAsia="宋体" w:cs="宋体"/>
          <w:b/>
          <w:bCs/>
          <w:color w:val="auto"/>
          <w:sz w:val="24"/>
          <w:szCs w:val="21"/>
          <w:highlight w:val="none"/>
          <w:u w:val="single"/>
          <w:lang w:val="en-US" w:eastAsia="zh-CN"/>
        </w:rPr>
        <w:t>1</w:t>
      </w:r>
      <w:r>
        <w:rPr>
          <w:rFonts w:hint="eastAsia" w:ascii="宋体" w:hAnsi="宋体" w:eastAsia="宋体" w:cs="宋体"/>
          <w:b/>
          <w:bCs/>
          <w:color w:val="auto"/>
          <w:sz w:val="24"/>
          <w:szCs w:val="21"/>
          <w:highlight w:val="none"/>
          <w:u w:val="single"/>
        </w:rPr>
        <w:t>　</w:t>
      </w:r>
      <w:r>
        <w:rPr>
          <w:rFonts w:hint="eastAsia" w:ascii="宋体" w:hAnsi="宋体" w:eastAsia="宋体" w:cs="宋体"/>
          <w:b/>
          <w:bCs/>
          <w:color w:val="auto"/>
          <w:sz w:val="24"/>
          <w:szCs w:val="21"/>
          <w:highlight w:val="none"/>
        </w:rPr>
        <w:t>种评标办法进行评标：</w:t>
      </w:r>
    </w:p>
    <w:p w14:paraId="00A1EBAF">
      <w:pPr>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1、综合评分法。即在最大限度地满足招标文件实质性要求的前提下，按照《评分标准》规定的评分因素对各投标人的投标文件进行综合评审，以技术分、资信分、商务分总得分最高的投标人作为中标候选人。如最高总得分相同的，以报价低者作为中标候选人。如最高总得分且报价相同的，以技术指标优者作为中标候选人；无法确定技术指标优劣的，则抽签确定中标候选人。</w:t>
      </w:r>
    </w:p>
    <w:p w14:paraId="5154A2FD">
      <w:pPr>
        <w:spacing w:line="360" w:lineRule="auto"/>
        <w:ind w:firstLine="480" w:firstLineChars="200"/>
        <w:rPr>
          <w:rFonts w:hint="eastAsia" w:ascii="宋体" w:hAnsi="宋体" w:eastAsia="宋体" w:cs="宋体"/>
          <w:sz w:val="24"/>
          <w:szCs w:val="21"/>
          <w:highlight w:val="none"/>
        </w:rPr>
      </w:pPr>
      <w:r>
        <w:rPr>
          <w:rFonts w:hint="eastAsia" w:ascii="宋体" w:hAnsi="宋体" w:eastAsia="宋体" w:cs="宋体"/>
          <w:color w:val="auto"/>
          <w:sz w:val="24"/>
          <w:szCs w:val="21"/>
          <w:highlight w:val="none"/>
        </w:rPr>
        <w:t>2、最低评标价法。即在全部满足招标</w:t>
      </w:r>
      <w:r>
        <w:rPr>
          <w:rFonts w:hint="eastAsia" w:ascii="宋体" w:hAnsi="宋体" w:eastAsia="宋体" w:cs="宋体"/>
          <w:sz w:val="24"/>
          <w:szCs w:val="21"/>
          <w:highlight w:val="none"/>
        </w:rPr>
        <w:t>文件实质性要求的前提下，以评审后最低评标价的投标人作为中标候选人。如最低报价相同的，以技术指标优者作为中标候选人；无法确定技术指标优劣的，则抽签确定中标候选人。</w:t>
      </w:r>
    </w:p>
    <w:p w14:paraId="5722F141">
      <w:pPr>
        <w:spacing w:line="360" w:lineRule="auto"/>
        <w:ind w:firstLine="480" w:firstLineChars="200"/>
        <w:rPr>
          <w:rFonts w:hint="eastAsia" w:ascii="宋体" w:hAnsi="宋体" w:eastAsia="宋体" w:cs="宋体"/>
          <w:sz w:val="24"/>
          <w:szCs w:val="21"/>
          <w:highlight w:val="none"/>
        </w:rPr>
      </w:pPr>
      <w:r>
        <w:rPr>
          <w:rFonts w:hint="eastAsia" w:ascii="宋体" w:hAnsi="宋体" w:eastAsia="宋体" w:cs="宋体"/>
          <w:sz w:val="24"/>
          <w:szCs w:val="21"/>
          <w:highlight w:val="none"/>
        </w:rPr>
        <w:t>本次评标采用百分制计分，计算时四舍五入保留到小数点后两位。</w:t>
      </w:r>
    </w:p>
    <w:p w14:paraId="21E99EA3">
      <w:pPr>
        <w:spacing w:line="360" w:lineRule="auto"/>
        <w:ind w:firstLine="480" w:firstLineChars="200"/>
        <w:rPr>
          <w:rFonts w:hint="eastAsia" w:ascii="宋体" w:hAnsi="宋体" w:eastAsia="宋体" w:cs="宋体"/>
          <w:sz w:val="24"/>
          <w:szCs w:val="21"/>
          <w:highlight w:val="none"/>
        </w:rPr>
      </w:pPr>
    </w:p>
    <w:p w14:paraId="512D63C9">
      <w:pPr>
        <w:pStyle w:val="4"/>
        <w:numPr>
          <w:ilvl w:val="0"/>
          <w:numId w:val="0"/>
        </w:numPr>
        <w:spacing w:line="360" w:lineRule="auto"/>
        <w:ind w:leftChars="0"/>
        <w:jc w:val="center"/>
        <w:rPr>
          <w:rFonts w:hint="eastAsia" w:ascii="宋体" w:hAnsi="宋体" w:eastAsia="宋体" w:cs="宋体"/>
          <w:highlight w:val="none"/>
        </w:rPr>
      </w:pPr>
      <w:bookmarkStart w:id="466" w:name="_Toc247"/>
      <w:bookmarkStart w:id="467" w:name="_Toc8887"/>
      <w:r>
        <w:rPr>
          <w:rFonts w:hint="eastAsia" w:ascii="宋体" w:hAnsi="宋体" w:eastAsia="宋体" w:cs="宋体"/>
          <w:highlight w:val="none"/>
        </w:rPr>
        <w:t>第二章</w:t>
      </w:r>
      <w:r>
        <w:rPr>
          <w:rFonts w:hint="eastAsia" w:hAnsi="宋体" w:cs="宋体"/>
          <w:highlight w:val="none"/>
          <w:lang w:val="en-US" w:eastAsia="zh-CN"/>
        </w:rPr>
        <w:t xml:space="preserve"> </w:t>
      </w:r>
      <w:r>
        <w:rPr>
          <w:rFonts w:hint="eastAsia" w:ascii="宋体" w:hAnsi="宋体" w:eastAsia="宋体" w:cs="宋体"/>
          <w:highlight w:val="none"/>
        </w:rPr>
        <w:t>评分标准</w:t>
      </w:r>
      <w:bookmarkEnd w:id="466"/>
      <w:bookmarkEnd w:id="467"/>
    </w:p>
    <w:p w14:paraId="316F2940">
      <w:pPr>
        <w:spacing w:line="360" w:lineRule="auto"/>
        <w:ind w:firstLine="482" w:firstLineChars="200"/>
        <w:outlineLvl w:val="2"/>
        <w:rPr>
          <w:rFonts w:hint="default" w:ascii="宋体" w:hAnsi="宋体" w:eastAsia="宋体"/>
          <w:b/>
          <w:bCs/>
          <w:sz w:val="24"/>
          <w:szCs w:val="21"/>
          <w:highlight w:val="none"/>
          <w:lang w:val="en-US" w:eastAsia="zh-CN"/>
        </w:rPr>
      </w:pPr>
      <w:bookmarkStart w:id="468" w:name="_Toc17014"/>
      <w:bookmarkStart w:id="469" w:name="_Toc3791"/>
      <w:r>
        <w:rPr>
          <w:rFonts w:hint="eastAsia" w:ascii="宋体" w:hAnsi="宋体"/>
          <w:b/>
          <w:bCs/>
          <w:sz w:val="24"/>
          <w:szCs w:val="21"/>
          <w:highlight w:val="none"/>
        </w:rPr>
        <w:t>一、报价文件评分标准</w:t>
      </w:r>
      <w:r>
        <w:rPr>
          <w:rFonts w:hint="eastAsia" w:ascii="宋体" w:hAnsi="宋体"/>
          <w:b/>
          <w:bCs/>
          <w:sz w:val="24"/>
          <w:szCs w:val="21"/>
          <w:highlight w:val="none"/>
          <w:lang w:eastAsia="zh-CN"/>
        </w:rPr>
        <w:t>（</w:t>
      </w:r>
      <w:r>
        <w:rPr>
          <w:rFonts w:hint="eastAsia" w:ascii="宋体" w:hAnsi="宋体"/>
          <w:b/>
          <w:bCs/>
          <w:sz w:val="24"/>
          <w:szCs w:val="21"/>
          <w:highlight w:val="none"/>
          <w:lang w:val="en-US" w:eastAsia="zh-CN"/>
        </w:rPr>
        <w:t>20分）</w:t>
      </w:r>
      <w:bookmarkEnd w:id="468"/>
      <w:bookmarkEnd w:id="469"/>
    </w:p>
    <w:p w14:paraId="4FB577E9">
      <w:pPr>
        <w:spacing w:line="360" w:lineRule="auto"/>
        <w:ind w:firstLine="480" w:firstLineChars="200"/>
        <w:rPr>
          <w:rFonts w:hint="eastAsia" w:ascii="宋体" w:hAnsi="宋体"/>
          <w:sz w:val="24"/>
          <w:szCs w:val="21"/>
          <w:highlight w:val="none"/>
        </w:rPr>
      </w:pPr>
      <w:r>
        <w:rPr>
          <w:rFonts w:hint="eastAsia" w:ascii="宋体" w:hAnsi="宋体"/>
          <w:sz w:val="24"/>
          <w:szCs w:val="21"/>
          <w:highlight w:val="none"/>
        </w:rPr>
        <w:t>报价文件主要是对投标人的有效报价进行评议，其评分标准及分值设置规则如下：</w:t>
      </w:r>
    </w:p>
    <w:p w14:paraId="4CA00CBB">
      <w:pPr>
        <w:spacing w:line="360" w:lineRule="auto"/>
        <w:ind w:firstLine="480" w:firstLineChars="200"/>
        <w:rPr>
          <w:rFonts w:hint="eastAsia" w:ascii="宋体" w:hAnsi="宋体"/>
          <w:color w:val="auto"/>
          <w:sz w:val="24"/>
          <w:szCs w:val="21"/>
          <w:highlight w:val="none"/>
        </w:rPr>
      </w:pPr>
      <w:r>
        <w:rPr>
          <w:rFonts w:hint="eastAsia" w:ascii="宋体" w:hAnsi="宋体"/>
          <w:sz w:val="24"/>
          <w:szCs w:val="21"/>
          <w:highlight w:val="none"/>
        </w:rPr>
        <w:t>1、本次招标最高限价规</w:t>
      </w:r>
      <w:r>
        <w:rPr>
          <w:rFonts w:hint="eastAsia" w:ascii="宋体" w:hAnsi="宋体"/>
          <w:color w:val="auto"/>
          <w:sz w:val="24"/>
          <w:szCs w:val="21"/>
          <w:highlight w:val="none"/>
        </w:rPr>
        <w:t>定如下：</w:t>
      </w:r>
    </w:p>
    <w:p w14:paraId="77809F2B">
      <w:pPr>
        <w:spacing w:line="360" w:lineRule="auto"/>
        <w:ind w:firstLine="480" w:firstLineChars="200"/>
        <w:rPr>
          <w:rFonts w:hint="eastAsia" w:ascii="宋体" w:hAnsi="宋体"/>
          <w:b/>
          <w:color w:val="auto"/>
          <w:sz w:val="24"/>
          <w:szCs w:val="21"/>
          <w:highlight w:val="none"/>
        </w:rPr>
      </w:pPr>
      <w:r>
        <w:rPr>
          <w:rFonts w:hint="eastAsia" w:ascii="宋体" w:hAnsi="宋体"/>
          <w:color w:val="auto"/>
          <w:sz w:val="24"/>
          <w:szCs w:val="21"/>
          <w:highlight w:val="none"/>
        </w:rPr>
        <w:t>本项目投标报价的最高限价</w:t>
      </w:r>
      <w:r>
        <w:rPr>
          <w:rFonts w:hint="eastAsia" w:ascii="宋体" w:hAnsi="宋体"/>
          <w:b/>
          <w:color w:val="auto"/>
          <w:sz w:val="24"/>
          <w:szCs w:val="21"/>
          <w:highlight w:val="none"/>
        </w:rPr>
        <w:t>为人民币</w:t>
      </w:r>
      <w:r>
        <w:rPr>
          <w:rFonts w:hint="eastAsia" w:ascii="宋体" w:hAnsi="宋体"/>
          <w:b/>
          <w:color w:val="auto"/>
          <w:sz w:val="24"/>
          <w:szCs w:val="21"/>
          <w:highlight w:val="none"/>
          <w:u w:val="single"/>
        </w:rPr>
        <w:t xml:space="preserve"> </w:t>
      </w:r>
      <w:r>
        <w:rPr>
          <w:rFonts w:hint="eastAsia" w:ascii="宋体" w:hAnsi="宋体"/>
          <w:b/>
          <w:color w:val="auto"/>
          <w:sz w:val="24"/>
          <w:szCs w:val="21"/>
          <w:highlight w:val="none"/>
          <w:u w:val="single"/>
          <w:lang w:val="en-US" w:eastAsia="zh-CN"/>
        </w:rPr>
        <w:t xml:space="preserve"> 玖拾柒万 </w:t>
      </w:r>
      <w:r>
        <w:rPr>
          <w:rFonts w:hint="eastAsia" w:ascii="宋体" w:hAnsi="宋体"/>
          <w:b/>
          <w:color w:val="auto"/>
          <w:sz w:val="24"/>
          <w:szCs w:val="21"/>
          <w:highlight w:val="none"/>
        </w:rPr>
        <w:fldChar w:fldCharType="begin"/>
      </w:r>
      <w:r>
        <w:rPr>
          <w:rFonts w:hint="eastAsia" w:ascii="宋体" w:hAnsi="宋体"/>
          <w:b/>
          <w:color w:val="auto"/>
          <w:sz w:val="24"/>
          <w:szCs w:val="21"/>
          <w:highlight w:val="none"/>
        </w:rPr>
        <w:instrText xml:space="preserve"> = 1750000 \* CHINESENUM4 \* MERGEFORMAT </w:instrText>
      </w:r>
      <w:r>
        <w:rPr>
          <w:rFonts w:hint="eastAsia" w:ascii="宋体" w:hAnsi="宋体"/>
          <w:b/>
          <w:color w:val="auto"/>
          <w:sz w:val="24"/>
          <w:szCs w:val="21"/>
          <w:highlight w:val="none"/>
        </w:rPr>
        <w:fldChar w:fldCharType="separate"/>
      </w:r>
      <w:r>
        <w:rPr>
          <w:rFonts w:hint="eastAsia" w:ascii="宋体" w:hAnsi="宋体"/>
          <w:b/>
          <w:color w:val="auto"/>
          <w:sz w:val="24"/>
          <w:szCs w:val="21"/>
          <w:highlight w:val="none"/>
        </w:rPr>
        <w:t>元整</w:t>
      </w:r>
      <w:r>
        <w:rPr>
          <w:rFonts w:hint="eastAsia" w:ascii="宋体" w:hAnsi="宋体"/>
          <w:b/>
          <w:color w:val="auto"/>
          <w:sz w:val="24"/>
          <w:szCs w:val="21"/>
          <w:highlight w:val="none"/>
        </w:rPr>
        <w:fldChar w:fldCharType="end"/>
      </w:r>
      <w:r>
        <w:rPr>
          <w:rFonts w:hint="eastAsia" w:ascii="宋体" w:hAnsi="宋体"/>
          <w:b/>
          <w:color w:val="auto"/>
          <w:sz w:val="24"/>
          <w:szCs w:val="21"/>
          <w:highlight w:val="none"/>
        </w:rPr>
        <w:t>（小写</w:t>
      </w:r>
      <w:r>
        <w:rPr>
          <w:rFonts w:hint="eastAsia" w:ascii="宋体" w:hAnsi="宋体"/>
          <w:b/>
          <w:color w:val="auto"/>
          <w:sz w:val="24"/>
          <w:szCs w:val="21"/>
          <w:highlight w:val="none"/>
          <w:u w:val="single"/>
        </w:rPr>
        <w:t xml:space="preserve"> </w:t>
      </w:r>
      <w:r>
        <w:rPr>
          <w:rFonts w:hint="eastAsia" w:ascii="宋体" w:hAnsi="宋体"/>
          <w:b/>
          <w:color w:val="auto"/>
          <w:sz w:val="24"/>
          <w:szCs w:val="21"/>
          <w:highlight w:val="none"/>
          <w:u w:val="single"/>
          <w:lang w:val="en-US" w:eastAsia="zh-CN"/>
        </w:rPr>
        <w:t xml:space="preserve"> 970000 </w:t>
      </w:r>
      <w:r>
        <w:rPr>
          <w:rFonts w:hint="eastAsia" w:ascii="宋体" w:hAnsi="宋体"/>
          <w:b/>
          <w:color w:val="auto"/>
          <w:sz w:val="24"/>
          <w:szCs w:val="21"/>
          <w:highlight w:val="none"/>
        </w:rPr>
        <w:t>元）。最高限价由采购人根据市场价格的调查设定，并且不高于本项目预算。</w:t>
      </w:r>
    </w:p>
    <w:p w14:paraId="7481CC84">
      <w:pPr>
        <w:spacing w:line="360" w:lineRule="auto"/>
        <w:ind w:firstLine="480" w:firstLineChars="200"/>
        <w:rPr>
          <w:rFonts w:hint="eastAsia" w:ascii="宋体" w:hAnsi="宋体"/>
          <w:sz w:val="24"/>
          <w:szCs w:val="21"/>
          <w:highlight w:val="none"/>
        </w:rPr>
      </w:pPr>
      <w:r>
        <w:rPr>
          <w:rFonts w:hint="eastAsia" w:ascii="宋体" w:hAnsi="宋体"/>
          <w:sz w:val="24"/>
          <w:szCs w:val="21"/>
          <w:highlight w:val="none"/>
        </w:rPr>
        <w:t>2、投标人的报价在最高限价内的，为有效报价。</w:t>
      </w:r>
    </w:p>
    <w:p w14:paraId="53387E7C">
      <w:pPr>
        <w:spacing w:line="360" w:lineRule="auto"/>
        <w:ind w:firstLine="480" w:firstLineChars="200"/>
        <w:rPr>
          <w:rFonts w:hint="eastAsia" w:ascii="宋体" w:hAnsi="宋体"/>
          <w:sz w:val="24"/>
          <w:szCs w:val="21"/>
          <w:highlight w:val="none"/>
        </w:rPr>
      </w:pPr>
      <w:r>
        <w:rPr>
          <w:rFonts w:hint="eastAsia" w:ascii="宋体" w:hAnsi="宋体"/>
          <w:sz w:val="24"/>
          <w:szCs w:val="21"/>
          <w:highlight w:val="none"/>
        </w:rPr>
        <w:t>3、本次评标设有最佳报价。最佳报价确定方式：根据所有入围投标人有效报价中的最低报价作为最佳报价。</w:t>
      </w:r>
    </w:p>
    <w:p w14:paraId="22580BCA">
      <w:pPr>
        <w:spacing w:line="360" w:lineRule="auto"/>
        <w:ind w:firstLine="480" w:firstLineChars="200"/>
        <w:rPr>
          <w:rFonts w:hint="eastAsia" w:ascii="宋体" w:hAnsi="宋体"/>
          <w:sz w:val="24"/>
          <w:szCs w:val="21"/>
          <w:highlight w:val="none"/>
        </w:rPr>
      </w:pPr>
      <w:r>
        <w:rPr>
          <w:rFonts w:hint="eastAsia" w:ascii="宋体" w:hAnsi="宋体"/>
          <w:sz w:val="24"/>
          <w:szCs w:val="21"/>
          <w:highlight w:val="none"/>
        </w:rPr>
        <w:t>4、最佳报价者的报价分为满分，其他投标人的有效报价与最佳报价相比，按下列方法计算其报价分：</w:t>
      </w:r>
    </w:p>
    <w:p w14:paraId="36D57588">
      <w:pPr>
        <w:spacing w:line="360" w:lineRule="auto"/>
        <w:ind w:firstLine="480" w:firstLineChars="200"/>
        <w:rPr>
          <w:rFonts w:hint="eastAsia" w:ascii="宋体" w:hAnsi="宋体"/>
          <w:sz w:val="24"/>
          <w:szCs w:val="21"/>
          <w:highlight w:val="none"/>
        </w:rPr>
      </w:pPr>
      <w:r>
        <w:rPr>
          <w:rFonts w:hint="eastAsia" w:ascii="宋体" w:hAnsi="宋体"/>
          <w:sz w:val="24"/>
          <w:szCs w:val="21"/>
          <w:highlight w:val="none"/>
        </w:rPr>
        <w:t>投标价格分=(最佳报价/投标报价)*价格权值*100。</w:t>
      </w:r>
    </w:p>
    <w:p w14:paraId="437BF3C3">
      <w:pPr>
        <w:spacing w:line="360" w:lineRule="auto"/>
        <w:ind w:firstLine="480" w:firstLineChars="200"/>
        <w:rPr>
          <w:rFonts w:hint="eastAsia" w:ascii="宋体" w:hAnsi="宋体"/>
          <w:sz w:val="24"/>
          <w:szCs w:val="21"/>
          <w:highlight w:val="none"/>
        </w:rPr>
      </w:pPr>
      <w:r>
        <w:rPr>
          <w:rFonts w:hint="eastAsia" w:ascii="宋体" w:hAnsi="宋体"/>
          <w:sz w:val="24"/>
          <w:szCs w:val="21"/>
          <w:highlight w:val="none"/>
        </w:rPr>
        <w:t>5、当投标（开标）一览表与投标报价明细表报价不一致时，以投标（开标）一览表为准，报价明细表报价予以修正并由授权代表签字确认，拒绝修正或确认的，则做无效标处理。</w:t>
      </w:r>
    </w:p>
    <w:p w14:paraId="30AFE577">
      <w:pPr>
        <w:spacing w:line="360" w:lineRule="auto"/>
        <w:ind w:firstLine="480" w:firstLineChars="200"/>
        <w:rPr>
          <w:rFonts w:hint="eastAsia" w:ascii="宋体" w:hAnsi="宋体"/>
          <w:sz w:val="24"/>
          <w:szCs w:val="21"/>
          <w:highlight w:val="none"/>
        </w:rPr>
      </w:pPr>
      <w:r>
        <w:rPr>
          <w:rFonts w:hint="eastAsia" w:ascii="宋体" w:hAnsi="宋体"/>
          <w:sz w:val="24"/>
          <w:szCs w:val="21"/>
          <w:highlight w:val="none"/>
        </w:rPr>
        <w:t>6、投标文件只允许有一个报价，投标报价应按招标文件中相关附表格式填报，该投标报价应与明细报价汇总相等，且不允许出现报价优惠、赠送等字样（明细出现“0”元，视同赠送）,如出现则做</w:t>
      </w:r>
      <w:r>
        <w:rPr>
          <w:rFonts w:hint="eastAsia" w:ascii="宋体" w:hAnsi="宋体"/>
          <w:b/>
          <w:bCs/>
          <w:sz w:val="24"/>
          <w:szCs w:val="21"/>
          <w:highlight w:val="none"/>
        </w:rPr>
        <w:t>无效投标</w:t>
      </w:r>
      <w:r>
        <w:rPr>
          <w:rFonts w:hint="eastAsia" w:ascii="宋体" w:hAnsi="宋体"/>
          <w:sz w:val="24"/>
          <w:szCs w:val="21"/>
          <w:highlight w:val="none"/>
        </w:rPr>
        <w:t>处理。</w:t>
      </w:r>
    </w:p>
    <w:p w14:paraId="2CE67775">
      <w:pPr>
        <w:autoSpaceDE w:val="0"/>
        <w:autoSpaceDN w:val="0"/>
        <w:spacing w:line="360" w:lineRule="auto"/>
        <w:ind w:firstLine="482"/>
        <w:rPr>
          <w:rFonts w:hint="eastAsia" w:ascii="宋体" w:hAnsi="宋体" w:eastAsia="宋体" w:cs="宋体"/>
          <w:sz w:val="24"/>
          <w:highlight w:val="none"/>
        </w:rPr>
      </w:pPr>
      <w:r>
        <w:rPr>
          <w:rFonts w:hint="eastAsia" w:ascii="宋体" w:hAnsi="宋体"/>
          <w:sz w:val="24"/>
          <w:szCs w:val="21"/>
          <w:highlight w:val="none"/>
        </w:rPr>
        <w:t>7、</w:t>
      </w:r>
      <w:r>
        <w:rPr>
          <w:rFonts w:hint="eastAsia" w:ascii="宋体" w:hAnsi="宋体" w:cs="仿宋_GB2312"/>
          <w:b/>
          <w:sz w:val="24"/>
          <w:highlight w:val="none"/>
        </w:rPr>
        <w:t>投标价格的合理性</w:t>
      </w:r>
      <w:r>
        <w:rPr>
          <w:rFonts w:hint="eastAsia" w:ascii="宋体" w:hAnsi="宋体" w:cs="仿宋_GB2312"/>
          <w:sz w:val="24"/>
          <w:highlight w:val="none"/>
        </w:rPr>
        <w:t>：</w:t>
      </w:r>
      <w:r>
        <w:rPr>
          <w:rFonts w:ascii="Arial" w:hAnsi="Arial" w:cs="Arial"/>
          <w:sz w:val="24"/>
          <w:highlight w:val="none"/>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2F8F696D">
      <w:pPr>
        <w:spacing w:line="360" w:lineRule="auto"/>
        <w:ind w:firstLine="482" w:firstLineChars="200"/>
        <w:outlineLvl w:val="2"/>
        <w:rPr>
          <w:rFonts w:hint="default" w:ascii="宋体" w:hAnsi="宋体" w:eastAsia="宋体" w:cs="宋体"/>
          <w:b/>
          <w:bCs/>
          <w:sz w:val="24"/>
          <w:szCs w:val="21"/>
          <w:highlight w:val="none"/>
          <w:lang w:val="en-US" w:eastAsia="zh-CN"/>
        </w:rPr>
      </w:pPr>
      <w:bookmarkStart w:id="470" w:name="_Toc13766"/>
      <w:bookmarkStart w:id="471" w:name="_Toc1850"/>
      <w:r>
        <w:rPr>
          <w:rFonts w:hint="eastAsia" w:ascii="宋体" w:hAnsi="宋体" w:eastAsia="宋体" w:cs="宋体"/>
          <w:b/>
          <w:bCs/>
          <w:sz w:val="24"/>
          <w:szCs w:val="21"/>
          <w:highlight w:val="none"/>
        </w:rPr>
        <w:t>二、商务技术文件评标内容及标准</w:t>
      </w:r>
      <w:r>
        <w:rPr>
          <w:rFonts w:hint="eastAsia" w:ascii="宋体" w:hAnsi="宋体" w:eastAsia="宋体" w:cs="宋体"/>
          <w:b/>
          <w:bCs/>
          <w:sz w:val="24"/>
          <w:szCs w:val="21"/>
          <w:highlight w:val="none"/>
          <w:lang w:eastAsia="zh-CN"/>
        </w:rPr>
        <w:t>（</w:t>
      </w:r>
      <w:r>
        <w:rPr>
          <w:rFonts w:hint="eastAsia" w:ascii="宋体" w:hAnsi="宋体" w:eastAsia="宋体" w:cs="宋体"/>
          <w:b/>
          <w:bCs/>
          <w:sz w:val="24"/>
          <w:szCs w:val="21"/>
          <w:highlight w:val="none"/>
          <w:lang w:val="en-US" w:eastAsia="zh-CN"/>
        </w:rPr>
        <w:t>80分）</w:t>
      </w:r>
      <w:bookmarkEnd w:id="470"/>
      <w:bookmarkEnd w:id="471"/>
    </w:p>
    <w:p w14:paraId="183CC167">
      <w:pPr>
        <w:spacing w:line="360" w:lineRule="auto"/>
        <w:ind w:firstLine="482" w:firstLineChars="200"/>
        <w:rPr>
          <w:rFonts w:hint="eastAsia" w:ascii="宋体" w:hAnsi="宋体" w:eastAsia="宋体" w:cs="宋体"/>
          <w:b/>
          <w:bCs/>
          <w:color w:val="FF0000"/>
          <w:sz w:val="24"/>
          <w:szCs w:val="21"/>
          <w:highlight w:val="none"/>
          <w:lang w:eastAsia="zh-CN"/>
        </w:rPr>
      </w:pPr>
      <w:r>
        <w:rPr>
          <w:rFonts w:hint="eastAsia" w:ascii="宋体" w:hAnsi="宋体" w:eastAsia="宋体" w:cs="宋体"/>
          <w:b/>
          <w:bCs/>
          <w:sz w:val="24"/>
          <w:szCs w:val="21"/>
          <w:highlight w:val="none"/>
        </w:rPr>
        <w:t>1、</w:t>
      </w:r>
      <w:r>
        <w:rPr>
          <w:rFonts w:hint="eastAsia" w:ascii="宋体" w:hAnsi="宋体" w:eastAsia="宋体" w:cs="宋体"/>
          <w:b/>
          <w:bCs/>
          <w:sz w:val="24"/>
          <w:szCs w:val="21"/>
          <w:highlight w:val="none"/>
          <w:lang w:eastAsia="zh-CN"/>
        </w:rPr>
        <w:t>评分细则</w:t>
      </w:r>
    </w:p>
    <w:tbl>
      <w:tblPr>
        <w:tblStyle w:val="30"/>
        <w:tblW w:w="941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0"/>
        <w:gridCol w:w="1248"/>
        <w:gridCol w:w="6368"/>
        <w:gridCol w:w="913"/>
        <w:gridCol w:w="18"/>
      </w:tblGrid>
      <w:tr w14:paraId="775EA5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jc w:val="center"/>
        </w:trPr>
        <w:tc>
          <w:tcPr>
            <w:tcW w:w="2118" w:type="dxa"/>
            <w:gridSpan w:val="2"/>
            <w:tcBorders>
              <w:top w:val="single" w:color="auto" w:sz="4" w:space="0"/>
              <w:left w:val="single" w:color="auto" w:sz="4" w:space="0"/>
              <w:bottom w:val="single" w:color="auto" w:sz="4" w:space="0"/>
              <w:right w:val="single" w:color="auto" w:sz="4" w:space="0"/>
            </w:tcBorders>
            <w:noWrap w:val="0"/>
            <w:vAlign w:val="center"/>
          </w:tcPr>
          <w:p w14:paraId="1A0F056C">
            <w:pPr>
              <w:keepNext w:val="0"/>
              <w:keepLines w:val="0"/>
              <w:pageBreakBefore w:val="0"/>
              <w:widowControl w:val="0"/>
              <w:kinsoku/>
              <w:wordWrap/>
              <w:overflowPunct/>
              <w:topLinePunct w:val="0"/>
              <w:autoSpaceDE/>
              <w:autoSpaceDN/>
              <w:bidi w:val="0"/>
              <w:adjustRightInd w:val="0"/>
              <w:snapToGrid/>
              <w:spacing w:before="157" w:beforeLines="50" w:line="360" w:lineRule="auto"/>
              <w:jc w:val="center"/>
              <w:textAlignment w:val="auto"/>
              <w:rPr>
                <w:rFonts w:hint="eastAsia" w:ascii="宋体" w:hAnsi="宋体" w:eastAsia="宋体" w:cs="宋体"/>
                <w:color w:val="000000"/>
                <w:sz w:val="24"/>
                <w:highlight w:val="none"/>
              </w:rPr>
            </w:pPr>
            <w:r>
              <w:rPr>
                <w:rFonts w:hint="eastAsia" w:ascii="宋体" w:hAnsi="宋体" w:eastAsia="宋体" w:cs="宋体"/>
                <w:color w:val="000000"/>
                <w:sz w:val="24"/>
                <w:highlight w:val="none"/>
              </w:rPr>
              <w:t>评分项目</w:t>
            </w:r>
          </w:p>
        </w:tc>
        <w:tc>
          <w:tcPr>
            <w:tcW w:w="6368" w:type="dxa"/>
            <w:tcBorders>
              <w:top w:val="single" w:color="auto" w:sz="4" w:space="0"/>
              <w:left w:val="single" w:color="auto" w:sz="4" w:space="0"/>
              <w:bottom w:val="single" w:color="auto" w:sz="4" w:space="0"/>
              <w:right w:val="single" w:color="auto" w:sz="4" w:space="0"/>
            </w:tcBorders>
            <w:noWrap w:val="0"/>
            <w:vAlign w:val="center"/>
          </w:tcPr>
          <w:p w14:paraId="4872B032">
            <w:pPr>
              <w:keepNext w:val="0"/>
              <w:keepLines w:val="0"/>
              <w:pageBreakBefore w:val="0"/>
              <w:widowControl w:val="0"/>
              <w:kinsoku/>
              <w:wordWrap/>
              <w:overflowPunct/>
              <w:topLinePunct w:val="0"/>
              <w:autoSpaceDE/>
              <w:autoSpaceDN/>
              <w:bidi w:val="0"/>
              <w:adjustRightInd w:val="0"/>
              <w:snapToGrid/>
              <w:spacing w:before="157" w:beforeLines="50" w:line="360" w:lineRule="auto"/>
              <w:jc w:val="center"/>
              <w:textAlignment w:val="auto"/>
              <w:rPr>
                <w:rFonts w:hint="eastAsia" w:ascii="宋体" w:hAnsi="宋体" w:eastAsia="宋体" w:cs="宋体"/>
                <w:color w:val="000000"/>
                <w:sz w:val="24"/>
                <w:highlight w:val="none"/>
              </w:rPr>
            </w:pPr>
            <w:r>
              <w:rPr>
                <w:rFonts w:hint="eastAsia" w:ascii="宋体" w:hAnsi="宋体" w:eastAsia="宋体" w:cs="宋体"/>
                <w:color w:val="000000"/>
                <w:sz w:val="24"/>
                <w:highlight w:val="none"/>
              </w:rPr>
              <w:t>评标要点及说明</w:t>
            </w:r>
          </w:p>
        </w:tc>
        <w:tc>
          <w:tcPr>
            <w:tcW w:w="931" w:type="dxa"/>
            <w:gridSpan w:val="2"/>
            <w:tcBorders>
              <w:top w:val="single" w:color="auto" w:sz="4" w:space="0"/>
              <w:left w:val="single" w:color="auto" w:sz="4" w:space="0"/>
              <w:bottom w:val="single" w:color="auto" w:sz="4" w:space="0"/>
              <w:right w:val="single" w:color="auto" w:sz="4" w:space="0"/>
            </w:tcBorders>
            <w:noWrap w:val="0"/>
            <w:vAlign w:val="center"/>
          </w:tcPr>
          <w:p w14:paraId="252F3987">
            <w:pPr>
              <w:keepNext w:val="0"/>
              <w:keepLines w:val="0"/>
              <w:pageBreakBefore w:val="0"/>
              <w:widowControl w:val="0"/>
              <w:kinsoku/>
              <w:wordWrap/>
              <w:overflowPunct/>
              <w:topLinePunct w:val="0"/>
              <w:autoSpaceDE/>
              <w:autoSpaceDN/>
              <w:bidi w:val="0"/>
              <w:adjustRightInd w:val="0"/>
              <w:snapToGrid/>
              <w:spacing w:before="157" w:beforeLines="50" w:line="360" w:lineRule="auto"/>
              <w:jc w:val="center"/>
              <w:textAlignment w:val="auto"/>
              <w:rPr>
                <w:rFonts w:hint="eastAsia" w:ascii="宋体" w:hAnsi="宋体" w:eastAsia="宋体" w:cs="宋体"/>
                <w:color w:val="000000"/>
                <w:sz w:val="24"/>
                <w:highlight w:val="none"/>
              </w:rPr>
            </w:pPr>
            <w:r>
              <w:rPr>
                <w:rFonts w:hint="eastAsia" w:ascii="宋体" w:hAnsi="宋体" w:eastAsia="宋体" w:cs="宋体"/>
                <w:color w:val="000000"/>
                <w:sz w:val="24"/>
                <w:highlight w:val="none"/>
              </w:rPr>
              <w:t>分值</w:t>
            </w:r>
          </w:p>
        </w:tc>
      </w:tr>
      <w:tr w14:paraId="1729EF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0" w:hRule="atLeast"/>
          <w:jc w:val="center"/>
        </w:trPr>
        <w:tc>
          <w:tcPr>
            <w:tcW w:w="870" w:type="dxa"/>
            <w:vMerge w:val="restart"/>
            <w:tcBorders>
              <w:top w:val="single" w:color="auto" w:sz="4" w:space="0"/>
              <w:left w:val="single" w:color="auto" w:sz="4" w:space="0"/>
              <w:right w:val="single" w:color="auto" w:sz="4" w:space="0"/>
            </w:tcBorders>
            <w:noWrap w:val="0"/>
            <w:vAlign w:val="center"/>
          </w:tcPr>
          <w:p w14:paraId="2FCBDFD1">
            <w:pPr>
              <w:spacing w:line="360" w:lineRule="auto"/>
              <w:jc w:val="center"/>
              <w:rPr>
                <w:rFonts w:hint="eastAsia" w:ascii="宋体" w:hAnsi="宋体" w:eastAsia="宋体" w:cs="宋体"/>
                <w:color w:val="000000"/>
                <w:sz w:val="24"/>
                <w:highlight w:val="none"/>
              </w:rPr>
            </w:pPr>
            <w:r>
              <w:rPr>
                <w:rFonts w:hint="eastAsia" w:ascii="宋体" w:hAnsi="宋体" w:eastAsia="宋体" w:cs="宋体"/>
                <w:color w:val="000000"/>
                <w:sz w:val="24"/>
                <w:highlight w:val="none"/>
              </w:rPr>
              <w:t>技术</w:t>
            </w:r>
          </w:p>
          <w:p w14:paraId="04CF288F">
            <w:pPr>
              <w:spacing w:line="360" w:lineRule="auto"/>
              <w:jc w:val="center"/>
              <w:rPr>
                <w:rFonts w:hint="eastAsia" w:ascii="宋体" w:hAnsi="宋体" w:eastAsia="宋体" w:cs="宋体"/>
                <w:color w:val="000000"/>
                <w:sz w:val="24"/>
                <w:highlight w:val="none"/>
              </w:rPr>
            </w:pPr>
            <w:r>
              <w:rPr>
                <w:rFonts w:hint="eastAsia" w:ascii="宋体" w:hAnsi="宋体" w:eastAsia="宋体" w:cs="宋体"/>
                <w:color w:val="000000"/>
                <w:sz w:val="24"/>
                <w:highlight w:val="none"/>
              </w:rPr>
              <w:t>（</w:t>
            </w:r>
            <w:r>
              <w:rPr>
                <w:rFonts w:hint="eastAsia" w:ascii="宋体" w:hAnsi="宋体" w:eastAsia="宋体" w:cs="宋体"/>
                <w:color w:val="000000"/>
                <w:sz w:val="24"/>
                <w:highlight w:val="none"/>
                <w:lang w:val="en-US" w:eastAsia="zh-CN"/>
              </w:rPr>
              <w:t>7</w:t>
            </w:r>
            <w:r>
              <w:rPr>
                <w:rFonts w:hint="eastAsia" w:ascii="宋体" w:hAnsi="宋体" w:eastAsia="宋体" w:cs="宋体"/>
                <w:color w:val="000000"/>
                <w:sz w:val="24"/>
                <w:highlight w:val="none"/>
              </w:rPr>
              <w:t>0）</w:t>
            </w:r>
          </w:p>
        </w:tc>
        <w:tc>
          <w:tcPr>
            <w:tcW w:w="1248" w:type="dxa"/>
            <w:vMerge w:val="restart"/>
            <w:tcBorders>
              <w:top w:val="single" w:color="auto" w:sz="4" w:space="0"/>
              <w:left w:val="single" w:color="auto" w:sz="4" w:space="0"/>
              <w:right w:val="single" w:color="auto" w:sz="4" w:space="0"/>
            </w:tcBorders>
            <w:noWrap w:val="0"/>
            <w:vAlign w:val="center"/>
          </w:tcPr>
          <w:p w14:paraId="00942CA1">
            <w:pPr>
              <w:widowControl/>
              <w:jc w:val="center"/>
              <w:rPr>
                <w:rFonts w:hint="eastAsia" w:ascii="宋体" w:hAnsi="宋体" w:eastAsia="宋体" w:cs="宋体"/>
                <w:color w:val="000000"/>
                <w:sz w:val="24"/>
                <w:highlight w:val="none"/>
              </w:rPr>
            </w:pPr>
            <w:r>
              <w:rPr>
                <w:rFonts w:hint="eastAsia" w:ascii="宋体" w:hAnsi="宋体" w:cs="宋体"/>
                <w:color w:val="auto"/>
                <w:kern w:val="0"/>
                <w:sz w:val="24"/>
                <w:szCs w:val="24"/>
                <w:highlight w:val="none"/>
              </w:rPr>
              <w:t>服务方案</w:t>
            </w:r>
          </w:p>
        </w:tc>
        <w:tc>
          <w:tcPr>
            <w:tcW w:w="6368" w:type="dxa"/>
            <w:tcBorders>
              <w:top w:val="single" w:color="auto" w:sz="4" w:space="0"/>
              <w:left w:val="single" w:color="auto" w:sz="4" w:space="0"/>
              <w:bottom w:val="single" w:color="auto" w:sz="4" w:space="0"/>
              <w:right w:val="single" w:color="auto" w:sz="4" w:space="0"/>
            </w:tcBorders>
            <w:noWrap w:val="0"/>
            <w:vAlign w:val="center"/>
          </w:tcPr>
          <w:p w14:paraId="5A77A47D">
            <w:pPr>
              <w:spacing w:line="312" w:lineRule="auto"/>
              <w:ind w:firstLine="480" w:firstLineChars="200"/>
              <w:rPr>
                <w:rFonts w:hint="eastAsia" w:ascii="宋体" w:hAnsi="宋体" w:eastAsia="宋体" w:cs="宋体"/>
                <w:color w:val="000000"/>
                <w:kern w:val="2"/>
                <w:sz w:val="24"/>
                <w:szCs w:val="24"/>
                <w:highlight w:val="none"/>
                <w:lang w:val="en-US" w:eastAsia="zh-CN" w:bidi="ar-SA"/>
              </w:rPr>
            </w:pPr>
            <w:r>
              <w:rPr>
                <w:rStyle w:val="47"/>
                <w:rFonts w:hint="eastAsia"/>
                <w:color w:val="auto"/>
                <w:kern w:val="0"/>
                <w:sz w:val="24"/>
                <w:szCs w:val="24"/>
                <w:highlight w:val="none"/>
              </w:rPr>
              <w:t>评委根据投标人针对本项目制定</w:t>
            </w:r>
            <w:r>
              <w:rPr>
                <w:rStyle w:val="47"/>
                <w:rFonts w:hint="eastAsia"/>
                <w:color w:val="auto"/>
                <w:kern w:val="0"/>
                <w:sz w:val="24"/>
                <w:szCs w:val="24"/>
                <w:highlight w:val="none"/>
                <w:lang w:eastAsia="zh-CN"/>
              </w:rPr>
              <w:t>的公厕管理、</w:t>
            </w:r>
            <w:r>
              <w:rPr>
                <w:rStyle w:val="47"/>
                <w:rFonts w:hint="eastAsia"/>
                <w:color w:val="auto"/>
                <w:kern w:val="0"/>
                <w:sz w:val="24"/>
                <w:szCs w:val="24"/>
                <w:highlight w:val="none"/>
              </w:rPr>
              <w:t>道路清扫</w:t>
            </w:r>
            <w:r>
              <w:rPr>
                <w:rStyle w:val="47"/>
                <w:rFonts w:hint="eastAsia"/>
                <w:color w:val="auto"/>
                <w:kern w:val="0"/>
                <w:sz w:val="24"/>
                <w:szCs w:val="24"/>
                <w:highlight w:val="none"/>
                <w:lang w:eastAsia="zh-CN"/>
              </w:rPr>
              <w:t>、河道</w:t>
            </w:r>
            <w:r>
              <w:rPr>
                <w:rStyle w:val="47"/>
                <w:rFonts w:hint="eastAsia"/>
                <w:color w:val="auto"/>
                <w:kern w:val="0"/>
                <w:sz w:val="24"/>
                <w:szCs w:val="24"/>
                <w:highlight w:val="none"/>
              </w:rPr>
              <w:t>保洁方案的全面性、规范性及可实施性进行打分</w:t>
            </w:r>
            <w:r>
              <w:rPr>
                <w:rStyle w:val="47"/>
                <w:rFonts w:hint="eastAsia"/>
                <w:color w:val="auto"/>
                <w:kern w:val="0"/>
                <w:sz w:val="24"/>
                <w:szCs w:val="24"/>
                <w:highlight w:val="none"/>
                <w:lang w:eastAsia="zh-CN"/>
              </w:rPr>
              <w:t>；</w:t>
            </w:r>
          </w:p>
        </w:tc>
        <w:tc>
          <w:tcPr>
            <w:tcW w:w="931" w:type="dxa"/>
            <w:gridSpan w:val="2"/>
            <w:tcBorders>
              <w:top w:val="single" w:color="auto" w:sz="4" w:space="0"/>
              <w:left w:val="single" w:color="auto" w:sz="4" w:space="0"/>
              <w:bottom w:val="single" w:color="auto" w:sz="4" w:space="0"/>
              <w:right w:val="single" w:color="auto" w:sz="4" w:space="0"/>
            </w:tcBorders>
            <w:noWrap w:val="0"/>
            <w:vAlign w:val="center"/>
          </w:tcPr>
          <w:p w14:paraId="3B0A9669">
            <w:pPr>
              <w:spacing w:line="312" w:lineRule="auto"/>
              <w:rPr>
                <w:rStyle w:val="47"/>
                <w:rFonts w:hint="eastAsia"/>
                <w:color w:val="auto"/>
                <w:kern w:val="0"/>
                <w:sz w:val="24"/>
                <w:szCs w:val="24"/>
                <w:highlight w:val="none"/>
              </w:rPr>
            </w:pPr>
            <w:r>
              <w:rPr>
                <w:rFonts w:hint="eastAsia" w:ascii="宋体" w:hAnsi="宋体" w:eastAsia="宋体" w:cs="宋体"/>
                <w:color w:val="auto"/>
                <w:sz w:val="24"/>
                <w:szCs w:val="24"/>
                <w:highlight w:val="none"/>
                <w:lang w:val="en-US" w:eastAsia="zh-CN"/>
              </w:rPr>
              <w:t>0-</w:t>
            </w:r>
            <w:r>
              <w:rPr>
                <w:rFonts w:hint="eastAsia" w:ascii="宋体" w:hAnsi="宋体" w:cs="宋体"/>
                <w:color w:val="auto"/>
                <w:sz w:val="24"/>
                <w:szCs w:val="24"/>
                <w:highlight w:val="none"/>
                <w:lang w:val="en-US" w:eastAsia="zh-CN"/>
              </w:rPr>
              <w:t>7</w:t>
            </w:r>
            <w:r>
              <w:rPr>
                <w:rFonts w:hint="eastAsia" w:ascii="宋体" w:hAnsi="宋体" w:eastAsia="宋体" w:cs="宋体"/>
                <w:color w:val="auto"/>
                <w:sz w:val="24"/>
                <w:szCs w:val="24"/>
                <w:highlight w:val="none"/>
                <w:lang w:eastAsia="zh-CN"/>
              </w:rPr>
              <w:t>分</w:t>
            </w:r>
          </w:p>
        </w:tc>
      </w:tr>
      <w:tr w14:paraId="3BC4EA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1" w:hRule="atLeast"/>
          <w:jc w:val="center"/>
        </w:trPr>
        <w:tc>
          <w:tcPr>
            <w:tcW w:w="870" w:type="dxa"/>
            <w:vMerge w:val="continue"/>
            <w:tcBorders>
              <w:left w:val="single" w:color="auto" w:sz="4" w:space="0"/>
              <w:right w:val="single" w:color="auto" w:sz="4" w:space="0"/>
            </w:tcBorders>
            <w:noWrap w:val="0"/>
            <w:vAlign w:val="center"/>
          </w:tcPr>
          <w:p w14:paraId="279EAC2B">
            <w:pPr>
              <w:spacing w:line="360" w:lineRule="auto"/>
              <w:jc w:val="center"/>
              <w:rPr>
                <w:rFonts w:hint="eastAsia" w:ascii="宋体" w:hAnsi="宋体" w:eastAsia="宋体" w:cs="宋体"/>
                <w:color w:val="000000"/>
                <w:sz w:val="24"/>
                <w:highlight w:val="none"/>
              </w:rPr>
            </w:pPr>
          </w:p>
        </w:tc>
        <w:tc>
          <w:tcPr>
            <w:tcW w:w="1248" w:type="dxa"/>
            <w:vMerge w:val="continue"/>
            <w:tcBorders>
              <w:left w:val="single" w:color="auto" w:sz="4" w:space="0"/>
              <w:right w:val="single" w:color="auto" w:sz="4" w:space="0"/>
            </w:tcBorders>
            <w:noWrap w:val="0"/>
            <w:vAlign w:val="center"/>
          </w:tcPr>
          <w:p w14:paraId="5189C634">
            <w:pPr>
              <w:widowControl/>
              <w:jc w:val="center"/>
              <w:rPr>
                <w:rFonts w:hint="eastAsia" w:ascii="宋体" w:hAnsi="宋体" w:cs="宋体"/>
                <w:color w:val="auto"/>
                <w:kern w:val="0"/>
                <w:sz w:val="24"/>
                <w:szCs w:val="24"/>
                <w:highlight w:val="none"/>
              </w:rPr>
            </w:pPr>
          </w:p>
        </w:tc>
        <w:tc>
          <w:tcPr>
            <w:tcW w:w="6368" w:type="dxa"/>
            <w:tcBorders>
              <w:top w:val="single" w:color="auto" w:sz="4" w:space="0"/>
              <w:left w:val="single" w:color="auto" w:sz="4" w:space="0"/>
              <w:bottom w:val="single" w:color="auto" w:sz="4" w:space="0"/>
              <w:right w:val="single" w:color="auto" w:sz="4" w:space="0"/>
            </w:tcBorders>
            <w:noWrap w:val="0"/>
            <w:vAlign w:val="center"/>
          </w:tcPr>
          <w:p w14:paraId="27B8C2A0">
            <w:pPr>
              <w:spacing w:line="312" w:lineRule="auto"/>
              <w:ind w:firstLine="480" w:firstLineChars="200"/>
              <w:rPr>
                <w:rFonts w:hint="eastAsia" w:ascii="宋体" w:hAnsi="宋体" w:eastAsia="宋体" w:cs="宋体"/>
                <w:color w:val="000000"/>
                <w:sz w:val="24"/>
                <w:highlight w:val="none"/>
                <w:lang w:eastAsia="zh-CN"/>
              </w:rPr>
            </w:pPr>
            <w:r>
              <w:rPr>
                <w:rStyle w:val="47"/>
                <w:rFonts w:hint="eastAsia"/>
                <w:color w:val="auto"/>
                <w:kern w:val="0"/>
                <w:sz w:val="24"/>
                <w:szCs w:val="24"/>
                <w:highlight w:val="none"/>
              </w:rPr>
              <w:t>评委根据投标人针对本项目制定</w:t>
            </w:r>
            <w:r>
              <w:rPr>
                <w:rStyle w:val="47"/>
                <w:rFonts w:hint="eastAsia"/>
                <w:color w:val="auto"/>
                <w:kern w:val="0"/>
                <w:sz w:val="24"/>
                <w:szCs w:val="24"/>
                <w:highlight w:val="none"/>
                <w:lang w:eastAsia="zh-CN"/>
              </w:rPr>
              <w:t>的</w:t>
            </w:r>
            <w:r>
              <w:rPr>
                <w:rStyle w:val="47"/>
                <w:rFonts w:hint="eastAsia"/>
                <w:color w:val="auto"/>
                <w:kern w:val="0"/>
                <w:sz w:val="24"/>
                <w:szCs w:val="24"/>
                <w:highlight w:val="none"/>
              </w:rPr>
              <w:t>垃圾</w:t>
            </w:r>
            <w:r>
              <w:rPr>
                <w:rStyle w:val="47"/>
                <w:rFonts w:hint="eastAsia"/>
                <w:color w:val="auto"/>
                <w:kern w:val="0"/>
                <w:sz w:val="24"/>
                <w:szCs w:val="24"/>
                <w:highlight w:val="none"/>
                <w:lang w:eastAsia="zh-CN"/>
              </w:rPr>
              <w:t>分类及</w:t>
            </w:r>
            <w:r>
              <w:rPr>
                <w:rStyle w:val="47"/>
                <w:rFonts w:hint="eastAsia"/>
                <w:color w:val="auto"/>
                <w:kern w:val="0"/>
                <w:sz w:val="24"/>
                <w:szCs w:val="24"/>
                <w:highlight w:val="none"/>
              </w:rPr>
              <w:t>收运方案</w:t>
            </w:r>
            <w:r>
              <w:rPr>
                <w:rStyle w:val="47"/>
                <w:rFonts w:hint="eastAsia"/>
                <w:color w:val="auto"/>
                <w:kern w:val="0"/>
                <w:sz w:val="24"/>
                <w:szCs w:val="24"/>
                <w:highlight w:val="none"/>
                <w:lang w:eastAsia="zh-CN"/>
              </w:rPr>
              <w:t>的科学</w:t>
            </w:r>
            <w:r>
              <w:rPr>
                <w:rStyle w:val="47"/>
                <w:rFonts w:hint="eastAsia"/>
                <w:color w:val="auto"/>
                <w:kern w:val="0"/>
                <w:sz w:val="24"/>
                <w:szCs w:val="24"/>
                <w:highlight w:val="none"/>
              </w:rPr>
              <w:t>性、合理性、规范性及可实施性进行打分</w:t>
            </w:r>
            <w:r>
              <w:rPr>
                <w:rStyle w:val="47"/>
                <w:rFonts w:hint="eastAsia"/>
                <w:color w:val="auto"/>
                <w:kern w:val="0"/>
                <w:sz w:val="24"/>
                <w:szCs w:val="24"/>
                <w:highlight w:val="none"/>
                <w:lang w:eastAsia="zh-CN"/>
              </w:rPr>
              <w:t>；</w:t>
            </w:r>
          </w:p>
        </w:tc>
        <w:tc>
          <w:tcPr>
            <w:tcW w:w="931" w:type="dxa"/>
            <w:gridSpan w:val="2"/>
            <w:tcBorders>
              <w:top w:val="single" w:color="auto" w:sz="4" w:space="0"/>
              <w:left w:val="single" w:color="auto" w:sz="4" w:space="0"/>
              <w:bottom w:val="single" w:color="auto" w:sz="4" w:space="0"/>
              <w:right w:val="single" w:color="auto" w:sz="4" w:space="0"/>
            </w:tcBorders>
            <w:noWrap w:val="0"/>
            <w:vAlign w:val="center"/>
          </w:tcPr>
          <w:p w14:paraId="0FE20D61">
            <w:pPr>
              <w:spacing w:line="312" w:lineRule="auto"/>
              <w:rPr>
                <w:rStyle w:val="47"/>
                <w:rFonts w:hint="eastAsia"/>
                <w:color w:val="auto"/>
                <w:kern w:val="0"/>
                <w:sz w:val="24"/>
                <w:szCs w:val="24"/>
                <w:highlight w:val="none"/>
              </w:rPr>
            </w:pPr>
            <w:r>
              <w:rPr>
                <w:rFonts w:hint="eastAsia" w:ascii="宋体" w:hAnsi="宋体" w:eastAsia="宋体" w:cs="宋体"/>
                <w:color w:val="auto"/>
                <w:sz w:val="24"/>
                <w:szCs w:val="24"/>
                <w:highlight w:val="none"/>
                <w:lang w:val="en-US" w:eastAsia="zh-CN"/>
              </w:rPr>
              <w:t>0-</w:t>
            </w:r>
            <w:r>
              <w:rPr>
                <w:rFonts w:hint="eastAsia" w:ascii="宋体" w:hAnsi="宋体" w:cs="宋体"/>
                <w:color w:val="auto"/>
                <w:sz w:val="24"/>
                <w:szCs w:val="24"/>
                <w:highlight w:val="none"/>
                <w:lang w:val="en-US" w:eastAsia="zh-CN"/>
              </w:rPr>
              <w:t>7</w:t>
            </w:r>
            <w:r>
              <w:rPr>
                <w:rFonts w:hint="eastAsia" w:ascii="宋体" w:hAnsi="宋体" w:eastAsia="宋体" w:cs="宋体"/>
                <w:color w:val="auto"/>
                <w:sz w:val="24"/>
                <w:szCs w:val="24"/>
                <w:highlight w:val="none"/>
                <w:lang w:eastAsia="zh-CN"/>
              </w:rPr>
              <w:t>分</w:t>
            </w:r>
          </w:p>
        </w:tc>
      </w:tr>
      <w:tr w14:paraId="33E58F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8" w:hRule="atLeast"/>
          <w:jc w:val="center"/>
        </w:trPr>
        <w:tc>
          <w:tcPr>
            <w:tcW w:w="870" w:type="dxa"/>
            <w:vMerge w:val="continue"/>
            <w:tcBorders>
              <w:left w:val="single" w:color="auto" w:sz="4" w:space="0"/>
              <w:right w:val="single" w:color="auto" w:sz="4" w:space="0"/>
            </w:tcBorders>
            <w:noWrap w:val="0"/>
            <w:vAlign w:val="center"/>
          </w:tcPr>
          <w:p w14:paraId="261DBBE8">
            <w:pPr>
              <w:spacing w:line="360" w:lineRule="auto"/>
              <w:jc w:val="center"/>
              <w:rPr>
                <w:rFonts w:hint="eastAsia" w:ascii="宋体" w:hAnsi="宋体" w:eastAsia="宋体" w:cs="宋体"/>
                <w:color w:val="000000"/>
                <w:sz w:val="24"/>
                <w:highlight w:val="none"/>
              </w:rPr>
            </w:pPr>
          </w:p>
        </w:tc>
        <w:tc>
          <w:tcPr>
            <w:tcW w:w="1248" w:type="dxa"/>
            <w:vMerge w:val="continue"/>
            <w:tcBorders>
              <w:left w:val="single" w:color="auto" w:sz="4" w:space="0"/>
              <w:right w:val="single" w:color="auto" w:sz="4" w:space="0"/>
            </w:tcBorders>
            <w:noWrap w:val="0"/>
            <w:vAlign w:val="center"/>
          </w:tcPr>
          <w:p w14:paraId="3FEF413F">
            <w:pPr>
              <w:widowControl/>
              <w:jc w:val="center"/>
              <w:rPr>
                <w:rFonts w:hint="eastAsia" w:ascii="宋体" w:hAnsi="宋体" w:cs="宋体"/>
                <w:color w:val="auto"/>
                <w:kern w:val="0"/>
                <w:sz w:val="24"/>
                <w:szCs w:val="24"/>
                <w:highlight w:val="none"/>
              </w:rPr>
            </w:pPr>
          </w:p>
        </w:tc>
        <w:tc>
          <w:tcPr>
            <w:tcW w:w="6368" w:type="dxa"/>
            <w:tcBorders>
              <w:top w:val="single" w:color="auto" w:sz="4" w:space="0"/>
              <w:left w:val="single" w:color="auto" w:sz="4" w:space="0"/>
              <w:bottom w:val="single" w:color="auto" w:sz="4" w:space="0"/>
              <w:right w:val="single" w:color="auto" w:sz="4" w:space="0"/>
            </w:tcBorders>
            <w:noWrap w:val="0"/>
            <w:vAlign w:val="center"/>
          </w:tcPr>
          <w:p w14:paraId="4E3B91BC">
            <w:pPr>
              <w:spacing w:line="312" w:lineRule="auto"/>
              <w:ind w:firstLine="480" w:firstLineChars="200"/>
              <w:rPr>
                <w:rFonts w:hint="eastAsia" w:ascii="宋体" w:hAnsi="宋体" w:eastAsia="宋体" w:cs="宋体"/>
                <w:color w:val="000000"/>
                <w:sz w:val="24"/>
                <w:highlight w:val="none"/>
                <w:lang w:eastAsia="zh-CN"/>
              </w:rPr>
            </w:pPr>
            <w:r>
              <w:rPr>
                <w:rStyle w:val="47"/>
                <w:rFonts w:hint="eastAsia"/>
                <w:color w:val="auto"/>
                <w:kern w:val="0"/>
                <w:sz w:val="24"/>
                <w:szCs w:val="24"/>
                <w:highlight w:val="none"/>
              </w:rPr>
              <w:t>评委根据投标人针对本项目制定</w:t>
            </w:r>
            <w:r>
              <w:rPr>
                <w:rStyle w:val="47"/>
                <w:rFonts w:hint="eastAsia"/>
                <w:color w:val="auto"/>
                <w:kern w:val="0"/>
                <w:sz w:val="24"/>
                <w:szCs w:val="24"/>
                <w:highlight w:val="none"/>
                <w:lang w:eastAsia="zh-CN"/>
              </w:rPr>
              <w:t>的堆放清理、绿化养护、公共设施管护方案的科学</w:t>
            </w:r>
            <w:r>
              <w:rPr>
                <w:rStyle w:val="47"/>
                <w:rFonts w:hint="eastAsia"/>
                <w:color w:val="auto"/>
                <w:kern w:val="0"/>
                <w:sz w:val="24"/>
                <w:szCs w:val="24"/>
                <w:highlight w:val="none"/>
              </w:rPr>
              <w:t>性、合理性、规范性及可实施性进行打分</w:t>
            </w:r>
            <w:r>
              <w:rPr>
                <w:rStyle w:val="47"/>
                <w:rFonts w:hint="eastAsia"/>
                <w:color w:val="auto"/>
                <w:kern w:val="0"/>
                <w:sz w:val="24"/>
                <w:szCs w:val="24"/>
                <w:highlight w:val="none"/>
                <w:lang w:eastAsia="zh-CN"/>
              </w:rPr>
              <w:t>；</w:t>
            </w:r>
          </w:p>
        </w:tc>
        <w:tc>
          <w:tcPr>
            <w:tcW w:w="931" w:type="dxa"/>
            <w:gridSpan w:val="2"/>
            <w:tcBorders>
              <w:top w:val="single" w:color="auto" w:sz="4" w:space="0"/>
              <w:left w:val="single" w:color="auto" w:sz="4" w:space="0"/>
              <w:bottom w:val="single" w:color="auto" w:sz="4" w:space="0"/>
              <w:right w:val="single" w:color="auto" w:sz="4" w:space="0"/>
            </w:tcBorders>
            <w:noWrap w:val="0"/>
            <w:vAlign w:val="center"/>
          </w:tcPr>
          <w:p w14:paraId="6816A0DC">
            <w:pPr>
              <w:spacing w:line="312" w:lineRule="auto"/>
              <w:rPr>
                <w:rStyle w:val="47"/>
                <w:rFonts w:hint="eastAsia"/>
                <w:color w:val="auto"/>
                <w:kern w:val="0"/>
                <w:sz w:val="24"/>
                <w:szCs w:val="24"/>
                <w:highlight w:val="none"/>
              </w:rPr>
            </w:pPr>
            <w:r>
              <w:rPr>
                <w:rFonts w:hint="eastAsia" w:ascii="宋体" w:hAnsi="宋体" w:eastAsia="宋体" w:cs="宋体"/>
                <w:color w:val="auto"/>
                <w:sz w:val="24"/>
                <w:szCs w:val="24"/>
                <w:highlight w:val="none"/>
                <w:lang w:val="en-US" w:eastAsia="zh-CN"/>
              </w:rPr>
              <w:t>0-</w:t>
            </w:r>
            <w:r>
              <w:rPr>
                <w:rFonts w:hint="eastAsia" w:ascii="宋体" w:hAnsi="宋体" w:cs="宋体"/>
                <w:color w:val="auto"/>
                <w:sz w:val="24"/>
                <w:szCs w:val="24"/>
                <w:highlight w:val="none"/>
                <w:lang w:val="en-US" w:eastAsia="zh-CN"/>
              </w:rPr>
              <w:t>7</w:t>
            </w:r>
            <w:r>
              <w:rPr>
                <w:rFonts w:hint="eastAsia" w:ascii="宋体" w:hAnsi="宋体" w:eastAsia="宋体" w:cs="宋体"/>
                <w:color w:val="auto"/>
                <w:sz w:val="24"/>
                <w:szCs w:val="24"/>
                <w:highlight w:val="none"/>
                <w:lang w:eastAsia="zh-CN"/>
              </w:rPr>
              <w:t>分</w:t>
            </w:r>
          </w:p>
        </w:tc>
      </w:tr>
      <w:tr w14:paraId="276316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6" w:hRule="atLeast"/>
          <w:jc w:val="center"/>
        </w:trPr>
        <w:tc>
          <w:tcPr>
            <w:tcW w:w="870" w:type="dxa"/>
            <w:vMerge w:val="continue"/>
            <w:tcBorders>
              <w:left w:val="single" w:color="auto" w:sz="4" w:space="0"/>
              <w:right w:val="single" w:color="auto" w:sz="4" w:space="0"/>
            </w:tcBorders>
            <w:noWrap w:val="0"/>
            <w:vAlign w:val="center"/>
          </w:tcPr>
          <w:p w14:paraId="5E8C6F92">
            <w:pPr>
              <w:spacing w:line="360" w:lineRule="auto"/>
              <w:jc w:val="center"/>
              <w:rPr>
                <w:rFonts w:hint="eastAsia" w:ascii="宋体" w:hAnsi="宋体" w:eastAsia="宋体" w:cs="宋体"/>
                <w:color w:val="000000"/>
                <w:sz w:val="24"/>
                <w:highlight w:val="none"/>
              </w:rPr>
            </w:pPr>
          </w:p>
        </w:tc>
        <w:tc>
          <w:tcPr>
            <w:tcW w:w="1248" w:type="dxa"/>
            <w:vMerge w:val="continue"/>
            <w:tcBorders>
              <w:left w:val="single" w:color="auto" w:sz="4" w:space="0"/>
              <w:right w:val="single" w:color="auto" w:sz="4" w:space="0"/>
            </w:tcBorders>
            <w:noWrap w:val="0"/>
            <w:vAlign w:val="center"/>
          </w:tcPr>
          <w:p w14:paraId="6D1452C5">
            <w:pPr>
              <w:widowControl/>
              <w:jc w:val="center"/>
              <w:rPr>
                <w:rFonts w:hint="eastAsia" w:ascii="宋体" w:hAnsi="宋体" w:cs="宋体"/>
                <w:color w:val="auto"/>
                <w:kern w:val="0"/>
                <w:sz w:val="24"/>
                <w:szCs w:val="24"/>
                <w:highlight w:val="none"/>
              </w:rPr>
            </w:pPr>
          </w:p>
        </w:tc>
        <w:tc>
          <w:tcPr>
            <w:tcW w:w="6368" w:type="dxa"/>
            <w:tcBorders>
              <w:top w:val="single" w:color="auto" w:sz="4" w:space="0"/>
              <w:left w:val="single" w:color="auto" w:sz="4" w:space="0"/>
              <w:bottom w:val="single" w:color="auto" w:sz="4" w:space="0"/>
              <w:right w:val="single" w:color="auto" w:sz="4" w:space="0"/>
            </w:tcBorders>
            <w:noWrap w:val="0"/>
            <w:vAlign w:val="center"/>
          </w:tcPr>
          <w:p w14:paraId="0648A3B6">
            <w:pPr>
              <w:spacing w:line="312" w:lineRule="auto"/>
              <w:ind w:firstLine="480" w:firstLineChars="200"/>
              <w:rPr>
                <w:rFonts w:hint="eastAsia" w:ascii="宋体" w:hAnsi="宋体" w:eastAsia="宋体" w:cs="宋体"/>
                <w:color w:val="000000"/>
                <w:sz w:val="24"/>
                <w:highlight w:val="none"/>
              </w:rPr>
            </w:pPr>
            <w:r>
              <w:rPr>
                <w:rStyle w:val="47"/>
                <w:rFonts w:hint="eastAsia"/>
                <w:color w:val="auto"/>
                <w:kern w:val="0"/>
                <w:sz w:val="24"/>
                <w:szCs w:val="24"/>
                <w:highlight w:val="none"/>
              </w:rPr>
              <w:t>评委根据投标人针对本项目制定</w:t>
            </w:r>
            <w:r>
              <w:rPr>
                <w:rStyle w:val="47"/>
                <w:rFonts w:hint="eastAsia"/>
                <w:color w:val="auto"/>
                <w:kern w:val="0"/>
                <w:sz w:val="24"/>
                <w:szCs w:val="24"/>
                <w:highlight w:val="none"/>
                <w:lang w:eastAsia="zh-CN"/>
              </w:rPr>
              <w:t>的三线和违建管控、小广告和牛皮鲜清理、空倒房管护方案的科学</w:t>
            </w:r>
            <w:r>
              <w:rPr>
                <w:rStyle w:val="47"/>
                <w:rFonts w:hint="eastAsia"/>
                <w:color w:val="auto"/>
                <w:kern w:val="0"/>
                <w:sz w:val="24"/>
                <w:szCs w:val="24"/>
                <w:highlight w:val="none"/>
              </w:rPr>
              <w:t>性、合理性、规范性及可实施性进行打分</w:t>
            </w:r>
            <w:r>
              <w:rPr>
                <w:rStyle w:val="47"/>
                <w:rFonts w:hint="eastAsia"/>
                <w:color w:val="auto"/>
                <w:kern w:val="0"/>
                <w:sz w:val="24"/>
                <w:szCs w:val="24"/>
                <w:highlight w:val="none"/>
                <w:lang w:eastAsia="zh-CN"/>
              </w:rPr>
              <w:t>；</w:t>
            </w:r>
          </w:p>
        </w:tc>
        <w:tc>
          <w:tcPr>
            <w:tcW w:w="931" w:type="dxa"/>
            <w:gridSpan w:val="2"/>
            <w:tcBorders>
              <w:top w:val="single" w:color="auto" w:sz="4" w:space="0"/>
              <w:left w:val="single" w:color="auto" w:sz="4" w:space="0"/>
              <w:bottom w:val="single" w:color="auto" w:sz="4" w:space="0"/>
              <w:right w:val="single" w:color="auto" w:sz="4" w:space="0"/>
            </w:tcBorders>
            <w:noWrap w:val="0"/>
            <w:vAlign w:val="center"/>
          </w:tcPr>
          <w:p w14:paraId="76B4D025">
            <w:pPr>
              <w:spacing w:line="312" w:lineRule="auto"/>
              <w:rPr>
                <w:rStyle w:val="47"/>
                <w:rFonts w:hint="eastAsia"/>
                <w:color w:val="auto"/>
                <w:kern w:val="0"/>
                <w:sz w:val="24"/>
                <w:szCs w:val="24"/>
                <w:highlight w:val="none"/>
              </w:rPr>
            </w:pPr>
            <w:r>
              <w:rPr>
                <w:rFonts w:hint="eastAsia" w:ascii="宋体" w:hAnsi="宋体" w:eastAsia="宋体" w:cs="宋体"/>
                <w:color w:val="auto"/>
                <w:sz w:val="24"/>
                <w:szCs w:val="24"/>
                <w:highlight w:val="none"/>
                <w:lang w:val="en-US" w:eastAsia="zh-CN"/>
              </w:rPr>
              <w:t>0-</w:t>
            </w:r>
            <w:r>
              <w:rPr>
                <w:rFonts w:hint="eastAsia" w:ascii="宋体" w:hAnsi="宋体" w:cs="宋体"/>
                <w:color w:val="auto"/>
                <w:sz w:val="24"/>
                <w:szCs w:val="24"/>
                <w:highlight w:val="none"/>
                <w:lang w:val="en-US" w:eastAsia="zh-CN"/>
              </w:rPr>
              <w:t>7</w:t>
            </w:r>
            <w:r>
              <w:rPr>
                <w:rFonts w:hint="eastAsia" w:ascii="宋体" w:hAnsi="宋体" w:eastAsia="宋体" w:cs="宋体"/>
                <w:color w:val="auto"/>
                <w:sz w:val="24"/>
                <w:szCs w:val="24"/>
                <w:highlight w:val="none"/>
                <w:lang w:eastAsia="zh-CN"/>
              </w:rPr>
              <w:t>分</w:t>
            </w:r>
          </w:p>
        </w:tc>
      </w:tr>
      <w:tr w14:paraId="696BDE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4" w:hRule="atLeast"/>
          <w:jc w:val="center"/>
        </w:trPr>
        <w:tc>
          <w:tcPr>
            <w:tcW w:w="870" w:type="dxa"/>
            <w:vMerge w:val="continue"/>
            <w:tcBorders>
              <w:left w:val="single" w:color="auto" w:sz="4" w:space="0"/>
              <w:right w:val="single" w:color="auto" w:sz="4" w:space="0"/>
            </w:tcBorders>
            <w:noWrap w:val="0"/>
            <w:vAlign w:val="center"/>
          </w:tcPr>
          <w:p w14:paraId="3625DD99">
            <w:pPr>
              <w:widowControl/>
              <w:spacing w:line="360" w:lineRule="auto"/>
              <w:jc w:val="left"/>
              <w:rPr>
                <w:rFonts w:hint="eastAsia" w:ascii="宋体" w:hAnsi="宋体" w:eastAsia="宋体" w:cs="宋体"/>
                <w:color w:val="000000"/>
                <w:sz w:val="24"/>
                <w:highlight w:val="none"/>
              </w:rPr>
            </w:pPr>
          </w:p>
        </w:tc>
        <w:tc>
          <w:tcPr>
            <w:tcW w:w="1248" w:type="dxa"/>
            <w:vMerge w:val="restart"/>
            <w:tcBorders>
              <w:left w:val="single" w:color="auto" w:sz="4" w:space="0"/>
              <w:right w:val="single" w:color="auto" w:sz="4" w:space="0"/>
            </w:tcBorders>
            <w:noWrap w:val="0"/>
            <w:vAlign w:val="center"/>
          </w:tcPr>
          <w:p w14:paraId="081CD240">
            <w:pPr>
              <w:widowControl/>
              <w:jc w:val="center"/>
              <w:rPr>
                <w:rFonts w:hint="eastAsia" w:ascii="宋体" w:hAnsi="宋体" w:eastAsia="宋体" w:cs="宋体"/>
                <w:color w:val="000000"/>
                <w:sz w:val="24"/>
                <w:highlight w:val="none"/>
              </w:rPr>
            </w:pPr>
            <w:r>
              <w:rPr>
                <w:rFonts w:hint="eastAsia" w:ascii="宋体" w:hAnsi="宋体" w:cs="宋体"/>
                <w:color w:val="auto"/>
                <w:kern w:val="0"/>
                <w:sz w:val="24"/>
                <w:szCs w:val="24"/>
                <w:highlight w:val="none"/>
              </w:rPr>
              <w:t>重</w:t>
            </w:r>
            <w:r>
              <w:rPr>
                <w:rFonts w:hint="eastAsia" w:ascii="宋体" w:hAnsi="宋体" w:cs="宋体"/>
                <w:color w:val="auto"/>
                <w:kern w:val="0"/>
                <w:sz w:val="24"/>
                <w:szCs w:val="24"/>
                <w:highlight w:val="none"/>
                <w:lang w:eastAsia="zh-CN"/>
              </w:rPr>
              <w:t>点、</w:t>
            </w:r>
            <w:r>
              <w:rPr>
                <w:rFonts w:hint="eastAsia" w:ascii="宋体" w:hAnsi="宋体" w:cs="宋体"/>
                <w:color w:val="auto"/>
                <w:kern w:val="0"/>
                <w:sz w:val="24"/>
                <w:szCs w:val="24"/>
                <w:highlight w:val="none"/>
              </w:rPr>
              <w:t>难点及解决措施</w:t>
            </w:r>
          </w:p>
        </w:tc>
        <w:tc>
          <w:tcPr>
            <w:tcW w:w="6368" w:type="dxa"/>
            <w:tcBorders>
              <w:left w:val="single" w:color="auto" w:sz="4" w:space="0"/>
              <w:bottom w:val="single" w:color="auto" w:sz="4" w:space="0"/>
              <w:right w:val="single" w:color="auto" w:sz="4" w:space="0"/>
            </w:tcBorders>
            <w:noWrap w:val="0"/>
            <w:vAlign w:val="center"/>
          </w:tcPr>
          <w:p w14:paraId="3A26EF36">
            <w:pPr>
              <w:spacing w:line="312" w:lineRule="auto"/>
              <w:ind w:firstLine="480" w:firstLineChars="200"/>
              <w:rPr>
                <w:rFonts w:hint="eastAsia" w:ascii="宋体" w:hAnsi="宋体" w:eastAsia="宋体" w:cs="宋体"/>
                <w:color w:val="000000"/>
                <w:sz w:val="24"/>
                <w:highlight w:val="none"/>
              </w:rPr>
            </w:pPr>
            <w:r>
              <w:rPr>
                <w:rStyle w:val="47"/>
                <w:rFonts w:hint="eastAsia"/>
                <w:color w:val="auto"/>
                <w:kern w:val="0"/>
                <w:sz w:val="24"/>
                <w:szCs w:val="24"/>
                <w:highlight w:val="none"/>
              </w:rPr>
              <w:t>评委根据投标人针对本项目现状、存在的问题的重点</w:t>
            </w:r>
            <w:r>
              <w:rPr>
                <w:rStyle w:val="47"/>
                <w:rFonts w:hint="eastAsia"/>
                <w:color w:val="auto"/>
                <w:kern w:val="0"/>
                <w:sz w:val="24"/>
                <w:szCs w:val="24"/>
                <w:highlight w:val="none"/>
                <w:lang w:eastAsia="zh-CN"/>
              </w:rPr>
              <w:t>、</w:t>
            </w:r>
            <w:r>
              <w:rPr>
                <w:rStyle w:val="47"/>
                <w:rFonts w:hint="eastAsia"/>
                <w:color w:val="auto"/>
                <w:kern w:val="0"/>
                <w:sz w:val="24"/>
                <w:szCs w:val="24"/>
                <w:highlight w:val="none"/>
              </w:rPr>
              <w:t>难点分析</w:t>
            </w:r>
            <w:r>
              <w:rPr>
                <w:rStyle w:val="47"/>
                <w:rFonts w:hint="eastAsia"/>
                <w:color w:val="auto"/>
                <w:kern w:val="0"/>
                <w:sz w:val="24"/>
                <w:szCs w:val="24"/>
                <w:highlight w:val="none"/>
                <w:lang w:eastAsia="zh-CN"/>
              </w:rPr>
              <w:t>与理解是否全面，是否合理进行打分；</w:t>
            </w:r>
          </w:p>
        </w:tc>
        <w:tc>
          <w:tcPr>
            <w:tcW w:w="931" w:type="dxa"/>
            <w:gridSpan w:val="2"/>
            <w:tcBorders>
              <w:left w:val="single" w:color="auto" w:sz="4" w:space="0"/>
              <w:bottom w:val="single" w:color="auto" w:sz="4" w:space="0"/>
              <w:right w:val="single" w:color="auto" w:sz="4" w:space="0"/>
            </w:tcBorders>
            <w:noWrap w:val="0"/>
            <w:vAlign w:val="center"/>
          </w:tcPr>
          <w:p w14:paraId="57A824FC">
            <w:pPr>
              <w:spacing w:line="312" w:lineRule="auto"/>
              <w:rPr>
                <w:rStyle w:val="47"/>
                <w:rFonts w:hint="eastAsia"/>
                <w:color w:val="auto"/>
                <w:kern w:val="0"/>
                <w:sz w:val="24"/>
                <w:szCs w:val="24"/>
                <w:highlight w:val="none"/>
              </w:rPr>
            </w:pPr>
            <w:r>
              <w:rPr>
                <w:rFonts w:hint="eastAsia" w:ascii="宋体" w:hAnsi="宋体" w:eastAsia="宋体" w:cs="宋体"/>
                <w:color w:val="auto"/>
                <w:sz w:val="24"/>
                <w:szCs w:val="24"/>
                <w:highlight w:val="none"/>
                <w:lang w:val="en-US" w:eastAsia="zh-CN"/>
              </w:rPr>
              <w:t>0-</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val="en-US" w:eastAsia="zh-CN"/>
              </w:rPr>
              <w:t>分</w:t>
            </w:r>
          </w:p>
        </w:tc>
      </w:tr>
      <w:tr w14:paraId="7B4533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4" w:hRule="atLeast"/>
          <w:jc w:val="center"/>
        </w:trPr>
        <w:tc>
          <w:tcPr>
            <w:tcW w:w="870" w:type="dxa"/>
            <w:vMerge w:val="continue"/>
            <w:tcBorders>
              <w:left w:val="single" w:color="auto" w:sz="4" w:space="0"/>
              <w:right w:val="single" w:color="auto" w:sz="4" w:space="0"/>
            </w:tcBorders>
            <w:noWrap w:val="0"/>
            <w:vAlign w:val="center"/>
          </w:tcPr>
          <w:p w14:paraId="749FAA6C">
            <w:pPr>
              <w:widowControl/>
              <w:spacing w:line="360" w:lineRule="auto"/>
              <w:jc w:val="left"/>
              <w:rPr>
                <w:rFonts w:hint="eastAsia" w:ascii="宋体" w:hAnsi="宋体" w:eastAsia="宋体" w:cs="宋体"/>
                <w:color w:val="000000"/>
                <w:sz w:val="24"/>
                <w:highlight w:val="none"/>
              </w:rPr>
            </w:pPr>
          </w:p>
        </w:tc>
        <w:tc>
          <w:tcPr>
            <w:tcW w:w="1248" w:type="dxa"/>
            <w:vMerge w:val="continue"/>
            <w:tcBorders>
              <w:left w:val="single" w:color="auto" w:sz="4" w:space="0"/>
              <w:right w:val="single" w:color="auto" w:sz="4" w:space="0"/>
            </w:tcBorders>
            <w:noWrap w:val="0"/>
            <w:vAlign w:val="center"/>
          </w:tcPr>
          <w:p w14:paraId="130A9D7C">
            <w:pPr>
              <w:widowControl/>
              <w:jc w:val="center"/>
              <w:rPr>
                <w:rFonts w:hint="eastAsia" w:ascii="宋体" w:hAnsi="宋体" w:cs="宋体"/>
                <w:color w:val="auto"/>
                <w:kern w:val="0"/>
                <w:sz w:val="24"/>
                <w:szCs w:val="24"/>
                <w:highlight w:val="none"/>
              </w:rPr>
            </w:pPr>
          </w:p>
        </w:tc>
        <w:tc>
          <w:tcPr>
            <w:tcW w:w="6368" w:type="dxa"/>
            <w:tcBorders>
              <w:left w:val="single" w:color="auto" w:sz="4" w:space="0"/>
              <w:bottom w:val="single" w:color="auto" w:sz="4" w:space="0"/>
              <w:right w:val="single" w:color="auto" w:sz="4" w:space="0"/>
            </w:tcBorders>
            <w:noWrap w:val="0"/>
            <w:vAlign w:val="center"/>
          </w:tcPr>
          <w:p w14:paraId="31170C31">
            <w:pPr>
              <w:spacing w:line="312" w:lineRule="auto"/>
              <w:ind w:firstLine="480" w:firstLineChars="200"/>
              <w:rPr>
                <w:rFonts w:hint="eastAsia" w:ascii="宋体" w:hAnsi="宋体" w:eastAsia="宋体" w:cs="宋体"/>
                <w:color w:val="000000"/>
                <w:sz w:val="24"/>
                <w:highlight w:val="none"/>
              </w:rPr>
            </w:pPr>
            <w:r>
              <w:rPr>
                <w:rStyle w:val="47"/>
                <w:rFonts w:hint="eastAsia"/>
                <w:color w:val="auto"/>
                <w:kern w:val="0"/>
                <w:sz w:val="24"/>
                <w:szCs w:val="24"/>
                <w:highlight w:val="none"/>
              </w:rPr>
              <w:t>评委根据投标人针对本项目</w:t>
            </w:r>
            <w:r>
              <w:rPr>
                <w:rStyle w:val="47"/>
                <w:rFonts w:hint="eastAsia"/>
                <w:color w:val="auto"/>
                <w:kern w:val="0"/>
                <w:sz w:val="24"/>
                <w:szCs w:val="24"/>
                <w:highlight w:val="none"/>
                <w:lang w:eastAsia="zh-CN"/>
              </w:rPr>
              <w:t>重点、难点解决措施考虑是否全面及可操作性是否科学合理进行打分；</w:t>
            </w:r>
          </w:p>
        </w:tc>
        <w:tc>
          <w:tcPr>
            <w:tcW w:w="931" w:type="dxa"/>
            <w:gridSpan w:val="2"/>
            <w:tcBorders>
              <w:left w:val="single" w:color="auto" w:sz="4" w:space="0"/>
              <w:bottom w:val="single" w:color="auto" w:sz="4" w:space="0"/>
              <w:right w:val="single" w:color="auto" w:sz="4" w:space="0"/>
            </w:tcBorders>
            <w:noWrap w:val="0"/>
            <w:vAlign w:val="center"/>
          </w:tcPr>
          <w:p w14:paraId="3BD590B6">
            <w:pPr>
              <w:spacing w:line="312" w:lineRule="auto"/>
              <w:rPr>
                <w:rStyle w:val="47"/>
                <w:rFonts w:hint="eastAsia"/>
                <w:color w:val="auto"/>
                <w:kern w:val="0"/>
                <w:sz w:val="24"/>
                <w:szCs w:val="24"/>
                <w:highlight w:val="none"/>
              </w:rPr>
            </w:pPr>
            <w:r>
              <w:rPr>
                <w:rFonts w:hint="eastAsia" w:ascii="宋体" w:hAnsi="宋体" w:eastAsia="宋体" w:cs="宋体"/>
                <w:color w:val="auto"/>
                <w:sz w:val="24"/>
                <w:szCs w:val="24"/>
                <w:highlight w:val="none"/>
                <w:lang w:val="en-US" w:eastAsia="zh-CN"/>
              </w:rPr>
              <w:t>0-</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val="en-US" w:eastAsia="zh-CN"/>
              </w:rPr>
              <w:t>分</w:t>
            </w:r>
          </w:p>
        </w:tc>
      </w:tr>
      <w:tr w14:paraId="622A8F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jc w:val="center"/>
        </w:trPr>
        <w:tc>
          <w:tcPr>
            <w:tcW w:w="870" w:type="dxa"/>
            <w:vMerge w:val="continue"/>
            <w:tcBorders>
              <w:left w:val="single" w:color="auto" w:sz="4" w:space="0"/>
              <w:right w:val="single" w:color="auto" w:sz="4" w:space="0"/>
            </w:tcBorders>
            <w:noWrap w:val="0"/>
            <w:vAlign w:val="center"/>
          </w:tcPr>
          <w:p w14:paraId="0A6A5533">
            <w:pPr>
              <w:widowControl/>
              <w:spacing w:line="360" w:lineRule="auto"/>
              <w:jc w:val="left"/>
              <w:rPr>
                <w:rFonts w:hint="eastAsia" w:ascii="宋体" w:hAnsi="宋体" w:eastAsia="宋体" w:cs="宋体"/>
                <w:color w:val="000000"/>
                <w:sz w:val="24"/>
                <w:highlight w:val="none"/>
              </w:rPr>
            </w:pPr>
          </w:p>
        </w:tc>
        <w:tc>
          <w:tcPr>
            <w:tcW w:w="1248" w:type="dxa"/>
            <w:tcBorders>
              <w:left w:val="single" w:color="auto" w:sz="4" w:space="0"/>
              <w:right w:val="single" w:color="auto" w:sz="4" w:space="0"/>
            </w:tcBorders>
            <w:noWrap w:val="0"/>
            <w:vAlign w:val="center"/>
          </w:tcPr>
          <w:p w14:paraId="572B6B6C">
            <w:pPr>
              <w:widowControl/>
              <w:jc w:val="center"/>
              <w:rPr>
                <w:rFonts w:hint="eastAsia" w:ascii="宋体" w:hAnsi="宋体" w:eastAsia="宋体" w:cs="宋体"/>
                <w:color w:val="000000"/>
                <w:sz w:val="24"/>
                <w:highlight w:val="none"/>
              </w:rPr>
            </w:pPr>
            <w:r>
              <w:rPr>
                <w:rFonts w:hint="eastAsia" w:ascii="宋体" w:hAnsi="宋体" w:cs="宋体"/>
                <w:color w:val="auto"/>
                <w:kern w:val="0"/>
                <w:sz w:val="24"/>
                <w:szCs w:val="24"/>
                <w:highlight w:val="none"/>
              </w:rPr>
              <w:t>设备投入</w:t>
            </w:r>
          </w:p>
        </w:tc>
        <w:tc>
          <w:tcPr>
            <w:tcW w:w="6368" w:type="dxa"/>
            <w:tcBorders>
              <w:top w:val="single" w:color="auto" w:sz="4" w:space="0"/>
              <w:left w:val="single" w:color="auto" w:sz="4" w:space="0"/>
              <w:bottom w:val="single" w:color="auto" w:sz="4" w:space="0"/>
              <w:right w:val="single" w:color="auto" w:sz="4" w:space="0"/>
            </w:tcBorders>
            <w:noWrap w:val="0"/>
            <w:vAlign w:val="center"/>
          </w:tcPr>
          <w:p w14:paraId="6FBC33FD">
            <w:pPr>
              <w:spacing w:line="312" w:lineRule="auto"/>
              <w:ind w:firstLine="480" w:firstLineChars="200"/>
              <w:rPr>
                <w:rStyle w:val="47"/>
                <w:rFonts w:hint="eastAsia"/>
                <w:color w:val="auto"/>
                <w:kern w:val="0"/>
                <w:sz w:val="24"/>
                <w:szCs w:val="24"/>
                <w:highlight w:val="none"/>
                <w:lang w:eastAsia="zh-CN"/>
              </w:rPr>
            </w:pPr>
            <w:r>
              <w:rPr>
                <w:rStyle w:val="47"/>
                <w:rFonts w:hint="eastAsia"/>
                <w:color w:val="auto"/>
                <w:kern w:val="0"/>
                <w:sz w:val="24"/>
                <w:szCs w:val="24"/>
                <w:highlight w:val="none"/>
              </w:rPr>
              <w:t>评委根据投标人针对本项</w:t>
            </w:r>
            <w:r>
              <w:rPr>
                <w:rStyle w:val="47"/>
                <w:rFonts w:hint="eastAsia"/>
                <w:color w:val="auto"/>
                <w:kern w:val="0"/>
                <w:sz w:val="24"/>
                <w:szCs w:val="24"/>
                <w:highlight w:val="none"/>
                <w:lang w:eastAsia="zh-CN"/>
              </w:rPr>
              <w:t>目</w:t>
            </w:r>
            <w:r>
              <w:rPr>
                <w:rStyle w:val="47"/>
                <w:rFonts w:hint="eastAsia"/>
                <w:color w:val="auto"/>
                <w:kern w:val="0"/>
                <w:sz w:val="24"/>
                <w:szCs w:val="24"/>
                <w:highlight w:val="none"/>
              </w:rPr>
              <w:t>的</w:t>
            </w:r>
            <w:r>
              <w:rPr>
                <w:rStyle w:val="47"/>
                <w:rFonts w:hint="eastAsia"/>
                <w:color w:val="auto"/>
                <w:kern w:val="0"/>
                <w:sz w:val="24"/>
                <w:szCs w:val="24"/>
                <w:highlight w:val="none"/>
                <w:lang w:eastAsia="zh-CN"/>
              </w:rPr>
              <w:t>投入的相关设备及车辆从</w:t>
            </w:r>
            <w:r>
              <w:rPr>
                <w:rStyle w:val="47"/>
                <w:rFonts w:hint="eastAsia"/>
                <w:color w:val="auto"/>
                <w:kern w:val="0"/>
                <w:sz w:val="24"/>
                <w:szCs w:val="24"/>
                <w:highlight w:val="none"/>
              </w:rPr>
              <w:t>功能、数量</w:t>
            </w:r>
            <w:r>
              <w:rPr>
                <w:rStyle w:val="47"/>
                <w:rFonts w:hint="eastAsia"/>
                <w:color w:val="auto"/>
                <w:kern w:val="0"/>
                <w:sz w:val="24"/>
                <w:szCs w:val="24"/>
                <w:highlight w:val="none"/>
                <w:lang w:eastAsia="zh-CN"/>
              </w:rPr>
              <w:t>及配置运行管理方案是否合理情况</w:t>
            </w:r>
            <w:r>
              <w:rPr>
                <w:rStyle w:val="47"/>
                <w:rFonts w:hint="eastAsia"/>
                <w:color w:val="auto"/>
                <w:kern w:val="0"/>
                <w:sz w:val="24"/>
                <w:szCs w:val="24"/>
                <w:highlight w:val="none"/>
              </w:rPr>
              <w:t>进行打分</w:t>
            </w:r>
            <w:r>
              <w:rPr>
                <w:rStyle w:val="47"/>
                <w:rFonts w:hint="eastAsia"/>
                <w:color w:val="auto"/>
                <w:kern w:val="0"/>
                <w:sz w:val="24"/>
                <w:szCs w:val="24"/>
                <w:highlight w:val="none"/>
                <w:lang w:eastAsia="zh-CN"/>
              </w:rPr>
              <w:t>；</w:t>
            </w:r>
          </w:p>
          <w:p w14:paraId="5625E4C2">
            <w:pPr>
              <w:keepNext w:val="0"/>
              <w:keepLines w:val="0"/>
              <w:pageBreakBefore w:val="0"/>
              <w:widowControl w:val="0"/>
              <w:kinsoku/>
              <w:wordWrap/>
              <w:overflowPunct/>
              <w:topLinePunct w:val="0"/>
              <w:autoSpaceDE/>
              <w:autoSpaceDN/>
              <w:bidi w:val="0"/>
              <w:adjustRightInd/>
              <w:spacing w:line="360" w:lineRule="auto"/>
              <w:textAlignment w:val="auto"/>
              <w:rPr>
                <w:rFonts w:hint="eastAsia" w:ascii="宋体" w:hAnsi="宋体" w:eastAsia="宋体" w:cs="宋体"/>
                <w:color w:val="auto"/>
                <w:sz w:val="24"/>
                <w:highlight w:val="none"/>
              </w:rPr>
            </w:pPr>
            <w:r>
              <w:rPr>
                <w:rStyle w:val="47"/>
                <w:rFonts w:hint="eastAsia"/>
                <w:b/>
                <w:bCs/>
                <w:color w:val="auto"/>
                <w:kern w:val="0"/>
                <w:sz w:val="24"/>
                <w:szCs w:val="24"/>
                <w:highlight w:val="none"/>
              </w:rPr>
              <w:t>（提供</w:t>
            </w:r>
            <w:r>
              <w:rPr>
                <w:rStyle w:val="47"/>
                <w:rFonts w:hint="eastAsia"/>
                <w:b/>
                <w:bCs/>
                <w:color w:val="auto"/>
                <w:kern w:val="0"/>
                <w:sz w:val="24"/>
                <w:szCs w:val="24"/>
                <w:highlight w:val="none"/>
                <w:lang w:eastAsia="zh-CN"/>
              </w:rPr>
              <w:t>相关设备</w:t>
            </w:r>
            <w:r>
              <w:rPr>
                <w:rStyle w:val="47"/>
                <w:rFonts w:hint="eastAsia"/>
                <w:b/>
                <w:bCs/>
                <w:color w:val="auto"/>
                <w:kern w:val="0"/>
                <w:sz w:val="24"/>
                <w:szCs w:val="24"/>
                <w:highlight w:val="none"/>
              </w:rPr>
              <w:t>证明材料</w:t>
            </w:r>
            <w:r>
              <w:rPr>
                <w:rFonts w:hint="eastAsia" w:ascii="宋体" w:hAnsi="宋体" w:cs="宋体"/>
                <w:b/>
                <w:bCs/>
                <w:color w:val="auto"/>
                <w:kern w:val="0"/>
                <w:sz w:val="24"/>
                <w:szCs w:val="24"/>
                <w:highlight w:val="none"/>
                <w:lang w:eastAsia="zh-CN"/>
              </w:rPr>
              <w:t>原件扫描</w:t>
            </w:r>
            <w:r>
              <w:rPr>
                <w:rFonts w:hint="eastAsia" w:ascii="宋体" w:hAnsi="宋体" w:eastAsia="宋体" w:cs="宋体"/>
                <w:b/>
                <w:bCs/>
                <w:color w:val="auto"/>
                <w:kern w:val="0"/>
                <w:sz w:val="24"/>
                <w:szCs w:val="24"/>
                <w:highlight w:val="none"/>
                <w:lang w:eastAsia="zh-CN"/>
              </w:rPr>
              <w:t>件</w:t>
            </w:r>
            <w:r>
              <w:rPr>
                <w:rStyle w:val="47"/>
                <w:rFonts w:hint="eastAsia"/>
                <w:b/>
                <w:bCs/>
                <w:color w:val="auto"/>
                <w:kern w:val="0"/>
                <w:sz w:val="24"/>
                <w:szCs w:val="24"/>
                <w:highlight w:val="none"/>
              </w:rPr>
              <w:t>加盖公章）</w:t>
            </w:r>
          </w:p>
        </w:tc>
        <w:tc>
          <w:tcPr>
            <w:tcW w:w="931" w:type="dxa"/>
            <w:gridSpan w:val="2"/>
            <w:tcBorders>
              <w:top w:val="single" w:color="auto" w:sz="4" w:space="0"/>
              <w:left w:val="single" w:color="auto" w:sz="4" w:space="0"/>
              <w:bottom w:val="single" w:color="auto" w:sz="4" w:space="0"/>
              <w:right w:val="single" w:color="auto" w:sz="4" w:space="0"/>
            </w:tcBorders>
            <w:noWrap w:val="0"/>
            <w:vAlign w:val="center"/>
          </w:tcPr>
          <w:p w14:paraId="21ECF339">
            <w:pPr>
              <w:keepNext w:val="0"/>
              <w:keepLines w:val="0"/>
              <w:pageBreakBefore w:val="0"/>
              <w:widowControl w:val="0"/>
              <w:kinsoku/>
              <w:wordWrap/>
              <w:overflowPunct/>
              <w:topLinePunct w:val="0"/>
              <w:autoSpaceDE/>
              <w:autoSpaceDN/>
              <w:bidi w:val="0"/>
              <w:adjustRightInd/>
              <w:spacing w:line="360" w:lineRule="auto"/>
              <w:textAlignment w:val="auto"/>
              <w:rPr>
                <w:rStyle w:val="47"/>
                <w:rFonts w:hint="eastAsia"/>
                <w:b/>
                <w:bCs/>
                <w:color w:val="auto"/>
                <w:kern w:val="0"/>
                <w:sz w:val="24"/>
                <w:szCs w:val="24"/>
                <w:highlight w:val="none"/>
              </w:rPr>
            </w:pPr>
            <w:r>
              <w:rPr>
                <w:rFonts w:hint="eastAsia" w:ascii="宋体" w:hAnsi="宋体" w:eastAsia="宋体" w:cs="宋体"/>
                <w:color w:val="auto"/>
                <w:sz w:val="24"/>
                <w:szCs w:val="24"/>
                <w:highlight w:val="none"/>
                <w:lang w:val="en-US" w:eastAsia="zh-CN"/>
              </w:rPr>
              <w:t>0-</w:t>
            </w:r>
            <w:r>
              <w:rPr>
                <w:rFonts w:hint="eastAsia" w:ascii="宋体" w:hAnsi="宋体" w:cs="宋体"/>
                <w:color w:val="auto"/>
                <w:sz w:val="24"/>
                <w:szCs w:val="24"/>
                <w:highlight w:val="none"/>
                <w:lang w:val="en-US" w:eastAsia="zh-CN"/>
              </w:rPr>
              <w:t>7</w:t>
            </w:r>
            <w:r>
              <w:rPr>
                <w:rFonts w:hint="eastAsia" w:ascii="宋体" w:hAnsi="宋体" w:eastAsia="宋体" w:cs="宋体"/>
                <w:color w:val="auto"/>
                <w:sz w:val="24"/>
                <w:szCs w:val="24"/>
                <w:highlight w:val="none"/>
                <w:lang w:val="en-US" w:eastAsia="zh-CN"/>
              </w:rPr>
              <w:t>分</w:t>
            </w:r>
          </w:p>
        </w:tc>
      </w:tr>
      <w:tr w14:paraId="559DDD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jc w:val="center"/>
        </w:trPr>
        <w:tc>
          <w:tcPr>
            <w:tcW w:w="870" w:type="dxa"/>
            <w:vMerge w:val="continue"/>
            <w:tcBorders>
              <w:left w:val="single" w:color="auto" w:sz="4" w:space="0"/>
              <w:right w:val="single" w:color="auto" w:sz="4" w:space="0"/>
            </w:tcBorders>
            <w:noWrap w:val="0"/>
            <w:vAlign w:val="center"/>
          </w:tcPr>
          <w:p w14:paraId="5C21FBC5">
            <w:pPr>
              <w:widowControl/>
              <w:spacing w:line="360" w:lineRule="auto"/>
              <w:jc w:val="left"/>
              <w:rPr>
                <w:rFonts w:hint="eastAsia" w:ascii="宋体" w:hAnsi="宋体" w:eastAsia="宋体" w:cs="宋体"/>
                <w:color w:val="000000"/>
                <w:sz w:val="24"/>
                <w:highlight w:val="none"/>
              </w:rPr>
            </w:pPr>
          </w:p>
        </w:tc>
        <w:tc>
          <w:tcPr>
            <w:tcW w:w="1248" w:type="dxa"/>
            <w:tcBorders>
              <w:left w:val="single" w:color="auto" w:sz="4" w:space="0"/>
              <w:right w:val="single" w:color="auto" w:sz="4" w:space="0"/>
            </w:tcBorders>
            <w:noWrap w:val="0"/>
            <w:vAlign w:val="center"/>
          </w:tcPr>
          <w:p w14:paraId="011D3C6A">
            <w:pPr>
              <w:widowControl/>
              <w:jc w:val="center"/>
              <w:rPr>
                <w:rFonts w:hint="eastAsia" w:ascii="宋体" w:hAnsi="宋体" w:eastAsia="宋体" w:cs="宋体"/>
                <w:color w:val="000000"/>
                <w:sz w:val="24"/>
                <w:highlight w:val="none"/>
              </w:rPr>
            </w:pPr>
            <w:r>
              <w:rPr>
                <w:rFonts w:hint="eastAsia" w:ascii="宋体" w:hAnsi="宋体" w:cs="宋体"/>
                <w:color w:val="auto"/>
                <w:kern w:val="0"/>
                <w:sz w:val="24"/>
                <w:szCs w:val="24"/>
                <w:highlight w:val="none"/>
              </w:rPr>
              <w:t>人员配备</w:t>
            </w:r>
          </w:p>
        </w:tc>
        <w:tc>
          <w:tcPr>
            <w:tcW w:w="6368" w:type="dxa"/>
            <w:tcBorders>
              <w:top w:val="single" w:color="auto" w:sz="4" w:space="0"/>
              <w:left w:val="single" w:color="auto" w:sz="4" w:space="0"/>
              <w:right w:val="single" w:color="auto" w:sz="4" w:space="0"/>
            </w:tcBorders>
            <w:noWrap w:val="0"/>
            <w:vAlign w:val="center"/>
          </w:tcPr>
          <w:p w14:paraId="34A140C6">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评委根据投标人</w:t>
            </w:r>
            <w:r>
              <w:rPr>
                <w:rFonts w:hint="eastAsia" w:ascii="宋体" w:hAnsi="宋体" w:eastAsia="宋体" w:cs="宋体"/>
                <w:color w:val="auto"/>
                <w:sz w:val="24"/>
                <w:highlight w:val="none"/>
              </w:rPr>
              <w:t>针对本项</w:t>
            </w:r>
            <w:r>
              <w:rPr>
                <w:rFonts w:hint="eastAsia" w:ascii="宋体" w:hAnsi="宋体" w:eastAsia="宋体" w:cs="宋体"/>
                <w:color w:val="auto"/>
                <w:sz w:val="24"/>
                <w:highlight w:val="none"/>
                <w:lang w:eastAsia="zh-CN"/>
              </w:rPr>
              <w:t>目</w:t>
            </w:r>
            <w:r>
              <w:rPr>
                <w:rFonts w:hint="eastAsia" w:ascii="宋体" w:hAnsi="宋体" w:eastAsia="宋体" w:cs="宋体"/>
                <w:color w:val="auto"/>
                <w:sz w:val="24"/>
                <w:highlight w:val="none"/>
                <w:lang w:val="en-US" w:eastAsia="zh-CN"/>
              </w:rPr>
              <w:t>拟派项目团队人员的配备情况、从业人数、人员平均年龄、文化水平、人员分工及工作经验等进行综合打分；</w:t>
            </w:r>
          </w:p>
        </w:tc>
        <w:tc>
          <w:tcPr>
            <w:tcW w:w="931" w:type="dxa"/>
            <w:gridSpan w:val="2"/>
            <w:tcBorders>
              <w:top w:val="single" w:color="auto" w:sz="4" w:space="0"/>
              <w:left w:val="single" w:color="auto" w:sz="4" w:space="0"/>
              <w:right w:val="single" w:color="auto" w:sz="4" w:space="0"/>
            </w:tcBorders>
            <w:noWrap w:val="0"/>
            <w:vAlign w:val="center"/>
          </w:tcPr>
          <w:p w14:paraId="4B235759">
            <w:pPr>
              <w:keepNext w:val="0"/>
              <w:keepLines w:val="0"/>
              <w:pageBreakBefore w:val="0"/>
              <w:widowControl w:val="0"/>
              <w:kinsoku/>
              <w:wordWrap/>
              <w:overflowPunct/>
              <w:topLinePunct w:val="0"/>
              <w:autoSpaceDE/>
              <w:autoSpaceDN/>
              <w:bidi w:val="0"/>
              <w:adjustRightInd/>
              <w:spacing w:line="360" w:lineRule="auto"/>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szCs w:val="24"/>
                <w:highlight w:val="none"/>
                <w:lang w:val="en-US" w:eastAsia="zh-CN"/>
              </w:rPr>
              <w:t>0-5分</w:t>
            </w:r>
          </w:p>
        </w:tc>
      </w:tr>
      <w:tr w14:paraId="3EDF03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8" w:type="dxa"/>
          <w:trHeight w:val="639" w:hRule="atLeast"/>
          <w:jc w:val="center"/>
        </w:trPr>
        <w:tc>
          <w:tcPr>
            <w:tcW w:w="870" w:type="dxa"/>
            <w:vMerge w:val="continue"/>
            <w:tcBorders>
              <w:left w:val="single" w:color="auto" w:sz="4" w:space="0"/>
              <w:right w:val="single" w:color="auto" w:sz="4" w:space="0"/>
            </w:tcBorders>
            <w:noWrap w:val="0"/>
            <w:vAlign w:val="center"/>
          </w:tcPr>
          <w:p w14:paraId="34B14909">
            <w:pPr>
              <w:widowControl/>
              <w:spacing w:line="360" w:lineRule="auto"/>
              <w:jc w:val="left"/>
              <w:rPr>
                <w:rFonts w:hint="eastAsia" w:ascii="宋体" w:hAnsi="宋体" w:eastAsia="宋体" w:cs="宋体"/>
                <w:color w:val="000000"/>
                <w:sz w:val="24"/>
                <w:highlight w:val="none"/>
              </w:rPr>
            </w:pPr>
          </w:p>
        </w:tc>
        <w:tc>
          <w:tcPr>
            <w:tcW w:w="1248" w:type="dxa"/>
            <w:vMerge w:val="restart"/>
            <w:tcBorders>
              <w:left w:val="single" w:color="auto" w:sz="4" w:space="0"/>
              <w:right w:val="single" w:color="auto" w:sz="4" w:space="0"/>
            </w:tcBorders>
            <w:noWrap w:val="0"/>
            <w:vAlign w:val="center"/>
          </w:tcPr>
          <w:p w14:paraId="38CE885D">
            <w:pPr>
              <w:widowControl/>
              <w:jc w:val="center"/>
              <w:rPr>
                <w:rFonts w:hint="eastAsia" w:ascii="宋体" w:hAnsi="宋体" w:cs="宋体"/>
                <w:color w:val="auto"/>
                <w:kern w:val="0"/>
                <w:sz w:val="24"/>
                <w:szCs w:val="24"/>
                <w:highlight w:val="none"/>
              </w:rPr>
            </w:pPr>
            <w:r>
              <w:rPr>
                <w:rFonts w:hint="eastAsia" w:ascii="宋体" w:hAnsi="宋体" w:eastAsia="宋体" w:cs="宋体"/>
                <w:color w:val="auto"/>
                <w:sz w:val="24"/>
                <w:szCs w:val="24"/>
                <w:highlight w:val="none"/>
              </w:rPr>
              <w:t>管理制度</w:t>
            </w:r>
          </w:p>
        </w:tc>
        <w:tc>
          <w:tcPr>
            <w:tcW w:w="6368" w:type="dxa"/>
            <w:tcBorders>
              <w:top w:val="single" w:color="auto" w:sz="4" w:space="0"/>
              <w:left w:val="single" w:color="auto" w:sz="4" w:space="0"/>
              <w:right w:val="single" w:color="auto" w:sz="4" w:space="0"/>
            </w:tcBorders>
            <w:noWrap w:val="0"/>
            <w:vAlign w:val="center"/>
          </w:tcPr>
          <w:p w14:paraId="2A167B98">
            <w:pPr>
              <w:spacing w:line="312" w:lineRule="auto"/>
              <w:ind w:firstLine="480" w:firstLineChars="200"/>
              <w:rPr>
                <w:rFonts w:hint="eastAsia" w:ascii="宋体" w:hAnsi="宋体" w:eastAsia="宋体" w:cs="宋体"/>
                <w:color w:val="auto"/>
                <w:sz w:val="24"/>
                <w:highlight w:val="none"/>
                <w:lang w:val="en-US" w:eastAsia="zh-CN"/>
              </w:rPr>
            </w:pPr>
            <w:r>
              <w:rPr>
                <w:rStyle w:val="47"/>
                <w:rFonts w:hint="eastAsia"/>
                <w:color w:val="auto"/>
                <w:kern w:val="0"/>
                <w:sz w:val="24"/>
                <w:szCs w:val="24"/>
                <w:highlight w:val="none"/>
              </w:rPr>
              <w:t>评委根据投标人针对本项目提出的实施的项目管理流程、管理方式、监督机制和信息反馈渠道及处理机制、考核机制等进行综合打分</w:t>
            </w:r>
            <w:r>
              <w:rPr>
                <w:rStyle w:val="47"/>
                <w:rFonts w:hint="eastAsia"/>
                <w:color w:val="auto"/>
                <w:kern w:val="0"/>
                <w:sz w:val="24"/>
                <w:szCs w:val="24"/>
                <w:highlight w:val="none"/>
                <w:lang w:eastAsia="zh-CN"/>
              </w:rPr>
              <w:t>；</w:t>
            </w:r>
          </w:p>
        </w:tc>
        <w:tc>
          <w:tcPr>
            <w:tcW w:w="913" w:type="dxa"/>
            <w:tcBorders>
              <w:top w:val="single" w:color="auto" w:sz="4" w:space="0"/>
              <w:left w:val="single" w:color="auto" w:sz="4" w:space="0"/>
              <w:right w:val="single" w:color="auto" w:sz="4" w:space="0"/>
            </w:tcBorders>
            <w:noWrap w:val="0"/>
            <w:vAlign w:val="center"/>
          </w:tcPr>
          <w:p w14:paraId="29F335E6">
            <w:pPr>
              <w:spacing w:line="312" w:lineRule="auto"/>
              <w:rPr>
                <w:rStyle w:val="47"/>
                <w:rFonts w:hint="eastAsia"/>
                <w:color w:val="auto"/>
                <w:kern w:val="0"/>
                <w:sz w:val="24"/>
                <w:szCs w:val="24"/>
                <w:highlight w:val="none"/>
              </w:rPr>
            </w:pPr>
            <w:r>
              <w:rPr>
                <w:rFonts w:hint="eastAsia" w:ascii="宋体" w:hAnsi="宋体" w:eastAsia="宋体" w:cs="宋体"/>
                <w:color w:val="auto"/>
                <w:sz w:val="24"/>
                <w:szCs w:val="24"/>
                <w:highlight w:val="none"/>
                <w:lang w:val="en-US" w:eastAsia="zh-CN"/>
              </w:rPr>
              <w:t>0-</w:t>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zh-CN"/>
              </w:rPr>
              <w:t>分</w:t>
            </w:r>
          </w:p>
        </w:tc>
      </w:tr>
      <w:tr w14:paraId="79F7A4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8" w:type="dxa"/>
          <w:trHeight w:val="639" w:hRule="atLeast"/>
          <w:jc w:val="center"/>
        </w:trPr>
        <w:tc>
          <w:tcPr>
            <w:tcW w:w="870" w:type="dxa"/>
            <w:vMerge w:val="continue"/>
            <w:tcBorders>
              <w:left w:val="single" w:color="auto" w:sz="4" w:space="0"/>
              <w:right w:val="single" w:color="auto" w:sz="4" w:space="0"/>
            </w:tcBorders>
            <w:noWrap w:val="0"/>
            <w:vAlign w:val="center"/>
          </w:tcPr>
          <w:p w14:paraId="5797023B">
            <w:pPr>
              <w:widowControl/>
              <w:spacing w:line="360" w:lineRule="auto"/>
              <w:jc w:val="left"/>
              <w:rPr>
                <w:rFonts w:hint="eastAsia" w:ascii="宋体" w:hAnsi="宋体" w:eastAsia="宋体" w:cs="宋体"/>
                <w:color w:val="000000"/>
                <w:sz w:val="24"/>
                <w:highlight w:val="none"/>
              </w:rPr>
            </w:pPr>
          </w:p>
        </w:tc>
        <w:tc>
          <w:tcPr>
            <w:tcW w:w="1248" w:type="dxa"/>
            <w:vMerge w:val="continue"/>
            <w:tcBorders>
              <w:left w:val="single" w:color="auto" w:sz="4" w:space="0"/>
              <w:right w:val="single" w:color="auto" w:sz="4" w:space="0"/>
            </w:tcBorders>
            <w:noWrap w:val="0"/>
            <w:vAlign w:val="center"/>
          </w:tcPr>
          <w:p w14:paraId="7B93B9A7">
            <w:pPr>
              <w:widowControl/>
              <w:jc w:val="center"/>
              <w:rPr>
                <w:rFonts w:hint="eastAsia" w:ascii="宋体" w:hAnsi="宋体" w:cs="宋体"/>
                <w:color w:val="auto"/>
                <w:kern w:val="0"/>
                <w:sz w:val="24"/>
                <w:szCs w:val="24"/>
                <w:highlight w:val="none"/>
              </w:rPr>
            </w:pPr>
          </w:p>
        </w:tc>
        <w:tc>
          <w:tcPr>
            <w:tcW w:w="6368" w:type="dxa"/>
            <w:tcBorders>
              <w:top w:val="single" w:color="auto" w:sz="4" w:space="0"/>
              <w:left w:val="single" w:color="auto" w:sz="4" w:space="0"/>
              <w:right w:val="single" w:color="auto" w:sz="4" w:space="0"/>
            </w:tcBorders>
            <w:noWrap w:val="0"/>
            <w:vAlign w:val="center"/>
          </w:tcPr>
          <w:p w14:paraId="6E55AE55">
            <w:pPr>
              <w:spacing w:line="312" w:lineRule="auto"/>
              <w:ind w:firstLine="480" w:firstLineChars="200"/>
              <w:rPr>
                <w:rFonts w:hint="eastAsia" w:ascii="宋体" w:hAnsi="宋体" w:eastAsia="宋体" w:cs="宋体"/>
                <w:color w:val="auto"/>
                <w:sz w:val="24"/>
                <w:highlight w:val="none"/>
                <w:lang w:val="en-US" w:eastAsia="zh-CN"/>
              </w:rPr>
            </w:pPr>
            <w:r>
              <w:rPr>
                <w:rStyle w:val="47"/>
                <w:rFonts w:hint="eastAsia"/>
                <w:color w:val="auto"/>
                <w:kern w:val="0"/>
                <w:sz w:val="24"/>
                <w:szCs w:val="24"/>
                <w:highlight w:val="none"/>
              </w:rPr>
              <w:t>评委根据投标人针对本项目</w:t>
            </w:r>
            <w:r>
              <w:rPr>
                <w:rStyle w:val="47"/>
                <w:rFonts w:hint="eastAsia"/>
                <w:color w:val="auto"/>
                <w:kern w:val="0"/>
                <w:sz w:val="24"/>
                <w:szCs w:val="24"/>
                <w:highlight w:val="none"/>
                <w:lang w:eastAsia="zh-CN"/>
              </w:rPr>
              <w:t>人员</w:t>
            </w:r>
            <w:r>
              <w:rPr>
                <w:rStyle w:val="47"/>
                <w:rFonts w:hint="eastAsia"/>
                <w:color w:val="auto"/>
                <w:kern w:val="0"/>
                <w:sz w:val="24"/>
                <w:szCs w:val="24"/>
                <w:highlight w:val="none"/>
              </w:rPr>
              <w:t>规范管理和</w:t>
            </w:r>
            <w:r>
              <w:rPr>
                <w:rStyle w:val="47"/>
                <w:rFonts w:hint="eastAsia"/>
                <w:color w:val="auto"/>
                <w:kern w:val="0"/>
                <w:sz w:val="24"/>
                <w:szCs w:val="24"/>
                <w:highlight w:val="none"/>
                <w:lang w:eastAsia="zh-CN"/>
              </w:rPr>
              <w:t>人员</w:t>
            </w:r>
            <w:r>
              <w:rPr>
                <w:rStyle w:val="47"/>
                <w:rFonts w:hint="eastAsia"/>
                <w:color w:val="auto"/>
                <w:kern w:val="0"/>
                <w:sz w:val="24"/>
                <w:szCs w:val="24"/>
                <w:highlight w:val="none"/>
              </w:rPr>
              <w:t>培训方案进行综合打分</w:t>
            </w:r>
            <w:r>
              <w:rPr>
                <w:rStyle w:val="47"/>
                <w:rFonts w:hint="eastAsia"/>
                <w:color w:val="auto"/>
                <w:kern w:val="0"/>
                <w:sz w:val="24"/>
                <w:szCs w:val="24"/>
                <w:highlight w:val="none"/>
                <w:lang w:eastAsia="zh-CN"/>
              </w:rPr>
              <w:t>；</w:t>
            </w:r>
          </w:p>
        </w:tc>
        <w:tc>
          <w:tcPr>
            <w:tcW w:w="913" w:type="dxa"/>
            <w:tcBorders>
              <w:top w:val="single" w:color="auto" w:sz="4" w:space="0"/>
              <w:left w:val="single" w:color="auto" w:sz="4" w:space="0"/>
              <w:right w:val="single" w:color="auto" w:sz="4" w:space="0"/>
            </w:tcBorders>
            <w:noWrap w:val="0"/>
            <w:vAlign w:val="center"/>
          </w:tcPr>
          <w:p w14:paraId="22A1E2C1">
            <w:pPr>
              <w:spacing w:line="312" w:lineRule="auto"/>
              <w:rPr>
                <w:rStyle w:val="47"/>
                <w:rFonts w:hint="eastAsia"/>
                <w:color w:val="auto"/>
                <w:kern w:val="0"/>
                <w:sz w:val="24"/>
                <w:szCs w:val="24"/>
                <w:highlight w:val="none"/>
              </w:rPr>
            </w:pPr>
            <w:r>
              <w:rPr>
                <w:rFonts w:hint="eastAsia" w:ascii="宋体" w:hAnsi="宋体" w:eastAsia="宋体" w:cs="宋体"/>
                <w:color w:val="auto"/>
                <w:sz w:val="24"/>
                <w:szCs w:val="24"/>
                <w:highlight w:val="none"/>
                <w:lang w:val="en-US" w:eastAsia="zh-CN"/>
              </w:rPr>
              <w:t>0-</w:t>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zh-CN"/>
              </w:rPr>
              <w:t>分</w:t>
            </w:r>
          </w:p>
        </w:tc>
      </w:tr>
      <w:tr w14:paraId="0145E5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8" w:type="dxa"/>
          <w:trHeight w:val="639" w:hRule="atLeast"/>
          <w:jc w:val="center"/>
        </w:trPr>
        <w:tc>
          <w:tcPr>
            <w:tcW w:w="870" w:type="dxa"/>
            <w:vMerge w:val="continue"/>
            <w:tcBorders>
              <w:left w:val="single" w:color="auto" w:sz="4" w:space="0"/>
              <w:right w:val="single" w:color="auto" w:sz="4" w:space="0"/>
            </w:tcBorders>
            <w:noWrap w:val="0"/>
            <w:vAlign w:val="center"/>
          </w:tcPr>
          <w:p w14:paraId="112072B8">
            <w:pPr>
              <w:widowControl/>
              <w:spacing w:line="360" w:lineRule="auto"/>
              <w:jc w:val="left"/>
              <w:rPr>
                <w:rFonts w:hint="eastAsia" w:ascii="宋体" w:hAnsi="宋体" w:eastAsia="宋体" w:cs="宋体"/>
                <w:color w:val="000000"/>
                <w:sz w:val="24"/>
                <w:highlight w:val="none"/>
              </w:rPr>
            </w:pPr>
          </w:p>
        </w:tc>
        <w:tc>
          <w:tcPr>
            <w:tcW w:w="1248" w:type="dxa"/>
            <w:vMerge w:val="restart"/>
            <w:tcBorders>
              <w:left w:val="single" w:color="auto" w:sz="4" w:space="0"/>
              <w:right w:val="single" w:color="auto" w:sz="4" w:space="0"/>
            </w:tcBorders>
            <w:noWrap w:val="0"/>
            <w:vAlign w:val="center"/>
          </w:tcPr>
          <w:p w14:paraId="137ED4F5">
            <w:pPr>
              <w:widowControl/>
              <w:jc w:val="center"/>
              <w:rPr>
                <w:rFonts w:hint="eastAsia" w:ascii="宋体" w:hAnsi="宋体" w:cs="宋体"/>
                <w:color w:val="auto"/>
                <w:kern w:val="0"/>
                <w:sz w:val="24"/>
                <w:szCs w:val="24"/>
                <w:highlight w:val="none"/>
              </w:rPr>
            </w:pPr>
            <w:r>
              <w:rPr>
                <w:rStyle w:val="47"/>
                <w:rFonts w:hint="eastAsia" w:hAnsi="宋体" w:eastAsia="宋体"/>
                <w:color w:val="auto"/>
                <w:kern w:val="0"/>
                <w:sz w:val="24"/>
                <w:szCs w:val="24"/>
                <w:highlight w:val="none"/>
                <w:lang w:eastAsia="zh-CN"/>
              </w:rPr>
              <w:t>保证措施</w:t>
            </w:r>
          </w:p>
        </w:tc>
        <w:tc>
          <w:tcPr>
            <w:tcW w:w="6368" w:type="dxa"/>
            <w:tcBorders>
              <w:top w:val="single" w:color="auto" w:sz="4" w:space="0"/>
              <w:left w:val="single" w:color="auto" w:sz="4" w:space="0"/>
              <w:right w:val="single" w:color="auto" w:sz="4" w:space="0"/>
            </w:tcBorders>
            <w:noWrap w:val="0"/>
            <w:vAlign w:val="center"/>
          </w:tcPr>
          <w:p w14:paraId="7D44CBEC">
            <w:pPr>
              <w:spacing w:line="312" w:lineRule="auto"/>
              <w:ind w:firstLine="480" w:firstLineChars="200"/>
              <w:rPr>
                <w:rFonts w:hint="eastAsia" w:ascii="宋体" w:hAnsi="宋体" w:eastAsia="宋体" w:cs="宋体"/>
                <w:color w:val="auto"/>
                <w:sz w:val="24"/>
                <w:highlight w:val="none"/>
                <w:lang w:val="en-US" w:eastAsia="zh-CN"/>
              </w:rPr>
            </w:pPr>
            <w:r>
              <w:rPr>
                <w:rStyle w:val="47"/>
                <w:rFonts w:hint="eastAsia"/>
                <w:color w:val="auto"/>
                <w:kern w:val="0"/>
                <w:sz w:val="24"/>
                <w:szCs w:val="24"/>
                <w:highlight w:val="none"/>
              </w:rPr>
              <w:t>评委根据投标人针对本项目</w:t>
            </w:r>
            <w:r>
              <w:rPr>
                <w:rStyle w:val="47"/>
                <w:rFonts w:hint="eastAsia"/>
                <w:color w:val="auto"/>
                <w:kern w:val="0"/>
                <w:sz w:val="24"/>
                <w:szCs w:val="24"/>
                <w:highlight w:val="none"/>
                <w:lang w:eastAsia="zh-CN"/>
              </w:rPr>
              <w:t>服务质量保证措施方案是否科学、合理进行打分；</w:t>
            </w:r>
          </w:p>
        </w:tc>
        <w:tc>
          <w:tcPr>
            <w:tcW w:w="913" w:type="dxa"/>
            <w:tcBorders>
              <w:top w:val="single" w:color="auto" w:sz="4" w:space="0"/>
              <w:left w:val="single" w:color="auto" w:sz="4" w:space="0"/>
              <w:right w:val="single" w:color="auto" w:sz="4" w:space="0"/>
            </w:tcBorders>
            <w:noWrap w:val="0"/>
            <w:vAlign w:val="center"/>
          </w:tcPr>
          <w:p w14:paraId="613C3891">
            <w:pPr>
              <w:spacing w:line="312" w:lineRule="auto"/>
              <w:rPr>
                <w:rStyle w:val="47"/>
                <w:rFonts w:hint="eastAsia"/>
                <w:color w:val="auto"/>
                <w:kern w:val="0"/>
                <w:sz w:val="24"/>
                <w:szCs w:val="24"/>
                <w:highlight w:val="none"/>
              </w:rPr>
            </w:pPr>
            <w:r>
              <w:rPr>
                <w:rFonts w:hint="eastAsia" w:ascii="宋体" w:hAnsi="宋体" w:eastAsia="宋体" w:cs="宋体"/>
                <w:color w:val="auto"/>
                <w:sz w:val="24"/>
                <w:szCs w:val="24"/>
                <w:highlight w:val="none"/>
                <w:lang w:val="en-US" w:eastAsia="zh-CN"/>
              </w:rPr>
              <w:t>0-</w:t>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zh-CN"/>
              </w:rPr>
              <w:t>分</w:t>
            </w:r>
          </w:p>
        </w:tc>
      </w:tr>
      <w:tr w14:paraId="0A0F86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8" w:type="dxa"/>
          <w:trHeight w:val="639" w:hRule="atLeast"/>
          <w:jc w:val="center"/>
        </w:trPr>
        <w:tc>
          <w:tcPr>
            <w:tcW w:w="870" w:type="dxa"/>
            <w:vMerge w:val="continue"/>
            <w:tcBorders>
              <w:left w:val="single" w:color="auto" w:sz="4" w:space="0"/>
              <w:right w:val="single" w:color="auto" w:sz="4" w:space="0"/>
            </w:tcBorders>
            <w:noWrap w:val="0"/>
            <w:vAlign w:val="center"/>
          </w:tcPr>
          <w:p w14:paraId="2197DD7A">
            <w:pPr>
              <w:widowControl/>
              <w:spacing w:line="360" w:lineRule="auto"/>
              <w:jc w:val="left"/>
              <w:rPr>
                <w:rFonts w:hint="eastAsia" w:ascii="宋体" w:hAnsi="宋体" w:eastAsia="宋体" w:cs="宋体"/>
                <w:color w:val="000000"/>
                <w:sz w:val="24"/>
                <w:highlight w:val="none"/>
              </w:rPr>
            </w:pPr>
          </w:p>
        </w:tc>
        <w:tc>
          <w:tcPr>
            <w:tcW w:w="1248" w:type="dxa"/>
            <w:vMerge w:val="continue"/>
            <w:tcBorders>
              <w:left w:val="single" w:color="auto" w:sz="4" w:space="0"/>
              <w:right w:val="single" w:color="auto" w:sz="4" w:space="0"/>
            </w:tcBorders>
            <w:noWrap w:val="0"/>
            <w:vAlign w:val="center"/>
          </w:tcPr>
          <w:p w14:paraId="32DDB648">
            <w:pPr>
              <w:widowControl/>
              <w:jc w:val="center"/>
              <w:rPr>
                <w:rFonts w:hint="eastAsia" w:ascii="宋体" w:hAnsi="宋体" w:cs="宋体"/>
                <w:color w:val="auto"/>
                <w:kern w:val="0"/>
                <w:sz w:val="24"/>
                <w:szCs w:val="24"/>
                <w:highlight w:val="none"/>
              </w:rPr>
            </w:pPr>
          </w:p>
        </w:tc>
        <w:tc>
          <w:tcPr>
            <w:tcW w:w="6368" w:type="dxa"/>
            <w:tcBorders>
              <w:top w:val="single" w:color="auto" w:sz="4" w:space="0"/>
              <w:left w:val="single" w:color="auto" w:sz="4" w:space="0"/>
              <w:right w:val="single" w:color="auto" w:sz="4" w:space="0"/>
            </w:tcBorders>
            <w:noWrap w:val="0"/>
            <w:vAlign w:val="center"/>
          </w:tcPr>
          <w:p w14:paraId="3A6B576B">
            <w:pPr>
              <w:spacing w:line="312" w:lineRule="auto"/>
              <w:ind w:firstLine="480" w:firstLineChars="200"/>
              <w:rPr>
                <w:rFonts w:hint="eastAsia" w:ascii="宋体" w:hAnsi="宋体" w:eastAsia="宋体" w:cs="宋体"/>
                <w:color w:val="auto"/>
                <w:sz w:val="24"/>
                <w:highlight w:val="none"/>
                <w:lang w:val="en-US" w:eastAsia="zh-CN"/>
              </w:rPr>
            </w:pPr>
            <w:r>
              <w:rPr>
                <w:rStyle w:val="47"/>
                <w:rFonts w:hint="eastAsia"/>
                <w:color w:val="auto"/>
                <w:kern w:val="0"/>
                <w:sz w:val="24"/>
                <w:szCs w:val="24"/>
                <w:highlight w:val="none"/>
              </w:rPr>
              <w:t>评委根据投标人针对本项目</w:t>
            </w:r>
            <w:r>
              <w:rPr>
                <w:rStyle w:val="47"/>
                <w:rFonts w:hint="eastAsia"/>
                <w:color w:val="auto"/>
                <w:kern w:val="0"/>
                <w:sz w:val="24"/>
                <w:szCs w:val="24"/>
                <w:highlight w:val="none"/>
                <w:lang w:eastAsia="zh-CN"/>
              </w:rPr>
              <w:t>安全、</w:t>
            </w:r>
            <w:r>
              <w:rPr>
                <w:rStyle w:val="47"/>
                <w:rFonts w:hint="eastAsia"/>
                <w:color w:val="auto"/>
                <w:kern w:val="0"/>
                <w:sz w:val="24"/>
                <w:szCs w:val="24"/>
                <w:highlight w:val="none"/>
              </w:rPr>
              <w:t>文明</w:t>
            </w:r>
            <w:r>
              <w:rPr>
                <w:rStyle w:val="47"/>
                <w:rFonts w:hint="eastAsia"/>
                <w:color w:val="auto"/>
                <w:kern w:val="0"/>
                <w:sz w:val="24"/>
                <w:szCs w:val="24"/>
                <w:highlight w:val="none"/>
                <w:lang w:eastAsia="zh-CN"/>
              </w:rPr>
              <w:t>作业保证措施方案是否科学、合理进行打分；</w:t>
            </w:r>
          </w:p>
        </w:tc>
        <w:tc>
          <w:tcPr>
            <w:tcW w:w="913" w:type="dxa"/>
            <w:tcBorders>
              <w:top w:val="single" w:color="auto" w:sz="4" w:space="0"/>
              <w:left w:val="single" w:color="auto" w:sz="4" w:space="0"/>
              <w:right w:val="single" w:color="auto" w:sz="4" w:space="0"/>
            </w:tcBorders>
            <w:noWrap w:val="0"/>
            <w:vAlign w:val="center"/>
          </w:tcPr>
          <w:p w14:paraId="22B2F24C">
            <w:pPr>
              <w:spacing w:line="312" w:lineRule="auto"/>
              <w:rPr>
                <w:rStyle w:val="47"/>
                <w:rFonts w:hint="eastAsia"/>
                <w:color w:val="auto"/>
                <w:kern w:val="0"/>
                <w:sz w:val="24"/>
                <w:szCs w:val="24"/>
                <w:highlight w:val="none"/>
              </w:rPr>
            </w:pPr>
            <w:r>
              <w:rPr>
                <w:rFonts w:hint="eastAsia" w:ascii="宋体" w:hAnsi="宋体" w:eastAsia="宋体" w:cs="宋体"/>
                <w:color w:val="auto"/>
                <w:sz w:val="24"/>
                <w:szCs w:val="24"/>
                <w:highlight w:val="none"/>
                <w:lang w:val="en-US" w:eastAsia="zh-CN"/>
              </w:rPr>
              <w:t>0-</w:t>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zh-CN"/>
              </w:rPr>
              <w:t>分</w:t>
            </w:r>
          </w:p>
        </w:tc>
      </w:tr>
      <w:tr w14:paraId="3E19AD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8" w:type="dxa"/>
          <w:trHeight w:val="639" w:hRule="atLeast"/>
          <w:jc w:val="center"/>
        </w:trPr>
        <w:tc>
          <w:tcPr>
            <w:tcW w:w="870" w:type="dxa"/>
            <w:vMerge w:val="continue"/>
            <w:tcBorders>
              <w:left w:val="single" w:color="auto" w:sz="4" w:space="0"/>
              <w:right w:val="single" w:color="auto" w:sz="4" w:space="0"/>
            </w:tcBorders>
            <w:noWrap w:val="0"/>
            <w:vAlign w:val="center"/>
          </w:tcPr>
          <w:p w14:paraId="78E7D571">
            <w:pPr>
              <w:widowControl/>
              <w:spacing w:line="360" w:lineRule="auto"/>
              <w:jc w:val="left"/>
              <w:rPr>
                <w:rFonts w:hint="eastAsia" w:ascii="宋体" w:hAnsi="宋体" w:eastAsia="宋体" w:cs="宋体"/>
                <w:color w:val="000000"/>
                <w:sz w:val="24"/>
                <w:highlight w:val="none"/>
              </w:rPr>
            </w:pPr>
          </w:p>
        </w:tc>
        <w:tc>
          <w:tcPr>
            <w:tcW w:w="1248" w:type="dxa"/>
            <w:tcBorders>
              <w:left w:val="single" w:color="auto" w:sz="4" w:space="0"/>
              <w:right w:val="single" w:color="auto" w:sz="4" w:space="0"/>
            </w:tcBorders>
            <w:noWrap w:val="0"/>
            <w:vAlign w:val="center"/>
          </w:tcPr>
          <w:p w14:paraId="581BFD7A">
            <w:pPr>
              <w:widowControl/>
              <w:jc w:val="center"/>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特殊时期的应急保障措施</w:t>
            </w:r>
          </w:p>
        </w:tc>
        <w:tc>
          <w:tcPr>
            <w:tcW w:w="6368" w:type="dxa"/>
            <w:tcBorders>
              <w:top w:val="single" w:color="auto" w:sz="4" w:space="0"/>
              <w:left w:val="single" w:color="auto" w:sz="4" w:space="0"/>
              <w:right w:val="single" w:color="auto" w:sz="4" w:space="0"/>
            </w:tcBorders>
            <w:noWrap w:val="0"/>
            <w:vAlign w:val="center"/>
          </w:tcPr>
          <w:p w14:paraId="6EF44496">
            <w:pPr>
              <w:widowControl/>
              <w:snapToGrid w:val="0"/>
              <w:jc w:val="center"/>
              <w:rPr>
                <w:rFonts w:hint="eastAsia" w:ascii="宋体" w:hAnsi="宋体" w:eastAsia="宋体" w:cs="宋体"/>
                <w:color w:val="auto"/>
                <w:sz w:val="24"/>
                <w:szCs w:val="24"/>
                <w:highlight w:val="none"/>
                <w:lang w:val="en-US" w:eastAsia="zh-CN"/>
              </w:rPr>
            </w:pPr>
            <w:r>
              <w:rPr>
                <w:rStyle w:val="47"/>
                <w:rFonts w:hint="eastAsia"/>
                <w:color w:val="auto"/>
                <w:kern w:val="0"/>
                <w:sz w:val="24"/>
                <w:szCs w:val="24"/>
                <w:highlight w:val="none"/>
              </w:rPr>
              <w:t>评委根据投标人提供的针对大型活动、节庆假日、创优评优和突击检查等特殊时期的应急保障措施方案进行综合打分</w:t>
            </w:r>
            <w:r>
              <w:rPr>
                <w:rStyle w:val="47"/>
                <w:rFonts w:hint="eastAsia"/>
                <w:color w:val="auto"/>
                <w:kern w:val="0"/>
                <w:sz w:val="24"/>
                <w:szCs w:val="24"/>
                <w:highlight w:val="none"/>
                <w:lang w:eastAsia="zh-CN"/>
              </w:rPr>
              <w:t>；</w:t>
            </w:r>
          </w:p>
        </w:tc>
        <w:tc>
          <w:tcPr>
            <w:tcW w:w="913" w:type="dxa"/>
            <w:tcBorders>
              <w:top w:val="single" w:color="auto" w:sz="4" w:space="0"/>
              <w:left w:val="single" w:color="auto" w:sz="4" w:space="0"/>
              <w:right w:val="single" w:color="auto" w:sz="4" w:space="0"/>
            </w:tcBorders>
            <w:noWrap w:val="0"/>
            <w:vAlign w:val="center"/>
          </w:tcPr>
          <w:p w14:paraId="14273D19">
            <w:pPr>
              <w:spacing w:line="312" w:lineRule="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0-5分</w:t>
            </w:r>
          </w:p>
        </w:tc>
      </w:tr>
      <w:tr w14:paraId="60EDC5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8" w:type="dxa"/>
          <w:trHeight w:val="494" w:hRule="atLeast"/>
          <w:jc w:val="center"/>
        </w:trPr>
        <w:tc>
          <w:tcPr>
            <w:tcW w:w="870" w:type="dxa"/>
            <w:vMerge w:val="continue"/>
            <w:tcBorders>
              <w:left w:val="single" w:color="auto" w:sz="4" w:space="0"/>
              <w:bottom w:val="single" w:color="auto" w:sz="4" w:space="0"/>
              <w:right w:val="single" w:color="auto" w:sz="4" w:space="0"/>
            </w:tcBorders>
            <w:noWrap w:val="0"/>
            <w:vAlign w:val="center"/>
          </w:tcPr>
          <w:p w14:paraId="2CA1E8A3">
            <w:pPr>
              <w:widowControl/>
              <w:spacing w:line="360" w:lineRule="auto"/>
              <w:jc w:val="left"/>
              <w:rPr>
                <w:rFonts w:hint="eastAsia" w:ascii="宋体" w:hAnsi="宋体" w:eastAsia="宋体" w:cs="宋体"/>
                <w:color w:val="000000"/>
                <w:sz w:val="24"/>
                <w:highlight w:val="none"/>
              </w:rPr>
            </w:pPr>
          </w:p>
        </w:tc>
        <w:tc>
          <w:tcPr>
            <w:tcW w:w="1248" w:type="dxa"/>
            <w:tcBorders>
              <w:left w:val="single" w:color="auto" w:sz="4" w:space="0"/>
              <w:bottom w:val="single" w:color="auto" w:sz="4" w:space="0"/>
              <w:right w:val="single" w:color="auto" w:sz="4" w:space="0"/>
            </w:tcBorders>
            <w:noWrap w:val="0"/>
            <w:vAlign w:val="center"/>
          </w:tcPr>
          <w:p w14:paraId="37994C32">
            <w:pPr>
              <w:widowControl/>
              <w:jc w:val="center"/>
              <w:rPr>
                <w:rFonts w:hint="eastAsia" w:ascii="宋体" w:hAnsi="宋体" w:eastAsia="宋体" w:cs="宋体"/>
                <w:color w:val="000000"/>
                <w:sz w:val="24"/>
                <w:highlight w:val="none"/>
              </w:rPr>
            </w:pPr>
            <w:r>
              <w:rPr>
                <w:rFonts w:hint="eastAsia"/>
                <w:color w:val="auto"/>
                <w:sz w:val="24"/>
                <w:szCs w:val="24"/>
                <w:highlight w:val="none"/>
              </w:rPr>
              <w:t>本地</w:t>
            </w:r>
            <w:r>
              <w:rPr>
                <w:rFonts w:hint="eastAsia"/>
                <w:color w:val="auto"/>
                <w:sz w:val="24"/>
                <w:szCs w:val="24"/>
                <w:highlight w:val="none"/>
                <w:lang w:eastAsia="zh-CN"/>
              </w:rPr>
              <w:t>化</w:t>
            </w:r>
            <w:r>
              <w:rPr>
                <w:rFonts w:hint="eastAsia"/>
                <w:color w:val="auto"/>
                <w:sz w:val="24"/>
                <w:szCs w:val="24"/>
                <w:highlight w:val="none"/>
              </w:rPr>
              <w:t>服务</w:t>
            </w:r>
          </w:p>
        </w:tc>
        <w:tc>
          <w:tcPr>
            <w:tcW w:w="6368" w:type="dxa"/>
            <w:tcBorders>
              <w:top w:val="single" w:color="auto" w:sz="4" w:space="0"/>
              <w:left w:val="single" w:color="auto" w:sz="4" w:space="0"/>
              <w:right w:val="single" w:color="auto" w:sz="4" w:space="0"/>
            </w:tcBorders>
            <w:noWrap w:val="0"/>
            <w:vAlign w:val="center"/>
          </w:tcPr>
          <w:p w14:paraId="4C4AD188">
            <w:pPr>
              <w:pStyle w:val="4"/>
              <w:spacing w:line="360" w:lineRule="auto"/>
              <w:ind w:firstLine="480" w:firstLineChars="200"/>
              <w:jc w:val="left"/>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评委根据投标人是否具有较强的本地化服务能力，在本地是否拥有常驻服务机构（非本地投标人在</w:t>
            </w:r>
            <w:r>
              <w:rPr>
                <w:rFonts w:hint="eastAsia" w:hAnsi="宋体" w:cs="宋体"/>
                <w:b w:val="0"/>
                <w:bCs w:val="0"/>
                <w:color w:val="auto"/>
                <w:kern w:val="2"/>
                <w:sz w:val="24"/>
                <w:szCs w:val="24"/>
                <w:highlight w:val="none"/>
                <w:lang w:val="en-US" w:eastAsia="zh-CN" w:bidi="ar-SA"/>
              </w:rPr>
              <w:t>本地</w:t>
            </w:r>
            <w:r>
              <w:rPr>
                <w:rFonts w:hint="eastAsia" w:ascii="宋体" w:hAnsi="宋体" w:eastAsia="宋体" w:cs="宋体"/>
                <w:b w:val="0"/>
                <w:bCs w:val="0"/>
                <w:color w:val="auto"/>
                <w:kern w:val="2"/>
                <w:sz w:val="24"/>
                <w:szCs w:val="24"/>
                <w:highlight w:val="none"/>
                <w:lang w:val="en-US" w:eastAsia="zh-CN" w:bidi="ar-SA"/>
              </w:rPr>
              <w:t>是否有分公司或办事处作为常驻服务机构），分公司应提供分公司营业执照及租房协议，办事处应提供租房协议及授权委托书；企业人员是否具有就</w:t>
            </w:r>
            <w:bookmarkStart w:id="472" w:name="_Toc27664"/>
            <w:bookmarkStart w:id="473" w:name="_Toc9692"/>
            <w:r>
              <w:rPr>
                <w:rFonts w:hint="eastAsia" w:ascii="宋体" w:hAnsi="宋体" w:eastAsia="宋体" w:cs="宋体"/>
                <w:b w:val="0"/>
                <w:bCs w:val="0"/>
                <w:color w:val="auto"/>
                <w:kern w:val="2"/>
                <w:sz w:val="24"/>
                <w:szCs w:val="24"/>
                <w:highlight w:val="none"/>
                <w:lang w:val="en-US" w:eastAsia="zh-CN" w:bidi="ar-SA"/>
              </w:rPr>
              <w:t>近服务能力进行综合打分</w:t>
            </w:r>
            <w:bookmarkEnd w:id="472"/>
            <w:bookmarkEnd w:id="473"/>
            <w:r>
              <w:rPr>
                <w:rStyle w:val="47"/>
                <w:rFonts w:hint="eastAsia"/>
                <w:color w:val="auto"/>
                <w:kern w:val="0"/>
                <w:sz w:val="24"/>
                <w:szCs w:val="24"/>
                <w:highlight w:val="none"/>
                <w:lang w:eastAsia="zh-CN"/>
              </w:rPr>
              <w:t>；</w:t>
            </w:r>
          </w:p>
          <w:p w14:paraId="2B48835F">
            <w:pPr>
              <w:jc w:val="center"/>
              <w:rPr>
                <w:rFonts w:hint="default" w:ascii="宋体" w:hAnsi="宋体" w:eastAsia="宋体" w:cs="宋体"/>
                <w:color w:val="auto"/>
                <w:sz w:val="24"/>
                <w:highlight w:val="none"/>
                <w:lang w:val="en-US" w:eastAsia="zh-CN"/>
              </w:rPr>
            </w:pPr>
            <w:r>
              <w:rPr>
                <w:rStyle w:val="47"/>
                <w:rFonts w:hint="eastAsia"/>
                <w:b/>
                <w:bCs/>
                <w:color w:val="auto"/>
                <w:kern w:val="0"/>
                <w:sz w:val="24"/>
                <w:szCs w:val="24"/>
                <w:highlight w:val="none"/>
              </w:rPr>
              <w:t>（提供</w:t>
            </w:r>
            <w:r>
              <w:rPr>
                <w:rStyle w:val="47"/>
                <w:rFonts w:hint="eastAsia"/>
                <w:b/>
                <w:bCs/>
                <w:color w:val="auto"/>
                <w:kern w:val="0"/>
                <w:sz w:val="24"/>
                <w:szCs w:val="24"/>
                <w:highlight w:val="none"/>
                <w:lang w:eastAsia="zh-CN"/>
              </w:rPr>
              <w:t>相关</w:t>
            </w:r>
            <w:r>
              <w:rPr>
                <w:rStyle w:val="47"/>
                <w:rFonts w:hint="eastAsia"/>
                <w:b/>
                <w:bCs/>
                <w:color w:val="auto"/>
                <w:kern w:val="0"/>
                <w:sz w:val="24"/>
                <w:szCs w:val="24"/>
                <w:highlight w:val="none"/>
              </w:rPr>
              <w:t>证明材料</w:t>
            </w:r>
            <w:r>
              <w:rPr>
                <w:rFonts w:hint="eastAsia" w:ascii="宋体" w:hAnsi="宋体" w:cs="宋体"/>
                <w:b/>
                <w:bCs/>
                <w:color w:val="auto"/>
                <w:kern w:val="0"/>
                <w:sz w:val="24"/>
                <w:szCs w:val="24"/>
                <w:highlight w:val="none"/>
                <w:lang w:eastAsia="zh-CN"/>
              </w:rPr>
              <w:t>原件扫描</w:t>
            </w:r>
            <w:r>
              <w:rPr>
                <w:rFonts w:hint="eastAsia" w:ascii="宋体" w:hAnsi="宋体" w:eastAsia="宋体" w:cs="宋体"/>
                <w:b/>
                <w:bCs/>
                <w:color w:val="auto"/>
                <w:kern w:val="0"/>
                <w:sz w:val="24"/>
                <w:szCs w:val="24"/>
                <w:highlight w:val="none"/>
                <w:lang w:eastAsia="zh-CN"/>
              </w:rPr>
              <w:t>件</w:t>
            </w:r>
            <w:r>
              <w:rPr>
                <w:rStyle w:val="47"/>
                <w:rFonts w:hint="eastAsia"/>
                <w:b/>
                <w:bCs/>
                <w:color w:val="auto"/>
                <w:kern w:val="0"/>
                <w:sz w:val="24"/>
                <w:szCs w:val="24"/>
                <w:highlight w:val="none"/>
              </w:rPr>
              <w:t>加盖公章）</w:t>
            </w:r>
          </w:p>
        </w:tc>
        <w:tc>
          <w:tcPr>
            <w:tcW w:w="913" w:type="dxa"/>
            <w:tcBorders>
              <w:top w:val="single" w:color="auto" w:sz="4" w:space="0"/>
              <w:left w:val="single" w:color="auto" w:sz="4" w:space="0"/>
              <w:right w:val="single" w:color="auto" w:sz="4" w:space="0"/>
            </w:tcBorders>
            <w:noWrap w:val="0"/>
            <w:vAlign w:val="center"/>
          </w:tcPr>
          <w:p w14:paraId="6BD047C2">
            <w:pPr>
              <w:spacing w:line="312" w:lineRule="auto"/>
              <w:rPr>
                <w:rFonts w:hint="default" w:ascii="宋体" w:hAnsi="宋体" w:eastAsia="宋体" w:cs="宋体"/>
                <w:color w:val="auto"/>
                <w:sz w:val="24"/>
                <w:highlight w:val="none"/>
                <w:lang w:val="en-US" w:eastAsia="zh-CN"/>
              </w:rPr>
            </w:pPr>
            <w:r>
              <w:rPr>
                <w:rFonts w:hint="eastAsia" w:ascii="宋体" w:hAnsi="宋体" w:eastAsia="宋体" w:cs="宋体"/>
                <w:color w:val="auto"/>
                <w:sz w:val="24"/>
                <w:szCs w:val="24"/>
                <w:highlight w:val="none"/>
                <w:lang w:val="en-US" w:eastAsia="zh-CN"/>
              </w:rPr>
              <w:t>0-3</w:t>
            </w:r>
            <w:r>
              <w:rPr>
                <w:rFonts w:hint="eastAsia" w:ascii="宋体" w:hAnsi="宋体" w:eastAsia="宋体" w:cs="宋体"/>
                <w:color w:val="auto"/>
                <w:sz w:val="24"/>
                <w:szCs w:val="24"/>
                <w:highlight w:val="none"/>
                <w:lang w:eastAsia="zh-CN"/>
              </w:rPr>
              <w:t>分</w:t>
            </w:r>
          </w:p>
        </w:tc>
      </w:tr>
      <w:tr w14:paraId="4CCF30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8" w:type="dxa"/>
          <w:trHeight w:val="954" w:hRule="atLeast"/>
          <w:jc w:val="center"/>
        </w:trPr>
        <w:tc>
          <w:tcPr>
            <w:tcW w:w="870" w:type="dxa"/>
            <w:vMerge w:val="restart"/>
            <w:tcBorders>
              <w:top w:val="single" w:color="auto" w:sz="4" w:space="0"/>
              <w:left w:val="single" w:color="auto" w:sz="4" w:space="0"/>
              <w:right w:val="single" w:color="auto" w:sz="4" w:space="0"/>
            </w:tcBorders>
            <w:noWrap w:val="0"/>
            <w:vAlign w:val="center"/>
          </w:tcPr>
          <w:p w14:paraId="50678E1B">
            <w:pPr>
              <w:spacing w:line="360" w:lineRule="auto"/>
              <w:jc w:val="center"/>
              <w:rPr>
                <w:rFonts w:hint="eastAsia" w:ascii="宋体" w:hAnsi="宋体" w:eastAsia="宋体" w:cs="宋体"/>
                <w:color w:val="000000"/>
                <w:sz w:val="24"/>
                <w:highlight w:val="none"/>
              </w:rPr>
            </w:pPr>
            <w:r>
              <w:rPr>
                <w:rFonts w:hint="eastAsia" w:ascii="宋体" w:hAnsi="宋体" w:eastAsia="宋体" w:cs="宋体"/>
                <w:color w:val="000000"/>
                <w:sz w:val="24"/>
                <w:highlight w:val="none"/>
              </w:rPr>
              <w:t>商务</w:t>
            </w:r>
          </w:p>
          <w:p w14:paraId="6C9CA464">
            <w:pPr>
              <w:spacing w:line="360" w:lineRule="auto"/>
              <w:jc w:val="center"/>
              <w:rPr>
                <w:rFonts w:hint="eastAsia" w:ascii="宋体" w:hAnsi="宋体" w:eastAsia="宋体" w:cs="宋体"/>
                <w:color w:val="000000"/>
                <w:sz w:val="24"/>
                <w:highlight w:val="none"/>
              </w:rPr>
            </w:pPr>
            <w:r>
              <w:rPr>
                <w:rFonts w:hint="eastAsia" w:ascii="宋体" w:hAnsi="宋体" w:eastAsia="宋体" w:cs="宋体"/>
                <w:color w:val="000000"/>
                <w:sz w:val="24"/>
                <w:highlight w:val="none"/>
              </w:rPr>
              <w:t>（</w:t>
            </w:r>
            <w:r>
              <w:rPr>
                <w:rFonts w:hint="eastAsia" w:ascii="宋体" w:hAnsi="宋体" w:eastAsia="宋体" w:cs="宋体"/>
                <w:color w:val="000000"/>
                <w:sz w:val="24"/>
                <w:highlight w:val="none"/>
                <w:lang w:val="en-US" w:eastAsia="zh-CN"/>
              </w:rPr>
              <w:t>1</w:t>
            </w:r>
            <w:r>
              <w:rPr>
                <w:rFonts w:hint="eastAsia" w:ascii="宋体" w:hAnsi="宋体" w:eastAsia="宋体" w:cs="宋体"/>
                <w:color w:val="000000"/>
                <w:sz w:val="24"/>
                <w:highlight w:val="none"/>
              </w:rPr>
              <w:t>0）</w:t>
            </w:r>
          </w:p>
        </w:tc>
        <w:tc>
          <w:tcPr>
            <w:tcW w:w="1248" w:type="dxa"/>
            <w:tcBorders>
              <w:top w:val="single" w:color="auto" w:sz="4" w:space="0"/>
              <w:left w:val="single" w:color="auto" w:sz="4" w:space="0"/>
              <w:bottom w:val="single" w:color="auto" w:sz="4" w:space="0"/>
              <w:right w:val="single" w:color="auto" w:sz="4" w:space="0"/>
            </w:tcBorders>
            <w:noWrap w:val="0"/>
            <w:vAlign w:val="center"/>
          </w:tcPr>
          <w:p w14:paraId="718C3EB2">
            <w:pPr>
              <w:spacing w:line="312" w:lineRule="auto"/>
              <w:jc w:val="center"/>
              <w:rPr>
                <w:rFonts w:hint="eastAsia" w:ascii="宋体" w:hAnsi="宋体" w:eastAsia="宋体" w:cs="宋体"/>
                <w:color w:val="000000"/>
                <w:sz w:val="24"/>
                <w:highlight w:val="none"/>
              </w:rPr>
            </w:pPr>
            <w:r>
              <w:rPr>
                <w:rFonts w:hint="eastAsia" w:ascii="宋体" w:hAnsi="宋体" w:eastAsia="宋体" w:cs="宋体"/>
                <w:color w:val="auto"/>
                <w:kern w:val="0"/>
                <w:sz w:val="24"/>
                <w:szCs w:val="24"/>
                <w:highlight w:val="none"/>
                <w:lang w:eastAsia="zh-CN"/>
              </w:rPr>
              <w:t>企业</w:t>
            </w:r>
            <w:r>
              <w:rPr>
                <w:rFonts w:hint="eastAsia" w:ascii="宋体" w:hAnsi="宋体" w:eastAsia="宋体" w:cs="宋体"/>
                <w:color w:val="auto"/>
                <w:kern w:val="0"/>
                <w:sz w:val="24"/>
                <w:szCs w:val="24"/>
                <w:highlight w:val="none"/>
              </w:rPr>
              <w:t>业绩</w:t>
            </w:r>
          </w:p>
        </w:tc>
        <w:tc>
          <w:tcPr>
            <w:tcW w:w="6368" w:type="dxa"/>
            <w:tcBorders>
              <w:top w:val="single" w:color="auto" w:sz="4" w:space="0"/>
              <w:left w:val="single" w:color="auto" w:sz="4" w:space="0"/>
              <w:bottom w:val="single" w:color="auto" w:sz="4" w:space="0"/>
              <w:right w:val="single" w:color="auto" w:sz="4" w:space="0"/>
            </w:tcBorders>
            <w:noWrap w:val="0"/>
            <w:vAlign w:val="center"/>
          </w:tcPr>
          <w:p w14:paraId="2D253EAA">
            <w:pPr>
              <w:spacing w:line="312" w:lineRule="auto"/>
              <w:jc w:val="center"/>
              <w:rPr>
                <w:rFonts w:hint="eastAsia" w:ascii="宋体" w:hAnsi="宋体" w:eastAsia="宋体" w:cs="宋体"/>
                <w:color w:val="auto"/>
                <w:sz w:val="24"/>
                <w:highlight w:val="none"/>
              </w:rPr>
            </w:pPr>
            <w:r>
              <w:rPr>
                <w:rFonts w:hint="eastAsia" w:ascii="宋体" w:hAnsi="宋体" w:cs="宋体"/>
                <w:color w:val="auto"/>
                <w:sz w:val="24"/>
                <w:szCs w:val="24"/>
                <w:highlight w:val="none"/>
                <w:lang w:val="en-US" w:eastAsia="zh-CN"/>
              </w:rPr>
              <w:t>投标人自</w:t>
            </w:r>
            <w:r>
              <w:rPr>
                <w:rFonts w:hint="eastAsia" w:ascii="宋体" w:hAnsi="宋体" w:cs="宋体"/>
                <w:color w:val="auto"/>
                <w:sz w:val="24"/>
                <w:szCs w:val="24"/>
                <w:highlight w:val="none"/>
              </w:rPr>
              <w:t>20</w:t>
            </w:r>
            <w:r>
              <w:rPr>
                <w:rFonts w:hint="eastAsia" w:ascii="宋体" w:hAnsi="宋体" w:cs="宋体"/>
                <w:color w:val="auto"/>
                <w:sz w:val="24"/>
                <w:szCs w:val="24"/>
                <w:highlight w:val="none"/>
                <w:lang w:val="en-US" w:eastAsia="zh-CN"/>
              </w:rPr>
              <w:t>22</w:t>
            </w:r>
            <w:r>
              <w:rPr>
                <w:rFonts w:hint="eastAsia" w:ascii="宋体" w:hAnsi="宋体" w:cs="宋体"/>
                <w:color w:val="auto"/>
                <w:sz w:val="24"/>
                <w:szCs w:val="24"/>
                <w:highlight w:val="none"/>
              </w:rPr>
              <w:t>年1月1日至今（以竣工时间为准），完成类似业绩</w:t>
            </w:r>
            <w:r>
              <w:rPr>
                <w:rFonts w:hint="eastAsia" w:ascii="宋体" w:hAnsi="宋体" w:cs="宋体"/>
                <w:color w:val="auto"/>
                <w:sz w:val="24"/>
                <w:szCs w:val="24"/>
                <w:highlight w:val="none"/>
                <w:lang w:eastAsia="zh-CN"/>
              </w:rPr>
              <w:t>的</w:t>
            </w:r>
            <w:r>
              <w:rPr>
                <w:rFonts w:hint="eastAsia" w:ascii="宋体" w:hAnsi="宋体" w:cs="宋体"/>
                <w:color w:val="auto"/>
                <w:sz w:val="24"/>
                <w:szCs w:val="24"/>
                <w:highlight w:val="none"/>
                <w:lang w:val="en-US" w:eastAsia="zh-CN"/>
              </w:rPr>
              <w:t>每个</w:t>
            </w:r>
            <w:r>
              <w:rPr>
                <w:rFonts w:hint="eastAsia" w:ascii="宋体" w:hAnsi="宋体" w:cs="宋体"/>
                <w:color w:val="auto"/>
                <w:sz w:val="24"/>
                <w:szCs w:val="24"/>
                <w:highlight w:val="none"/>
              </w:rPr>
              <w:t>得1分，最高得</w:t>
            </w:r>
            <w:r>
              <w:rPr>
                <w:rFonts w:hint="eastAsia" w:ascii="宋体" w:hAnsi="宋体" w:cs="宋体"/>
                <w:color w:val="auto"/>
                <w:sz w:val="24"/>
                <w:szCs w:val="24"/>
                <w:highlight w:val="none"/>
                <w:lang w:val="en-US" w:eastAsia="zh-CN"/>
              </w:rPr>
              <w:t>3</w:t>
            </w:r>
            <w:r>
              <w:rPr>
                <w:rFonts w:hint="eastAsia" w:ascii="宋体" w:hAnsi="宋体" w:cs="宋体"/>
                <w:color w:val="auto"/>
                <w:sz w:val="24"/>
                <w:szCs w:val="24"/>
                <w:highlight w:val="none"/>
              </w:rPr>
              <w:t>分</w:t>
            </w:r>
            <w:r>
              <w:rPr>
                <w:rFonts w:hint="eastAsia" w:ascii="宋体" w:hAnsi="宋体" w:cs="宋体"/>
                <w:color w:val="auto"/>
                <w:sz w:val="24"/>
                <w:szCs w:val="24"/>
                <w:highlight w:val="none"/>
                <w:lang w:eastAsia="zh-CN"/>
              </w:rPr>
              <w:t>。</w:t>
            </w:r>
            <w:r>
              <w:rPr>
                <w:rFonts w:hint="eastAsia" w:ascii="宋体" w:hAnsi="宋体" w:cs="宋体"/>
                <w:b/>
                <w:bCs/>
                <w:color w:val="auto"/>
                <w:sz w:val="24"/>
                <w:szCs w:val="24"/>
                <w:highlight w:val="none"/>
                <w:lang w:eastAsia="zh-CN"/>
              </w:rPr>
              <w:t>（需</w:t>
            </w:r>
            <w:r>
              <w:rPr>
                <w:rFonts w:hint="eastAsia" w:ascii="宋体" w:hAnsi="宋体" w:cs="宋体"/>
                <w:b/>
                <w:bCs/>
                <w:color w:val="auto"/>
                <w:sz w:val="24"/>
                <w:szCs w:val="24"/>
                <w:highlight w:val="none"/>
              </w:rPr>
              <w:t>提供中标通知书</w:t>
            </w:r>
            <w:r>
              <w:rPr>
                <w:rFonts w:hint="eastAsia" w:ascii="宋体" w:hAnsi="宋体" w:cs="宋体"/>
                <w:b/>
                <w:bCs/>
                <w:color w:val="auto"/>
                <w:sz w:val="24"/>
                <w:szCs w:val="24"/>
                <w:highlight w:val="none"/>
                <w:lang w:eastAsia="zh-CN"/>
              </w:rPr>
              <w:t>、</w:t>
            </w:r>
            <w:r>
              <w:rPr>
                <w:rFonts w:hint="eastAsia" w:ascii="宋体" w:hAnsi="宋体" w:cs="宋体"/>
                <w:b/>
                <w:bCs/>
                <w:color w:val="auto"/>
                <w:sz w:val="24"/>
                <w:szCs w:val="24"/>
                <w:highlight w:val="none"/>
              </w:rPr>
              <w:t>合同扫描件加盖</w:t>
            </w:r>
            <w:r>
              <w:rPr>
                <w:rFonts w:hint="eastAsia" w:ascii="宋体" w:hAnsi="宋体" w:cs="宋体"/>
                <w:b/>
                <w:bCs/>
                <w:color w:val="auto"/>
                <w:sz w:val="24"/>
                <w:szCs w:val="24"/>
                <w:highlight w:val="none"/>
                <w:lang w:val="en-US" w:eastAsia="zh-CN"/>
              </w:rPr>
              <w:t>投标人</w:t>
            </w:r>
            <w:r>
              <w:rPr>
                <w:rFonts w:hint="eastAsia" w:ascii="宋体" w:hAnsi="宋体" w:cs="宋体"/>
                <w:b/>
                <w:bCs/>
                <w:color w:val="auto"/>
                <w:sz w:val="24"/>
                <w:szCs w:val="24"/>
                <w:highlight w:val="none"/>
              </w:rPr>
              <w:t>公章</w:t>
            </w:r>
            <w:r>
              <w:rPr>
                <w:rFonts w:hint="eastAsia" w:ascii="宋体" w:hAnsi="宋体" w:cs="宋体"/>
                <w:b/>
                <w:bCs/>
                <w:color w:val="auto"/>
                <w:sz w:val="24"/>
                <w:szCs w:val="24"/>
                <w:highlight w:val="none"/>
                <w:lang w:eastAsia="zh-CN"/>
              </w:rPr>
              <w:t>）</w:t>
            </w:r>
          </w:p>
        </w:tc>
        <w:tc>
          <w:tcPr>
            <w:tcW w:w="913" w:type="dxa"/>
            <w:tcBorders>
              <w:top w:val="single" w:color="auto" w:sz="4" w:space="0"/>
              <w:left w:val="single" w:color="auto" w:sz="4" w:space="0"/>
              <w:bottom w:val="single" w:color="auto" w:sz="4" w:space="0"/>
              <w:right w:val="single" w:color="auto" w:sz="4" w:space="0"/>
            </w:tcBorders>
            <w:noWrap w:val="0"/>
            <w:vAlign w:val="center"/>
          </w:tcPr>
          <w:p w14:paraId="3C43440B">
            <w:pPr>
              <w:spacing w:line="312" w:lineRule="auto"/>
              <w:rPr>
                <w:rFonts w:hint="eastAsia" w:ascii="宋体" w:hAnsi="宋体" w:eastAsia="宋体" w:cs="宋体"/>
                <w:color w:val="auto"/>
                <w:sz w:val="24"/>
                <w:highlight w:val="none"/>
                <w:lang w:eastAsia="zh-CN"/>
              </w:rPr>
            </w:pPr>
            <w:r>
              <w:rPr>
                <w:rFonts w:hint="eastAsia" w:ascii="宋体" w:hAnsi="宋体" w:eastAsia="宋体" w:cs="宋体"/>
                <w:color w:val="auto"/>
                <w:sz w:val="24"/>
                <w:szCs w:val="24"/>
                <w:highlight w:val="none"/>
                <w:lang w:val="en-US" w:eastAsia="zh-CN"/>
              </w:rPr>
              <w:t>0-</w:t>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rPr>
              <w:t>分</w:t>
            </w:r>
          </w:p>
        </w:tc>
      </w:tr>
      <w:tr w14:paraId="3D4F00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8" w:type="dxa"/>
          <w:trHeight w:val="1508" w:hRule="atLeast"/>
          <w:jc w:val="center"/>
        </w:trPr>
        <w:tc>
          <w:tcPr>
            <w:tcW w:w="870" w:type="dxa"/>
            <w:vMerge w:val="continue"/>
            <w:tcBorders>
              <w:left w:val="single" w:color="auto" w:sz="4" w:space="0"/>
              <w:right w:val="single" w:color="auto" w:sz="4" w:space="0"/>
            </w:tcBorders>
            <w:noWrap w:val="0"/>
            <w:vAlign w:val="center"/>
          </w:tcPr>
          <w:p w14:paraId="091C0347">
            <w:pPr>
              <w:widowControl/>
              <w:spacing w:line="360" w:lineRule="auto"/>
              <w:jc w:val="left"/>
              <w:rPr>
                <w:rFonts w:hint="eastAsia" w:ascii="宋体" w:hAnsi="宋体" w:eastAsia="宋体" w:cs="宋体"/>
                <w:color w:val="000000"/>
                <w:sz w:val="24"/>
                <w:highlight w:val="none"/>
              </w:rPr>
            </w:pPr>
          </w:p>
        </w:tc>
        <w:tc>
          <w:tcPr>
            <w:tcW w:w="1248" w:type="dxa"/>
            <w:tcBorders>
              <w:top w:val="single" w:color="auto" w:sz="4" w:space="0"/>
              <w:left w:val="single" w:color="auto" w:sz="4" w:space="0"/>
              <w:right w:val="single" w:color="auto" w:sz="4" w:space="0"/>
            </w:tcBorders>
            <w:noWrap w:val="0"/>
            <w:vAlign w:val="center"/>
          </w:tcPr>
          <w:p w14:paraId="7254EC77">
            <w:pPr>
              <w:spacing w:line="312" w:lineRule="auto"/>
              <w:jc w:val="center"/>
              <w:rPr>
                <w:rFonts w:hint="eastAsia" w:ascii="宋体" w:hAnsi="宋体" w:eastAsia="宋体" w:cs="宋体"/>
                <w:color w:val="000000"/>
                <w:sz w:val="24"/>
                <w:highlight w:val="none"/>
              </w:rPr>
            </w:pPr>
            <w:r>
              <w:rPr>
                <w:rFonts w:hint="eastAsia" w:ascii="宋体" w:hAnsi="宋体" w:eastAsia="宋体" w:cs="宋体"/>
                <w:color w:val="auto"/>
                <w:sz w:val="24"/>
                <w:szCs w:val="24"/>
                <w:highlight w:val="none"/>
                <w:lang w:eastAsia="zh-CN"/>
              </w:rPr>
              <w:t>企业</w:t>
            </w:r>
            <w:r>
              <w:rPr>
                <w:rFonts w:hint="eastAsia" w:ascii="宋体" w:hAnsi="宋体" w:eastAsia="宋体" w:cs="宋体"/>
                <w:color w:val="auto"/>
                <w:kern w:val="0"/>
                <w:sz w:val="24"/>
                <w:szCs w:val="24"/>
                <w:highlight w:val="none"/>
              </w:rPr>
              <w:t>认证</w:t>
            </w:r>
          </w:p>
        </w:tc>
        <w:tc>
          <w:tcPr>
            <w:tcW w:w="6368" w:type="dxa"/>
            <w:tcBorders>
              <w:top w:val="single" w:color="auto" w:sz="4" w:space="0"/>
              <w:left w:val="single" w:color="auto" w:sz="4" w:space="0"/>
              <w:right w:val="single" w:color="auto" w:sz="4" w:space="0"/>
            </w:tcBorders>
            <w:noWrap w:val="0"/>
            <w:vAlign w:val="center"/>
          </w:tcPr>
          <w:p w14:paraId="0F4AF422">
            <w:pPr>
              <w:spacing w:line="312" w:lineRule="auto"/>
              <w:jc w:val="center"/>
              <w:rPr>
                <w:rFonts w:hint="eastAsia" w:ascii="宋体" w:hAnsi="宋体" w:eastAsia="宋体" w:cs="宋体"/>
                <w:color w:val="auto"/>
                <w:sz w:val="24"/>
                <w:highlight w:val="none"/>
              </w:rPr>
            </w:pPr>
            <w:r>
              <w:rPr>
                <w:rStyle w:val="47"/>
                <w:rFonts w:hint="eastAsia" w:ascii="宋体" w:hAnsi="宋体" w:eastAsia="宋体" w:cs="宋体"/>
                <w:color w:val="auto"/>
                <w:kern w:val="0"/>
                <w:sz w:val="24"/>
                <w:szCs w:val="24"/>
                <w:highlight w:val="none"/>
              </w:rPr>
              <w:t>投标人具有在有效期范围内环境管理体系认证、质量管理体系认证、职业健康安全管理体系认证的</w:t>
            </w:r>
            <w:r>
              <w:rPr>
                <w:rStyle w:val="47"/>
                <w:rFonts w:hint="eastAsia" w:ascii="宋体" w:hAnsi="宋体" w:cs="宋体"/>
                <w:color w:val="auto"/>
                <w:kern w:val="0"/>
                <w:sz w:val="24"/>
                <w:szCs w:val="24"/>
                <w:highlight w:val="none"/>
                <w:lang w:eastAsia="zh-CN"/>
              </w:rPr>
              <w:t>，</w:t>
            </w:r>
            <w:r>
              <w:rPr>
                <w:rStyle w:val="47"/>
                <w:rFonts w:hint="eastAsia" w:ascii="宋体" w:hAnsi="宋体" w:eastAsia="宋体" w:cs="宋体"/>
                <w:color w:val="auto"/>
                <w:kern w:val="0"/>
                <w:sz w:val="24"/>
                <w:szCs w:val="24"/>
                <w:highlight w:val="none"/>
                <w:lang w:val="en-US"/>
              </w:rPr>
              <w:t>每个</w:t>
            </w:r>
            <w:r>
              <w:rPr>
                <w:rStyle w:val="47"/>
                <w:rFonts w:hint="eastAsia" w:ascii="宋体" w:hAnsi="宋体" w:eastAsia="宋体" w:cs="宋体"/>
                <w:color w:val="auto"/>
                <w:kern w:val="0"/>
                <w:sz w:val="24"/>
                <w:szCs w:val="24"/>
                <w:highlight w:val="none"/>
              </w:rPr>
              <w:t>得</w:t>
            </w:r>
            <w:r>
              <w:rPr>
                <w:rStyle w:val="47"/>
                <w:rFonts w:hint="eastAsia" w:ascii="宋体" w:hAnsi="宋体" w:eastAsia="宋体" w:cs="宋体"/>
                <w:color w:val="auto"/>
                <w:kern w:val="0"/>
                <w:sz w:val="24"/>
                <w:szCs w:val="24"/>
                <w:highlight w:val="none"/>
                <w:lang w:val="en-US" w:eastAsia="zh-CN"/>
              </w:rPr>
              <w:t>1</w:t>
            </w:r>
            <w:r>
              <w:rPr>
                <w:rStyle w:val="47"/>
                <w:rFonts w:hint="eastAsia" w:ascii="宋体" w:hAnsi="宋体" w:eastAsia="宋体" w:cs="宋体"/>
                <w:color w:val="auto"/>
                <w:kern w:val="0"/>
                <w:sz w:val="24"/>
                <w:szCs w:val="24"/>
                <w:highlight w:val="none"/>
              </w:rPr>
              <w:t>分</w:t>
            </w:r>
            <w:r>
              <w:rPr>
                <w:rStyle w:val="47"/>
                <w:rFonts w:hint="eastAsia" w:ascii="宋体" w:hAnsi="宋体" w:cs="宋体"/>
                <w:color w:val="auto"/>
                <w:kern w:val="0"/>
                <w:sz w:val="24"/>
                <w:szCs w:val="24"/>
                <w:highlight w:val="none"/>
                <w:lang w:val="en-US" w:eastAsia="zh-CN"/>
              </w:rPr>
              <w:t>。</w:t>
            </w:r>
            <w:r>
              <w:rPr>
                <w:rFonts w:hint="eastAsia" w:ascii="宋体" w:hAnsi="宋体" w:eastAsia="宋体" w:cs="宋体"/>
                <w:b/>
                <w:bCs/>
                <w:color w:val="auto"/>
                <w:kern w:val="0"/>
                <w:sz w:val="24"/>
                <w:szCs w:val="24"/>
                <w:highlight w:val="none"/>
              </w:rPr>
              <w:t>（</w:t>
            </w:r>
            <w:r>
              <w:rPr>
                <w:rFonts w:hint="eastAsia" w:ascii="宋体" w:hAnsi="宋体" w:cs="宋体"/>
                <w:b/>
                <w:bCs/>
                <w:color w:val="auto"/>
                <w:kern w:val="0"/>
                <w:sz w:val="24"/>
                <w:szCs w:val="24"/>
                <w:highlight w:val="none"/>
                <w:lang w:eastAsia="zh-CN"/>
              </w:rPr>
              <w:t>需</w:t>
            </w:r>
            <w:r>
              <w:rPr>
                <w:rFonts w:hint="eastAsia" w:ascii="宋体" w:hAnsi="宋体" w:eastAsia="宋体" w:cs="宋体"/>
                <w:b/>
                <w:bCs/>
                <w:color w:val="auto"/>
                <w:kern w:val="0"/>
                <w:sz w:val="24"/>
                <w:szCs w:val="24"/>
                <w:highlight w:val="none"/>
              </w:rPr>
              <w:t>提供</w:t>
            </w:r>
            <w:r>
              <w:rPr>
                <w:rFonts w:hint="eastAsia" w:ascii="宋体" w:hAnsi="宋体" w:eastAsia="宋体" w:cs="宋体"/>
                <w:b/>
                <w:bCs/>
                <w:color w:val="auto"/>
                <w:kern w:val="0"/>
                <w:sz w:val="24"/>
                <w:szCs w:val="24"/>
                <w:highlight w:val="none"/>
                <w:lang w:eastAsia="zh-CN"/>
              </w:rPr>
              <w:t>相关</w:t>
            </w:r>
            <w:r>
              <w:rPr>
                <w:rFonts w:hint="eastAsia" w:ascii="宋体" w:hAnsi="宋体" w:eastAsia="宋体" w:cs="宋体"/>
                <w:b/>
                <w:bCs/>
                <w:color w:val="auto"/>
                <w:kern w:val="0"/>
                <w:sz w:val="24"/>
                <w:szCs w:val="24"/>
                <w:highlight w:val="none"/>
              </w:rPr>
              <w:t>证书</w:t>
            </w:r>
            <w:r>
              <w:rPr>
                <w:rFonts w:hint="eastAsia" w:ascii="宋体" w:hAnsi="宋体" w:cs="宋体"/>
                <w:b/>
                <w:bCs/>
                <w:color w:val="auto"/>
                <w:kern w:val="0"/>
                <w:sz w:val="24"/>
                <w:szCs w:val="24"/>
                <w:highlight w:val="none"/>
                <w:lang w:eastAsia="zh-CN"/>
              </w:rPr>
              <w:t>原件扫描</w:t>
            </w:r>
            <w:r>
              <w:rPr>
                <w:rFonts w:hint="eastAsia" w:ascii="宋体" w:hAnsi="宋体" w:eastAsia="宋体" w:cs="宋体"/>
                <w:b/>
                <w:bCs/>
                <w:color w:val="auto"/>
                <w:kern w:val="0"/>
                <w:sz w:val="24"/>
                <w:szCs w:val="24"/>
                <w:highlight w:val="none"/>
              </w:rPr>
              <w:t>件加盖</w:t>
            </w:r>
            <w:r>
              <w:rPr>
                <w:rFonts w:hint="eastAsia" w:ascii="宋体" w:hAnsi="宋体" w:cs="宋体"/>
                <w:b/>
                <w:bCs/>
                <w:color w:val="auto"/>
                <w:sz w:val="24"/>
                <w:szCs w:val="24"/>
                <w:highlight w:val="none"/>
                <w:lang w:val="en-US" w:eastAsia="zh-CN"/>
              </w:rPr>
              <w:t>投标人</w:t>
            </w:r>
            <w:r>
              <w:rPr>
                <w:rFonts w:hint="eastAsia" w:ascii="宋体" w:hAnsi="宋体" w:eastAsia="宋体" w:cs="宋体"/>
                <w:b/>
                <w:bCs/>
                <w:color w:val="auto"/>
                <w:kern w:val="0"/>
                <w:sz w:val="24"/>
                <w:szCs w:val="24"/>
                <w:highlight w:val="none"/>
              </w:rPr>
              <w:t>公章）</w:t>
            </w:r>
          </w:p>
        </w:tc>
        <w:tc>
          <w:tcPr>
            <w:tcW w:w="913" w:type="dxa"/>
            <w:tcBorders>
              <w:top w:val="single" w:color="auto" w:sz="4" w:space="0"/>
              <w:left w:val="single" w:color="auto" w:sz="4" w:space="0"/>
              <w:bottom w:val="single" w:color="auto" w:sz="4" w:space="0"/>
              <w:right w:val="single" w:color="auto" w:sz="4" w:space="0"/>
            </w:tcBorders>
            <w:noWrap w:val="0"/>
            <w:vAlign w:val="center"/>
          </w:tcPr>
          <w:p w14:paraId="5406EF07">
            <w:pPr>
              <w:spacing w:line="312" w:lineRule="auto"/>
              <w:rPr>
                <w:rFonts w:hint="eastAsia" w:ascii="宋体" w:hAnsi="宋体" w:eastAsia="宋体" w:cs="宋体"/>
                <w:color w:val="auto"/>
                <w:sz w:val="24"/>
                <w:highlight w:val="none"/>
              </w:rPr>
            </w:pPr>
            <w:r>
              <w:rPr>
                <w:rFonts w:hint="eastAsia" w:ascii="宋体" w:hAnsi="宋体" w:eastAsia="宋体" w:cs="宋体"/>
                <w:color w:val="auto"/>
                <w:sz w:val="24"/>
                <w:szCs w:val="24"/>
                <w:highlight w:val="none"/>
                <w:lang w:val="en-US" w:eastAsia="zh-CN"/>
              </w:rPr>
              <w:t>0-</w:t>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zh-CN"/>
              </w:rPr>
              <w:t>分</w:t>
            </w:r>
          </w:p>
        </w:tc>
      </w:tr>
      <w:tr w14:paraId="6D6E52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8" w:type="dxa"/>
          <w:trHeight w:val="954" w:hRule="atLeast"/>
          <w:jc w:val="center"/>
        </w:trPr>
        <w:tc>
          <w:tcPr>
            <w:tcW w:w="870" w:type="dxa"/>
            <w:vMerge w:val="continue"/>
            <w:tcBorders>
              <w:left w:val="single" w:color="auto" w:sz="4" w:space="0"/>
              <w:right w:val="single" w:color="auto" w:sz="4" w:space="0"/>
            </w:tcBorders>
            <w:noWrap w:val="0"/>
            <w:vAlign w:val="center"/>
          </w:tcPr>
          <w:p w14:paraId="6DB3FEB1">
            <w:pPr>
              <w:widowControl/>
              <w:spacing w:line="360" w:lineRule="auto"/>
              <w:jc w:val="left"/>
              <w:rPr>
                <w:rFonts w:hint="eastAsia" w:ascii="宋体" w:hAnsi="宋体" w:eastAsia="宋体" w:cs="宋体"/>
                <w:color w:val="000000"/>
                <w:sz w:val="24"/>
                <w:highlight w:val="none"/>
              </w:rPr>
            </w:pPr>
          </w:p>
        </w:tc>
        <w:tc>
          <w:tcPr>
            <w:tcW w:w="1248" w:type="dxa"/>
            <w:tcBorders>
              <w:top w:val="single" w:color="auto" w:sz="4" w:space="0"/>
              <w:left w:val="single" w:color="auto" w:sz="4" w:space="0"/>
              <w:bottom w:val="single" w:color="auto" w:sz="4" w:space="0"/>
              <w:right w:val="single" w:color="auto" w:sz="4" w:space="0"/>
            </w:tcBorders>
            <w:noWrap w:val="0"/>
            <w:vAlign w:val="center"/>
          </w:tcPr>
          <w:p w14:paraId="1E19E09E">
            <w:pPr>
              <w:spacing w:line="360" w:lineRule="auto"/>
              <w:ind w:right="26" w:rightChars="0"/>
              <w:jc w:val="center"/>
              <w:rPr>
                <w:rFonts w:hint="eastAsia" w:ascii="宋体" w:hAnsi="宋体" w:eastAsia="宋体" w:cs="宋体"/>
                <w:color w:val="000000"/>
                <w:sz w:val="24"/>
                <w:highlight w:val="none"/>
              </w:rPr>
            </w:pPr>
            <w:r>
              <w:rPr>
                <w:rFonts w:hint="eastAsia" w:ascii="宋体" w:hAnsi="宋体" w:eastAsia="宋体" w:cs="宋体"/>
                <w:color w:val="auto"/>
                <w:sz w:val="24"/>
                <w:szCs w:val="24"/>
                <w:highlight w:val="none"/>
                <w:lang w:eastAsia="zh-CN"/>
              </w:rPr>
              <w:t>项目负责人</w:t>
            </w:r>
          </w:p>
        </w:tc>
        <w:tc>
          <w:tcPr>
            <w:tcW w:w="6368" w:type="dxa"/>
            <w:tcBorders>
              <w:top w:val="single" w:color="auto" w:sz="4" w:space="0"/>
              <w:left w:val="single" w:color="auto" w:sz="4" w:space="0"/>
              <w:bottom w:val="single" w:color="auto" w:sz="4" w:space="0"/>
              <w:right w:val="single" w:color="auto" w:sz="4" w:space="0"/>
            </w:tcBorders>
            <w:noWrap w:val="0"/>
            <w:vAlign w:val="center"/>
          </w:tcPr>
          <w:p w14:paraId="401D4D3A">
            <w:pPr>
              <w:keepNext w:val="0"/>
              <w:keepLines w:val="0"/>
              <w:suppressLineNumbers w:val="0"/>
              <w:spacing w:before="0" w:beforeAutospacing="0" w:after="0" w:afterAutospacing="0" w:line="312" w:lineRule="auto"/>
              <w:ind w:left="0" w:right="0" w:firstLine="480" w:firstLineChars="200"/>
              <w:rPr>
                <w:rFonts w:hint="eastAsia" w:ascii="宋体" w:hAnsi="宋体" w:eastAsia="宋体" w:cs="宋体"/>
                <w:color w:val="auto"/>
                <w:sz w:val="24"/>
                <w:highlight w:val="none"/>
              </w:rPr>
            </w:pPr>
            <w:r>
              <w:rPr>
                <w:rFonts w:hint="eastAsia" w:ascii="宋体" w:hAnsi="宋体" w:cs="宋体"/>
                <w:kern w:val="0"/>
                <w:sz w:val="24"/>
                <w:szCs w:val="24"/>
              </w:rPr>
              <w:t>项目负责人(管理人员）具有物业行业项目经理资格证书的得</w:t>
            </w:r>
            <w:r>
              <w:rPr>
                <w:rFonts w:hint="eastAsia" w:ascii="宋体" w:hAnsi="宋体" w:cs="宋体"/>
                <w:kern w:val="0"/>
                <w:sz w:val="24"/>
                <w:szCs w:val="24"/>
                <w:lang w:val="en-US" w:eastAsia="zh-CN"/>
              </w:rPr>
              <w:t>1</w:t>
            </w:r>
            <w:r>
              <w:rPr>
                <w:rFonts w:hint="eastAsia" w:ascii="宋体" w:hAnsi="宋体" w:cs="宋体"/>
                <w:kern w:val="0"/>
                <w:sz w:val="24"/>
                <w:szCs w:val="24"/>
              </w:rPr>
              <w:t>分，环卫管理类高级专业人才职业能力证书的得</w:t>
            </w:r>
            <w:r>
              <w:rPr>
                <w:rFonts w:hint="eastAsia" w:ascii="宋体" w:hAnsi="宋体" w:cs="宋体"/>
                <w:kern w:val="0"/>
                <w:sz w:val="24"/>
                <w:szCs w:val="24"/>
                <w:lang w:val="en-US" w:eastAsia="zh-CN"/>
              </w:rPr>
              <w:t>1</w:t>
            </w:r>
            <w:r>
              <w:rPr>
                <w:rFonts w:hint="eastAsia" w:ascii="宋体" w:hAnsi="宋体" w:cs="宋体"/>
                <w:kern w:val="0"/>
                <w:sz w:val="24"/>
                <w:szCs w:val="24"/>
              </w:rPr>
              <w:t>分</w:t>
            </w:r>
            <w:r>
              <w:rPr>
                <w:rFonts w:hint="eastAsia" w:ascii="宋体" w:hAnsi="宋体" w:cs="宋体"/>
                <w:kern w:val="0"/>
                <w:sz w:val="24"/>
                <w:szCs w:val="24"/>
                <w:lang w:eastAsia="zh-CN"/>
              </w:rPr>
              <w:t>；</w:t>
            </w:r>
            <w:r>
              <w:rPr>
                <w:rFonts w:hint="eastAsia" w:ascii="宋体" w:hAnsi="宋体" w:cs="宋体"/>
                <w:b/>
                <w:bCs/>
                <w:color w:val="auto"/>
                <w:sz w:val="24"/>
                <w:szCs w:val="24"/>
                <w:highlight w:val="none"/>
                <w:lang w:val="en-US" w:eastAsia="zh-CN"/>
              </w:rPr>
              <w:t>（需</w:t>
            </w:r>
            <w:r>
              <w:rPr>
                <w:rFonts w:hint="eastAsia" w:ascii="宋体" w:hAnsi="宋体" w:cs="宋体"/>
                <w:b/>
                <w:bCs/>
                <w:color w:val="auto"/>
                <w:sz w:val="24"/>
                <w:szCs w:val="24"/>
                <w:highlight w:val="none"/>
              </w:rPr>
              <w:t>提供相关证明</w:t>
            </w:r>
            <w:r>
              <w:rPr>
                <w:rFonts w:hint="eastAsia" w:ascii="宋体" w:hAnsi="宋体" w:cs="宋体"/>
                <w:b/>
                <w:bCs/>
                <w:color w:val="auto"/>
                <w:sz w:val="24"/>
                <w:szCs w:val="24"/>
                <w:highlight w:val="none"/>
                <w:lang w:eastAsia="zh-CN"/>
              </w:rPr>
              <w:t>材料</w:t>
            </w:r>
            <w:r>
              <w:rPr>
                <w:rFonts w:hint="eastAsia" w:ascii="宋体" w:hAnsi="宋体" w:cs="宋体"/>
                <w:b/>
                <w:bCs/>
                <w:color w:val="auto"/>
                <w:kern w:val="0"/>
                <w:sz w:val="24"/>
                <w:szCs w:val="24"/>
                <w:highlight w:val="none"/>
                <w:lang w:eastAsia="zh-CN"/>
              </w:rPr>
              <w:t>原件扫描</w:t>
            </w:r>
            <w:r>
              <w:rPr>
                <w:rFonts w:hint="eastAsia" w:ascii="宋体" w:hAnsi="宋体" w:eastAsia="宋体" w:cs="宋体"/>
                <w:b/>
                <w:bCs/>
                <w:color w:val="auto"/>
                <w:kern w:val="0"/>
                <w:sz w:val="24"/>
                <w:szCs w:val="24"/>
                <w:highlight w:val="none"/>
              </w:rPr>
              <w:t>件</w:t>
            </w:r>
            <w:r>
              <w:rPr>
                <w:rFonts w:hint="eastAsia" w:ascii="宋体" w:hAnsi="宋体" w:cs="宋体"/>
                <w:b/>
                <w:bCs/>
                <w:color w:val="auto"/>
                <w:sz w:val="24"/>
                <w:szCs w:val="24"/>
                <w:highlight w:val="none"/>
                <w:lang w:val="en-US" w:eastAsia="zh-CN"/>
              </w:rPr>
              <w:t>并</w:t>
            </w:r>
            <w:r>
              <w:rPr>
                <w:rFonts w:hint="eastAsia" w:ascii="宋体" w:hAnsi="宋体" w:cs="宋体"/>
                <w:b/>
                <w:bCs/>
                <w:color w:val="auto"/>
                <w:sz w:val="24"/>
                <w:szCs w:val="24"/>
                <w:highlight w:val="none"/>
              </w:rPr>
              <w:t>加盖</w:t>
            </w:r>
            <w:r>
              <w:rPr>
                <w:rFonts w:hint="eastAsia" w:ascii="宋体" w:hAnsi="宋体" w:cs="宋体"/>
                <w:b/>
                <w:bCs/>
                <w:color w:val="auto"/>
                <w:sz w:val="24"/>
                <w:szCs w:val="24"/>
                <w:highlight w:val="none"/>
                <w:lang w:val="en-US" w:eastAsia="zh-CN"/>
              </w:rPr>
              <w:t>投标人</w:t>
            </w:r>
            <w:r>
              <w:rPr>
                <w:rFonts w:hint="eastAsia" w:ascii="宋体" w:hAnsi="宋体" w:cs="宋体"/>
                <w:b/>
                <w:bCs/>
                <w:color w:val="auto"/>
                <w:sz w:val="24"/>
                <w:szCs w:val="24"/>
                <w:highlight w:val="none"/>
              </w:rPr>
              <w:t>公章</w:t>
            </w:r>
            <w:r>
              <w:rPr>
                <w:rFonts w:hint="eastAsia" w:ascii="宋体" w:hAnsi="宋体" w:cs="宋体"/>
                <w:b/>
                <w:bCs/>
                <w:color w:val="auto"/>
                <w:sz w:val="24"/>
                <w:szCs w:val="24"/>
                <w:highlight w:val="none"/>
                <w:lang w:eastAsia="zh-CN"/>
              </w:rPr>
              <w:t>）</w:t>
            </w:r>
          </w:p>
        </w:tc>
        <w:tc>
          <w:tcPr>
            <w:tcW w:w="913" w:type="dxa"/>
            <w:tcBorders>
              <w:top w:val="single" w:color="auto" w:sz="4" w:space="0"/>
              <w:left w:val="single" w:color="auto" w:sz="4" w:space="0"/>
              <w:bottom w:val="single" w:color="auto" w:sz="4" w:space="0"/>
              <w:right w:val="single" w:color="auto" w:sz="4" w:space="0"/>
            </w:tcBorders>
            <w:noWrap w:val="0"/>
            <w:vAlign w:val="center"/>
          </w:tcPr>
          <w:p w14:paraId="0A3BE2B7">
            <w:pPr>
              <w:pStyle w:val="48"/>
              <w:numPr>
                <w:ilvl w:val="0"/>
                <w:numId w:val="0"/>
              </w:numPr>
              <w:spacing w:line="360" w:lineRule="auto"/>
              <w:ind w:left="0" w:leftChars="0" w:firstLine="0" w:firstLineChars="0"/>
              <w:rPr>
                <w:rFonts w:hint="eastAsia" w:ascii="宋体" w:hAnsi="宋体" w:eastAsia="宋体" w:cs="宋体"/>
                <w:color w:val="auto"/>
                <w:sz w:val="24"/>
                <w:highlight w:val="none"/>
                <w:lang w:eastAsia="zh-CN"/>
              </w:rPr>
            </w:pPr>
            <w:r>
              <w:rPr>
                <w:rFonts w:hint="eastAsia" w:ascii="宋体" w:hAnsi="宋体" w:eastAsia="宋体" w:cs="宋体"/>
                <w:color w:val="auto"/>
                <w:sz w:val="24"/>
                <w:szCs w:val="24"/>
                <w:highlight w:val="none"/>
                <w:lang w:val="en-US" w:eastAsia="zh-CN"/>
              </w:rPr>
              <w:t>0-</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分</w:t>
            </w:r>
          </w:p>
        </w:tc>
      </w:tr>
    </w:tbl>
    <w:p w14:paraId="7ED96BB5">
      <w:pPr>
        <w:spacing w:line="360" w:lineRule="auto"/>
        <w:ind w:firstLine="480" w:firstLineChars="200"/>
        <w:rPr>
          <w:rFonts w:hint="eastAsia" w:ascii="宋体" w:hAnsi="宋体" w:eastAsia="宋体" w:cs="宋体"/>
          <w:sz w:val="24"/>
          <w:szCs w:val="21"/>
          <w:highlight w:val="none"/>
        </w:rPr>
      </w:pPr>
      <w:r>
        <w:rPr>
          <w:rFonts w:hint="eastAsia" w:ascii="宋体" w:hAnsi="宋体" w:eastAsia="宋体" w:cs="宋体"/>
          <w:sz w:val="24"/>
          <w:szCs w:val="21"/>
          <w:highlight w:val="none"/>
        </w:rPr>
        <w:t>注：</w:t>
      </w:r>
    </w:p>
    <w:p w14:paraId="661D14E6">
      <w:pPr>
        <w:spacing w:line="360" w:lineRule="auto"/>
        <w:ind w:firstLine="480" w:firstLineChars="200"/>
        <w:rPr>
          <w:rFonts w:hint="eastAsia" w:ascii="宋体" w:hAnsi="宋体" w:eastAsia="宋体" w:cs="宋体"/>
          <w:sz w:val="24"/>
          <w:szCs w:val="21"/>
          <w:highlight w:val="none"/>
        </w:rPr>
      </w:pPr>
      <w:r>
        <w:rPr>
          <w:rFonts w:hint="eastAsia" w:ascii="宋体" w:hAnsi="宋体" w:eastAsia="宋体" w:cs="宋体"/>
          <w:sz w:val="24"/>
          <w:szCs w:val="21"/>
          <w:highlight w:val="none"/>
        </w:rPr>
        <w:t>1、评标委员会各成员应当独立对每个投标人的投标文件进行评价，并汇总每个投标人的得分。资信分为客观分，也需独立进行评价并核对分值，最终分值需一致。</w:t>
      </w:r>
    </w:p>
    <w:p w14:paraId="4CE1B298">
      <w:pPr>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sz w:val="24"/>
          <w:szCs w:val="21"/>
          <w:highlight w:val="none"/>
          <w:lang w:val="en-US" w:eastAsia="zh-CN"/>
        </w:rPr>
        <w:t>2</w:t>
      </w:r>
      <w:r>
        <w:rPr>
          <w:rFonts w:hint="eastAsia" w:ascii="宋体" w:hAnsi="宋体" w:eastAsia="宋体" w:cs="宋体"/>
          <w:sz w:val="24"/>
          <w:szCs w:val="21"/>
          <w:highlight w:val="none"/>
        </w:rPr>
        <w:t>、所有文件、合同、证书、资质等需要真实有效</w:t>
      </w:r>
      <w:r>
        <w:rPr>
          <w:rFonts w:hint="eastAsia" w:ascii="宋体" w:hAnsi="宋体" w:eastAsia="宋体" w:cs="宋体"/>
          <w:color w:val="auto"/>
          <w:sz w:val="24"/>
          <w:szCs w:val="21"/>
          <w:highlight w:val="none"/>
        </w:rPr>
        <w:t>。</w:t>
      </w:r>
      <w:r>
        <w:rPr>
          <w:rFonts w:hint="eastAsia" w:ascii="宋体" w:hAnsi="宋体" w:eastAsia="宋体" w:cs="宋体"/>
          <w:b/>
          <w:bCs/>
          <w:color w:val="auto"/>
          <w:sz w:val="24"/>
          <w:szCs w:val="21"/>
          <w:highlight w:val="none"/>
        </w:rPr>
        <w:t>中标人在中标后签订合同时需提供以上证明文件原件，若发现资料作假的取消中标资格</w:t>
      </w:r>
      <w:r>
        <w:rPr>
          <w:rFonts w:hint="eastAsia" w:ascii="宋体" w:hAnsi="宋体" w:eastAsia="宋体" w:cs="宋体"/>
          <w:color w:val="auto"/>
          <w:sz w:val="24"/>
          <w:szCs w:val="21"/>
          <w:highlight w:val="none"/>
        </w:rPr>
        <w:t>。</w:t>
      </w:r>
    </w:p>
    <w:p w14:paraId="78F5B0F1">
      <w:pPr>
        <w:adjustRightInd/>
        <w:spacing w:after="167" w:afterLines="50" w:line="360" w:lineRule="auto"/>
        <w:jc w:val="center"/>
        <w:outlineLvl w:val="0"/>
        <w:rPr>
          <w:rFonts w:hint="eastAsia" w:ascii="宋体" w:hAnsi="宋体" w:eastAsia="宋体" w:cs="宋体"/>
          <w:b/>
          <w:sz w:val="36"/>
          <w:szCs w:val="36"/>
          <w:highlight w:val="none"/>
        </w:rPr>
      </w:pPr>
      <w:r>
        <w:rPr>
          <w:rFonts w:hint="eastAsia" w:ascii="宋体" w:hAnsi="宋体" w:eastAsia="宋体" w:cs="宋体"/>
          <w:sz w:val="24"/>
          <w:highlight w:val="none"/>
        </w:rPr>
        <w:br w:type="page"/>
      </w:r>
      <w:bookmarkStart w:id="474" w:name="_Toc25398"/>
      <w:bookmarkStart w:id="475" w:name="_Toc31927"/>
      <w:bookmarkStart w:id="476" w:name="_Toc1726"/>
      <w:bookmarkStart w:id="477" w:name="_Toc13598"/>
      <w:bookmarkStart w:id="478" w:name="_Toc9728"/>
      <w:bookmarkStart w:id="479" w:name="_Toc25576"/>
      <w:bookmarkStart w:id="480" w:name="_Toc15553"/>
      <w:r>
        <w:rPr>
          <w:rFonts w:hint="eastAsia" w:ascii="宋体" w:hAnsi="宋体" w:eastAsia="宋体" w:cs="宋体"/>
          <w:b/>
          <w:sz w:val="36"/>
          <w:szCs w:val="36"/>
          <w:highlight w:val="none"/>
        </w:rPr>
        <w:t>第</w:t>
      </w:r>
      <w:r>
        <w:rPr>
          <w:rFonts w:hint="eastAsia" w:ascii="宋体" w:hAnsi="宋体" w:eastAsia="宋体" w:cs="宋体"/>
          <w:b/>
          <w:sz w:val="36"/>
          <w:szCs w:val="36"/>
          <w:highlight w:val="none"/>
          <w:lang w:eastAsia="zh-CN"/>
        </w:rPr>
        <w:t>四</w:t>
      </w:r>
      <w:r>
        <w:rPr>
          <w:rFonts w:hint="eastAsia" w:ascii="宋体" w:hAnsi="宋体" w:eastAsia="宋体" w:cs="宋体"/>
          <w:b/>
          <w:sz w:val="36"/>
          <w:szCs w:val="36"/>
          <w:highlight w:val="none"/>
        </w:rPr>
        <w:t>部分</w:t>
      </w:r>
      <w:r>
        <w:rPr>
          <w:rFonts w:hint="eastAsia" w:ascii="宋体" w:hAnsi="宋体" w:cs="宋体"/>
          <w:b/>
          <w:sz w:val="36"/>
          <w:szCs w:val="36"/>
          <w:highlight w:val="none"/>
          <w:lang w:val="en-US" w:eastAsia="zh-CN"/>
        </w:rPr>
        <w:t xml:space="preserve"> </w:t>
      </w:r>
      <w:r>
        <w:rPr>
          <w:rFonts w:hint="eastAsia" w:ascii="宋体" w:hAnsi="宋体" w:eastAsia="宋体" w:cs="宋体"/>
          <w:b/>
          <w:sz w:val="36"/>
          <w:szCs w:val="36"/>
          <w:highlight w:val="none"/>
        </w:rPr>
        <w:t>采购需求</w:t>
      </w:r>
      <w:bookmarkEnd w:id="474"/>
      <w:bookmarkEnd w:id="475"/>
      <w:bookmarkEnd w:id="476"/>
    </w:p>
    <w:p w14:paraId="2BE7261A">
      <w:pPr>
        <w:pStyle w:val="4"/>
        <w:numPr>
          <w:ilvl w:val="0"/>
          <w:numId w:val="0"/>
        </w:numPr>
        <w:jc w:val="left"/>
        <w:rPr>
          <w:rFonts w:hint="eastAsia"/>
          <w:b/>
          <w:bCs/>
          <w:color w:val="auto"/>
          <w:highlight w:val="none"/>
        </w:rPr>
      </w:pPr>
      <w:bookmarkStart w:id="481" w:name="_Toc32583"/>
      <w:bookmarkStart w:id="482" w:name="_Toc218"/>
      <w:bookmarkStart w:id="483" w:name="_Toc18843"/>
      <w:bookmarkStart w:id="484" w:name="_Toc10479"/>
      <w:bookmarkStart w:id="485" w:name="_Toc23894"/>
      <w:r>
        <w:rPr>
          <w:rFonts w:hint="eastAsia"/>
          <w:b/>
          <w:bCs/>
          <w:color w:val="auto"/>
          <w:highlight w:val="none"/>
          <w:lang w:eastAsia="zh-CN"/>
        </w:rPr>
        <w:t>一、基本情况</w:t>
      </w:r>
      <w:bookmarkEnd w:id="481"/>
      <w:bookmarkEnd w:id="482"/>
      <w:bookmarkEnd w:id="483"/>
      <w:bookmarkEnd w:id="484"/>
      <w:bookmarkEnd w:id="485"/>
    </w:p>
    <w:p w14:paraId="75960205">
      <w:pPr>
        <w:tabs>
          <w:tab w:val="left" w:pos="772"/>
        </w:tabs>
        <w:spacing w:line="360" w:lineRule="auto"/>
        <w:ind w:firstLine="480" w:firstLineChars="200"/>
        <w:rPr>
          <w:rFonts w:hint="eastAsia" w:ascii="宋体" w:hAnsi="宋体" w:eastAsia="宋体" w:cs="Times New Roman"/>
          <w:color w:val="auto"/>
          <w:sz w:val="24"/>
          <w:highlight w:val="none"/>
        </w:rPr>
      </w:pPr>
      <w:r>
        <w:rPr>
          <w:rFonts w:hint="eastAsia" w:ascii="宋体" w:hAnsi="宋体" w:cs="Times New Roman"/>
          <w:color w:val="auto"/>
          <w:sz w:val="24"/>
          <w:highlight w:val="none"/>
          <w:lang w:val="en-US" w:eastAsia="zh-CN"/>
        </w:rPr>
        <w:t>蒿东</w:t>
      </w:r>
      <w:r>
        <w:rPr>
          <w:rFonts w:hint="eastAsia" w:ascii="宋体" w:hAnsi="宋体" w:eastAsia="宋体" w:cs="Times New Roman"/>
          <w:color w:val="auto"/>
          <w:sz w:val="24"/>
          <w:highlight w:val="none"/>
          <w:lang w:val="en-US" w:eastAsia="zh-CN"/>
        </w:rPr>
        <w:t>村</w:t>
      </w:r>
      <w:r>
        <w:rPr>
          <w:rFonts w:hint="eastAsia" w:ascii="宋体" w:hAnsi="宋体" w:eastAsia="宋体" w:cs="Times New Roman"/>
          <w:color w:val="auto"/>
          <w:sz w:val="24"/>
          <w:highlight w:val="none"/>
        </w:rPr>
        <w:t>全村</w:t>
      </w:r>
      <w:r>
        <w:rPr>
          <w:rFonts w:hint="eastAsia" w:ascii="宋体" w:hAnsi="宋体" w:eastAsia="宋体" w:cs="Times New Roman"/>
          <w:color w:val="auto"/>
          <w:sz w:val="24"/>
          <w:highlight w:val="none"/>
          <w:lang w:eastAsia="zh-CN"/>
        </w:rPr>
        <w:t>范围内</w:t>
      </w:r>
      <w:r>
        <w:rPr>
          <w:rFonts w:hint="eastAsia" w:ascii="宋体" w:hAnsi="宋体" w:eastAsia="宋体" w:cs="Times New Roman"/>
          <w:color w:val="auto"/>
          <w:sz w:val="24"/>
          <w:highlight w:val="none"/>
        </w:rPr>
        <w:t>，</w:t>
      </w:r>
      <w:r>
        <w:rPr>
          <w:rFonts w:hint="eastAsia" w:ascii="宋体" w:hAnsi="宋体" w:eastAsia="宋体" w:cs="Times New Roman"/>
          <w:color w:val="auto"/>
          <w:sz w:val="24"/>
          <w:highlight w:val="none"/>
          <w:lang w:eastAsia="zh-CN"/>
        </w:rPr>
        <w:t>所有道路</w:t>
      </w:r>
      <w:r>
        <w:rPr>
          <w:rFonts w:hint="eastAsia" w:ascii="宋体" w:hAnsi="宋体" w:eastAsia="宋体" w:cs="Times New Roman"/>
          <w:color w:val="auto"/>
          <w:sz w:val="24"/>
          <w:highlight w:val="none"/>
        </w:rPr>
        <w:t>路面</w:t>
      </w:r>
      <w:r>
        <w:rPr>
          <w:rFonts w:hint="eastAsia" w:ascii="宋体" w:hAnsi="宋体" w:cs="Times New Roman"/>
          <w:color w:val="auto"/>
          <w:sz w:val="24"/>
          <w:highlight w:val="none"/>
          <w:lang w:eastAsia="zh-CN"/>
        </w:rPr>
        <w:t>、</w:t>
      </w:r>
      <w:r>
        <w:rPr>
          <w:rFonts w:hint="eastAsia" w:ascii="宋体" w:hAnsi="宋体" w:eastAsia="宋体" w:cs="Times New Roman"/>
          <w:color w:val="auto"/>
          <w:sz w:val="24"/>
          <w:highlight w:val="none"/>
        </w:rPr>
        <w:t>河道</w:t>
      </w:r>
      <w:r>
        <w:rPr>
          <w:rFonts w:hint="eastAsia" w:ascii="宋体" w:hAnsi="宋体" w:eastAsia="宋体" w:cs="Times New Roman"/>
          <w:color w:val="auto"/>
          <w:sz w:val="24"/>
          <w:highlight w:val="none"/>
          <w:lang w:eastAsia="zh-CN"/>
        </w:rPr>
        <w:t>及绿化带</w:t>
      </w:r>
      <w:r>
        <w:rPr>
          <w:rFonts w:hint="eastAsia" w:ascii="宋体" w:hAnsi="宋体" w:eastAsia="宋体" w:cs="Times New Roman"/>
          <w:color w:val="auto"/>
          <w:sz w:val="24"/>
          <w:highlight w:val="none"/>
        </w:rPr>
        <w:t>清扫</w:t>
      </w:r>
      <w:r>
        <w:rPr>
          <w:rFonts w:hint="eastAsia" w:ascii="宋体" w:hAnsi="宋体" w:eastAsia="宋体" w:cs="Times New Roman"/>
          <w:color w:val="auto"/>
          <w:sz w:val="24"/>
          <w:highlight w:val="none"/>
          <w:lang w:eastAsia="zh-CN"/>
        </w:rPr>
        <w:t>；公园、广场、市场</w:t>
      </w:r>
      <w:r>
        <w:rPr>
          <w:rFonts w:hint="eastAsia" w:ascii="宋体" w:hAnsi="宋体" w:cs="Times New Roman"/>
          <w:color w:val="auto"/>
          <w:sz w:val="24"/>
          <w:highlight w:val="none"/>
          <w:lang w:val="en-US" w:eastAsia="zh-CN"/>
        </w:rPr>
        <w:t>保洁</w:t>
      </w:r>
      <w:r>
        <w:rPr>
          <w:rFonts w:hint="eastAsia" w:ascii="宋体" w:hAnsi="宋体" w:eastAsia="宋体" w:cs="Times New Roman"/>
          <w:color w:val="auto"/>
          <w:sz w:val="24"/>
          <w:highlight w:val="none"/>
          <w:lang w:eastAsia="zh-CN"/>
        </w:rPr>
        <w:t>清扫；</w:t>
      </w:r>
      <w:r>
        <w:rPr>
          <w:rFonts w:hint="eastAsia" w:ascii="宋体" w:hAnsi="宋体" w:eastAsia="宋体" w:cs="Times New Roman"/>
          <w:color w:val="auto"/>
          <w:sz w:val="24"/>
          <w:highlight w:val="none"/>
        </w:rPr>
        <w:t>生活垃圾按</w:t>
      </w:r>
      <w:r>
        <w:rPr>
          <w:rFonts w:hint="eastAsia" w:ascii="宋体" w:hAnsi="宋体" w:eastAsia="宋体" w:cs="Times New Roman"/>
          <w:color w:val="auto"/>
          <w:sz w:val="24"/>
          <w:highlight w:val="none"/>
          <w:lang w:eastAsia="zh-CN"/>
        </w:rPr>
        <w:t>四分</w:t>
      </w:r>
      <w:r>
        <w:rPr>
          <w:rFonts w:hint="eastAsia" w:ascii="宋体" w:hAnsi="宋体" w:eastAsia="宋体" w:cs="Times New Roman"/>
          <w:color w:val="auto"/>
          <w:sz w:val="24"/>
          <w:highlight w:val="none"/>
        </w:rPr>
        <w:t>法分类</w:t>
      </w:r>
      <w:r>
        <w:rPr>
          <w:rFonts w:hint="eastAsia" w:ascii="宋体" w:hAnsi="宋体" w:eastAsia="宋体" w:cs="Times New Roman"/>
          <w:color w:val="auto"/>
          <w:sz w:val="24"/>
          <w:highlight w:val="none"/>
          <w:lang w:eastAsia="zh-CN"/>
        </w:rPr>
        <w:t>；</w:t>
      </w:r>
      <w:r>
        <w:rPr>
          <w:rFonts w:hint="eastAsia" w:ascii="宋体" w:hAnsi="宋体" w:eastAsia="宋体" w:cs="Times New Roman"/>
          <w:color w:val="auto"/>
          <w:sz w:val="24"/>
          <w:highlight w:val="none"/>
        </w:rPr>
        <w:t>建筑</w:t>
      </w:r>
      <w:r>
        <w:rPr>
          <w:rFonts w:hint="eastAsia" w:ascii="宋体" w:hAnsi="宋体" w:eastAsia="宋体" w:cs="Times New Roman"/>
          <w:color w:val="auto"/>
          <w:sz w:val="24"/>
          <w:highlight w:val="none"/>
          <w:lang w:eastAsia="zh-CN"/>
        </w:rPr>
        <w:t>垃圾、大件垃圾、乱堆乱放清理</w:t>
      </w:r>
      <w:r>
        <w:rPr>
          <w:rFonts w:hint="eastAsia" w:ascii="宋体" w:hAnsi="宋体" w:cs="Times New Roman"/>
          <w:color w:val="auto"/>
          <w:sz w:val="24"/>
          <w:highlight w:val="none"/>
          <w:lang w:val="en-US" w:eastAsia="zh-CN"/>
        </w:rPr>
        <w:t>清运</w:t>
      </w:r>
      <w:r>
        <w:rPr>
          <w:rFonts w:hint="eastAsia" w:ascii="宋体" w:hAnsi="宋体" w:eastAsia="宋体" w:cs="Times New Roman"/>
          <w:color w:val="auto"/>
          <w:sz w:val="24"/>
          <w:highlight w:val="none"/>
          <w:lang w:eastAsia="zh-CN"/>
        </w:rPr>
        <w:t>；</w:t>
      </w:r>
      <w:r>
        <w:rPr>
          <w:rFonts w:hint="eastAsia" w:ascii="宋体" w:hAnsi="宋体" w:eastAsia="宋体" w:cs="Times New Roman"/>
          <w:color w:val="auto"/>
          <w:sz w:val="24"/>
          <w:highlight w:val="none"/>
        </w:rPr>
        <w:t>农作物秸秆</w:t>
      </w:r>
      <w:r>
        <w:rPr>
          <w:rFonts w:hint="eastAsia" w:ascii="宋体" w:hAnsi="宋体" w:eastAsia="宋体" w:cs="Times New Roman"/>
          <w:color w:val="auto"/>
          <w:sz w:val="24"/>
          <w:highlight w:val="none"/>
          <w:lang w:eastAsia="zh-CN"/>
        </w:rPr>
        <w:t>收集</w:t>
      </w:r>
      <w:r>
        <w:rPr>
          <w:rFonts w:hint="eastAsia" w:ascii="宋体" w:hAnsi="宋体" w:cs="Times New Roman"/>
          <w:color w:val="auto"/>
          <w:sz w:val="24"/>
          <w:highlight w:val="none"/>
          <w:lang w:val="en-US" w:eastAsia="zh-CN"/>
        </w:rPr>
        <w:t>及焚烧管控</w:t>
      </w:r>
      <w:r>
        <w:rPr>
          <w:rFonts w:hint="eastAsia" w:ascii="宋体" w:hAnsi="宋体" w:eastAsia="宋体" w:cs="Times New Roman"/>
          <w:color w:val="auto"/>
          <w:sz w:val="24"/>
          <w:highlight w:val="none"/>
          <w:lang w:eastAsia="zh-CN"/>
        </w:rPr>
        <w:t>；绿化管理及养护；</w:t>
      </w:r>
      <w:r>
        <w:rPr>
          <w:rFonts w:hint="eastAsia" w:ascii="宋体" w:hAnsi="宋体" w:eastAsia="宋体" w:cs="Times New Roman"/>
          <w:color w:val="auto"/>
          <w:sz w:val="24"/>
          <w:highlight w:val="none"/>
        </w:rPr>
        <w:t>庭院</w:t>
      </w:r>
      <w:r>
        <w:rPr>
          <w:rFonts w:hint="eastAsia" w:ascii="宋体" w:hAnsi="宋体" w:eastAsia="宋体" w:cs="Times New Roman"/>
          <w:color w:val="auto"/>
          <w:sz w:val="24"/>
          <w:highlight w:val="none"/>
          <w:lang w:eastAsia="zh-CN"/>
        </w:rPr>
        <w:t>内及房前屋后</w:t>
      </w:r>
      <w:r>
        <w:rPr>
          <w:rFonts w:hint="eastAsia" w:ascii="宋体" w:hAnsi="宋体" w:eastAsia="宋体" w:cs="Times New Roman"/>
          <w:color w:val="auto"/>
          <w:sz w:val="24"/>
          <w:highlight w:val="none"/>
        </w:rPr>
        <w:t>整治</w:t>
      </w:r>
      <w:r>
        <w:rPr>
          <w:rFonts w:hint="eastAsia" w:ascii="宋体" w:hAnsi="宋体" w:eastAsia="宋体" w:cs="Times New Roman"/>
          <w:color w:val="auto"/>
          <w:sz w:val="24"/>
          <w:highlight w:val="none"/>
          <w:lang w:eastAsia="zh-CN"/>
        </w:rPr>
        <w:t>；</w:t>
      </w:r>
      <w:r>
        <w:rPr>
          <w:rFonts w:hint="eastAsia" w:ascii="宋体" w:hAnsi="宋体" w:eastAsia="宋体" w:cs="Times New Roman"/>
          <w:color w:val="auto"/>
          <w:sz w:val="24"/>
          <w:highlight w:val="none"/>
          <w:lang w:val="en-US" w:eastAsia="zh-CN"/>
        </w:rPr>
        <w:t>公共</w:t>
      </w:r>
      <w:r>
        <w:rPr>
          <w:rFonts w:hint="eastAsia" w:ascii="宋体" w:hAnsi="宋体" w:eastAsia="宋体" w:cs="Times New Roman"/>
          <w:color w:val="auto"/>
          <w:sz w:val="24"/>
          <w:highlight w:val="none"/>
        </w:rPr>
        <w:t>设施设备维护</w:t>
      </w:r>
      <w:r>
        <w:rPr>
          <w:rFonts w:hint="eastAsia" w:ascii="宋体" w:hAnsi="宋体" w:eastAsia="宋体" w:cs="Times New Roman"/>
          <w:color w:val="auto"/>
          <w:sz w:val="24"/>
          <w:highlight w:val="none"/>
          <w:lang w:eastAsia="zh-CN"/>
        </w:rPr>
        <w:t>；</w:t>
      </w:r>
      <w:r>
        <w:rPr>
          <w:rFonts w:hint="eastAsia" w:ascii="宋体" w:hAnsi="宋体" w:eastAsia="宋体" w:cs="Times New Roman"/>
          <w:color w:val="auto"/>
          <w:sz w:val="24"/>
          <w:highlight w:val="none"/>
        </w:rPr>
        <w:t>公厕保洁</w:t>
      </w:r>
      <w:bookmarkEnd w:id="477"/>
      <w:bookmarkEnd w:id="478"/>
      <w:bookmarkEnd w:id="479"/>
      <w:bookmarkEnd w:id="480"/>
      <w:bookmarkStart w:id="486" w:name="_Toc16420"/>
      <w:bookmarkStart w:id="487" w:name="_Toc1701"/>
      <w:bookmarkStart w:id="488" w:name="_Toc1063"/>
      <w:bookmarkStart w:id="489" w:name="_Toc28727"/>
      <w:r>
        <w:rPr>
          <w:rFonts w:hint="eastAsia" w:ascii="宋体" w:hAnsi="宋体" w:eastAsia="宋体" w:cs="Times New Roman"/>
          <w:color w:val="auto"/>
          <w:sz w:val="24"/>
          <w:highlight w:val="none"/>
          <w:lang w:eastAsia="zh-CN"/>
        </w:rPr>
        <w:t>；</w:t>
      </w:r>
      <w:r>
        <w:rPr>
          <w:rFonts w:hint="eastAsia" w:ascii="宋体" w:hAnsi="宋体" w:eastAsia="宋体" w:cs="Times New Roman"/>
          <w:color w:val="auto"/>
          <w:sz w:val="24"/>
          <w:highlight w:val="none"/>
          <w:lang w:val="en-US" w:eastAsia="zh-CN"/>
        </w:rPr>
        <w:t>乱搭乱建巡查</w:t>
      </w:r>
      <w:r>
        <w:rPr>
          <w:rFonts w:hint="eastAsia" w:ascii="宋体" w:hAnsi="宋体" w:eastAsia="宋体" w:cs="Times New Roman"/>
          <w:color w:val="auto"/>
          <w:sz w:val="24"/>
          <w:highlight w:val="none"/>
        </w:rPr>
        <w:t>等。具体范围请投标人实地考察，费用自理。</w:t>
      </w:r>
    </w:p>
    <w:p w14:paraId="39144596">
      <w:pPr>
        <w:tabs>
          <w:tab w:val="left" w:pos="772"/>
        </w:tabs>
        <w:spacing w:line="360" w:lineRule="auto"/>
        <w:rPr>
          <w:rFonts w:hint="default" w:ascii="宋体" w:hAnsi="Times New Roman" w:eastAsia="宋体" w:cs="Times New Roman"/>
          <w:b/>
          <w:bCs/>
          <w:color w:val="auto"/>
          <w:kern w:val="2"/>
          <w:sz w:val="28"/>
          <w:szCs w:val="20"/>
          <w:highlight w:val="none"/>
          <w:lang w:val="en-US" w:eastAsia="zh-CN" w:bidi="ar-SA"/>
        </w:rPr>
      </w:pPr>
      <w:r>
        <w:rPr>
          <w:rFonts w:hint="eastAsia" w:ascii="宋体" w:hAnsi="Times New Roman" w:eastAsia="宋体" w:cs="Times New Roman"/>
          <w:b/>
          <w:bCs/>
          <w:color w:val="auto"/>
          <w:kern w:val="2"/>
          <w:sz w:val="28"/>
          <w:szCs w:val="20"/>
          <w:highlight w:val="none"/>
          <w:lang w:val="en-US" w:eastAsia="zh-CN" w:bidi="ar-SA"/>
        </w:rPr>
        <w:t>二、服务内容及</w:t>
      </w:r>
      <w:bookmarkEnd w:id="486"/>
      <w:bookmarkEnd w:id="487"/>
      <w:bookmarkEnd w:id="488"/>
      <w:bookmarkEnd w:id="489"/>
      <w:r>
        <w:rPr>
          <w:rFonts w:hint="eastAsia" w:ascii="宋体" w:cs="Times New Roman"/>
          <w:b/>
          <w:bCs/>
          <w:color w:val="auto"/>
          <w:kern w:val="2"/>
          <w:sz w:val="28"/>
          <w:szCs w:val="20"/>
          <w:highlight w:val="none"/>
          <w:lang w:val="en-US" w:eastAsia="zh-CN" w:bidi="ar-SA"/>
        </w:rPr>
        <w:t>要求</w:t>
      </w:r>
    </w:p>
    <w:p w14:paraId="4B44AF54">
      <w:pPr>
        <w:tabs>
          <w:tab w:val="left" w:pos="772"/>
        </w:tabs>
        <w:spacing w:line="360" w:lineRule="auto"/>
        <w:ind w:firstLine="480" w:firstLineChars="200"/>
        <w:rPr>
          <w:rFonts w:hint="eastAsia" w:hAnsi="宋体" w:eastAsia="宋体" w:cs="Times New Roman"/>
          <w:b w:val="0"/>
          <w:bCs w:val="0"/>
          <w:color w:val="auto"/>
          <w:kern w:val="2"/>
          <w:sz w:val="24"/>
          <w:szCs w:val="24"/>
          <w:highlight w:val="none"/>
          <w:lang w:val="en-US" w:eastAsia="zh-CN" w:bidi="ar-SA"/>
        </w:rPr>
      </w:pPr>
      <w:r>
        <w:rPr>
          <w:rFonts w:hint="eastAsia" w:hAnsi="宋体" w:eastAsia="宋体" w:cs="Times New Roman"/>
          <w:b w:val="0"/>
          <w:bCs w:val="0"/>
          <w:color w:val="auto"/>
          <w:kern w:val="2"/>
          <w:sz w:val="24"/>
          <w:szCs w:val="24"/>
          <w:highlight w:val="none"/>
          <w:lang w:val="en-US" w:eastAsia="zh-CN" w:bidi="ar-SA"/>
        </w:rPr>
        <w:t>1、</w:t>
      </w:r>
      <w:r>
        <w:rPr>
          <w:rFonts w:hint="eastAsia" w:ascii="宋体" w:hAnsi="宋体" w:eastAsia="宋体" w:cs="Times New Roman"/>
          <w:b w:val="0"/>
          <w:bCs w:val="0"/>
          <w:color w:val="auto"/>
          <w:kern w:val="2"/>
          <w:sz w:val="24"/>
          <w:szCs w:val="24"/>
          <w:highlight w:val="none"/>
          <w:lang w:val="en-US" w:eastAsia="zh-CN" w:bidi="ar-SA"/>
        </w:rPr>
        <w:t>道路路面</w:t>
      </w:r>
      <w:r>
        <w:rPr>
          <w:rFonts w:hint="eastAsia" w:ascii="宋体" w:hAnsi="宋体" w:cs="Times New Roman"/>
          <w:b w:val="0"/>
          <w:bCs w:val="0"/>
          <w:color w:val="auto"/>
          <w:kern w:val="2"/>
          <w:sz w:val="24"/>
          <w:szCs w:val="24"/>
          <w:highlight w:val="none"/>
          <w:lang w:val="en-US" w:eastAsia="zh-CN" w:bidi="ar-SA"/>
        </w:rPr>
        <w:t>、</w:t>
      </w:r>
      <w:r>
        <w:rPr>
          <w:rFonts w:hint="eastAsia" w:ascii="Times New Roman" w:hAnsi="宋体" w:eastAsia="宋体" w:cs="Times New Roman"/>
          <w:b w:val="0"/>
          <w:bCs w:val="0"/>
          <w:color w:val="auto"/>
          <w:kern w:val="2"/>
          <w:sz w:val="24"/>
          <w:szCs w:val="24"/>
          <w:highlight w:val="none"/>
          <w:lang w:val="en-US" w:eastAsia="zh-CN" w:bidi="ar-SA"/>
        </w:rPr>
        <w:t>河道</w:t>
      </w:r>
      <w:r>
        <w:rPr>
          <w:rFonts w:hint="eastAsia" w:ascii="宋体" w:hAnsi="宋体" w:eastAsia="宋体" w:cs="Times New Roman"/>
          <w:b w:val="0"/>
          <w:bCs w:val="0"/>
          <w:color w:val="auto"/>
          <w:kern w:val="2"/>
          <w:sz w:val="24"/>
          <w:szCs w:val="24"/>
          <w:highlight w:val="none"/>
          <w:lang w:val="en-US" w:eastAsia="zh-CN" w:bidi="ar-SA"/>
        </w:rPr>
        <w:t>及绿化带清扫：</w:t>
      </w:r>
      <w:r>
        <w:rPr>
          <w:rFonts w:hint="eastAsia" w:hAnsi="宋体" w:eastAsia="宋体" w:cs="Times New Roman"/>
          <w:b w:val="0"/>
          <w:bCs w:val="0"/>
          <w:color w:val="auto"/>
          <w:kern w:val="2"/>
          <w:sz w:val="24"/>
          <w:szCs w:val="24"/>
          <w:highlight w:val="none"/>
          <w:lang w:val="en-US" w:eastAsia="zh-CN" w:bidi="ar-SA"/>
        </w:rPr>
        <w:t>分区域定人定岗，</w:t>
      </w:r>
      <w:r>
        <w:rPr>
          <w:rFonts w:hint="eastAsia" w:ascii="宋体" w:hAnsi="宋体" w:eastAsia="宋体" w:cs="Times New Roman"/>
          <w:b w:val="0"/>
          <w:bCs w:val="0"/>
          <w:color w:val="auto"/>
          <w:kern w:val="2"/>
          <w:sz w:val="24"/>
          <w:szCs w:val="24"/>
          <w:highlight w:val="none"/>
          <w:lang w:val="en-US" w:eastAsia="zh-CN" w:bidi="ar-SA"/>
        </w:rPr>
        <w:t>每天早晚各普扫一次，</w:t>
      </w:r>
      <w:r>
        <w:rPr>
          <w:rFonts w:hint="eastAsia" w:hAnsi="宋体" w:eastAsia="宋体" w:cs="Times New Roman"/>
          <w:b w:val="0"/>
          <w:bCs w:val="0"/>
          <w:color w:val="auto"/>
          <w:kern w:val="2"/>
          <w:sz w:val="24"/>
          <w:szCs w:val="24"/>
          <w:highlight w:val="none"/>
          <w:lang w:val="en-US" w:eastAsia="zh-CN" w:bidi="ar-SA"/>
        </w:rPr>
        <w:t>其余时间巡回保洁</w:t>
      </w:r>
      <w:r>
        <w:rPr>
          <w:rFonts w:hint="eastAsia" w:hAnsi="宋体" w:cs="Times New Roman"/>
          <w:b w:val="0"/>
          <w:bCs w:val="0"/>
          <w:color w:val="auto"/>
          <w:kern w:val="2"/>
          <w:sz w:val="24"/>
          <w:szCs w:val="24"/>
          <w:highlight w:val="none"/>
          <w:lang w:val="en-US" w:eastAsia="zh-CN" w:bidi="ar-SA"/>
        </w:rPr>
        <w:t>。</w:t>
      </w:r>
      <w:r>
        <w:rPr>
          <w:rFonts w:hint="eastAsia" w:ascii="宋体" w:hAnsi="宋体" w:eastAsia="宋体" w:cs="Times New Roman"/>
          <w:b w:val="0"/>
          <w:bCs w:val="0"/>
          <w:color w:val="auto"/>
          <w:kern w:val="2"/>
          <w:sz w:val="24"/>
          <w:szCs w:val="24"/>
          <w:highlight w:val="none"/>
          <w:lang w:val="en-US" w:eastAsia="zh-CN" w:bidi="ar-SA"/>
        </w:rPr>
        <w:t>保持地面干净整洁，地面无污迹、无积水、无果核、无杂物等</w:t>
      </w:r>
      <w:r>
        <w:rPr>
          <w:rFonts w:hint="eastAsia" w:ascii="宋体" w:hAnsi="宋体" w:cs="Times New Roman"/>
          <w:b w:val="0"/>
          <w:bCs w:val="0"/>
          <w:color w:val="auto"/>
          <w:kern w:val="2"/>
          <w:sz w:val="24"/>
          <w:szCs w:val="24"/>
          <w:highlight w:val="none"/>
          <w:lang w:val="en-US" w:eastAsia="zh-CN" w:bidi="ar-SA"/>
        </w:rPr>
        <w:t>；</w:t>
      </w:r>
      <w:r>
        <w:rPr>
          <w:rFonts w:hint="eastAsia" w:ascii="宋体" w:hAnsi="宋体" w:eastAsia="宋体" w:cs="Times New Roman"/>
          <w:b w:val="0"/>
          <w:bCs w:val="0"/>
          <w:color w:val="auto"/>
          <w:kern w:val="2"/>
          <w:sz w:val="24"/>
          <w:szCs w:val="24"/>
          <w:highlight w:val="none"/>
          <w:lang w:val="en-US" w:eastAsia="zh-CN" w:bidi="ar-SA"/>
        </w:rPr>
        <w:t>路面侧石边无杂草</w:t>
      </w:r>
      <w:r>
        <w:rPr>
          <w:rFonts w:hint="eastAsia" w:hAnsi="宋体" w:eastAsia="宋体" w:cs="Times New Roman"/>
          <w:b w:val="0"/>
          <w:bCs w:val="0"/>
          <w:color w:val="auto"/>
          <w:kern w:val="2"/>
          <w:sz w:val="24"/>
          <w:szCs w:val="24"/>
          <w:highlight w:val="none"/>
          <w:lang w:val="en-US" w:eastAsia="zh-CN" w:bidi="ar-SA"/>
        </w:rPr>
        <w:t>，边沟无垃圾、污水等</w:t>
      </w:r>
      <w:r>
        <w:rPr>
          <w:rFonts w:hint="eastAsia" w:hAnsi="宋体" w:cs="Times New Roman"/>
          <w:b w:val="0"/>
          <w:bCs w:val="0"/>
          <w:color w:val="auto"/>
          <w:kern w:val="2"/>
          <w:sz w:val="24"/>
          <w:szCs w:val="24"/>
          <w:highlight w:val="none"/>
          <w:lang w:val="en-US" w:eastAsia="zh-CN" w:bidi="ar-SA"/>
        </w:rPr>
        <w:t>；</w:t>
      </w:r>
      <w:r>
        <w:rPr>
          <w:rFonts w:hint="eastAsia" w:ascii="Times New Roman" w:hAnsi="宋体" w:eastAsia="宋体" w:cs="Times New Roman"/>
          <w:b w:val="0"/>
          <w:bCs w:val="0"/>
          <w:color w:val="auto"/>
          <w:kern w:val="2"/>
          <w:sz w:val="24"/>
          <w:szCs w:val="24"/>
          <w:highlight w:val="none"/>
          <w:lang w:val="en-US" w:eastAsia="zh-CN" w:bidi="ar-SA"/>
        </w:rPr>
        <w:t>河道、池塘、灌溉沟等水面岸边</w:t>
      </w:r>
      <w:r>
        <w:rPr>
          <w:rFonts w:hint="eastAsia" w:hAnsi="宋体" w:eastAsia="宋体" w:cs="Times New Roman"/>
          <w:b w:val="0"/>
          <w:bCs w:val="0"/>
          <w:color w:val="auto"/>
          <w:kern w:val="2"/>
          <w:sz w:val="24"/>
          <w:szCs w:val="24"/>
          <w:highlight w:val="none"/>
          <w:lang w:val="en-US" w:eastAsia="zh-CN" w:bidi="ar-SA"/>
        </w:rPr>
        <w:t>无</w:t>
      </w:r>
      <w:r>
        <w:rPr>
          <w:rFonts w:hint="eastAsia" w:ascii="Times New Roman" w:hAnsi="宋体" w:eastAsia="宋体" w:cs="Times New Roman"/>
          <w:b w:val="0"/>
          <w:bCs w:val="0"/>
          <w:color w:val="auto"/>
          <w:kern w:val="2"/>
          <w:sz w:val="24"/>
          <w:szCs w:val="24"/>
          <w:highlight w:val="none"/>
          <w:lang w:val="en-US" w:eastAsia="zh-CN" w:bidi="ar-SA"/>
        </w:rPr>
        <w:t>垃圾</w:t>
      </w:r>
      <w:r>
        <w:rPr>
          <w:rFonts w:hint="eastAsia" w:hAnsi="宋体" w:cs="Times New Roman"/>
          <w:b w:val="0"/>
          <w:bCs w:val="0"/>
          <w:color w:val="auto"/>
          <w:kern w:val="2"/>
          <w:sz w:val="24"/>
          <w:szCs w:val="24"/>
          <w:highlight w:val="none"/>
          <w:lang w:val="en-US" w:eastAsia="zh-CN" w:bidi="ar-SA"/>
        </w:rPr>
        <w:t>、无杂草</w:t>
      </w:r>
      <w:r>
        <w:rPr>
          <w:rFonts w:hint="eastAsia" w:ascii="Times New Roman" w:hAnsi="宋体" w:eastAsia="宋体" w:cs="Times New Roman"/>
          <w:b w:val="0"/>
          <w:bCs w:val="0"/>
          <w:color w:val="auto"/>
          <w:kern w:val="2"/>
          <w:sz w:val="24"/>
          <w:szCs w:val="24"/>
          <w:highlight w:val="none"/>
          <w:lang w:val="en-US" w:eastAsia="zh-CN" w:bidi="ar-SA"/>
        </w:rPr>
        <w:t>等</w:t>
      </w:r>
      <w:r>
        <w:rPr>
          <w:rFonts w:hint="eastAsia" w:hAnsi="宋体" w:eastAsia="宋体" w:cs="Times New Roman"/>
          <w:b w:val="0"/>
          <w:bCs w:val="0"/>
          <w:color w:val="auto"/>
          <w:kern w:val="2"/>
          <w:sz w:val="24"/>
          <w:szCs w:val="24"/>
          <w:highlight w:val="none"/>
          <w:lang w:val="en-US" w:eastAsia="zh-CN" w:bidi="ar-SA"/>
        </w:rPr>
        <w:t>；根据需要对路面进行洒水、冲洗作业。</w:t>
      </w:r>
    </w:p>
    <w:p w14:paraId="1AC5B468">
      <w:pPr>
        <w:keepLines w:val="0"/>
        <w:pageBreakBefore w:val="0"/>
        <w:widowControl w:val="0"/>
        <w:numPr>
          <w:ilvl w:val="0"/>
          <w:numId w:val="0"/>
        </w:numPr>
        <w:tabs>
          <w:tab w:val="left" w:pos="772"/>
        </w:tabs>
        <w:kinsoku/>
        <w:wordWrap/>
        <w:overflowPunct/>
        <w:topLinePunct w:val="0"/>
        <w:autoSpaceDE/>
        <w:autoSpaceDN/>
        <w:bidi w:val="0"/>
        <w:adjustRightInd/>
        <w:snapToGrid/>
        <w:spacing w:line="360" w:lineRule="auto"/>
        <w:ind w:firstLine="480" w:firstLineChars="200"/>
        <w:textAlignment w:val="auto"/>
        <w:rPr>
          <w:rFonts w:hint="eastAsia" w:ascii="Times New Roman" w:hAnsi="宋体" w:eastAsia="宋体" w:cs="Times New Roman"/>
          <w:b w:val="0"/>
          <w:bCs w:val="0"/>
          <w:color w:val="auto"/>
          <w:kern w:val="2"/>
          <w:sz w:val="24"/>
          <w:szCs w:val="24"/>
          <w:highlight w:val="none"/>
          <w:lang w:val="en-US" w:eastAsia="zh-CN" w:bidi="ar-SA"/>
        </w:rPr>
      </w:pPr>
      <w:r>
        <w:rPr>
          <w:rFonts w:hint="eastAsia" w:hAnsi="宋体" w:eastAsia="宋体" w:cs="Times New Roman"/>
          <w:b w:val="0"/>
          <w:bCs w:val="0"/>
          <w:color w:val="auto"/>
          <w:kern w:val="2"/>
          <w:sz w:val="24"/>
          <w:szCs w:val="24"/>
          <w:highlight w:val="none"/>
          <w:lang w:val="en-US" w:eastAsia="zh-CN" w:bidi="ar-SA"/>
        </w:rPr>
        <w:t>2、</w:t>
      </w:r>
      <w:r>
        <w:rPr>
          <w:rFonts w:hint="eastAsia" w:ascii="宋体" w:hAnsi="宋体" w:eastAsia="宋体" w:cs="Times New Roman"/>
          <w:b w:val="0"/>
          <w:bCs w:val="0"/>
          <w:color w:val="auto"/>
          <w:kern w:val="2"/>
          <w:sz w:val="24"/>
          <w:szCs w:val="24"/>
          <w:highlight w:val="none"/>
          <w:lang w:val="en-US" w:eastAsia="zh-CN" w:bidi="ar-SA"/>
        </w:rPr>
        <w:t>公园、广场、市场保洁</w:t>
      </w:r>
      <w:r>
        <w:rPr>
          <w:rFonts w:hint="eastAsia" w:ascii="宋体" w:hAnsi="宋体" w:cs="Times New Roman"/>
          <w:b w:val="0"/>
          <w:bCs w:val="0"/>
          <w:color w:val="auto"/>
          <w:kern w:val="2"/>
          <w:sz w:val="24"/>
          <w:szCs w:val="24"/>
          <w:highlight w:val="none"/>
          <w:lang w:val="en-US" w:eastAsia="zh-CN" w:bidi="ar-SA"/>
        </w:rPr>
        <w:t>清扫</w:t>
      </w:r>
      <w:r>
        <w:rPr>
          <w:rFonts w:hint="eastAsia" w:ascii="宋体" w:hAnsi="宋体" w:eastAsia="宋体" w:cs="Times New Roman"/>
          <w:b w:val="0"/>
          <w:bCs w:val="0"/>
          <w:color w:val="auto"/>
          <w:kern w:val="2"/>
          <w:sz w:val="24"/>
          <w:szCs w:val="24"/>
          <w:highlight w:val="none"/>
          <w:lang w:val="en-US" w:eastAsia="zh-CN" w:bidi="ar-SA"/>
        </w:rPr>
        <w:t>：</w:t>
      </w:r>
      <w:r>
        <w:rPr>
          <w:rFonts w:hint="eastAsia" w:hAnsi="宋体" w:eastAsia="宋体" w:cs="Times New Roman"/>
          <w:b w:val="0"/>
          <w:bCs w:val="0"/>
          <w:color w:val="auto"/>
          <w:kern w:val="2"/>
          <w:sz w:val="24"/>
          <w:szCs w:val="24"/>
          <w:highlight w:val="none"/>
          <w:lang w:val="en-US" w:eastAsia="zh-CN" w:bidi="ar-SA"/>
        </w:rPr>
        <w:t>落实专人进行巡回保洁，</w:t>
      </w:r>
      <w:r>
        <w:rPr>
          <w:rFonts w:hint="eastAsia" w:ascii="宋体" w:hAnsi="宋体" w:eastAsia="宋体" w:cs="Times New Roman"/>
          <w:b w:val="0"/>
          <w:bCs w:val="0"/>
          <w:color w:val="auto"/>
          <w:kern w:val="2"/>
          <w:sz w:val="24"/>
          <w:szCs w:val="24"/>
          <w:highlight w:val="none"/>
          <w:lang w:val="en-US" w:eastAsia="zh-CN" w:bidi="ar-SA"/>
        </w:rPr>
        <w:t>清扫道路果皮、塑料袋、烟蒂、石块等各类垃圾。根据需要对路面进行洒水、冲洗作业</w:t>
      </w:r>
      <w:r>
        <w:rPr>
          <w:rFonts w:hint="eastAsia" w:ascii="Times New Roman" w:hAnsi="宋体" w:eastAsia="宋体" w:cs="Times New Roman"/>
          <w:b w:val="0"/>
          <w:bCs w:val="0"/>
          <w:color w:val="auto"/>
          <w:kern w:val="2"/>
          <w:sz w:val="24"/>
          <w:szCs w:val="24"/>
          <w:highlight w:val="none"/>
          <w:lang w:val="en-US" w:eastAsia="zh-CN" w:bidi="ar-SA"/>
        </w:rPr>
        <w:t>。</w:t>
      </w:r>
    </w:p>
    <w:p w14:paraId="4E4FE738">
      <w:pPr>
        <w:keepLines w:val="0"/>
        <w:pageBreakBefore w:val="0"/>
        <w:widowControl w:val="0"/>
        <w:numPr>
          <w:ilvl w:val="0"/>
          <w:numId w:val="0"/>
        </w:numPr>
        <w:tabs>
          <w:tab w:val="left" w:pos="772"/>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Times New Roman"/>
          <w:color w:val="auto"/>
          <w:sz w:val="24"/>
          <w:highlight w:val="none"/>
          <w:lang w:val="en-US" w:eastAsia="zh-CN"/>
        </w:rPr>
      </w:pPr>
      <w:r>
        <w:rPr>
          <w:rFonts w:hint="eastAsia" w:ascii="宋体" w:hAnsi="宋体" w:eastAsia="宋体" w:cs="Times New Roman"/>
          <w:color w:val="auto"/>
          <w:sz w:val="24"/>
          <w:highlight w:val="none"/>
          <w:lang w:val="en-US" w:eastAsia="zh-CN"/>
        </w:rPr>
        <w:t>3、</w:t>
      </w:r>
      <w:r>
        <w:rPr>
          <w:rFonts w:hint="eastAsia" w:ascii="宋体" w:hAnsi="宋体" w:eastAsia="宋体" w:cs="Times New Roman"/>
          <w:color w:val="auto"/>
          <w:sz w:val="24"/>
          <w:highlight w:val="none"/>
        </w:rPr>
        <w:t>生活垃圾按</w:t>
      </w:r>
      <w:r>
        <w:rPr>
          <w:rFonts w:hint="eastAsia" w:ascii="宋体" w:hAnsi="宋体" w:eastAsia="宋体" w:cs="Times New Roman"/>
          <w:color w:val="auto"/>
          <w:sz w:val="24"/>
          <w:highlight w:val="none"/>
          <w:lang w:eastAsia="zh-CN"/>
        </w:rPr>
        <w:t>四分</w:t>
      </w:r>
      <w:r>
        <w:rPr>
          <w:rFonts w:hint="eastAsia" w:ascii="宋体" w:hAnsi="宋体" w:eastAsia="宋体" w:cs="Times New Roman"/>
          <w:color w:val="auto"/>
          <w:sz w:val="24"/>
          <w:highlight w:val="none"/>
        </w:rPr>
        <w:t>法分类</w:t>
      </w:r>
      <w:r>
        <w:rPr>
          <w:rFonts w:hint="eastAsia" w:ascii="宋体" w:hAnsi="宋体" w:eastAsia="宋体" w:cs="Times New Roman"/>
          <w:color w:val="auto"/>
          <w:sz w:val="24"/>
          <w:highlight w:val="none"/>
          <w:lang w:eastAsia="zh-CN"/>
        </w:rPr>
        <w:t>：合理安排</w:t>
      </w:r>
      <w:r>
        <w:rPr>
          <w:rFonts w:hint="eastAsia" w:ascii="宋体" w:hAnsi="宋体" w:eastAsia="宋体" w:cs="Times New Roman"/>
          <w:color w:val="auto"/>
          <w:sz w:val="24"/>
          <w:highlight w:val="none"/>
          <w:lang w:val="en-US" w:eastAsia="zh-CN"/>
        </w:rPr>
        <w:t>工作</w:t>
      </w:r>
      <w:r>
        <w:rPr>
          <w:rFonts w:hint="eastAsia" w:ascii="宋体" w:hAnsi="宋体" w:eastAsia="宋体" w:cs="Times New Roman"/>
          <w:color w:val="auto"/>
          <w:sz w:val="24"/>
          <w:highlight w:val="none"/>
          <w:lang w:eastAsia="zh-CN"/>
        </w:rPr>
        <w:t>人员</w:t>
      </w:r>
      <w:r>
        <w:rPr>
          <w:rFonts w:hint="eastAsia" w:ascii="宋体" w:hAnsi="宋体" w:eastAsia="宋体" w:cs="Times New Roman"/>
          <w:color w:val="auto"/>
          <w:sz w:val="24"/>
          <w:highlight w:val="none"/>
          <w:lang w:val="en-US" w:eastAsia="zh-CN"/>
        </w:rPr>
        <w:t>在垃圾分类指定地点</w:t>
      </w:r>
      <w:r>
        <w:rPr>
          <w:rFonts w:hint="eastAsia" w:ascii="宋体" w:hAnsi="宋体" w:eastAsia="宋体" w:cs="Times New Roman"/>
          <w:color w:val="auto"/>
          <w:sz w:val="24"/>
          <w:highlight w:val="none"/>
          <w:lang w:eastAsia="zh-CN"/>
        </w:rPr>
        <w:t>开展</w:t>
      </w:r>
      <w:r>
        <w:rPr>
          <w:rFonts w:hint="eastAsia" w:ascii="宋体" w:hAnsi="宋体" w:eastAsia="宋体" w:cs="Times New Roman"/>
          <w:color w:val="auto"/>
          <w:sz w:val="24"/>
          <w:highlight w:val="none"/>
          <w:lang w:val="en-US" w:eastAsia="zh-CN"/>
        </w:rPr>
        <w:t>生活垃圾分类</w:t>
      </w:r>
      <w:r>
        <w:rPr>
          <w:rFonts w:hint="eastAsia" w:ascii="宋体" w:hAnsi="宋体" w:eastAsia="宋体" w:cs="Times New Roman"/>
          <w:color w:val="auto"/>
          <w:sz w:val="24"/>
          <w:highlight w:val="none"/>
          <w:lang w:eastAsia="zh-CN"/>
        </w:rPr>
        <w:t>收运，并做好监管平台信息录入工作（如有）；村内大桶垃圾按每天两次及时清运，避免垃圾满溢（若上级有垃圾分类新模式，按新模式执行）。</w:t>
      </w:r>
      <w:r>
        <w:rPr>
          <w:rFonts w:hint="eastAsia" w:ascii="宋体" w:hAnsi="宋体" w:eastAsia="宋体" w:cs="Times New Roman"/>
          <w:sz w:val="24"/>
        </w:rPr>
        <w:t>生活垃圾分类桶外观要保持整洁干净，</w:t>
      </w:r>
      <w:r>
        <w:rPr>
          <w:rFonts w:hint="eastAsia" w:ascii="宋体" w:hAnsi="宋体" w:eastAsia="宋体" w:cs="Times New Roman"/>
          <w:sz w:val="24"/>
          <w:lang w:eastAsia="zh-CN"/>
        </w:rPr>
        <w:t>每周</w:t>
      </w:r>
      <w:r>
        <w:rPr>
          <w:rFonts w:hint="eastAsia" w:ascii="宋体" w:hAnsi="宋体" w:eastAsia="宋体" w:cs="Times New Roman"/>
          <w:sz w:val="24"/>
        </w:rPr>
        <w:t>至少清洗一次</w:t>
      </w:r>
      <w:r>
        <w:rPr>
          <w:rFonts w:hint="eastAsia" w:ascii="宋体" w:hAnsi="宋体" w:eastAsia="宋体" w:cs="Times New Roman"/>
          <w:sz w:val="24"/>
          <w:lang w:eastAsia="zh-CN"/>
        </w:rPr>
        <w:t>，</w:t>
      </w:r>
      <w:r>
        <w:rPr>
          <w:rFonts w:hint="eastAsia" w:ascii="宋体" w:hAnsi="宋体" w:eastAsia="宋体" w:cs="Times New Roman"/>
          <w:sz w:val="24"/>
        </w:rPr>
        <w:t>发现垃圾桶破损的应及时报修</w:t>
      </w:r>
      <w:r>
        <w:rPr>
          <w:rFonts w:hint="eastAsia" w:ascii="宋体" w:hAnsi="宋体" w:eastAsia="宋体" w:cs="Times New Roman"/>
          <w:sz w:val="24"/>
          <w:lang w:eastAsia="zh-CN"/>
        </w:rPr>
        <w:t>。</w:t>
      </w:r>
    </w:p>
    <w:p w14:paraId="698B1D3D">
      <w:pPr>
        <w:tabs>
          <w:tab w:val="left" w:pos="772"/>
        </w:tabs>
        <w:spacing w:line="360" w:lineRule="auto"/>
        <w:ind w:firstLine="480" w:firstLineChars="200"/>
        <w:rPr>
          <w:rFonts w:hint="eastAsia" w:ascii="宋体" w:hAnsi="宋体" w:eastAsia="宋体" w:cs="Times New Roman"/>
          <w:color w:val="auto"/>
          <w:sz w:val="24"/>
          <w:highlight w:val="none"/>
          <w:lang w:eastAsia="zh-CN"/>
        </w:rPr>
      </w:pPr>
      <w:bookmarkStart w:id="490" w:name="_Toc26481"/>
      <w:r>
        <w:rPr>
          <w:rFonts w:hint="eastAsia" w:ascii="宋体" w:hAnsi="宋体" w:eastAsia="宋体" w:cs="Times New Roman"/>
          <w:color w:val="auto"/>
          <w:sz w:val="24"/>
          <w:highlight w:val="none"/>
          <w:lang w:val="en-US" w:eastAsia="zh-CN"/>
        </w:rPr>
        <w:t>3.1</w:t>
      </w:r>
      <w:r>
        <w:rPr>
          <w:rFonts w:hint="eastAsia" w:ascii="宋体" w:hAnsi="宋体" w:eastAsia="宋体" w:cs="Times New Roman"/>
          <w:color w:val="auto"/>
          <w:sz w:val="24"/>
          <w:highlight w:val="none"/>
          <w:lang w:eastAsia="zh-CN"/>
        </w:rPr>
        <w:t>可回收物：再生利用价值较高，能进入废品回收渠道的垃圾。</w:t>
      </w:r>
    </w:p>
    <w:p w14:paraId="4CEBB689">
      <w:pPr>
        <w:tabs>
          <w:tab w:val="left" w:pos="772"/>
        </w:tabs>
        <w:spacing w:line="360" w:lineRule="auto"/>
        <w:ind w:firstLine="480" w:firstLineChars="200"/>
        <w:rPr>
          <w:rFonts w:hint="eastAsia" w:ascii="宋体" w:hAnsi="宋体" w:eastAsia="宋体" w:cs="Times New Roman"/>
          <w:color w:val="auto"/>
          <w:sz w:val="24"/>
          <w:highlight w:val="none"/>
          <w:lang w:eastAsia="zh-CN"/>
        </w:rPr>
      </w:pPr>
      <w:r>
        <w:rPr>
          <w:rFonts w:hint="eastAsia" w:ascii="宋体" w:hAnsi="宋体" w:eastAsia="宋体" w:cs="Times New Roman"/>
          <w:color w:val="auto"/>
          <w:sz w:val="24"/>
          <w:highlight w:val="none"/>
          <w:lang w:eastAsia="zh-CN"/>
        </w:rPr>
        <w:t>主要包括:纸类(报纸、传单、杂志、旧书、纸板及其它没受污染的纸制品等)金属(铁、铜、铝等制品)玻璃(玻璃瓶罐、平板玻璃及其它玻璃制品)除塑料袋外的塑料制品(泡沫塑料、塑料瓶、硬塑料等)橡胶及橡胶制品、牛奶盒等利乐包装、饮料瓶(可乐瓶、塑料饮料瓶、啤酒瓶等)等。</w:t>
      </w:r>
    </w:p>
    <w:p w14:paraId="6ACA4736">
      <w:pPr>
        <w:tabs>
          <w:tab w:val="left" w:pos="772"/>
        </w:tabs>
        <w:spacing w:line="360" w:lineRule="auto"/>
        <w:ind w:firstLine="480" w:firstLineChars="200"/>
        <w:rPr>
          <w:rFonts w:hint="eastAsia" w:ascii="宋体" w:hAnsi="宋体" w:eastAsia="宋体" w:cs="Times New Roman"/>
          <w:color w:val="auto"/>
          <w:sz w:val="24"/>
          <w:highlight w:val="none"/>
          <w:lang w:eastAsia="zh-CN"/>
        </w:rPr>
      </w:pPr>
      <w:r>
        <w:rPr>
          <w:rFonts w:hint="eastAsia" w:ascii="宋体" w:hAnsi="宋体" w:eastAsia="宋体" w:cs="Times New Roman"/>
          <w:color w:val="auto"/>
          <w:sz w:val="24"/>
          <w:highlight w:val="none"/>
          <w:lang w:val="en-US" w:eastAsia="zh-CN"/>
        </w:rPr>
        <w:t>3.2</w:t>
      </w:r>
      <w:r>
        <w:rPr>
          <w:rFonts w:hint="eastAsia" w:ascii="宋体" w:hAnsi="宋体" w:eastAsia="宋体" w:cs="Times New Roman"/>
          <w:color w:val="auto"/>
          <w:sz w:val="24"/>
          <w:highlight w:val="none"/>
          <w:lang w:eastAsia="zh-CN"/>
        </w:rPr>
        <w:t>易腐垃圾:厨房产生的食物类垃圾及果皮等。</w:t>
      </w:r>
    </w:p>
    <w:p w14:paraId="17306500">
      <w:pPr>
        <w:tabs>
          <w:tab w:val="left" w:pos="772"/>
        </w:tabs>
        <w:spacing w:line="360" w:lineRule="auto"/>
        <w:ind w:firstLine="480" w:firstLineChars="200"/>
        <w:rPr>
          <w:rFonts w:hint="eastAsia" w:ascii="宋体" w:hAnsi="宋体" w:eastAsia="宋体" w:cs="Times New Roman"/>
          <w:color w:val="auto"/>
          <w:sz w:val="24"/>
          <w:highlight w:val="none"/>
          <w:lang w:eastAsia="zh-CN"/>
        </w:rPr>
      </w:pPr>
      <w:r>
        <w:rPr>
          <w:rFonts w:hint="eastAsia" w:ascii="宋体" w:hAnsi="宋体" w:eastAsia="宋体" w:cs="Times New Roman"/>
          <w:color w:val="auto"/>
          <w:sz w:val="24"/>
          <w:highlight w:val="none"/>
          <w:lang w:eastAsia="zh-CN"/>
        </w:rPr>
        <w:t>主要包括:剩菜剩饭与西餐糕点等食物残余、菜梗菜叶、动物骨骼内脏、茶叶渣、水果残余、果壳瓜皮、盆景等植物的残枝落叶、废弃食用油等。</w:t>
      </w:r>
    </w:p>
    <w:p w14:paraId="716F5C81">
      <w:pPr>
        <w:tabs>
          <w:tab w:val="left" w:pos="772"/>
        </w:tabs>
        <w:spacing w:line="360" w:lineRule="auto"/>
        <w:ind w:firstLine="480" w:firstLineChars="200"/>
        <w:rPr>
          <w:rFonts w:hint="eastAsia" w:ascii="宋体" w:hAnsi="宋体" w:eastAsia="宋体" w:cs="Times New Roman"/>
          <w:color w:val="auto"/>
          <w:sz w:val="24"/>
          <w:highlight w:val="none"/>
          <w:lang w:eastAsia="zh-CN"/>
        </w:rPr>
      </w:pPr>
      <w:r>
        <w:rPr>
          <w:rFonts w:hint="eastAsia" w:ascii="宋体" w:hAnsi="宋体" w:eastAsia="宋体" w:cs="Times New Roman"/>
          <w:color w:val="auto"/>
          <w:sz w:val="24"/>
          <w:highlight w:val="none"/>
          <w:lang w:val="en-US" w:eastAsia="zh-CN"/>
        </w:rPr>
        <w:t>3.3</w:t>
      </w:r>
      <w:r>
        <w:rPr>
          <w:rFonts w:hint="eastAsia" w:ascii="宋体" w:hAnsi="宋体" w:eastAsia="宋体" w:cs="Times New Roman"/>
          <w:color w:val="auto"/>
          <w:sz w:val="24"/>
          <w:highlight w:val="none"/>
          <w:lang w:eastAsia="zh-CN"/>
        </w:rPr>
        <w:t>有害垃圾:含有毒有害化学物质的垃圾。</w:t>
      </w:r>
    </w:p>
    <w:p w14:paraId="56E120A2">
      <w:pPr>
        <w:tabs>
          <w:tab w:val="left" w:pos="772"/>
        </w:tabs>
        <w:spacing w:line="360" w:lineRule="auto"/>
        <w:ind w:firstLine="480" w:firstLineChars="200"/>
        <w:rPr>
          <w:rFonts w:hint="eastAsia" w:ascii="宋体" w:hAnsi="宋体" w:eastAsia="宋体" w:cs="Times New Roman"/>
          <w:color w:val="auto"/>
          <w:sz w:val="24"/>
          <w:highlight w:val="none"/>
          <w:lang w:eastAsia="zh-CN"/>
        </w:rPr>
      </w:pPr>
      <w:r>
        <w:rPr>
          <w:rFonts w:hint="eastAsia" w:ascii="宋体" w:hAnsi="宋体" w:eastAsia="宋体" w:cs="Times New Roman"/>
          <w:color w:val="auto"/>
          <w:sz w:val="24"/>
          <w:highlight w:val="none"/>
          <w:lang w:eastAsia="zh-CN"/>
        </w:rPr>
        <w:t>主要包括:电池(蓄电池、纽扣电池等)废旧电子产品、废旧灯管灯泡、过期药品、过期日用化妆品、染发剂、杀虫剂容器、除草剂容器、废弃水银温度计、废弃漆桶、废打印机墨盒、硒鼓等。</w:t>
      </w:r>
    </w:p>
    <w:p w14:paraId="73E67903">
      <w:pPr>
        <w:tabs>
          <w:tab w:val="left" w:pos="772"/>
        </w:tabs>
        <w:spacing w:line="360" w:lineRule="auto"/>
        <w:ind w:firstLine="480" w:firstLineChars="200"/>
        <w:rPr>
          <w:rFonts w:hint="eastAsia" w:ascii="宋体" w:hAnsi="宋体" w:eastAsia="宋体" w:cs="Times New Roman"/>
          <w:color w:val="auto"/>
          <w:sz w:val="24"/>
          <w:highlight w:val="none"/>
          <w:lang w:eastAsia="zh-CN"/>
        </w:rPr>
      </w:pPr>
      <w:r>
        <w:rPr>
          <w:rFonts w:hint="eastAsia" w:ascii="宋体" w:hAnsi="宋体" w:eastAsia="宋体" w:cs="Times New Roman"/>
          <w:color w:val="auto"/>
          <w:sz w:val="24"/>
          <w:highlight w:val="none"/>
          <w:lang w:val="en-US" w:eastAsia="zh-CN"/>
        </w:rPr>
        <w:t>3.4</w:t>
      </w:r>
      <w:r>
        <w:rPr>
          <w:rFonts w:hint="eastAsia" w:ascii="宋体" w:hAnsi="宋体" w:eastAsia="宋体" w:cs="Times New Roman"/>
          <w:color w:val="auto"/>
          <w:sz w:val="24"/>
          <w:highlight w:val="none"/>
          <w:lang w:eastAsia="zh-CN"/>
        </w:rPr>
        <w:t>其他垃圾:除去易腐垃圾、可回收物、有害垃圾之外的所有垃圾的总称。</w:t>
      </w:r>
    </w:p>
    <w:p w14:paraId="1BA6A1AA">
      <w:pPr>
        <w:tabs>
          <w:tab w:val="left" w:pos="772"/>
        </w:tabs>
        <w:spacing w:line="360" w:lineRule="auto"/>
        <w:ind w:firstLine="480" w:firstLineChars="200"/>
        <w:rPr>
          <w:rFonts w:hint="eastAsia" w:ascii="宋体" w:hAnsi="宋体" w:eastAsia="宋体" w:cs="Times New Roman"/>
          <w:color w:val="auto"/>
          <w:sz w:val="24"/>
          <w:highlight w:val="none"/>
          <w:lang w:eastAsia="zh-CN"/>
        </w:rPr>
      </w:pPr>
      <w:r>
        <w:rPr>
          <w:rFonts w:hint="eastAsia" w:ascii="宋体" w:hAnsi="宋体" w:eastAsia="宋体" w:cs="Times New Roman"/>
          <w:color w:val="auto"/>
          <w:sz w:val="24"/>
          <w:highlight w:val="none"/>
          <w:lang w:eastAsia="zh-CN"/>
        </w:rPr>
        <w:t>主要包括:受污染与无法再生的纸张(纸杯、照片、复写纸、压敏纸、收据用纸、明信片、相册、卫生纸、尿片等)受污染或其它不可回收的玻璃、塑料袋与其它塑料制品、废旧衣物与其它纺织品、破旧陶瓷品、妇女卫生用品、一次性餐具、烟头等。</w:t>
      </w:r>
    </w:p>
    <w:p w14:paraId="157CD5ED">
      <w:pPr>
        <w:tabs>
          <w:tab w:val="left" w:pos="772"/>
        </w:tabs>
        <w:spacing w:line="360" w:lineRule="auto"/>
        <w:ind w:firstLine="480" w:firstLineChars="200"/>
        <w:rPr>
          <w:rFonts w:hint="eastAsia" w:ascii="宋体" w:hAnsi="宋体" w:eastAsia="宋体" w:cs="Times New Roman"/>
          <w:color w:val="auto"/>
          <w:sz w:val="24"/>
          <w:highlight w:val="none"/>
          <w:lang w:eastAsia="zh-CN"/>
        </w:rPr>
      </w:pPr>
      <w:r>
        <w:rPr>
          <w:rFonts w:hint="eastAsia" w:hAnsi="宋体" w:eastAsia="宋体" w:cs="Times New Roman"/>
          <w:b w:val="0"/>
          <w:bCs w:val="0"/>
          <w:color w:val="auto"/>
          <w:kern w:val="2"/>
          <w:sz w:val="24"/>
          <w:szCs w:val="24"/>
          <w:highlight w:val="none"/>
          <w:lang w:val="en-US" w:eastAsia="zh-CN" w:bidi="ar-SA"/>
        </w:rPr>
        <w:t>4</w:t>
      </w:r>
      <w:r>
        <w:rPr>
          <w:rFonts w:hint="eastAsia" w:ascii="Times New Roman" w:hAnsi="宋体" w:eastAsia="宋体" w:cs="Times New Roman"/>
          <w:b w:val="0"/>
          <w:bCs w:val="0"/>
          <w:color w:val="auto"/>
          <w:kern w:val="2"/>
          <w:sz w:val="24"/>
          <w:szCs w:val="24"/>
          <w:highlight w:val="none"/>
          <w:lang w:val="en-US" w:eastAsia="zh-CN" w:bidi="ar-SA"/>
        </w:rPr>
        <w:t>、建筑垃圾、大件垃圾、</w:t>
      </w:r>
      <w:r>
        <w:rPr>
          <w:rFonts w:hint="eastAsia" w:ascii="宋体" w:hAnsi="宋体" w:eastAsia="宋体" w:cs="Times New Roman"/>
          <w:color w:val="auto"/>
          <w:sz w:val="24"/>
          <w:highlight w:val="none"/>
          <w:lang w:eastAsia="zh-CN"/>
        </w:rPr>
        <w:t>乱堆乱放清理</w:t>
      </w:r>
      <w:r>
        <w:rPr>
          <w:rFonts w:hint="eastAsia" w:hAnsi="宋体" w:eastAsia="宋体" w:cs="Times New Roman"/>
          <w:color w:val="auto"/>
          <w:sz w:val="24"/>
          <w:highlight w:val="none"/>
          <w:lang w:eastAsia="zh-CN"/>
        </w:rPr>
        <w:t>：</w:t>
      </w:r>
      <w:r>
        <w:rPr>
          <w:rFonts w:hint="eastAsia" w:ascii="Times New Roman" w:hAnsi="宋体" w:eastAsia="宋体" w:cs="Times New Roman"/>
          <w:b w:val="0"/>
          <w:bCs w:val="0"/>
          <w:color w:val="auto"/>
          <w:kern w:val="2"/>
          <w:sz w:val="24"/>
          <w:szCs w:val="24"/>
          <w:highlight w:val="none"/>
          <w:lang w:val="en-US" w:eastAsia="zh-CN" w:bidi="ar-SA"/>
        </w:rPr>
        <w:t>每天收集村域范围内各类建筑垃圾、大件垃圾并集中堆放到村指定的临时堆放点，定期分类清运至街道垃圾中转站。原则上村内临时堆放点一周一清。</w:t>
      </w:r>
      <w:r>
        <w:rPr>
          <w:rFonts w:hint="eastAsia" w:hAnsi="宋体" w:eastAsia="宋体" w:cs="Times New Roman"/>
          <w:color w:val="auto"/>
          <w:sz w:val="24"/>
          <w:highlight w:val="none"/>
          <w:lang w:eastAsia="zh-CN"/>
        </w:rPr>
        <w:t>每天开展</w:t>
      </w:r>
      <w:r>
        <w:rPr>
          <w:rFonts w:hint="eastAsia" w:ascii="宋体" w:hAnsi="宋体" w:eastAsia="宋体" w:cs="Times New Roman"/>
          <w:color w:val="auto"/>
          <w:sz w:val="24"/>
          <w:highlight w:val="none"/>
          <w:lang w:eastAsia="zh-CN"/>
        </w:rPr>
        <w:t>村域内巡查检查，对房前屋后、弄堂弄尾、田间地头等各处乱堆乱放进行清理；因施工等需要的临时堆放，及时设置警示牌。</w:t>
      </w:r>
    </w:p>
    <w:p w14:paraId="779EF059">
      <w:pPr>
        <w:keepLines w:val="0"/>
        <w:pageBreakBefore w:val="0"/>
        <w:widowControl w:val="0"/>
        <w:numPr>
          <w:ilvl w:val="0"/>
          <w:numId w:val="0"/>
        </w:numPr>
        <w:tabs>
          <w:tab w:val="left" w:pos="772"/>
        </w:tabs>
        <w:kinsoku/>
        <w:wordWrap/>
        <w:overflowPunct/>
        <w:topLinePunct w:val="0"/>
        <w:autoSpaceDE/>
        <w:autoSpaceDN/>
        <w:bidi w:val="0"/>
        <w:adjustRightInd/>
        <w:snapToGrid/>
        <w:spacing w:line="360" w:lineRule="auto"/>
        <w:ind w:firstLine="480" w:firstLineChars="200"/>
        <w:textAlignment w:val="auto"/>
        <w:rPr>
          <w:rFonts w:hint="default"/>
          <w:color w:val="auto"/>
          <w:highlight w:val="none"/>
          <w:lang w:val="en-US" w:eastAsia="zh-CN"/>
        </w:rPr>
      </w:pPr>
      <w:r>
        <w:rPr>
          <w:rFonts w:hint="eastAsia" w:ascii="宋体" w:hAnsi="宋体" w:eastAsia="宋体" w:cs="Times New Roman"/>
          <w:color w:val="auto"/>
          <w:sz w:val="24"/>
          <w:highlight w:val="none"/>
          <w:lang w:val="en-US" w:eastAsia="zh-CN"/>
        </w:rPr>
        <w:t>5、</w:t>
      </w:r>
      <w:r>
        <w:rPr>
          <w:rFonts w:hint="eastAsia" w:ascii="宋体" w:hAnsi="宋体" w:eastAsia="宋体" w:cs="Times New Roman"/>
          <w:color w:val="auto"/>
          <w:sz w:val="24"/>
          <w:highlight w:val="none"/>
        </w:rPr>
        <w:t>农作物秸秆</w:t>
      </w:r>
      <w:r>
        <w:rPr>
          <w:rFonts w:hint="eastAsia" w:ascii="宋体" w:hAnsi="宋体" w:eastAsia="宋体" w:cs="Times New Roman"/>
          <w:color w:val="auto"/>
          <w:sz w:val="24"/>
          <w:highlight w:val="none"/>
          <w:lang w:eastAsia="zh-CN"/>
        </w:rPr>
        <w:t>收集：农田秸秆收集并集中堆放到村指定地点</w:t>
      </w:r>
      <w:r>
        <w:rPr>
          <w:rFonts w:hint="eastAsia" w:ascii="宋体" w:hAnsi="宋体" w:cs="Times New Roman"/>
          <w:color w:val="auto"/>
          <w:sz w:val="24"/>
          <w:highlight w:val="none"/>
          <w:lang w:eastAsia="zh-CN"/>
        </w:rPr>
        <w:t>，</w:t>
      </w:r>
      <w:r>
        <w:rPr>
          <w:rFonts w:hint="eastAsia" w:ascii="宋体" w:hAnsi="宋体" w:eastAsia="宋体" w:cs="Times New Roman"/>
          <w:color w:val="auto"/>
          <w:sz w:val="24"/>
          <w:highlight w:val="none"/>
          <w:lang w:val="en-US" w:eastAsia="zh-CN"/>
        </w:rPr>
        <w:t>禁止私自焚烧。</w:t>
      </w:r>
    </w:p>
    <w:p w14:paraId="1621FF34">
      <w:pPr>
        <w:tabs>
          <w:tab w:val="left" w:pos="772"/>
        </w:tabs>
        <w:spacing w:line="360" w:lineRule="auto"/>
        <w:ind w:firstLine="480" w:firstLineChars="200"/>
        <w:rPr>
          <w:rFonts w:hint="default" w:ascii="Times New Roman" w:hAnsi="宋体" w:eastAsia="宋体" w:cs="Times New Roman"/>
          <w:b w:val="0"/>
          <w:bCs w:val="0"/>
          <w:color w:val="auto"/>
          <w:kern w:val="2"/>
          <w:sz w:val="24"/>
          <w:szCs w:val="24"/>
          <w:highlight w:val="none"/>
          <w:lang w:val="en-US" w:eastAsia="zh-CN" w:bidi="ar-SA"/>
        </w:rPr>
      </w:pPr>
      <w:r>
        <w:rPr>
          <w:rFonts w:hint="eastAsia" w:hAnsi="宋体" w:cs="Times New Roman"/>
          <w:b w:val="0"/>
          <w:bCs w:val="0"/>
          <w:color w:val="auto"/>
          <w:kern w:val="2"/>
          <w:sz w:val="24"/>
          <w:szCs w:val="24"/>
          <w:highlight w:val="none"/>
          <w:lang w:val="en-US" w:eastAsia="zh-CN" w:bidi="ar-SA"/>
        </w:rPr>
        <w:t>6</w:t>
      </w:r>
      <w:r>
        <w:rPr>
          <w:rFonts w:hint="eastAsia" w:ascii="Times New Roman" w:hAnsi="宋体" w:eastAsia="宋体" w:cs="Times New Roman"/>
          <w:b w:val="0"/>
          <w:bCs w:val="0"/>
          <w:color w:val="auto"/>
          <w:kern w:val="2"/>
          <w:sz w:val="24"/>
          <w:szCs w:val="24"/>
          <w:highlight w:val="none"/>
          <w:lang w:val="en-US" w:eastAsia="zh-CN" w:bidi="ar-SA"/>
        </w:rPr>
        <w:t>、绿化管理及养护：定期做好绿化养护工作，如浇水，施肥，修剪，除草、补种、绿地清洁卫生、病虫害防治，防涝防旱等各项工作。</w:t>
      </w:r>
      <w:bookmarkEnd w:id="490"/>
    </w:p>
    <w:p w14:paraId="7F84A215">
      <w:pPr>
        <w:tabs>
          <w:tab w:val="left" w:pos="772"/>
        </w:tabs>
        <w:spacing w:line="360" w:lineRule="auto"/>
        <w:ind w:firstLine="480" w:firstLineChars="200"/>
        <w:rPr>
          <w:rFonts w:hint="eastAsia"/>
          <w:color w:val="auto"/>
          <w:highlight w:val="none"/>
          <w:lang w:eastAsia="zh-CN"/>
        </w:rPr>
      </w:pPr>
      <w:r>
        <w:rPr>
          <w:rFonts w:hint="eastAsia" w:ascii="宋体" w:hAnsi="宋体" w:eastAsia="宋体" w:cs="Times New Roman"/>
          <w:color w:val="auto"/>
          <w:sz w:val="24"/>
          <w:highlight w:val="none"/>
          <w:lang w:val="en-US" w:eastAsia="zh-CN"/>
        </w:rPr>
        <w:t>7、</w:t>
      </w:r>
      <w:r>
        <w:rPr>
          <w:rFonts w:hint="eastAsia" w:ascii="宋体" w:hAnsi="宋体" w:eastAsia="宋体" w:cs="Times New Roman"/>
          <w:color w:val="auto"/>
          <w:sz w:val="24"/>
          <w:highlight w:val="none"/>
        </w:rPr>
        <w:t>庭院</w:t>
      </w:r>
      <w:r>
        <w:rPr>
          <w:rFonts w:hint="eastAsia" w:ascii="宋体" w:hAnsi="宋体" w:eastAsia="宋体" w:cs="Times New Roman"/>
          <w:color w:val="auto"/>
          <w:sz w:val="24"/>
          <w:highlight w:val="none"/>
          <w:lang w:eastAsia="zh-CN"/>
        </w:rPr>
        <w:t>内及房前屋后</w:t>
      </w:r>
      <w:r>
        <w:rPr>
          <w:rFonts w:hint="eastAsia" w:ascii="宋体" w:hAnsi="宋体" w:eastAsia="宋体" w:cs="Times New Roman"/>
          <w:color w:val="auto"/>
          <w:sz w:val="24"/>
          <w:highlight w:val="none"/>
        </w:rPr>
        <w:t>整治</w:t>
      </w:r>
      <w:r>
        <w:rPr>
          <w:rFonts w:hint="eastAsia" w:hAnsi="宋体" w:eastAsia="宋体" w:cs="Times New Roman"/>
          <w:color w:val="auto"/>
          <w:sz w:val="24"/>
          <w:highlight w:val="none"/>
          <w:lang w:eastAsia="zh-CN"/>
        </w:rPr>
        <w:t>：</w:t>
      </w:r>
      <w:r>
        <w:rPr>
          <w:rFonts w:hint="eastAsia" w:ascii="宋体" w:hAnsi="宋体" w:eastAsia="宋体" w:cs="Times New Roman"/>
          <w:color w:val="auto"/>
          <w:sz w:val="24"/>
          <w:highlight w:val="none"/>
          <w:lang w:eastAsia="zh-CN"/>
        </w:rPr>
        <w:t>处理庭院</w:t>
      </w:r>
      <w:r>
        <w:rPr>
          <w:rFonts w:hint="eastAsia" w:ascii="宋体" w:hAnsi="宋体" w:eastAsia="宋体" w:cs="Times New Roman"/>
          <w:color w:val="auto"/>
          <w:sz w:val="24"/>
          <w:highlight w:val="none"/>
          <w:lang w:val="en-US" w:eastAsia="zh-CN"/>
        </w:rPr>
        <w:t>及房前屋后</w:t>
      </w:r>
      <w:r>
        <w:rPr>
          <w:rFonts w:hint="eastAsia" w:ascii="宋体" w:hAnsi="宋体" w:eastAsia="宋体" w:cs="Times New Roman"/>
          <w:color w:val="auto"/>
          <w:sz w:val="24"/>
          <w:highlight w:val="none"/>
          <w:lang w:eastAsia="zh-CN"/>
        </w:rPr>
        <w:t>乱堆乱放，做到庭院</w:t>
      </w:r>
      <w:r>
        <w:rPr>
          <w:rFonts w:hint="eastAsia" w:ascii="宋体" w:hAnsi="宋体" w:eastAsia="宋体" w:cs="Times New Roman"/>
          <w:color w:val="auto"/>
          <w:sz w:val="24"/>
          <w:highlight w:val="none"/>
          <w:lang w:val="en-US" w:eastAsia="zh-CN"/>
        </w:rPr>
        <w:t>及房前屋后</w:t>
      </w:r>
      <w:r>
        <w:rPr>
          <w:rFonts w:hint="eastAsia" w:ascii="宋体" w:hAnsi="宋体" w:eastAsia="宋体" w:cs="Times New Roman"/>
          <w:color w:val="auto"/>
          <w:sz w:val="24"/>
          <w:highlight w:val="none"/>
          <w:lang w:eastAsia="zh-CN"/>
        </w:rPr>
        <w:t>整洁。</w:t>
      </w:r>
    </w:p>
    <w:p w14:paraId="3B6B1D40">
      <w:pPr>
        <w:tabs>
          <w:tab w:val="left" w:pos="772"/>
        </w:tabs>
        <w:spacing w:line="360" w:lineRule="auto"/>
        <w:ind w:firstLine="480" w:firstLineChars="200"/>
        <w:rPr>
          <w:rFonts w:hint="eastAsia" w:ascii="宋体" w:hAnsi="宋体" w:eastAsia="宋体" w:cs="Times New Roman"/>
          <w:color w:val="auto"/>
          <w:sz w:val="24"/>
          <w:highlight w:val="none"/>
          <w:lang w:eastAsia="zh-CN"/>
        </w:rPr>
      </w:pPr>
      <w:r>
        <w:rPr>
          <w:rFonts w:hint="eastAsia" w:ascii="宋体" w:hAnsi="宋体" w:eastAsia="宋体" w:cs="Times New Roman"/>
          <w:color w:val="auto"/>
          <w:sz w:val="24"/>
          <w:highlight w:val="none"/>
          <w:lang w:val="en-US" w:eastAsia="zh-CN"/>
        </w:rPr>
        <w:t>8、</w:t>
      </w:r>
      <w:r>
        <w:rPr>
          <w:rFonts w:hint="eastAsia" w:ascii="宋体" w:hAnsi="宋体" w:cs="Times New Roman"/>
          <w:color w:val="auto"/>
          <w:sz w:val="24"/>
          <w:highlight w:val="none"/>
          <w:lang w:val="en-US" w:eastAsia="zh-CN"/>
        </w:rPr>
        <w:t>公共</w:t>
      </w:r>
      <w:r>
        <w:rPr>
          <w:rFonts w:hint="eastAsia" w:ascii="宋体" w:hAnsi="宋体" w:eastAsia="宋体" w:cs="Times New Roman"/>
          <w:color w:val="auto"/>
          <w:sz w:val="24"/>
          <w:highlight w:val="none"/>
          <w:lang w:eastAsia="zh-CN"/>
        </w:rPr>
        <w:t>设施设备维护：做好窨井、消防栓、路灯杆、健身器材、花坛围栏、村牌等维护、保洁，有破损及时上报村委。</w:t>
      </w:r>
    </w:p>
    <w:p w14:paraId="4932DEE6">
      <w:pPr>
        <w:tabs>
          <w:tab w:val="left" w:pos="772"/>
        </w:tabs>
        <w:spacing w:line="360" w:lineRule="auto"/>
        <w:ind w:firstLine="480" w:firstLineChars="200"/>
        <w:rPr>
          <w:rFonts w:hint="eastAsia" w:ascii="宋体" w:hAnsi="宋体" w:eastAsia="宋体" w:cs="Times New Roman"/>
          <w:color w:val="auto"/>
          <w:sz w:val="24"/>
          <w:highlight w:val="none"/>
          <w:lang w:eastAsia="zh-CN"/>
        </w:rPr>
      </w:pPr>
      <w:r>
        <w:rPr>
          <w:rFonts w:hint="eastAsia" w:ascii="宋体" w:hAnsi="宋体" w:cs="Times New Roman"/>
          <w:color w:val="auto"/>
          <w:sz w:val="24"/>
          <w:highlight w:val="none"/>
          <w:lang w:val="en-US" w:eastAsia="zh-CN"/>
        </w:rPr>
        <w:t>9</w:t>
      </w:r>
      <w:r>
        <w:rPr>
          <w:rFonts w:hint="eastAsia" w:ascii="宋体" w:hAnsi="宋体" w:eastAsia="宋体" w:cs="Times New Roman"/>
          <w:color w:val="auto"/>
          <w:sz w:val="24"/>
          <w:highlight w:val="none"/>
          <w:lang w:val="en-US" w:eastAsia="zh-CN"/>
        </w:rPr>
        <w:t>、</w:t>
      </w:r>
      <w:r>
        <w:rPr>
          <w:rFonts w:hint="eastAsia" w:ascii="宋体" w:hAnsi="宋体"/>
          <w:sz w:val="24"/>
        </w:rPr>
        <w:t>公厕维护保洁</w:t>
      </w:r>
      <w:r>
        <w:rPr>
          <w:rFonts w:hint="eastAsia" w:ascii="宋体" w:hAnsi="宋体" w:eastAsia="宋体" w:cs="Times New Roman"/>
          <w:color w:val="auto"/>
          <w:sz w:val="24"/>
          <w:highlight w:val="none"/>
          <w:lang w:eastAsia="zh-CN"/>
        </w:rPr>
        <w:t>：村域内公厕每日两次冲洗消毒，便槽无粪便及其他杂物积淀；公厕内外整洁干净、无严重异味；做好厕所疏通、水龙头维修、化粪池加盖等日常维护工作；每只厕所由专人保洁，</w:t>
      </w:r>
      <w:r>
        <w:rPr>
          <w:rFonts w:hint="eastAsia" w:ascii="宋体" w:hAnsi="宋体"/>
          <w:sz w:val="24"/>
        </w:rPr>
        <w:t>发现破损</w:t>
      </w:r>
      <w:r>
        <w:rPr>
          <w:rFonts w:hint="eastAsia" w:ascii="宋体" w:hAnsi="宋体"/>
          <w:sz w:val="24"/>
          <w:lang w:eastAsia="zh-CN"/>
        </w:rPr>
        <w:t>、停水停电</w:t>
      </w:r>
      <w:r>
        <w:rPr>
          <w:rFonts w:hint="eastAsia" w:ascii="宋体" w:hAnsi="宋体"/>
          <w:sz w:val="24"/>
        </w:rPr>
        <w:t>立即报告村委</w:t>
      </w:r>
      <w:r>
        <w:rPr>
          <w:rFonts w:hint="eastAsia" w:ascii="宋体" w:hAnsi="宋体" w:eastAsia="宋体" w:cs="Times New Roman"/>
          <w:color w:val="auto"/>
          <w:sz w:val="24"/>
          <w:highlight w:val="none"/>
          <w:lang w:eastAsia="zh-CN"/>
        </w:rPr>
        <w:t>，并做好保洁记录。</w:t>
      </w:r>
    </w:p>
    <w:p w14:paraId="50A484EE">
      <w:pPr>
        <w:tabs>
          <w:tab w:val="left" w:pos="772"/>
        </w:tabs>
        <w:spacing w:line="360" w:lineRule="auto"/>
        <w:ind w:firstLine="480" w:firstLineChars="200"/>
        <w:rPr>
          <w:rFonts w:hint="eastAsia" w:ascii="宋体" w:hAnsi="宋体" w:eastAsia="宋体" w:cs="Times New Roman"/>
          <w:color w:val="auto"/>
          <w:sz w:val="24"/>
          <w:highlight w:val="none"/>
          <w:lang w:val="en-US" w:eastAsia="zh-CN"/>
        </w:rPr>
      </w:pPr>
      <w:r>
        <w:rPr>
          <w:rFonts w:hint="eastAsia" w:ascii="宋体" w:hAnsi="宋体" w:cs="Times New Roman"/>
          <w:color w:val="auto"/>
          <w:sz w:val="24"/>
          <w:highlight w:val="none"/>
          <w:lang w:val="en-US" w:eastAsia="zh-CN"/>
        </w:rPr>
        <w:t>10</w:t>
      </w:r>
      <w:r>
        <w:rPr>
          <w:rFonts w:hint="eastAsia" w:ascii="宋体" w:hAnsi="宋体" w:eastAsia="宋体" w:cs="Times New Roman"/>
          <w:color w:val="auto"/>
          <w:sz w:val="24"/>
          <w:highlight w:val="none"/>
          <w:lang w:val="en-US" w:eastAsia="zh-CN"/>
        </w:rPr>
        <w:t>、空倒房</w:t>
      </w:r>
      <w:r>
        <w:rPr>
          <w:rFonts w:hint="eastAsia" w:ascii="宋体" w:hAnsi="宋体" w:cs="Times New Roman"/>
          <w:color w:val="auto"/>
          <w:sz w:val="24"/>
          <w:highlight w:val="none"/>
          <w:lang w:val="en-US" w:eastAsia="zh-CN"/>
        </w:rPr>
        <w:t>、</w:t>
      </w:r>
      <w:r>
        <w:rPr>
          <w:rFonts w:hint="eastAsia" w:ascii="宋体" w:hAnsi="宋体" w:eastAsia="宋体" w:cs="Times New Roman"/>
          <w:color w:val="auto"/>
          <w:sz w:val="24"/>
          <w:highlight w:val="none"/>
          <w:lang w:val="en-US" w:eastAsia="zh-CN"/>
        </w:rPr>
        <w:t>乱搭乱建巡查：开展日常巡查，若发现有</w:t>
      </w:r>
      <w:r>
        <w:rPr>
          <w:rFonts w:hint="eastAsia" w:ascii="宋体" w:hAnsi="宋体" w:cs="Times New Roman"/>
          <w:color w:val="auto"/>
          <w:sz w:val="24"/>
          <w:highlight w:val="none"/>
          <w:lang w:val="en-US" w:eastAsia="zh-CN"/>
        </w:rPr>
        <w:t>影响</w:t>
      </w:r>
      <w:r>
        <w:rPr>
          <w:rFonts w:hint="eastAsia" w:ascii="宋体" w:hAnsi="宋体" w:eastAsia="宋体" w:cs="Times New Roman"/>
          <w:color w:val="auto"/>
          <w:sz w:val="24"/>
          <w:highlight w:val="none"/>
          <w:lang w:eastAsia="zh-CN"/>
        </w:rPr>
        <w:t>村容村貌、影响公共安全的残垣断壁、</w:t>
      </w:r>
      <w:r>
        <w:rPr>
          <w:rFonts w:hint="eastAsia" w:ascii="宋体" w:hAnsi="宋体" w:eastAsia="宋体" w:cs="Times New Roman"/>
          <w:color w:val="auto"/>
          <w:sz w:val="24"/>
          <w:highlight w:val="none"/>
          <w:lang w:val="en-US" w:eastAsia="zh-CN"/>
        </w:rPr>
        <w:t>乱搭乱建</w:t>
      </w:r>
      <w:r>
        <w:rPr>
          <w:rFonts w:hint="eastAsia" w:ascii="宋体" w:hAnsi="宋体" w:eastAsia="宋体" w:cs="Times New Roman"/>
          <w:color w:val="auto"/>
          <w:sz w:val="24"/>
          <w:highlight w:val="none"/>
          <w:lang w:eastAsia="zh-CN"/>
        </w:rPr>
        <w:t>时做好安全</w:t>
      </w:r>
      <w:r>
        <w:rPr>
          <w:rFonts w:hint="eastAsia" w:ascii="宋体" w:hAnsi="宋体" w:cs="Times New Roman"/>
          <w:color w:val="auto"/>
          <w:sz w:val="24"/>
          <w:highlight w:val="none"/>
          <w:lang w:val="en-US" w:eastAsia="zh-CN"/>
        </w:rPr>
        <w:t>管理</w:t>
      </w:r>
      <w:r>
        <w:rPr>
          <w:rFonts w:hint="eastAsia" w:ascii="宋体" w:hAnsi="宋体" w:eastAsia="宋体" w:cs="Times New Roman"/>
          <w:color w:val="auto"/>
          <w:sz w:val="24"/>
          <w:highlight w:val="none"/>
          <w:lang w:eastAsia="zh-CN"/>
        </w:rPr>
        <w:t>，并报告村委</w:t>
      </w:r>
      <w:r>
        <w:rPr>
          <w:rFonts w:hint="eastAsia" w:ascii="宋体" w:hAnsi="宋体" w:eastAsia="宋体" w:cs="Times New Roman"/>
          <w:color w:val="auto"/>
          <w:sz w:val="24"/>
          <w:highlight w:val="none"/>
          <w:lang w:val="en-US" w:eastAsia="zh-CN"/>
        </w:rPr>
        <w:t>。</w:t>
      </w:r>
    </w:p>
    <w:p w14:paraId="0019E41E">
      <w:pPr>
        <w:tabs>
          <w:tab w:val="left" w:pos="772"/>
        </w:tabs>
        <w:spacing w:line="360" w:lineRule="auto"/>
        <w:ind w:firstLine="480" w:firstLineChars="200"/>
        <w:rPr>
          <w:rFonts w:hint="default"/>
          <w:color w:val="auto"/>
          <w:highlight w:val="none"/>
          <w:lang w:val="en-US" w:eastAsia="zh-CN"/>
        </w:rPr>
      </w:pPr>
      <w:r>
        <w:rPr>
          <w:rFonts w:hint="eastAsia" w:ascii="宋体" w:hAnsi="宋体" w:cs="Times New Roman"/>
          <w:color w:val="auto"/>
          <w:sz w:val="24"/>
          <w:highlight w:val="none"/>
          <w:lang w:val="en-US" w:eastAsia="zh-CN"/>
        </w:rPr>
        <w:t>11</w:t>
      </w:r>
      <w:r>
        <w:rPr>
          <w:rFonts w:hint="eastAsia" w:ascii="宋体" w:hAnsi="宋体" w:eastAsia="宋体" w:cs="Times New Roman"/>
          <w:color w:val="auto"/>
          <w:sz w:val="24"/>
          <w:highlight w:val="none"/>
          <w:lang w:val="en-US" w:eastAsia="zh-CN"/>
        </w:rPr>
        <w:t>、按上级要求，做好相关的工作台账（如：道路清扫记录、河道保洁记录、公厕保洁记录等）</w:t>
      </w:r>
      <w:r>
        <w:rPr>
          <w:rFonts w:hint="eastAsia" w:ascii="宋体" w:hAnsi="宋体" w:eastAsia="宋体" w:cs="Times New Roman"/>
          <w:color w:val="auto"/>
          <w:sz w:val="24"/>
          <w:highlight w:val="none"/>
          <w:lang w:eastAsia="zh-CN"/>
        </w:rPr>
        <w:t>。</w:t>
      </w:r>
    </w:p>
    <w:p w14:paraId="1CDBB764">
      <w:pPr>
        <w:tabs>
          <w:tab w:val="left" w:pos="772"/>
        </w:tabs>
        <w:spacing w:line="360" w:lineRule="auto"/>
        <w:ind w:firstLine="480" w:firstLineChars="200"/>
        <w:rPr>
          <w:rFonts w:hint="eastAsia" w:ascii="宋体" w:hAnsi="宋体" w:eastAsia="宋体" w:cs="Times New Roman"/>
          <w:color w:val="auto"/>
          <w:sz w:val="24"/>
          <w:highlight w:val="none"/>
          <w:lang w:eastAsia="zh-CN"/>
        </w:rPr>
      </w:pPr>
      <w:r>
        <w:rPr>
          <w:rFonts w:hint="eastAsia" w:ascii="宋体" w:hAnsi="宋体" w:cs="Times New Roman"/>
          <w:color w:val="auto"/>
          <w:sz w:val="24"/>
          <w:highlight w:val="none"/>
          <w:lang w:val="en-US" w:eastAsia="zh-CN"/>
        </w:rPr>
        <w:t>12</w:t>
      </w:r>
      <w:r>
        <w:rPr>
          <w:rFonts w:hint="eastAsia" w:ascii="宋体" w:hAnsi="宋体" w:eastAsia="宋体" w:cs="Times New Roman"/>
          <w:color w:val="auto"/>
          <w:sz w:val="24"/>
          <w:highlight w:val="none"/>
          <w:lang w:val="en-US" w:eastAsia="zh-CN"/>
        </w:rPr>
        <w:t>、其他：</w:t>
      </w:r>
      <w:r>
        <w:rPr>
          <w:rFonts w:hint="eastAsia" w:ascii="宋体" w:hAnsi="宋体" w:eastAsia="宋体" w:cs="Times New Roman"/>
          <w:color w:val="auto"/>
          <w:sz w:val="24"/>
          <w:highlight w:val="none"/>
          <w:lang w:eastAsia="zh-CN"/>
        </w:rPr>
        <w:t>村域内的露天粪缸、粪桶的巡查清理，散养家禽劝导。</w:t>
      </w:r>
    </w:p>
    <w:p w14:paraId="49FEF0EE">
      <w:pPr>
        <w:tabs>
          <w:tab w:val="left" w:pos="772"/>
        </w:tabs>
        <w:spacing w:line="360" w:lineRule="auto"/>
        <w:ind w:firstLine="480" w:firstLineChars="200"/>
        <w:rPr>
          <w:rFonts w:hint="eastAsia" w:ascii="宋体" w:hAnsi="宋体" w:eastAsia="宋体" w:cs="Times New Roman"/>
          <w:color w:val="auto"/>
          <w:sz w:val="24"/>
          <w:highlight w:val="none"/>
          <w:lang w:val="en-US" w:eastAsia="zh-CN"/>
        </w:rPr>
      </w:pPr>
      <w:r>
        <w:rPr>
          <w:rFonts w:hint="eastAsia" w:ascii="宋体" w:hAnsi="宋体" w:cs="Times New Roman"/>
          <w:color w:val="auto"/>
          <w:sz w:val="24"/>
          <w:highlight w:val="none"/>
          <w:lang w:val="en-US" w:eastAsia="zh-CN"/>
        </w:rPr>
        <w:t>13</w:t>
      </w:r>
      <w:r>
        <w:rPr>
          <w:rFonts w:hint="eastAsia" w:ascii="宋体" w:hAnsi="宋体" w:eastAsia="宋体" w:cs="Times New Roman"/>
          <w:color w:val="auto"/>
          <w:sz w:val="24"/>
          <w:highlight w:val="none"/>
          <w:lang w:eastAsia="zh-CN"/>
        </w:rPr>
        <w:t>、如遇重要活动、重大节日、上级检查等临时性需突击作业的，中标方必须服从招标方的工作调整，及时增加人员、机械并开展集中整治。做好上级下发的问题清单的</w:t>
      </w:r>
      <w:r>
        <w:rPr>
          <w:rFonts w:hint="eastAsia" w:ascii="宋体" w:hAnsi="宋体" w:eastAsia="宋体" w:cs="Times New Roman"/>
          <w:color w:val="auto"/>
          <w:sz w:val="24"/>
          <w:highlight w:val="none"/>
          <w:lang w:val="en-US" w:eastAsia="zh-CN"/>
        </w:rPr>
        <w:t>反馈工作，并确保保洁范围内的整改率达到100%（拆违等工作任务之外的除外）。</w:t>
      </w:r>
    </w:p>
    <w:p w14:paraId="2A2DA9E1">
      <w:pPr>
        <w:tabs>
          <w:tab w:val="left" w:pos="772"/>
        </w:tabs>
        <w:spacing w:line="360" w:lineRule="auto"/>
        <w:ind w:firstLine="480" w:firstLineChars="200"/>
        <w:rPr>
          <w:rFonts w:hint="eastAsia" w:ascii="宋体" w:hAnsi="宋体" w:eastAsia="宋体" w:cs="Times New Roman"/>
          <w:color w:val="auto"/>
          <w:sz w:val="24"/>
          <w:highlight w:val="none"/>
          <w:lang w:val="en-US" w:eastAsia="zh-CN"/>
        </w:rPr>
      </w:pPr>
      <w:bookmarkStart w:id="491" w:name="_Toc19998"/>
      <w:r>
        <w:rPr>
          <w:rFonts w:hint="eastAsia" w:ascii="宋体" w:hAnsi="宋体" w:eastAsia="宋体" w:cs="Times New Roman"/>
          <w:color w:val="auto"/>
          <w:sz w:val="24"/>
          <w:highlight w:val="none"/>
          <w:lang w:val="en-US" w:eastAsia="zh-CN"/>
        </w:rPr>
        <w:t>14、工作时间：工作时间根据各村实际情况安排，但不低于8小时工作制，要确保早中晚定时定点保洁。</w:t>
      </w:r>
    </w:p>
    <w:p w14:paraId="4BBFC128">
      <w:pPr>
        <w:tabs>
          <w:tab w:val="left" w:pos="772"/>
        </w:tabs>
        <w:spacing w:line="360" w:lineRule="auto"/>
        <w:ind w:firstLine="480" w:firstLineChars="200"/>
        <w:rPr>
          <w:rFonts w:hint="eastAsia" w:ascii="宋体" w:hAnsi="宋体" w:eastAsia="宋体" w:cs="Times New Roman"/>
          <w:color w:val="auto"/>
          <w:sz w:val="24"/>
          <w:highlight w:val="none"/>
          <w:lang w:eastAsia="zh-CN"/>
        </w:rPr>
      </w:pPr>
      <w:r>
        <w:rPr>
          <w:rFonts w:hint="eastAsia" w:ascii="宋体" w:hAnsi="宋体" w:cs="Times New Roman"/>
          <w:color w:val="auto"/>
          <w:sz w:val="24"/>
          <w:highlight w:val="none"/>
          <w:lang w:val="en-US" w:eastAsia="zh-CN"/>
        </w:rPr>
        <w:t>15</w:t>
      </w:r>
      <w:r>
        <w:rPr>
          <w:rFonts w:hint="eastAsia" w:ascii="宋体" w:hAnsi="宋体" w:eastAsia="宋体" w:cs="Times New Roman"/>
          <w:color w:val="auto"/>
          <w:sz w:val="24"/>
          <w:highlight w:val="none"/>
          <w:lang w:eastAsia="zh-CN"/>
        </w:rPr>
        <w:t>、人员及设备</w:t>
      </w:r>
    </w:p>
    <w:p w14:paraId="0614C376">
      <w:pPr>
        <w:tabs>
          <w:tab w:val="left" w:pos="772"/>
        </w:tabs>
        <w:spacing w:line="360" w:lineRule="auto"/>
        <w:ind w:firstLine="480" w:firstLineChars="200"/>
        <w:rPr>
          <w:rFonts w:hint="eastAsia" w:ascii="宋体" w:hAnsi="宋体" w:eastAsia="宋体" w:cs="Times New Roman"/>
          <w:color w:val="auto"/>
          <w:sz w:val="24"/>
          <w:highlight w:val="none"/>
          <w:lang w:eastAsia="zh-CN"/>
        </w:rPr>
      </w:pPr>
      <w:r>
        <w:rPr>
          <w:rFonts w:hint="eastAsia" w:ascii="宋体" w:hAnsi="宋体" w:eastAsia="宋体" w:cs="Times New Roman"/>
          <w:color w:val="auto"/>
          <w:sz w:val="24"/>
          <w:highlight w:val="none"/>
          <w:lang w:eastAsia="zh-CN"/>
        </w:rPr>
        <w:t>作业人员由中标单位自行安排，总人数（包括调班）不得少于</w:t>
      </w:r>
      <w:r>
        <w:rPr>
          <w:rFonts w:hint="eastAsia" w:ascii="宋体" w:hAnsi="宋体" w:cs="Times New Roman"/>
          <w:color w:val="auto"/>
          <w:sz w:val="24"/>
          <w:highlight w:val="none"/>
          <w:lang w:val="en-US" w:eastAsia="zh-CN"/>
        </w:rPr>
        <w:t>30</w:t>
      </w:r>
      <w:r>
        <w:rPr>
          <w:rFonts w:hint="eastAsia" w:ascii="宋体" w:hAnsi="宋体" w:eastAsia="宋体" w:cs="Times New Roman"/>
          <w:color w:val="auto"/>
          <w:sz w:val="24"/>
          <w:highlight w:val="none"/>
          <w:lang w:eastAsia="zh-CN"/>
        </w:rPr>
        <w:t>人，工作人员年龄原则要求在65周岁以下（其中管理人员要求在</w:t>
      </w:r>
      <w:r>
        <w:rPr>
          <w:rFonts w:hint="eastAsia" w:ascii="宋体" w:hAnsi="宋体" w:eastAsia="宋体" w:cs="Times New Roman"/>
          <w:color w:val="auto"/>
          <w:sz w:val="24"/>
          <w:highlight w:val="none"/>
          <w:lang w:val="en-US" w:eastAsia="zh-CN"/>
        </w:rPr>
        <w:t>60</w:t>
      </w:r>
      <w:r>
        <w:rPr>
          <w:rFonts w:hint="eastAsia" w:ascii="宋体" w:hAnsi="宋体" w:eastAsia="宋体" w:cs="Times New Roman"/>
          <w:color w:val="auto"/>
          <w:sz w:val="24"/>
          <w:highlight w:val="none"/>
          <w:lang w:eastAsia="zh-CN"/>
        </w:rPr>
        <w:t>周岁以下），所有人员应身体健康，形象端正，具有一定的政治文化素养和基本的服务素质，符合相应用工需求并具备相应技能和资质。</w:t>
      </w:r>
    </w:p>
    <w:p w14:paraId="58077C46">
      <w:pPr>
        <w:pStyle w:val="48"/>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auto"/>
        <w:ind w:firstLine="482" w:firstLineChars="200"/>
        <w:textAlignment w:val="auto"/>
        <w:rPr>
          <w:rFonts w:hint="eastAsia" w:ascii="宋体" w:hAnsi="宋体" w:eastAsia="宋体" w:cs="宋体"/>
          <w:b/>
          <w:bCs/>
          <w:color w:val="auto"/>
          <w:kern w:val="0"/>
          <w:sz w:val="24"/>
          <w:szCs w:val="24"/>
          <w:highlight w:val="none"/>
          <w:lang w:val="en-US" w:eastAsia="zh-CN" w:bidi="ar-SA"/>
        </w:rPr>
      </w:pPr>
      <w:r>
        <w:rPr>
          <w:rFonts w:hint="eastAsia" w:ascii="宋体" w:hAnsi="宋体" w:cs="宋体"/>
          <w:b/>
          <w:bCs/>
          <w:color w:val="auto"/>
          <w:kern w:val="0"/>
          <w:sz w:val="24"/>
          <w:highlight w:val="none"/>
          <w:lang w:eastAsia="zh-CN"/>
        </w:rPr>
        <w:t>注</w:t>
      </w:r>
      <w:r>
        <w:rPr>
          <w:rFonts w:hint="eastAsia" w:ascii="宋体" w:hAnsi="宋体" w:cs="宋体"/>
          <w:b/>
          <w:bCs/>
          <w:color w:val="auto"/>
          <w:kern w:val="0"/>
          <w:sz w:val="24"/>
          <w:highlight w:val="none"/>
        </w:rPr>
        <w:t>：投标单位需在投标文件中对中标后提供的服务人员数量和人身保险(雇主责任险)</w:t>
      </w:r>
      <w:r>
        <w:rPr>
          <w:rFonts w:hint="eastAsia" w:ascii="宋体" w:hAnsi="宋体" w:eastAsia="宋体" w:cs="宋体"/>
          <w:b/>
          <w:bCs/>
          <w:color w:val="auto"/>
          <w:kern w:val="0"/>
          <w:sz w:val="24"/>
          <w:szCs w:val="24"/>
          <w:highlight w:val="none"/>
          <w:lang w:val="en-US" w:eastAsia="zh-CN" w:bidi="ar-SA"/>
        </w:rPr>
        <w:t>参保进行承诺，否则作无效投标处理。</w:t>
      </w:r>
    </w:p>
    <w:p w14:paraId="3CC62A64">
      <w:pPr>
        <w:keepNext w:val="0"/>
        <w:keepLines w:val="0"/>
        <w:pageBreakBefore w:val="0"/>
        <w:widowControl w:val="0"/>
        <w:kinsoku/>
        <w:wordWrap/>
        <w:overflowPunct/>
        <w:topLinePunct w:val="0"/>
        <w:bidi w:val="0"/>
        <w:snapToGrid/>
        <w:spacing w:line="360" w:lineRule="auto"/>
        <w:ind w:firstLine="482" w:firstLineChars="200"/>
        <w:textAlignment w:val="auto"/>
        <w:rPr>
          <w:rFonts w:hint="eastAsia" w:ascii="宋体" w:hAnsi="宋体" w:eastAsia="宋体" w:cs="宋体"/>
          <w:b/>
          <w:bCs/>
          <w:color w:val="auto"/>
          <w:kern w:val="0"/>
          <w:sz w:val="24"/>
          <w:szCs w:val="24"/>
          <w:highlight w:val="none"/>
          <w:lang w:val="en-US" w:eastAsia="zh-CN" w:bidi="ar-SA"/>
        </w:rPr>
      </w:pPr>
      <w:r>
        <w:rPr>
          <w:rFonts w:hint="eastAsia" w:ascii="宋体" w:hAnsi="宋体" w:eastAsia="宋体" w:cs="宋体"/>
          <w:b/>
          <w:bCs/>
          <w:color w:val="auto"/>
          <w:kern w:val="0"/>
          <w:sz w:val="24"/>
          <w:szCs w:val="24"/>
          <w:highlight w:val="none"/>
          <w:lang w:val="en-US" w:eastAsia="zh-CN" w:bidi="ar-SA"/>
        </w:rPr>
        <w:t>采购人负责</w:t>
      </w:r>
      <w:r>
        <w:rPr>
          <w:rFonts w:hint="eastAsia" w:ascii="宋体" w:hAnsi="宋体" w:cs="宋体"/>
          <w:b/>
          <w:bCs/>
          <w:color w:val="auto"/>
          <w:kern w:val="0"/>
          <w:sz w:val="24"/>
          <w:szCs w:val="24"/>
          <w:highlight w:val="none"/>
          <w:lang w:val="en-US" w:eastAsia="zh-CN" w:bidi="ar-SA"/>
        </w:rPr>
        <w:t>提供</w:t>
      </w:r>
      <w:r>
        <w:rPr>
          <w:rFonts w:hint="eastAsia" w:ascii="宋体" w:hAnsi="宋体" w:eastAsia="宋体" w:cs="宋体"/>
          <w:b/>
          <w:bCs/>
          <w:color w:val="auto"/>
          <w:kern w:val="0"/>
          <w:sz w:val="24"/>
          <w:szCs w:val="24"/>
          <w:highlight w:val="none"/>
          <w:lang w:val="en-US" w:eastAsia="zh-CN" w:bidi="ar-SA"/>
        </w:rPr>
        <w:t>村域内</w:t>
      </w:r>
      <w:r>
        <w:rPr>
          <w:rFonts w:hint="eastAsia" w:ascii="宋体" w:hAnsi="宋体" w:cs="宋体"/>
          <w:b/>
          <w:bCs/>
          <w:color w:val="auto"/>
          <w:kern w:val="0"/>
          <w:sz w:val="24"/>
          <w:szCs w:val="24"/>
          <w:highlight w:val="none"/>
          <w:lang w:val="en-US" w:eastAsia="zh-CN" w:bidi="ar-SA"/>
        </w:rPr>
        <w:t>项目所需</w:t>
      </w:r>
      <w:r>
        <w:rPr>
          <w:rFonts w:hint="eastAsia" w:ascii="宋体" w:hAnsi="宋体" w:eastAsia="宋体" w:cs="宋体"/>
          <w:b/>
          <w:bCs/>
          <w:color w:val="auto"/>
          <w:kern w:val="0"/>
          <w:sz w:val="24"/>
          <w:szCs w:val="24"/>
          <w:highlight w:val="none"/>
          <w:lang w:val="en-US" w:eastAsia="zh-CN" w:bidi="ar-SA"/>
        </w:rPr>
        <w:t>垃圾桶</w:t>
      </w:r>
      <w:r>
        <w:rPr>
          <w:rFonts w:hint="eastAsia" w:ascii="宋体" w:hAnsi="宋体" w:cs="宋体"/>
          <w:b/>
          <w:bCs/>
          <w:color w:val="auto"/>
          <w:kern w:val="0"/>
          <w:sz w:val="24"/>
          <w:szCs w:val="24"/>
          <w:highlight w:val="none"/>
          <w:lang w:val="en-US" w:eastAsia="zh-CN" w:bidi="ar-SA"/>
        </w:rPr>
        <w:t>和</w:t>
      </w:r>
      <w:r>
        <w:rPr>
          <w:rFonts w:hint="eastAsia" w:ascii="宋体" w:hAnsi="宋体" w:eastAsia="宋体" w:cs="宋体"/>
          <w:b/>
          <w:bCs/>
          <w:color w:val="auto"/>
          <w:kern w:val="0"/>
          <w:sz w:val="24"/>
          <w:szCs w:val="24"/>
          <w:highlight w:val="none"/>
          <w:lang w:val="en-US" w:eastAsia="zh-CN" w:bidi="ar-SA"/>
        </w:rPr>
        <w:t>垃圾车，中标人无偿使用现有垃圾桶及清运车辆，日常保养、维修及保险费由中标人承担。</w:t>
      </w:r>
    </w:p>
    <w:p w14:paraId="406243CC">
      <w:pPr>
        <w:keepNext w:val="0"/>
        <w:keepLines w:val="0"/>
        <w:pageBreakBefore w:val="0"/>
        <w:widowControl w:val="0"/>
        <w:kinsoku/>
        <w:wordWrap/>
        <w:overflowPunct/>
        <w:topLinePunct w:val="0"/>
        <w:bidi w:val="0"/>
        <w:snapToGrid/>
        <w:spacing w:line="360" w:lineRule="auto"/>
        <w:ind w:firstLine="482" w:firstLineChars="200"/>
        <w:textAlignment w:val="auto"/>
        <w:rPr>
          <w:rFonts w:hint="eastAsia" w:ascii="宋体" w:hAnsi="宋体" w:eastAsia="宋体" w:cs="宋体"/>
          <w:b/>
          <w:bCs/>
          <w:color w:val="auto"/>
          <w:kern w:val="0"/>
          <w:sz w:val="24"/>
          <w:szCs w:val="24"/>
          <w:highlight w:val="none"/>
          <w:lang w:val="en-US" w:eastAsia="zh-CN" w:bidi="ar-SA"/>
        </w:rPr>
      </w:pPr>
      <w:r>
        <w:rPr>
          <w:rFonts w:hint="eastAsia" w:ascii="宋体" w:hAnsi="宋体" w:eastAsia="宋体" w:cs="宋体"/>
          <w:b/>
          <w:bCs/>
          <w:color w:val="auto"/>
          <w:kern w:val="0"/>
          <w:sz w:val="24"/>
          <w:szCs w:val="24"/>
          <w:highlight w:val="none"/>
          <w:lang w:val="en-US" w:eastAsia="zh-CN" w:bidi="ar-SA"/>
        </w:rPr>
        <w:t>合同期内，清运车辆因</w:t>
      </w:r>
      <w:r>
        <w:rPr>
          <w:rFonts w:hint="eastAsia" w:ascii="宋体" w:hAnsi="宋体" w:cs="宋体"/>
          <w:b/>
          <w:bCs/>
          <w:color w:val="auto"/>
          <w:kern w:val="0"/>
          <w:sz w:val="24"/>
          <w:szCs w:val="24"/>
          <w:highlight w:val="none"/>
          <w:lang w:val="en-US" w:eastAsia="zh-CN" w:bidi="ar-SA"/>
        </w:rPr>
        <w:t>中标人原因</w:t>
      </w:r>
      <w:r>
        <w:rPr>
          <w:rFonts w:hint="eastAsia" w:ascii="宋体" w:hAnsi="宋体" w:eastAsia="宋体" w:cs="宋体"/>
          <w:b/>
          <w:bCs/>
          <w:color w:val="auto"/>
          <w:kern w:val="0"/>
          <w:sz w:val="24"/>
          <w:szCs w:val="24"/>
          <w:highlight w:val="none"/>
          <w:lang w:val="en-US" w:eastAsia="zh-CN" w:bidi="ar-SA"/>
        </w:rPr>
        <w:t>导致无法使用或遗失的，由中标人配足或赔偿。</w:t>
      </w:r>
      <w:r>
        <w:rPr>
          <w:rFonts w:hint="eastAsia" w:ascii="宋体" w:hAnsi="宋体" w:cs="宋体"/>
          <w:b/>
          <w:bCs/>
          <w:color w:val="auto"/>
          <w:kern w:val="0"/>
          <w:sz w:val="24"/>
          <w:szCs w:val="24"/>
          <w:highlight w:val="none"/>
          <w:lang w:val="en-US" w:eastAsia="zh-CN" w:bidi="ar-SA"/>
        </w:rPr>
        <w:t>中标人</w:t>
      </w:r>
      <w:r>
        <w:rPr>
          <w:rFonts w:hint="eastAsia" w:ascii="宋体" w:hAnsi="宋体" w:eastAsia="宋体" w:cs="宋体"/>
          <w:b/>
          <w:bCs/>
          <w:color w:val="auto"/>
          <w:kern w:val="0"/>
          <w:sz w:val="24"/>
          <w:szCs w:val="24"/>
          <w:highlight w:val="none"/>
          <w:lang w:val="en-US" w:eastAsia="zh-CN" w:bidi="ar-SA"/>
        </w:rPr>
        <w:t>需</w:t>
      </w:r>
      <w:r>
        <w:rPr>
          <w:rFonts w:hint="eastAsia" w:ascii="宋体" w:hAnsi="宋体" w:eastAsia="宋体" w:cs="宋体"/>
          <w:b/>
          <w:bCs/>
          <w:color w:val="auto"/>
          <w:kern w:val="0"/>
          <w:sz w:val="24"/>
          <w:szCs w:val="24"/>
          <w:highlight w:val="none"/>
        </w:rPr>
        <w:t>提供农用车、洒水车和扫路车及其他必要的一切作业用具（维修、保养、配件等费用由中标单位负责）</w:t>
      </w:r>
      <w:r>
        <w:rPr>
          <w:rFonts w:hint="eastAsia" w:ascii="宋体" w:hAnsi="宋体" w:eastAsia="宋体" w:cs="宋体"/>
          <w:b/>
          <w:bCs/>
          <w:color w:val="auto"/>
          <w:kern w:val="0"/>
          <w:sz w:val="24"/>
          <w:szCs w:val="24"/>
          <w:highlight w:val="none"/>
          <w:lang w:val="en-US" w:eastAsia="zh-CN"/>
        </w:rPr>
        <w:t xml:space="preserve"> 。</w:t>
      </w:r>
      <w:r>
        <w:rPr>
          <w:rFonts w:hint="eastAsia" w:ascii="宋体" w:hAnsi="宋体" w:eastAsia="宋体" w:cs="宋体"/>
          <w:b/>
          <w:bCs/>
          <w:color w:val="auto"/>
          <w:kern w:val="0"/>
          <w:sz w:val="24"/>
          <w:szCs w:val="24"/>
          <w:highlight w:val="none"/>
          <w:lang w:val="en-US" w:eastAsia="zh-CN" w:bidi="ar-SA"/>
        </w:rPr>
        <w:t>中标人对</w:t>
      </w:r>
      <w:r>
        <w:rPr>
          <w:rFonts w:hint="eastAsia" w:ascii="宋体" w:hAnsi="宋体" w:cs="宋体"/>
          <w:b/>
          <w:bCs/>
          <w:color w:val="auto"/>
          <w:kern w:val="0"/>
          <w:sz w:val="24"/>
          <w:szCs w:val="24"/>
          <w:highlight w:val="none"/>
          <w:lang w:val="en-US" w:eastAsia="zh-CN" w:bidi="ar-SA"/>
        </w:rPr>
        <w:t>村域</w:t>
      </w:r>
      <w:r>
        <w:rPr>
          <w:rFonts w:hint="eastAsia" w:ascii="宋体" w:hAnsi="宋体" w:eastAsia="宋体" w:cs="宋体"/>
          <w:b/>
          <w:bCs/>
          <w:color w:val="auto"/>
          <w:kern w:val="0"/>
          <w:sz w:val="24"/>
          <w:szCs w:val="24"/>
          <w:highlight w:val="none"/>
          <w:lang w:val="en-US" w:eastAsia="zh-CN" w:bidi="ar-SA"/>
        </w:rPr>
        <w:t>垃圾桶的完整性负责，垃圾桶年更换率不得高于该村已配备数的10%，超过10%的部分，由中标人负责配足。中标后，中标方、招标方需对现有</w:t>
      </w:r>
      <w:r>
        <w:rPr>
          <w:rFonts w:hint="eastAsia" w:ascii="宋体" w:hAnsi="宋体" w:cs="宋体"/>
          <w:b/>
          <w:bCs/>
          <w:color w:val="auto"/>
          <w:kern w:val="0"/>
          <w:sz w:val="24"/>
          <w:szCs w:val="24"/>
          <w:highlight w:val="none"/>
          <w:lang w:val="en-US" w:eastAsia="zh-CN" w:bidi="ar-SA"/>
        </w:rPr>
        <w:t>清运</w:t>
      </w:r>
      <w:r>
        <w:rPr>
          <w:rFonts w:hint="eastAsia" w:ascii="宋体" w:hAnsi="宋体" w:eastAsia="宋体" w:cs="宋体"/>
          <w:b/>
          <w:bCs/>
          <w:color w:val="auto"/>
          <w:kern w:val="0"/>
          <w:sz w:val="24"/>
          <w:szCs w:val="24"/>
          <w:highlight w:val="none"/>
          <w:lang w:val="en-US" w:eastAsia="zh-CN" w:bidi="ar-SA"/>
        </w:rPr>
        <w:t>车辆、</w:t>
      </w:r>
      <w:r>
        <w:rPr>
          <w:rFonts w:hint="eastAsia" w:ascii="宋体" w:hAnsi="宋体" w:cs="宋体"/>
          <w:b/>
          <w:bCs/>
          <w:color w:val="auto"/>
          <w:kern w:val="0"/>
          <w:sz w:val="24"/>
          <w:szCs w:val="24"/>
          <w:highlight w:val="none"/>
          <w:lang w:val="en-US" w:eastAsia="zh-CN" w:bidi="ar-SA"/>
        </w:rPr>
        <w:t>垃圾</w:t>
      </w:r>
      <w:r>
        <w:rPr>
          <w:rFonts w:hint="eastAsia" w:ascii="宋体" w:hAnsi="宋体" w:eastAsia="宋体" w:cs="宋体"/>
          <w:b/>
          <w:bCs/>
          <w:color w:val="auto"/>
          <w:kern w:val="0"/>
          <w:sz w:val="24"/>
          <w:szCs w:val="24"/>
          <w:highlight w:val="none"/>
          <w:lang w:val="en-US" w:eastAsia="zh-CN" w:bidi="ar-SA"/>
        </w:rPr>
        <w:t>桶等设施设备进行清点</w:t>
      </w:r>
      <w:r>
        <w:rPr>
          <w:rFonts w:hint="eastAsia" w:ascii="宋体" w:hAnsi="宋体" w:cs="宋体"/>
          <w:b/>
          <w:bCs/>
          <w:color w:val="auto"/>
          <w:kern w:val="0"/>
          <w:sz w:val="24"/>
          <w:szCs w:val="24"/>
          <w:highlight w:val="none"/>
          <w:lang w:val="en-US" w:eastAsia="zh-CN" w:bidi="ar-SA"/>
        </w:rPr>
        <w:t>、登记</w:t>
      </w:r>
      <w:r>
        <w:rPr>
          <w:rFonts w:hint="eastAsia" w:ascii="宋体" w:hAnsi="宋体" w:eastAsia="宋体" w:cs="宋体"/>
          <w:b/>
          <w:bCs/>
          <w:color w:val="auto"/>
          <w:kern w:val="0"/>
          <w:sz w:val="24"/>
          <w:szCs w:val="24"/>
          <w:highlight w:val="none"/>
          <w:lang w:val="en-US" w:eastAsia="zh-CN" w:bidi="ar-SA"/>
        </w:rPr>
        <w:t>并做好移交工作。</w:t>
      </w:r>
    </w:p>
    <w:p w14:paraId="3C2497CD">
      <w:pPr>
        <w:pStyle w:val="4"/>
        <w:spacing w:before="120" w:after="120" w:line="360" w:lineRule="auto"/>
        <w:jc w:val="center"/>
        <w:rPr>
          <w:rFonts w:hint="eastAsia" w:ascii="宋体" w:hAnsi="宋体" w:eastAsia="宋体" w:cs="Times New Roman"/>
          <w:b/>
          <w:bCs/>
          <w:color w:val="auto"/>
          <w:szCs w:val="28"/>
          <w:highlight w:val="none"/>
          <w:lang w:val="en-US" w:eastAsia="zh-CN"/>
        </w:rPr>
      </w:pPr>
      <w:bookmarkStart w:id="492" w:name="_Toc1131"/>
      <w:bookmarkStart w:id="493" w:name="_Toc30655"/>
      <w:bookmarkStart w:id="494" w:name="_Toc7848"/>
      <w:bookmarkStart w:id="495" w:name="_Toc30691"/>
      <w:bookmarkStart w:id="496" w:name="_Toc6763"/>
      <w:bookmarkStart w:id="497" w:name="_Toc767"/>
    </w:p>
    <w:p w14:paraId="546E2066">
      <w:pPr>
        <w:pStyle w:val="4"/>
        <w:spacing w:before="120" w:after="120" w:line="360" w:lineRule="auto"/>
        <w:jc w:val="center"/>
        <w:rPr>
          <w:rFonts w:hint="default" w:ascii="宋体" w:hAnsi="宋体" w:eastAsia="宋体" w:cs="Times New Roman"/>
          <w:b/>
          <w:bCs/>
          <w:color w:val="auto"/>
          <w:szCs w:val="28"/>
          <w:highlight w:val="none"/>
          <w:lang w:val="en-US" w:eastAsia="zh-CN"/>
        </w:rPr>
      </w:pPr>
      <w:r>
        <w:rPr>
          <w:rFonts w:hint="eastAsia" w:ascii="宋体" w:hAnsi="宋体" w:eastAsia="宋体" w:cs="Times New Roman"/>
          <w:b/>
          <w:bCs/>
          <w:color w:val="auto"/>
          <w:szCs w:val="28"/>
          <w:highlight w:val="none"/>
          <w:lang w:val="en-US" w:eastAsia="zh-CN"/>
        </w:rPr>
        <w:t>第二章  考核标准及考核表</w:t>
      </w:r>
      <w:bookmarkEnd w:id="492"/>
      <w:bookmarkEnd w:id="493"/>
      <w:bookmarkEnd w:id="494"/>
      <w:bookmarkEnd w:id="495"/>
      <w:bookmarkEnd w:id="496"/>
      <w:bookmarkEnd w:id="497"/>
    </w:p>
    <w:bookmarkEnd w:id="491"/>
    <w:p w14:paraId="165EF8A4">
      <w:pPr>
        <w:keepNext w:val="0"/>
        <w:keepLines w:val="0"/>
        <w:pageBreakBefore w:val="0"/>
        <w:widowControl w:val="0"/>
        <w:numPr>
          <w:ilvl w:val="0"/>
          <w:numId w:val="38"/>
        </w:numPr>
        <w:kinsoku/>
        <w:wordWrap w:val="0"/>
        <w:overflowPunct/>
        <w:topLinePunct/>
        <w:autoSpaceDE/>
        <w:autoSpaceDN/>
        <w:bidi w:val="0"/>
        <w:spacing w:line="360" w:lineRule="auto"/>
        <w:ind w:firstLine="482" w:firstLineChars="200"/>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考核方式</w:t>
      </w:r>
    </w:p>
    <w:p w14:paraId="4229FB7A">
      <w:pPr>
        <w:keepNext w:val="0"/>
        <w:keepLines w:val="0"/>
        <w:pageBreakBefore w:val="0"/>
        <w:widowControl w:val="0"/>
        <w:kinsoku/>
        <w:wordWrap w:val="0"/>
        <w:overflowPunct/>
        <w:topLinePunct/>
        <w:autoSpaceDE/>
        <w:autoSpaceDN/>
        <w:bidi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lang w:eastAsia="zh-CN"/>
        </w:rPr>
        <w:t>考核分数参照街道对村考核结果</w:t>
      </w:r>
      <w:r>
        <w:rPr>
          <w:rFonts w:hint="eastAsia" w:ascii="宋体" w:hAnsi="宋体" w:eastAsia="宋体" w:cs="宋体"/>
          <w:color w:val="auto"/>
          <w:sz w:val="24"/>
          <w:highlight w:val="none"/>
          <w:lang w:val="en-US" w:eastAsia="zh-CN"/>
        </w:rPr>
        <w:t>，考核内容以《农村人居环境长效保洁考核评分表》为准</w:t>
      </w:r>
      <w:r>
        <w:rPr>
          <w:rFonts w:hint="eastAsia" w:ascii="宋体" w:hAnsi="宋体" w:eastAsia="宋体" w:cs="宋体"/>
          <w:color w:val="auto"/>
          <w:sz w:val="24"/>
          <w:highlight w:val="none"/>
        </w:rPr>
        <w:t xml:space="preserve">。 </w:t>
      </w:r>
    </w:p>
    <w:p w14:paraId="48A07F34">
      <w:pPr>
        <w:keepNext w:val="0"/>
        <w:keepLines w:val="0"/>
        <w:pageBreakBefore w:val="0"/>
        <w:widowControl w:val="0"/>
        <w:kinsoku/>
        <w:wordWrap w:val="0"/>
        <w:overflowPunct/>
        <w:topLinePunct/>
        <w:autoSpaceDE/>
        <w:autoSpaceDN/>
        <w:bidi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lang w:eastAsia="zh-CN"/>
        </w:rPr>
        <w:t>采购方对中标方工作人员到岗到位情况进行不定期抽查，抽查时如发现实际工作人数没有达到投标时承诺的人数，在月考核基础上每少一人加扣</w:t>
      </w:r>
      <w:r>
        <w:rPr>
          <w:rFonts w:hint="eastAsia" w:ascii="宋体" w:hAnsi="宋体" w:eastAsia="宋体" w:cs="宋体"/>
          <w:color w:val="auto"/>
          <w:sz w:val="24"/>
          <w:highlight w:val="none"/>
          <w:lang w:val="en-US" w:eastAsia="zh-CN"/>
        </w:rPr>
        <w:t>2000元</w:t>
      </w:r>
      <w:r>
        <w:rPr>
          <w:rFonts w:hint="eastAsia" w:ascii="宋体" w:hAnsi="宋体" w:eastAsia="宋体" w:cs="宋体"/>
          <w:color w:val="auto"/>
          <w:sz w:val="24"/>
          <w:highlight w:val="none"/>
        </w:rPr>
        <w:t>。</w:t>
      </w:r>
    </w:p>
    <w:p w14:paraId="650CD1F8">
      <w:pPr>
        <w:keepNext w:val="0"/>
        <w:keepLines w:val="0"/>
        <w:pageBreakBefore w:val="0"/>
        <w:widowControl w:val="0"/>
        <w:kinsoku/>
        <w:wordWrap w:val="0"/>
        <w:overflowPunct/>
        <w:topLinePunct/>
        <w:autoSpaceDE/>
        <w:autoSpaceDN/>
        <w:bidi w:val="0"/>
        <w:adjustRightInd/>
        <w:snapToGrid/>
        <w:spacing w:line="360" w:lineRule="auto"/>
        <w:ind w:firstLine="482" w:firstLineChars="200"/>
        <w:jc w:val="left"/>
        <w:textAlignment w:val="auto"/>
        <w:rPr>
          <w:rFonts w:hint="eastAsia" w:ascii="宋体" w:hAnsi="宋体" w:eastAsia="宋体" w:cs="宋体"/>
          <w:b/>
          <w:bCs/>
          <w:color w:val="auto"/>
          <w:sz w:val="24"/>
          <w:highlight w:val="none"/>
          <w:lang w:val="en-US" w:eastAsia="zh-CN"/>
        </w:rPr>
      </w:pPr>
      <w:r>
        <w:rPr>
          <w:rFonts w:hint="eastAsia" w:ascii="宋体" w:hAnsi="宋体" w:eastAsia="宋体" w:cs="宋体"/>
          <w:b/>
          <w:bCs/>
          <w:color w:val="auto"/>
          <w:sz w:val="24"/>
          <w:highlight w:val="none"/>
          <w:lang w:val="en-US" w:eastAsia="zh-CN"/>
        </w:rPr>
        <w:t>3、</w:t>
      </w:r>
      <w:r>
        <w:rPr>
          <w:rFonts w:hint="eastAsia" w:ascii="宋体" w:hAnsi="宋体" w:eastAsia="宋体" w:cs="宋体"/>
          <w:b/>
          <w:bCs/>
          <w:color w:val="auto"/>
          <w:sz w:val="24"/>
          <w:highlight w:val="none"/>
          <w:lang w:eastAsia="zh-CN"/>
        </w:rPr>
        <w:t>当月在区级或以上人居环境检查中排名全区后三位，全市后十位，当月月考核成绩直接定为不合格</w:t>
      </w:r>
      <w:r>
        <w:rPr>
          <w:rFonts w:hint="eastAsia" w:ascii="宋体" w:hAnsi="宋体" w:eastAsia="宋体" w:cs="宋体"/>
          <w:b/>
          <w:bCs/>
          <w:color w:val="auto"/>
          <w:sz w:val="24"/>
          <w:highlight w:val="none"/>
          <w:lang w:val="en-US" w:eastAsia="zh-CN"/>
        </w:rPr>
        <w:t>。</w:t>
      </w:r>
    </w:p>
    <w:p w14:paraId="65941827">
      <w:pPr>
        <w:numPr>
          <w:ilvl w:val="0"/>
          <w:numId w:val="0"/>
        </w:numPr>
        <w:spacing w:after="120" w:line="400" w:lineRule="exact"/>
        <w:ind w:firstLine="480"/>
        <w:rPr>
          <w:rFonts w:hint="default"/>
          <w:color w:val="auto"/>
          <w:highlight w:val="none"/>
          <w:lang w:val="en-US"/>
        </w:rPr>
      </w:pPr>
      <w:r>
        <w:rPr>
          <w:rFonts w:hint="eastAsia" w:ascii="宋体" w:hAnsi="宋体" w:eastAsia="宋体" w:cs="宋体"/>
          <w:b/>
          <w:bCs/>
          <w:color w:val="auto"/>
          <w:sz w:val="24"/>
          <w:szCs w:val="24"/>
          <w:highlight w:val="none"/>
          <w:lang w:val="en-US" w:eastAsia="zh-CN"/>
        </w:rPr>
        <w:t>二、考核评分表</w:t>
      </w:r>
    </w:p>
    <w:p w14:paraId="0B68180A">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考核</w:t>
      </w:r>
      <w:r>
        <w:rPr>
          <w:rFonts w:hint="eastAsia" w:ascii="宋体" w:hAnsi="宋体" w:eastAsia="宋体" w:cs="宋体"/>
          <w:color w:val="auto"/>
          <w:sz w:val="24"/>
          <w:highlight w:val="none"/>
        </w:rPr>
        <w:t>满分100分</w:t>
      </w:r>
      <w:r>
        <w:rPr>
          <w:rFonts w:hint="eastAsia" w:ascii="宋体" w:hAnsi="宋体" w:eastAsia="宋体" w:cs="宋体"/>
          <w:color w:val="auto"/>
          <w:sz w:val="24"/>
          <w:highlight w:val="none"/>
          <w:lang w:val="en-US" w:eastAsia="zh-CN"/>
        </w:rPr>
        <w:t>。</w:t>
      </w:r>
    </w:p>
    <w:p w14:paraId="664ABCD4">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    1、月</w:t>
      </w:r>
      <w:r>
        <w:rPr>
          <w:rFonts w:hint="eastAsia" w:ascii="宋体" w:hAnsi="宋体" w:eastAsia="宋体" w:cs="宋体"/>
          <w:color w:val="auto"/>
          <w:sz w:val="24"/>
          <w:szCs w:val="24"/>
          <w:highlight w:val="none"/>
        </w:rPr>
        <w:t>考核</w:t>
      </w:r>
      <w:r>
        <w:rPr>
          <w:rFonts w:hint="eastAsia" w:ascii="宋体" w:hAnsi="宋体" w:eastAsia="宋体" w:cs="宋体"/>
          <w:bCs/>
          <w:color w:val="auto"/>
          <w:sz w:val="24"/>
          <w:szCs w:val="24"/>
          <w:highlight w:val="none"/>
        </w:rPr>
        <w:t>成绩在</w:t>
      </w:r>
      <w:r>
        <w:rPr>
          <w:rFonts w:hint="eastAsia" w:ascii="宋体" w:hAnsi="宋体" w:eastAsia="宋体" w:cs="宋体"/>
          <w:color w:val="auto"/>
          <w:sz w:val="24"/>
          <w:szCs w:val="24"/>
          <w:highlight w:val="none"/>
        </w:rPr>
        <w:t>80分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含80分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及以上为优秀，</w:t>
      </w:r>
      <w:r>
        <w:rPr>
          <w:rFonts w:hint="eastAsia" w:ascii="宋体" w:hAnsi="宋体" w:eastAsia="宋体" w:cs="宋体"/>
          <w:color w:val="auto"/>
          <w:sz w:val="24"/>
          <w:szCs w:val="24"/>
          <w:highlight w:val="none"/>
          <w:lang w:eastAsia="zh-CN"/>
        </w:rPr>
        <w:t>得每月承包款的</w:t>
      </w:r>
      <w:r>
        <w:rPr>
          <w:rFonts w:hint="eastAsia" w:ascii="宋体" w:hAnsi="宋体" w:eastAsia="宋体" w:cs="宋体"/>
          <w:color w:val="auto"/>
          <w:sz w:val="24"/>
          <w:szCs w:val="24"/>
          <w:highlight w:val="none"/>
        </w:rPr>
        <w:t>100%；</w:t>
      </w:r>
    </w:p>
    <w:p w14:paraId="53F03FF7">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2、月</w:t>
      </w:r>
      <w:r>
        <w:rPr>
          <w:rFonts w:hint="eastAsia" w:ascii="宋体" w:hAnsi="宋体" w:eastAsia="宋体" w:cs="宋体"/>
          <w:color w:val="auto"/>
          <w:sz w:val="24"/>
          <w:szCs w:val="24"/>
          <w:highlight w:val="none"/>
        </w:rPr>
        <w:t>考核</w:t>
      </w:r>
      <w:r>
        <w:rPr>
          <w:rFonts w:hint="eastAsia" w:ascii="宋体" w:hAnsi="宋体" w:eastAsia="宋体" w:cs="宋体"/>
          <w:bCs/>
          <w:color w:val="auto"/>
          <w:sz w:val="24"/>
          <w:szCs w:val="24"/>
          <w:highlight w:val="none"/>
        </w:rPr>
        <w:t>成绩在</w:t>
      </w:r>
      <w:r>
        <w:rPr>
          <w:rFonts w:hint="eastAsia" w:ascii="宋体" w:hAnsi="宋体" w:eastAsia="宋体" w:cs="宋体"/>
          <w:color w:val="auto"/>
          <w:sz w:val="24"/>
          <w:szCs w:val="24"/>
          <w:highlight w:val="none"/>
        </w:rPr>
        <w:t>70分（含70分）至80分为良好，</w:t>
      </w:r>
      <w:r>
        <w:rPr>
          <w:rFonts w:hint="eastAsia" w:ascii="宋体" w:hAnsi="宋体" w:eastAsia="宋体" w:cs="宋体"/>
          <w:color w:val="auto"/>
          <w:sz w:val="24"/>
          <w:szCs w:val="24"/>
          <w:highlight w:val="none"/>
          <w:lang w:eastAsia="zh-CN"/>
        </w:rPr>
        <w:t>得每月承包款的</w:t>
      </w:r>
      <w:r>
        <w:rPr>
          <w:rFonts w:hint="eastAsia" w:ascii="宋体" w:hAnsi="宋体" w:eastAsia="宋体" w:cs="宋体"/>
          <w:color w:val="auto"/>
          <w:sz w:val="24"/>
          <w:szCs w:val="24"/>
          <w:highlight w:val="none"/>
        </w:rPr>
        <w:t>90%；</w:t>
      </w:r>
    </w:p>
    <w:p w14:paraId="4C42CFA1">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3、月</w:t>
      </w:r>
      <w:r>
        <w:rPr>
          <w:rFonts w:hint="eastAsia" w:ascii="宋体" w:hAnsi="宋体" w:eastAsia="宋体" w:cs="宋体"/>
          <w:color w:val="auto"/>
          <w:sz w:val="24"/>
          <w:szCs w:val="24"/>
          <w:highlight w:val="none"/>
        </w:rPr>
        <w:t>考核</w:t>
      </w:r>
      <w:r>
        <w:rPr>
          <w:rFonts w:hint="eastAsia" w:ascii="宋体" w:hAnsi="宋体" w:eastAsia="宋体" w:cs="宋体"/>
          <w:bCs/>
          <w:color w:val="auto"/>
          <w:sz w:val="24"/>
          <w:szCs w:val="24"/>
          <w:highlight w:val="none"/>
        </w:rPr>
        <w:t>成绩在</w:t>
      </w:r>
      <w:r>
        <w:rPr>
          <w:rFonts w:hint="eastAsia" w:ascii="宋体" w:hAnsi="宋体" w:eastAsia="宋体" w:cs="宋体"/>
          <w:color w:val="auto"/>
          <w:sz w:val="24"/>
          <w:szCs w:val="24"/>
          <w:highlight w:val="none"/>
        </w:rPr>
        <w:t>60分（含60分）至70分为合格，</w:t>
      </w:r>
      <w:r>
        <w:rPr>
          <w:rFonts w:hint="eastAsia" w:ascii="宋体" w:hAnsi="宋体" w:eastAsia="宋体" w:cs="宋体"/>
          <w:color w:val="auto"/>
          <w:sz w:val="24"/>
          <w:szCs w:val="24"/>
          <w:highlight w:val="none"/>
          <w:lang w:eastAsia="zh-CN"/>
        </w:rPr>
        <w:t>得每月承包款的</w:t>
      </w:r>
      <w:r>
        <w:rPr>
          <w:rFonts w:hint="eastAsia" w:ascii="宋体" w:hAnsi="宋体" w:eastAsia="宋体" w:cs="宋体"/>
          <w:color w:val="auto"/>
          <w:sz w:val="24"/>
          <w:szCs w:val="24"/>
          <w:highlight w:val="none"/>
        </w:rPr>
        <w:t>80%；</w:t>
      </w:r>
    </w:p>
    <w:p w14:paraId="28065D59">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4、月</w:t>
      </w:r>
      <w:r>
        <w:rPr>
          <w:rFonts w:hint="eastAsia" w:ascii="宋体" w:hAnsi="宋体" w:eastAsia="宋体" w:cs="宋体"/>
          <w:color w:val="auto"/>
          <w:sz w:val="24"/>
          <w:szCs w:val="24"/>
          <w:highlight w:val="none"/>
        </w:rPr>
        <w:t>考核</w:t>
      </w:r>
      <w:r>
        <w:rPr>
          <w:rFonts w:hint="eastAsia" w:ascii="宋体" w:hAnsi="宋体" w:eastAsia="宋体" w:cs="宋体"/>
          <w:bCs/>
          <w:color w:val="auto"/>
          <w:sz w:val="24"/>
          <w:szCs w:val="24"/>
          <w:highlight w:val="none"/>
        </w:rPr>
        <w:t>成绩在</w:t>
      </w:r>
      <w:r>
        <w:rPr>
          <w:rFonts w:hint="eastAsia" w:ascii="宋体" w:hAnsi="宋体" w:eastAsia="宋体" w:cs="宋体"/>
          <w:color w:val="auto"/>
          <w:sz w:val="24"/>
          <w:szCs w:val="24"/>
          <w:highlight w:val="none"/>
        </w:rPr>
        <w:t>60分以下为不合格，</w:t>
      </w:r>
      <w:r>
        <w:rPr>
          <w:rFonts w:hint="eastAsia" w:ascii="宋体" w:hAnsi="宋体" w:eastAsia="宋体" w:cs="宋体"/>
          <w:color w:val="auto"/>
          <w:sz w:val="24"/>
          <w:szCs w:val="24"/>
          <w:highlight w:val="none"/>
          <w:lang w:eastAsia="zh-CN"/>
        </w:rPr>
        <w:t>得每月承包款的</w:t>
      </w:r>
      <w:r>
        <w:rPr>
          <w:rFonts w:hint="eastAsia" w:ascii="宋体" w:hAnsi="宋体" w:eastAsia="宋体" w:cs="宋体"/>
          <w:color w:val="auto"/>
          <w:sz w:val="24"/>
          <w:szCs w:val="24"/>
          <w:highlight w:val="none"/>
        </w:rPr>
        <w:t>50%。</w:t>
      </w:r>
    </w:p>
    <w:p w14:paraId="08E21A24">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注：1、连续两个月定为不合格的，扣除第二个月全部承包款；连续三个月定为不合格的，采购人有权终止服务合同</w:t>
      </w:r>
      <w:bookmarkEnd w:id="462"/>
      <w:bookmarkStart w:id="498" w:name="_Toc19804"/>
      <w:bookmarkStart w:id="499" w:name="_Toc86217003"/>
      <w:bookmarkStart w:id="500" w:name="第五部分"/>
      <w:r>
        <w:rPr>
          <w:rFonts w:hint="eastAsia" w:ascii="宋体" w:hAnsi="宋体" w:eastAsia="宋体" w:cs="宋体"/>
          <w:b/>
          <w:bCs/>
          <w:color w:val="auto"/>
          <w:sz w:val="24"/>
          <w:szCs w:val="24"/>
          <w:highlight w:val="none"/>
          <w:lang w:val="en-US" w:eastAsia="zh-CN"/>
        </w:rPr>
        <w:t>，取消中标资格，中标单位无条件直接退场并上报上级主管部门拉入黑名单。</w:t>
      </w:r>
    </w:p>
    <w:p w14:paraId="5CFAB6CC">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bookmarkStart w:id="501" w:name="_Toc2972"/>
      <w:bookmarkStart w:id="502" w:name="_Toc6845"/>
      <w:r>
        <w:rPr>
          <w:rFonts w:hint="eastAsia" w:ascii="宋体" w:hAnsi="宋体" w:eastAsia="宋体" w:cs="宋体"/>
          <w:b/>
          <w:bCs/>
          <w:color w:val="auto"/>
          <w:sz w:val="24"/>
          <w:szCs w:val="24"/>
          <w:highlight w:val="none"/>
          <w:lang w:val="en-US" w:eastAsia="zh-CN"/>
        </w:rPr>
        <w:t>2、涉及上虞美丽乡村PPP项目委托运维的：</w:t>
      </w:r>
      <w:bookmarkEnd w:id="501"/>
      <w:bookmarkEnd w:id="502"/>
    </w:p>
    <w:p w14:paraId="64888A5C">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（1）上级部门随机安排对中标方的日常工</w:t>
      </w:r>
      <w:r>
        <w:rPr>
          <w:rFonts w:hint="eastAsia" w:ascii="宋体" w:hAnsi="宋体" w:eastAsia="宋体" w:cs="宋体"/>
          <w:bCs/>
          <w:color w:val="auto"/>
          <w:sz w:val="24"/>
          <w:szCs w:val="24"/>
          <w:highlight w:val="none"/>
          <w:lang w:val="en-US" w:eastAsia="zh-CN"/>
        </w:rPr>
        <w:t>作进行检查，如检查情况不达标，上级部门可开出整改通知单，中标应按通知要求内容整改，如整改不及时、不到位，上级部门有权开具罚款单，如拒绝整改的，上级部门有权派施工人员进驻现场整改，并按双倍工程款计取并在年度养护费中扣除。</w:t>
      </w:r>
    </w:p>
    <w:p w14:paraId="65A47698">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default"/>
          <w:color w:val="auto"/>
          <w:highlight w:val="none"/>
          <w:lang w:val="en-US" w:eastAsia="zh-CN"/>
        </w:rPr>
      </w:pPr>
      <w:r>
        <w:rPr>
          <w:rFonts w:hint="eastAsia" w:ascii="宋体" w:hAnsi="宋体" w:eastAsia="宋体" w:cs="宋体"/>
          <w:bCs/>
          <w:color w:val="auto"/>
          <w:sz w:val="24"/>
          <w:szCs w:val="24"/>
          <w:highlight w:val="none"/>
          <w:lang w:val="en-US" w:eastAsia="zh-CN"/>
        </w:rPr>
        <w:t>（2）中标单位养护范围内若在每月考核、季度考核中未达到85分以上（折算后），上级部门按当年度养护费的5%至30%进行处罚，若年度考核中考核评分未能在85分及以上的（折算后），上级部门有权按年度养护费的50%以上扣除，并由中标单位承担全部整改费用，甲方视情况有权终止合同。</w:t>
      </w:r>
    </w:p>
    <w:p w14:paraId="353699FE">
      <w:pPr>
        <w:spacing w:line="560" w:lineRule="exact"/>
        <w:rPr>
          <w:rFonts w:hint="eastAsia" w:ascii="宋体" w:hAnsi="宋体" w:cs="宋体"/>
          <w:b/>
          <w:bCs/>
          <w:color w:val="auto"/>
          <w:sz w:val="32"/>
          <w:szCs w:val="32"/>
          <w:highlight w:val="none"/>
        </w:rPr>
      </w:pPr>
    </w:p>
    <w:p w14:paraId="3AC7071E">
      <w:pPr>
        <w:spacing w:line="560" w:lineRule="exact"/>
        <w:ind w:firstLine="643" w:firstLineChars="200"/>
        <w:rPr>
          <w:rFonts w:ascii="宋体" w:hAnsi="宋体" w:cs="宋体"/>
          <w:b/>
          <w:bCs/>
          <w:color w:val="auto"/>
          <w:sz w:val="32"/>
          <w:szCs w:val="32"/>
          <w:highlight w:val="none"/>
        </w:rPr>
      </w:pPr>
      <w:r>
        <w:rPr>
          <w:rFonts w:hint="eastAsia" w:ascii="宋体" w:hAnsi="宋体" w:cs="宋体"/>
          <w:b/>
          <w:bCs/>
          <w:color w:val="auto"/>
          <w:sz w:val="32"/>
          <w:szCs w:val="32"/>
          <w:highlight w:val="none"/>
        </w:rPr>
        <w:t>附件</w:t>
      </w:r>
      <w:r>
        <w:rPr>
          <w:rFonts w:hint="eastAsia" w:ascii="黑体" w:hAnsi="黑体" w:eastAsia="黑体"/>
          <w:b/>
          <w:bCs/>
          <w:color w:val="auto"/>
          <w:sz w:val="36"/>
          <w:szCs w:val="36"/>
          <w:highlight w:val="none"/>
        </w:rPr>
        <w:t xml:space="preserve">     </w:t>
      </w:r>
      <w:r>
        <w:rPr>
          <w:rFonts w:hint="eastAsia" w:ascii="宋体" w:hAnsi="宋体" w:cs="宋体"/>
          <w:b/>
          <w:bCs/>
          <w:color w:val="auto"/>
          <w:sz w:val="32"/>
          <w:szCs w:val="32"/>
          <w:highlight w:val="none"/>
        </w:rPr>
        <w:t>农村</w:t>
      </w:r>
      <w:r>
        <w:rPr>
          <w:rFonts w:hint="eastAsia" w:ascii="宋体" w:hAnsi="宋体" w:cs="宋体"/>
          <w:b/>
          <w:bCs/>
          <w:color w:val="auto"/>
          <w:sz w:val="32"/>
          <w:szCs w:val="32"/>
          <w:highlight w:val="none"/>
          <w:lang w:eastAsia="zh-CN"/>
        </w:rPr>
        <w:t>人居环境</w:t>
      </w:r>
      <w:r>
        <w:rPr>
          <w:rFonts w:hint="eastAsia" w:ascii="宋体" w:hAnsi="宋体" w:cs="宋体"/>
          <w:b/>
          <w:bCs/>
          <w:color w:val="auto"/>
          <w:sz w:val="32"/>
          <w:szCs w:val="32"/>
          <w:highlight w:val="none"/>
        </w:rPr>
        <w:t>长效保洁考核评分表</w:t>
      </w:r>
    </w:p>
    <w:p w14:paraId="64FD9E78">
      <w:pPr>
        <w:spacing w:before="62" w:beforeLines="20" w:after="62" w:afterLines="20"/>
        <w:ind w:firstLine="210" w:firstLineChars="100"/>
        <w:rPr>
          <w:rFonts w:hint="eastAsia"/>
          <w:color w:val="auto"/>
          <w:highlight w:val="none"/>
        </w:rPr>
      </w:pPr>
      <w:r>
        <w:rPr>
          <w:rFonts w:hint="eastAsia"/>
          <w:color w:val="auto"/>
          <w:highlight w:val="none"/>
        </w:rPr>
        <w:t xml:space="preserve">_____________村（居）   </w:t>
      </w:r>
      <w:r>
        <w:rPr>
          <w:rFonts w:hint="eastAsia"/>
          <w:color w:val="auto"/>
          <w:highlight w:val="none"/>
          <w:lang w:val="en-US" w:eastAsia="zh-CN"/>
        </w:rPr>
        <w:t xml:space="preserve">      </w:t>
      </w:r>
      <w:r>
        <w:rPr>
          <w:rFonts w:hint="eastAsia"/>
          <w:color w:val="auto"/>
          <w:highlight w:val="none"/>
        </w:rPr>
        <w:t xml:space="preserve"> 检查时间：____年____月____日       得分（总分100）</w:t>
      </w:r>
    </w:p>
    <w:tbl>
      <w:tblPr>
        <w:tblStyle w:val="30"/>
        <w:tblW w:w="9123" w:type="dxa"/>
        <w:tblInd w:w="-298" w:type="dxa"/>
        <w:tblLayout w:type="fixed"/>
        <w:tblCellMar>
          <w:top w:w="0" w:type="dxa"/>
          <w:left w:w="108" w:type="dxa"/>
          <w:bottom w:w="0" w:type="dxa"/>
          <w:right w:w="108" w:type="dxa"/>
        </w:tblCellMar>
      </w:tblPr>
      <w:tblGrid>
        <w:gridCol w:w="1538"/>
        <w:gridCol w:w="817"/>
        <w:gridCol w:w="5951"/>
        <w:gridCol w:w="817"/>
      </w:tblGrid>
      <w:tr w14:paraId="61F0931C">
        <w:trPr>
          <w:trHeight w:val="640" w:hRule="atLeast"/>
        </w:trPr>
        <w:tc>
          <w:tcPr>
            <w:tcW w:w="1538" w:type="dxa"/>
            <w:tcBorders>
              <w:top w:val="single" w:color="auto" w:sz="4" w:space="0"/>
              <w:left w:val="single" w:color="auto" w:sz="4" w:space="0"/>
              <w:bottom w:val="single" w:color="auto" w:sz="4" w:space="0"/>
              <w:right w:val="single" w:color="auto" w:sz="4" w:space="0"/>
            </w:tcBorders>
            <w:noWrap w:val="0"/>
            <w:vAlign w:val="center"/>
          </w:tcPr>
          <w:p w14:paraId="5F18151F">
            <w:pPr>
              <w:keepLines w:val="0"/>
              <w:pageBreakBefore w:val="0"/>
              <w:tabs>
                <w:tab w:val="left" w:pos="274"/>
                <w:tab w:val="center" w:pos="1081"/>
              </w:tabs>
              <w:kinsoku/>
              <w:wordWrap/>
              <w:overflowPunct/>
              <w:topLinePunct w:val="0"/>
              <w:autoSpaceDE/>
              <w:autoSpaceDN/>
              <w:bidi w:val="0"/>
              <w:adjustRightInd/>
              <w:snapToGrid/>
              <w:spacing w:line="380" w:lineRule="exact"/>
              <w:ind w:right="119" w:rightChars="0" w:firstLine="482" w:firstLineChars="200"/>
              <w:jc w:val="center"/>
              <w:textAlignment w:val="auto"/>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val="en-US" w:eastAsia="zh-CN"/>
              </w:rPr>
              <w:t>项目</w:t>
            </w:r>
          </w:p>
        </w:tc>
        <w:tc>
          <w:tcPr>
            <w:tcW w:w="817" w:type="dxa"/>
            <w:tcBorders>
              <w:top w:val="single" w:color="auto" w:sz="4" w:space="0"/>
              <w:left w:val="nil"/>
              <w:bottom w:val="nil"/>
              <w:right w:val="single" w:color="auto" w:sz="4" w:space="0"/>
            </w:tcBorders>
            <w:noWrap w:val="0"/>
            <w:vAlign w:val="center"/>
          </w:tcPr>
          <w:p w14:paraId="41F5EC0A">
            <w:pPr>
              <w:keepLines w:val="0"/>
              <w:pageBreakBefore w:val="0"/>
              <w:kinsoku/>
              <w:wordWrap/>
              <w:overflowPunct/>
              <w:topLinePunct w:val="0"/>
              <w:autoSpaceDE/>
              <w:autoSpaceDN/>
              <w:bidi w:val="0"/>
              <w:adjustRightInd/>
              <w:snapToGrid/>
              <w:spacing w:line="380" w:lineRule="exact"/>
              <w:ind w:right="119" w:rightChars="0"/>
              <w:jc w:val="center"/>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分值</w:t>
            </w:r>
          </w:p>
        </w:tc>
        <w:tc>
          <w:tcPr>
            <w:tcW w:w="5951" w:type="dxa"/>
            <w:tcBorders>
              <w:top w:val="single" w:color="auto" w:sz="4" w:space="0"/>
              <w:left w:val="nil"/>
              <w:bottom w:val="nil"/>
              <w:right w:val="single" w:color="auto" w:sz="4" w:space="0"/>
            </w:tcBorders>
            <w:noWrap w:val="0"/>
            <w:vAlign w:val="center"/>
          </w:tcPr>
          <w:p w14:paraId="0A04BC04">
            <w:pPr>
              <w:keepLines w:val="0"/>
              <w:pageBreakBefore w:val="0"/>
              <w:kinsoku/>
              <w:wordWrap/>
              <w:overflowPunct/>
              <w:topLinePunct w:val="0"/>
              <w:autoSpaceDE/>
              <w:autoSpaceDN/>
              <w:bidi w:val="0"/>
              <w:adjustRightInd/>
              <w:snapToGrid/>
              <w:spacing w:line="380" w:lineRule="exact"/>
              <w:ind w:right="119" w:rightChars="0"/>
              <w:jc w:val="center"/>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考核标准</w:t>
            </w:r>
          </w:p>
        </w:tc>
        <w:tc>
          <w:tcPr>
            <w:tcW w:w="817" w:type="dxa"/>
            <w:tcBorders>
              <w:top w:val="single" w:color="auto" w:sz="4" w:space="0"/>
              <w:left w:val="nil"/>
              <w:bottom w:val="nil"/>
              <w:right w:val="single" w:color="auto" w:sz="4" w:space="0"/>
            </w:tcBorders>
            <w:noWrap w:val="0"/>
            <w:vAlign w:val="center"/>
          </w:tcPr>
          <w:p w14:paraId="29DF6C65">
            <w:pPr>
              <w:keepLines w:val="0"/>
              <w:pageBreakBefore w:val="0"/>
              <w:kinsoku/>
              <w:wordWrap/>
              <w:overflowPunct/>
              <w:topLinePunct w:val="0"/>
              <w:autoSpaceDE/>
              <w:autoSpaceDN/>
              <w:bidi w:val="0"/>
              <w:adjustRightInd/>
              <w:snapToGrid/>
              <w:spacing w:line="380" w:lineRule="exact"/>
              <w:ind w:right="119" w:rightChars="0"/>
              <w:jc w:val="center"/>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扣分</w:t>
            </w:r>
          </w:p>
        </w:tc>
      </w:tr>
      <w:tr w14:paraId="5D47B2DC">
        <w:tblPrEx>
          <w:tblCellMar>
            <w:top w:w="0" w:type="dxa"/>
            <w:left w:w="108" w:type="dxa"/>
            <w:bottom w:w="0" w:type="dxa"/>
            <w:right w:w="108" w:type="dxa"/>
          </w:tblCellMar>
        </w:tblPrEx>
        <w:trPr>
          <w:trHeight w:val="647" w:hRule="atLeast"/>
        </w:trPr>
        <w:tc>
          <w:tcPr>
            <w:tcW w:w="1538" w:type="dxa"/>
            <w:tcBorders>
              <w:top w:val="single" w:color="auto" w:sz="4" w:space="0"/>
              <w:left w:val="single" w:color="auto" w:sz="4" w:space="0"/>
              <w:bottom w:val="single" w:color="auto" w:sz="4" w:space="0"/>
              <w:right w:val="single" w:color="auto" w:sz="4" w:space="0"/>
            </w:tcBorders>
            <w:noWrap w:val="0"/>
            <w:vAlign w:val="center"/>
          </w:tcPr>
          <w:p w14:paraId="38A633F4">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体制机制</w:t>
            </w:r>
          </w:p>
          <w:p w14:paraId="01CE4AD0">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eastAsia="zh-CN"/>
              </w:rPr>
              <w:t>分</w:t>
            </w:r>
            <w:r>
              <w:rPr>
                <w:rFonts w:hint="eastAsia" w:ascii="宋体" w:hAnsi="宋体" w:eastAsia="宋体" w:cs="宋体"/>
                <w:color w:val="auto"/>
                <w:sz w:val="24"/>
                <w:szCs w:val="24"/>
                <w:highlight w:val="none"/>
              </w:rPr>
              <w:t>）</w:t>
            </w:r>
          </w:p>
        </w:tc>
        <w:tc>
          <w:tcPr>
            <w:tcW w:w="817" w:type="dxa"/>
            <w:tcBorders>
              <w:top w:val="single" w:color="auto" w:sz="4" w:space="0"/>
              <w:left w:val="nil"/>
              <w:bottom w:val="single" w:color="auto" w:sz="4" w:space="0"/>
              <w:right w:val="single" w:color="auto" w:sz="4" w:space="0"/>
            </w:tcBorders>
            <w:noWrap w:val="0"/>
            <w:vAlign w:val="center"/>
          </w:tcPr>
          <w:p w14:paraId="45A21DC9">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eastAsia="zh-CN"/>
              </w:rPr>
              <w:t>分</w:t>
            </w:r>
          </w:p>
        </w:tc>
        <w:tc>
          <w:tcPr>
            <w:tcW w:w="5951" w:type="dxa"/>
            <w:tcBorders>
              <w:top w:val="single" w:color="auto" w:sz="4" w:space="0"/>
              <w:left w:val="nil"/>
              <w:bottom w:val="single" w:color="auto" w:sz="4" w:space="0"/>
              <w:right w:val="single" w:color="auto" w:sz="4" w:space="0"/>
            </w:tcBorders>
            <w:noWrap w:val="0"/>
            <w:vAlign w:val="top"/>
          </w:tcPr>
          <w:p w14:paraId="1BD3B0E4">
            <w:pPr>
              <w:spacing w:line="320" w:lineRule="exact"/>
              <w:ind w:firstLine="480" w:firstLineChars="200"/>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工作人员配置固定、合理</w:t>
            </w:r>
            <w:r>
              <w:rPr>
                <w:rFonts w:hint="eastAsia" w:ascii="宋体" w:hAnsi="宋体" w:eastAsia="宋体" w:cs="宋体"/>
                <w:color w:val="auto"/>
                <w:sz w:val="24"/>
                <w:szCs w:val="24"/>
                <w:highlight w:val="none"/>
              </w:rPr>
              <w:t>，有保洁记录并及时更新。每发现一处问题扣1分</w:t>
            </w:r>
          </w:p>
        </w:tc>
        <w:tc>
          <w:tcPr>
            <w:tcW w:w="817" w:type="dxa"/>
            <w:tcBorders>
              <w:top w:val="single" w:color="auto" w:sz="4" w:space="0"/>
              <w:left w:val="nil"/>
              <w:bottom w:val="single" w:color="auto" w:sz="4" w:space="0"/>
              <w:right w:val="single" w:color="auto" w:sz="4" w:space="0"/>
            </w:tcBorders>
            <w:noWrap w:val="0"/>
            <w:vAlign w:val="center"/>
          </w:tcPr>
          <w:p w14:paraId="6889D178">
            <w:pPr>
              <w:keepLines w:val="0"/>
              <w:pageBreakBefore w:val="0"/>
              <w:kinsoku/>
              <w:wordWrap/>
              <w:overflowPunct/>
              <w:topLinePunct w:val="0"/>
              <w:autoSpaceDE/>
              <w:autoSpaceDN/>
              <w:bidi w:val="0"/>
              <w:adjustRightInd/>
              <w:snapToGrid/>
              <w:spacing w:line="380" w:lineRule="exact"/>
              <w:ind w:right="119" w:rightChars="0" w:firstLine="420" w:firstLineChars="200"/>
              <w:textAlignment w:val="auto"/>
              <w:rPr>
                <w:rFonts w:hint="eastAsia" w:ascii="宋体" w:hAnsi="宋体" w:eastAsia="宋体" w:cs="宋体"/>
                <w:color w:val="auto"/>
                <w:sz w:val="21"/>
                <w:szCs w:val="21"/>
                <w:highlight w:val="none"/>
                <w:lang w:val="en-US" w:eastAsia="zh-CN"/>
              </w:rPr>
            </w:pPr>
          </w:p>
        </w:tc>
      </w:tr>
      <w:tr w14:paraId="2748D922">
        <w:tblPrEx>
          <w:tblCellMar>
            <w:top w:w="0" w:type="dxa"/>
            <w:left w:w="108" w:type="dxa"/>
            <w:bottom w:w="0" w:type="dxa"/>
            <w:right w:w="108" w:type="dxa"/>
          </w:tblCellMar>
        </w:tblPrEx>
        <w:trPr>
          <w:trHeight w:val="900" w:hRule="atLeast"/>
        </w:trPr>
        <w:tc>
          <w:tcPr>
            <w:tcW w:w="1538" w:type="dxa"/>
            <w:vMerge w:val="restart"/>
            <w:tcBorders>
              <w:top w:val="single" w:color="auto" w:sz="4" w:space="0"/>
              <w:left w:val="single" w:color="auto" w:sz="4" w:space="0"/>
              <w:right w:val="single" w:color="auto" w:sz="4" w:space="0"/>
            </w:tcBorders>
            <w:noWrap w:val="0"/>
            <w:vAlign w:val="center"/>
          </w:tcPr>
          <w:p w14:paraId="660F47EC">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垃圾分类</w:t>
            </w:r>
          </w:p>
          <w:p w14:paraId="3AB43385">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（25</w:t>
            </w:r>
            <w:r>
              <w:rPr>
                <w:rFonts w:hint="eastAsia" w:ascii="宋体" w:hAnsi="宋体" w:eastAsia="宋体" w:cs="宋体"/>
                <w:color w:val="auto"/>
                <w:sz w:val="24"/>
                <w:szCs w:val="24"/>
                <w:highlight w:val="none"/>
                <w:lang w:eastAsia="zh-CN"/>
              </w:rPr>
              <w:t>分</w:t>
            </w:r>
            <w:r>
              <w:rPr>
                <w:rFonts w:hint="eastAsia" w:ascii="宋体" w:hAnsi="宋体" w:eastAsia="宋体" w:cs="宋体"/>
                <w:color w:val="auto"/>
                <w:sz w:val="24"/>
                <w:szCs w:val="24"/>
                <w:highlight w:val="none"/>
              </w:rPr>
              <w:t>）</w:t>
            </w:r>
          </w:p>
        </w:tc>
        <w:tc>
          <w:tcPr>
            <w:tcW w:w="817" w:type="dxa"/>
            <w:tcBorders>
              <w:top w:val="nil"/>
              <w:left w:val="nil"/>
              <w:bottom w:val="single" w:color="auto" w:sz="4" w:space="0"/>
              <w:right w:val="single" w:color="auto" w:sz="4" w:space="0"/>
            </w:tcBorders>
            <w:noWrap w:val="0"/>
            <w:vAlign w:val="center"/>
          </w:tcPr>
          <w:p w14:paraId="4F730155">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eastAsia="zh-CN"/>
              </w:rPr>
              <w:t>分</w:t>
            </w:r>
          </w:p>
        </w:tc>
        <w:tc>
          <w:tcPr>
            <w:tcW w:w="5951" w:type="dxa"/>
            <w:tcBorders>
              <w:top w:val="nil"/>
              <w:left w:val="nil"/>
              <w:bottom w:val="single" w:color="auto" w:sz="4" w:space="0"/>
              <w:right w:val="single" w:color="auto" w:sz="4" w:space="0"/>
            </w:tcBorders>
            <w:noWrap w:val="0"/>
            <w:vAlign w:val="top"/>
          </w:tcPr>
          <w:p w14:paraId="00F9DF48">
            <w:pPr>
              <w:spacing w:line="320" w:lineRule="exact"/>
              <w:ind w:firstLine="504" w:firstLineChars="200"/>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spacing w:val="6"/>
                <w:kern w:val="0"/>
                <w:sz w:val="24"/>
                <w:szCs w:val="24"/>
                <w:highlight w:val="none"/>
              </w:rPr>
              <w:t>垃圾分类宣传</w:t>
            </w:r>
            <w:r>
              <w:rPr>
                <w:rFonts w:hint="eastAsia" w:ascii="宋体" w:hAnsi="宋体" w:eastAsia="宋体" w:cs="宋体"/>
                <w:color w:val="auto"/>
                <w:spacing w:val="6"/>
                <w:kern w:val="0"/>
                <w:sz w:val="24"/>
                <w:szCs w:val="24"/>
                <w:highlight w:val="none"/>
                <w:lang w:eastAsia="zh-CN"/>
              </w:rPr>
              <w:t>窗设施管护到位</w:t>
            </w:r>
            <w:r>
              <w:rPr>
                <w:rFonts w:hint="eastAsia" w:ascii="宋体" w:hAnsi="宋体" w:eastAsia="宋体" w:cs="宋体"/>
                <w:color w:val="auto"/>
                <w:spacing w:val="6"/>
                <w:kern w:val="0"/>
                <w:sz w:val="24"/>
                <w:szCs w:val="24"/>
                <w:highlight w:val="none"/>
              </w:rPr>
              <w:t>，荣誉榜</w:t>
            </w:r>
            <w:r>
              <w:rPr>
                <w:rFonts w:hint="eastAsia" w:ascii="宋体" w:hAnsi="宋体" w:eastAsia="宋体" w:cs="宋体"/>
                <w:color w:val="auto"/>
                <w:spacing w:val="6"/>
                <w:kern w:val="0"/>
                <w:sz w:val="24"/>
                <w:szCs w:val="24"/>
                <w:highlight w:val="none"/>
                <w:lang w:eastAsia="zh-CN"/>
              </w:rPr>
              <w:t>信息</w:t>
            </w:r>
            <w:r>
              <w:rPr>
                <w:rFonts w:hint="eastAsia" w:ascii="宋体" w:hAnsi="宋体" w:eastAsia="宋体" w:cs="宋体"/>
                <w:color w:val="auto"/>
                <w:spacing w:val="6"/>
                <w:kern w:val="0"/>
                <w:sz w:val="24"/>
                <w:szCs w:val="24"/>
                <w:highlight w:val="none"/>
              </w:rPr>
              <w:t>及时更新；</w:t>
            </w:r>
            <w:r>
              <w:rPr>
                <w:rFonts w:hint="eastAsia" w:ascii="宋体" w:hAnsi="宋体" w:eastAsia="宋体" w:cs="宋体"/>
                <w:color w:val="auto"/>
                <w:sz w:val="24"/>
                <w:szCs w:val="24"/>
                <w:highlight w:val="none"/>
              </w:rPr>
              <w:t>每发现一处问题扣1分</w:t>
            </w:r>
          </w:p>
        </w:tc>
        <w:tc>
          <w:tcPr>
            <w:tcW w:w="817" w:type="dxa"/>
            <w:tcBorders>
              <w:top w:val="nil"/>
              <w:left w:val="nil"/>
              <w:bottom w:val="single" w:color="auto" w:sz="4" w:space="0"/>
              <w:right w:val="single" w:color="auto" w:sz="4" w:space="0"/>
            </w:tcBorders>
            <w:noWrap w:val="0"/>
            <w:vAlign w:val="center"/>
          </w:tcPr>
          <w:p w14:paraId="185E73A5">
            <w:pPr>
              <w:keepLines w:val="0"/>
              <w:pageBreakBefore w:val="0"/>
              <w:kinsoku/>
              <w:wordWrap/>
              <w:overflowPunct/>
              <w:topLinePunct w:val="0"/>
              <w:autoSpaceDE/>
              <w:autoSpaceDN/>
              <w:bidi w:val="0"/>
              <w:adjustRightInd/>
              <w:snapToGrid/>
              <w:spacing w:line="380" w:lineRule="exact"/>
              <w:ind w:right="119" w:rightChars="0" w:firstLine="420" w:firstLineChars="200"/>
              <w:textAlignment w:val="auto"/>
              <w:rPr>
                <w:rFonts w:hint="eastAsia" w:ascii="宋体" w:hAnsi="宋体" w:eastAsia="宋体" w:cs="宋体"/>
                <w:color w:val="auto"/>
                <w:sz w:val="21"/>
                <w:szCs w:val="21"/>
                <w:highlight w:val="none"/>
              </w:rPr>
            </w:pPr>
          </w:p>
        </w:tc>
      </w:tr>
      <w:tr w14:paraId="6E162EE1">
        <w:tblPrEx>
          <w:tblCellMar>
            <w:top w:w="0" w:type="dxa"/>
            <w:left w:w="108" w:type="dxa"/>
            <w:bottom w:w="0" w:type="dxa"/>
            <w:right w:w="108" w:type="dxa"/>
          </w:tblCellMar>
        </w:tblPrEx>
        <w:trPr>
          <w:trHeight w:val="570" w:hRule="atLeast"/>
        </w:trPr>
        <w:tc>
          <w:tcPr>
            <w:tcW w:w="1538" w:type="dxa"/>
            <w:vMerge w:val="continue"/>
            <w:tcBorders>
              <w:left w:val="single" w:color="auto" w:sz="4" w:space="0"/>
              <w:right w:val="single" w:color="auto" w:sz="4" w:space="0"/>
            </w:tcBorders>
            <w:noWrap w:val="0"/>
            <w:vAlign w:val="center"/>
          </w:tcPr>
          <w:p w14:paraId="47FD4E08">
            <w:pPr>
              <w:keepLines w:val="0"/>
              <w:pageBreakBefore w:val="0"/>
              <w:kinsoku/>
              <w:wordWrap/>
              <w:overflowPunct/>
              <w:topLinePunct w:val="0"/>
              <w:autoSpaceDE/>
              <w:autoSpaceDN/>
              <w:bidi w:val="0"/>
              <w:adjustRightInd/>
              <w:snapToGrid/>
              <w:spacing w:line="360" w:lineRule="auto"/>
              <w:ind w:right="119" w:rightChars="0" w:firstLine="480" w:firstLineChars="200"/>
              <w:jc w:val="center"/>
              <w:textAlignment w:val="auto"/>
              <w:rPr>
                <w:rFonts w:hint="eastAsia" w:ascii="宋体" w:hAnsi="宋体" w:eastAsia="宋体" w:cs="宋体"/>
                <w:color w:val="auto"/>
                <w:sz w:val="24"/>
                <w:szCs w:val="24"/>
                <w:highlight w:val="none"/>
              </w:rPr>
            </w:pPr>
          </w:p>
        </w:tc>
        <w:tc>
          <w:tcPr>
            <w:tcW w:w="817" w:type="dxa"/>
            <w:tcBorders>
              <w:top w:val="nil"/>
              <w:left w:val="nil"/>
              <w:bottom w:val="single" w:color="auto" w:sz="4" w:space="0"/>
              <w:right w:val="single" w:color="auto" w:sz="4" w:space="0"/>
            </w:tcBorders>
            <w:noWrap w:val="0"/>
            <w:vAlign w:val="center"/>
          </w:tcPr>
          <w:p w14:paraId="264C807C">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5</w:t>
            </w:r>
            <w:r>
              <w:rPr>
                <w:rFonts w:hint="eastAsia" w:ascii="宋体" w:hAnsi="宋体" w:eastAsia="宋体" w:cs="宋体"/>
                <w:color w:val="auto"/>
                <w:sz w:val="24"/>
                <w:szCs w:val="24"/>
                <w:highlight w:val="none"/>
                <w:lang w:eastAsia="zh-CN"/>
              </w:rPr>
              <w:t>分</w:t>
            </w:r>
          </w:p>
        </w:tc>
        <w:tc>
          <w:tcPr>
            <w:tcW w:w="5951" w:type="dxa"/>
            <w:tcBorders>
              <w:top w:val="nil"/>
              <w:left w:val="nil"/>
              <w:bottom w:val="single" w:color="auto" w:sz="4" w:space="0"/>
              <w:right w:val="single" w:color="auto" w:sz="4" w:space="0"/>
            </w:tcBorders>
            <w:noWrap w:val="0"/>
            <w:vAlign w:val="top"/>
          </w:tcPr>
          <w:p w14:paraId="121540E7">
            <w:pPr>
              <w:spacing w:line="320" w:lineRule="exact"/>
              <w:ind w:firstLine="504" w:firstLineChars="200"/>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spacing w:val="6"/>
                <w:kern w:val="0"/>
                <w:sz w:val="24"/>
                <w:szCs w:val="24"/>
                <w:highlight w:val="none"/>
              </w:rPr>
              <w:t>每个自然村4分法垃圾桶放置点，正确摆放垃圾桶；垃圾清运车及时维修保养</w:t>
            </w:r>
            <w:r>
              <w:rPr>
                <w:rFonts w:hint="eastAsia" w:ascii="宋体" w:hAnsi="宋体" w:eastAsia="宋体" w:cs="宋体"/>
                <w:color w:val="auto"/>
                <w:sz w:val="24"/>
                <w:szCs w:val="24"/>
                <w:highlight w:val="none"/>
              </w:rPr>
              <w:t>。每发现一处问题扣1分</w:t>
            </w:r>
          </w:p>
        </w:tc>
        <w:tc>
          <w:tcPr>
            <w:tcW w:w="817" w:type="dxa"/>
            <w:tcBorders>
              <w:top w:val="nil"/>
              <w:left w:val="nil"/>
              <w:bottom w:val="single" w:color="auto" w:sz="4" w:space="0"/>
              <w:right w:val="single" w:color="auto" w:sz="4" w:space="0"/>
            </w:tcBorders>
            <w:noWrap w:val="0"/>
            <w:vAlign w:val="center"/>
          </w:tcPr>
          <w:p w14:paraId="7A05CB07">
            <w:pPr>
              <w:keepLines w:val="0"/>
              <w:pageBreakBefore w:val="0"/>
              <w:kinsoku/>
              <w:wordWrap/>
              <w:overflowPunct/>
              <w:topLinePunct w:val="0"/>
              <w:autoSpaceDE/>
              <w:autoSpaceDN/>
              <w:bidi w:val="0"/>
              <w:adjustRightInd/>
              <w:snapToGrid/>
              <w:spacing w:line="380" w:lineRule="exact"/>
              <w:ind w:right="119" w:rightChars="0" w:firstLine="420" w:firstLineChars="200"/>
              <w:textAlignment w:val="auto"/>
              <w:rPr>
                <w:rFonts w:hint="eastAsia" w:ascii="宋体" w:hAnsi="宋体" w:eastAsia="宋体" w:cs="宋体"/>
                <w:color w:val="auto"/>
                <w:sz w:val="21"/>
                <w:szCs w:val="21"/>
                <w:highlight w:val="none"/>
              </w:rPr>
            </w:pPr>
          </w:p>
        </w:tc>
      </w:tr>
      <w:tr w14:paraId="37C12478">
        <w:tblPrEx>
          <w:tblCellMar>
            <w:top w:w="0" w:type="dxa"/>
            <w:left w:w="108" w:type="dxa"/>
            <w:bottom w:w="0" w:type="dxa"/>
            <w:right w:w="108" w:type="dxa"/>
          </w:tblCellMar>
        </w:tblPrEx>
        <w:trPr>
          <w:trHeight w:val="570" w:hRule="atLeast"/>
        </w:trPr>
        <w:tc>
          <w:tcPr>
            <w:tcW w:w="1538" w:type="dxa"/>
            <w:vMerge w:val="continue"/>
            <w:tcBorders>
              <w:left w:val="single" w:color="auto" w:sz="4" w:space="0"/>
              <w:right w:val="single" w:color="auto" w:sz="4" w:space="0"/>
            </w:tcBorders>
            <w:noWrap w:val="0"/>
            <w:vAlign w:val="center"/>
          </w:tcPr>
          <w:p w14:paraId="27850866">
            <w:pPr>
              <w:keepLines w:val="0"/>
              <w:pageBreakBefore w:val="0"/>
              <w:kinsoku/>
              <w:wordWrap/>
              <w:overflowPunct/>
              <w:topLinePunct w:val="0"/>
              <w:autoSpaceDE/>
              <w:autoSpaceDN/>
              <w:bidi w:val="0"/>
              <w:adjustRightInd/>
              <w:snapToGrid/>
              <w:spacing w:line="360" w:lineRule="auto"/>
              <w:ind w:right="119" w:rightChars="0" w:firstLine="480" w:firstLineChars="200"/>
              <w:jc w:val="center"/>
              <w:textAlignment w:val="auto"/>
              <w:rPr>
                <w:rFonts w:hint="eastAsia" w:ascii="宋体" w:hAnsi="宋体" w:eastAsia="宋体" w:cs="宋体"/>
                <w:color w:val="auto"/>
                <w:sz w:val="24"/>
                <w:szCs w:val="24"/>
                <w:highlight w:val="none"/>
              </w:rPr>
            </w:pPr>
          </w:p>
        </w:tc>
        <w:tc>
          <w:tcPr>
            <w:tcW w:w="817" w:type="dxa"/>
            <w:tcBorders>
              <w:top w:val="nil"/>
              <w:left w:val="nil"/>
              <w:bottom w:val="single" w:color="auto" w:sz="4" w:space="0"/>
              <w:right w:val="single" w:color="auto" w:sz="4" w:space="0"/>
            </w:tcBorders>
            <w:noWrap w:val="0"/>
            <w:vAlign w:val="center"/>
          </w:tcPr>
          <w:p w14:paraId="4EDD10F2">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7</w:t>
            </w:r>
            <w:r>
              <w:rPr>
                <w:rFonts w:hint="eastAsia" w:ascii="宋体" w:hAnsi="宋体" w:eastAsia="宋体" w:cs="宋体"/>
                <w:color w:val="auto"/>
                <w:sz w:val="24"/>
                <w:szCs w:val="24"/>
                <w:highlight w:val="none"/>
                <w:lang w:eastAsia="zh-CN"/>
              </w:rPr>
              <w:t>分</w:t>
            </w:r>
          </w:p>
        </w:tc>
        <w:tc>
          <w:tcPr>
            <w:tcW w:w="5951" w:type="dxa"/>
            <w:tcBorders>
              <w:top w:val="nil"/>
              <w:left w:val="nil"/>
              <w:bottom w:val="single" w:color="auto" w:sz="4" w:space="0"/>
              <w:right w:val="single" w:color="auto" w:sz="4" w:space="0"/>
            </w:tcBorders>
            <w:noWrap w:val="0"/>
            <w:vAlign w:val="top"/>
          </w:tcPr>
          <w:p w14:paraId="63CE7BFD">
            <w:pPr>
              <w:spacing w:line="320" w:lineRule="exact"/>
              <w:ind w:firstLine="504" w:firstLineChars="200"/>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pacing w:val="6"/>
                <w:kern w:val="0"/>
                <w:sz w:val="24"/>
                <w:szCs w:val="24"/>
                <w:highlight w:val="none"/>
              </w:rPr>
              <w:t>村内垃圾桶桶体无破损、周边洁净无垃圾满溢，垃圾桶集置点整洁、地面</w:t>
            </w:r>
            <w:r>
              <w:rPr>
                <w:rFonts w:hint="eastAsia" w:ascii="宋体" w:hAnsi="宋体" w:eastAsia="宋体" w:cs="宋体"/>
                <w:color w:val="auto"/>
                <w:spacing w:val="6"/>
                <w:kern w:val="0"/>
                <w:sz w:val="24"/>
                <w:szCs w:val="24"/>
                <w:highlight w:val="none"/>
                <w:lang w:eastAsia="zh-CN"/>
              </w:rPr>
              <w:t>无</w:t>
            </w:r>
            <w:r>
              <w:rPr>
                <w:rFonts w:hint="eastAsia" w:ascii="宋体" w:hAnsi="宋体" w:eastAsia="宋体" w:cs="宋体"/>
                <w:color w:val="auto"/>
                <w:spacing w:val="6"/>
                <w:kern w:val="0"/>
                <w:sz w:val="24"/>
                <w:szCs w:val="24"/>
                <w:highlight w:val="none"/>
              </w:rPr>
              <w:t>垃圾、污水，无焚烧现象。</w:t>
            </w:r>
            <w:r>
              <w:rPr>
                <w:rFonts w:hint="eastAsia" w:ascii="宋体" w:hAnsi="宋体" w:eastAsia="宋体" w:cs="宋体"/>
                <w:color w:val="auto"/>
                <w:sz w:val="24"/>
                <w:szCs w:val="24"/>
                <w:highlight w:val="none"/>
              </w:rPr>
              <w:t>每发现一处问题扣1分</w:t>
            </w:r>
          </w:p>
        </w:tc>
        <w:tc>
          <w:tcPr>
            <w:tcW w:w="817" w:type="dxa"/>
            <w:tcBorders>
              <w:top w:val="nil"/>
              <w:left w:val="nil"/>
              <w:bottom w:val="single" w:color="auto" w:sz="4" w:space="0"/>
              <w:right w:val="single" w:color="auto" w:sz="4" w:space="0"/>
            </w:tcBorders>
            <w:noWrap w:val="0"/>
            <w:vAlign w:val="center"/>
          </w:tcPr>
          <w:p w14:paraId="1A62B944">
            <w:pPr>
              <w:keepLines w:val="0"/>
              <w:pageBreakBefore w:val="0"/>
              <w:kinsoku/>
              <w:wordWrap/>
              <w:overflowPunct/>
              <w:topLinePunct w:val="0"/>
              <w:autoSpaceDE/>
              <w:autoSpaceDN/>
              <w:bidi w:val="0"/>
              <w:adjustRightInd/>
              <w:snapToGrid/>
              <w:spacing w:line="380" w:lineRule="exact"/>
              <w:ind w:right="119" w:rightChars="0" w:firstLine="420" w:firstLineChars="200"/>
              <w:textAlignment w:val="auto"/>
              <w:rPr>
                <w:rFonts w:hint="eastAsia" w:ascii="宋体" w:hAnsi="宋体" w:eastAsia="宋体" w:cs="宋体"/>
                <w:color w:val="auto"/>
                <w:sz w:val="21"/>
                <w:szCs w:val="21"/>
                <w:highlight w:val="none"/>
                <w:lang w:val="en-US" w:eastAsia="zh-CN"/>
              </w:rPr>
            </w:pPr>
          </w:p>
        </w:tc>
      </w:tr>
      <w:tr w14:paraId="051724D9">
        <w:tblPrEx>
          <w:tblCellMar>
            <w:top w:w="0" w:type="dxa"/>
            <w:left w:w="108" w:type="dxa"/>
            <w:bottom w:w="0" w:type="dxa"/>
            <w:right w:w="108" w:type="dxa"/>
          </w:tblCellMar>
        </w:tblPrEx>
        <w:trPr>
          <w:trHeight w:val="1013" w:hRule="atLeast"/>
        </w:trPr>
        <w:tc>
          <w:tcPr>
            <w:tcW w:w="1538" w:type="dxa"/>
            <w:vMerge w:val="continue"/>
            <w:tcBorders>
              <w:left w:val="single" w:color="auto" w:sz="4" w:space="0"/>
              <w:right w:val="single" w:color="auto" w:sz="4" w:space="0"/>
            </w:tcBorders>
            <w:noWrap w:val="0"/>
            <w:vAlign w:val="center"/>
          </w:tcPr>
          <w:p w14:paraId="2DA406AD">
            <w:pPr>
              <w:keepLines w:val="0"/>
              <w:pageBreakBefore w:val="0"/>
              <w:kinsoku/>
              <w:wordWrap/>
              <w:overflowPunct/>
              <w:topLinePunct w:val="0"/>
              <w:autoSpaceDE/>
              <w:autoSpaceDN/>
              <w:bidi w:val="0"/>
              <w:adjustRightInd/>
              <w:snapToGrid/>
              <w:spacing w:line="360" w:lineRule="auto"/>
              <w:ind w:right="119" w:rightChars="0" w:firstLine="480" w:firstLineChars="200"/>
              <w:jc w:val="center"/>
              <w:textAlignment w:val="auto"/>
              <w:rPr>
                <w:rFonts w:hint="eastAsia" w:ascii="宋体" w:hAnsi="宋体" w:eastAsia="宋体" w:cs="宋体"/>
                <w:color w:val="auto"/>
                <w:sz w:val="24"/>
                <w:szCs w:val="24"/>
                <w:highlight w:val="none"/>
              </w:rPr>
            </w:pPr>
          </w:p>
        </w:tc>
        <w:tc>
          <w:tcPr>
            <w:tcW w:w="817" w:type="dxa"/>
            <w:tcBorders>
              <w:top w:val="nil"/>
              <w:left w:val="nil"/>
              <w:bottom w:val="single" w:color="auto" w:sz="4" w:space="0"/>
              <w:right w:val="single" w:color="auto" w:sz="4" w:space="0"/>
            </w:tcBorders>
            <w:noWrap w:val="0"/>
            <w:vAlign w:val="center"/>
          </w:tcPr>
          <w:p w14:paraId="0118ADC2">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lang w:eastAsia="zh-CN"/>
              </w:rPr>
              <w:t>分</w:t>
            </w:r>
          </w:p>
        </w:tc>
        <w:tc>
          <w:tcPr>
            <w:tcW w:w="5951" w:type="dxa"/>
            <w:tcBorders>
              <w:top w:val="nil"/>
              <w:left w:val="nil"/>
              <w:bottom w:val="single" w:color="auto" w:sz="4" w:space="0"/>
              <w:right w:val="single" w:color="auto" w:sz="4" w:space="0"/>
            </w:tcBorders>
            <w:noWrap w:val="0"/>
            <w:vAlign w:val="top"/>
          </w:tcPr>
          <w:p w14:paraId="1A4339F2">
            <w:pPr>
              <w:spacing w:line="320" w:lineRule="exact"/>
              <w:ind w:firstLine="480" w:firstLineChars="200"/>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生活垃圾正确分类，抽查村内垃圾桶、村内集置点，村两委班子成员、农村党员、村民代表家庭生活垃圾分类投放情况，共计20处。每发现一处问题扣0.5分</w:t>
            </w:r>
          </w:p>
        </w:tc>
        <w:tc>
          <w:tcPr>
            <w:tcW w:w="817" w:type="dxa"/>
            <w:tcBorders>
              <w:top w:val="nil"/>
              <w:left w:val="nil"/>
              <w:bottom w:val="single" w:color="auto" w:sz="4" w:space="0"/>
              <w:right w:val="single" w:color="auto" w:sz="4" w:space="0"/>
            </w:tcBorders>
            <w:noWrap w:val="0"/>
            <w:vAlign w:val="center"/>
          </w:tcPr>
          <w:p w14:paraId="526BCCE8">
            <w:pPr>
              <w:keepLines w:val="0"/>
              <w:pageBreakBefore w:val="0"/>
              <w:kinsoku/>
              <w:wordWrap/>
              <w:overflowPunct/>
              <w:topLinePunct w:val="0"/>
              <w:autoSpaceDE/>
              <w:autoSpaceDN/>
              <w:bidi w:val="0"/>
              <w:adjustRightInd/>
              <w:snapToGrid/>
              <w:spacing w:line="380" w:lineRule="exact"/>
              <w:ind w:right="119" w:rightChars="0" w:firstLine="420" w:firstLineChars="200"/>
              <w:textAlignment w:val="auto"/>
              <w:rPr>
                <w:rFonts w:hint="eastAsia" w:ascii="宋体" w:hAnsi="宋体" w:eastAsia="宋体" w:cs="宋体"/>
                <w:color w:val="auto"/>
                <w:sz w:val="21"/>
                <w:szCs w:val="21"/>
                <w:highlight w:val="none"/>
              </w:rPr>
            </w:pPr>
          </w:p>
        </w:tc>
      </w:tr>
      <w:tr w14:paraId="42F91D26">
        <w:tblPrEx>
          <w:tblCellMar>
            <w:top w:w="0" w:type="dxa"/>
            <w:left w:w="108" w:type="dxa"/>
            <w:bottom w:w="0" w:type="dxa"/>
            <w:right w:w="108" w:type="dxa"/>
          </w:tblCellMar>
        </w:tblPrEx>
        <w:trPr>
          <w:trHeight w:val="570" w:hRule="atLeast"/>
        </w:trPr>
        <w:tc>
          <w:tcPr>
            <w:tcW w:w="1538" w:type="dxa"/>
            <w:vMerge w:val="continue"/>
            <w:tcBorders>
              <w:left w:val="single" w:color="auto" w:sz="4" w:space="0"/>
              <w:bottom w:val="single" w:color="auto" w:sz="4" w:space="0"/>
              <w:right w:val="single" w:color="auto" w:sz="4" w:space="0"/>
            </w:tcBorders>
            <w:noWrap w:val="0"/>
            <w:vAlign w:val="center"/>
          </w:tcPr>
          <w:p w14:paraId="0BE6E8F9">
            <w:pPr>
              <w:keepLines w:val="0"/>
              <w:pageBreakBefore w:val="0"/>
              <w:kinsoku/>
              <w:wordWrap/>
              <w:overflowPunct/>
              <w:topLinePunct w:val="0"/>
              <w:autoSpaceDE/>
              <w:autoSpaceDN/>
              <w:bidi w:val="0"/>
              <w:adjustRightInd/>
              <w:snapToGrid/>
              <w:spacing w:line="360" w:lineRule="auto"/>
              <w:ind w:right="119" w:rightChars="0" w:firstLine="480" w:firstLineChars="200"/>
              <w:jc w:val="center"/>
              <w:textAlignment w:val="auto"/>
              <w:rPr>
                <w:rFonts w:hint="eastAsia" w:ascii="宋体" w:hAnsi="宋体" w:eastAsia="宋体" w:cs="宋体"/>
                <w:color w:val="auto"/>
                <w:sz w:val="24"/>
                <w:szCs w:val="24"/>
                <w:highlight w:val="none"/>
              </w:rPr>
            </w:pPr>
          </w:p>
        </w:tc>
        <w:tc>
          <w:tcPr>
            <w:tcW w:w="817" w:type="dxa"/>
            <w:tcBorders>
              <w:top w:val="single" w:color="auto" w:sz="4" w:space="0"/>
              <w:left w:val="nil"/>
              <w:bottom w:val="single" w:color="auto" w:sz="4" w:space="0"/>
              <w:right w:val="single" w:color="auto" w:sz="4" w:space="0"/>
            </w:tcBorders>
            <w:noWrap w:val="0"/>
            <w:vAlign w:val="center"/>
          </w:tcPr>
          <w:p w14:paraId="200549F8">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lang w:eastAsia="zh-CN"/>
              </w:rPr>
              <w:t>分</w:t>
            </w:r>
          </w:p>
        </w:tc>
        <w:tc>
          <w:tcPr>
            <w:tcW w:w="5951" w:type="dxa"/>
            <w:tcBorders>
              <w:top w:val="single" w:color="auto" w:sz="4" w:space="0"/>
              <w:left w:val="nil"/>
              <w:bottom w:val="single" w:color="auto" w:sz="4" w:space="0"/>
              <w:right w:val="single" w:color="auto" w:sz="4" w:space="0"/>
            </w:tcBorders>
            <w:noWrap w:val="0"/>
            <w:vAlign w:val="top"/>
          </w:tcPr>
          <w:p w14:paraId="76797F49">
            <w:pPr>
              <w:spacing w:line="320" w:lineRule="exact"/>
              <w:ind w:firstLine="480" w:firstLineChars="20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每月上门收集率达到</w:t>
            </w:r>
            <w:r>
              <w:rPr>
                <w:rFonts w:hint="eastAsia" w:ascii="宋体" w:hAnsi="宋体" w:eastAsia="宋体" w:cs="宋体"/>
                <w:color w:val="auto"/>
                <w:sz w:val="24"/>
                <w:szCs w:val="24"/>
                <w:highlight w:val="none"/>
                <w:lang w:val="en-US" w:eastAsia="zh-CN"/>
              </w:rPr>
              <w:t>95%，每下降1%扣0.5分；每月分类合格率达到75%，低于75%，每下降1%扣0.5分</w:t>
            </w:r>
          </w:p>
        </w:tc>
        <w:tc>
          <w:tcPr>
            <w:tcW w:w="817" w:type="dxa"/>
            <w:tcBorders>
              <w:top w:val="single" w:color="auto" w:sz="4" w:space="0"/>
              <w:left w:val="nil"/>
              <w:bottom w:val="single" w:color="auto" w:sz="4" w:space="0"/>
              <w:right w:val="single" w:color="auto" w:sz="4" w:space="0"/>
            </w:tcBorders>
            <w:noWrap w:val="0"/>
            <w:vAlign w:val="center"/>
          </w:tcPr>
          <w:p w14:paraId="664B3610">
            <w:pPr>
              <w:keepLines w:val="0"/>
              <w:pageBreakBefore w:val="0"/>
              <w:kinsoku/>
              <w:wordWrap/>
              <w:overflowPunct/>
              <w:topLinePunct w:val="0"/>
              <w:autoSpaceDE/>
              <w:autoSpaceDN/>
              <w:bidi w:val="0"/>
              <w:adjustRightInd/>
              <w:snapToGrid/>
              <w:spacing w:line="380" w:lineRule="exact"/>
              <w:ind w:right="119" w:rightChars="0" w:firstLine="420" w:firstLineChars="200"/>
              <w:textAlignment w:val="auto"/>
              <w:rPr>
                <w:rFonts w:hint="eastAsia" w:ascii="宋体" w:hAnsi="宋体" w:eastAsia="宋体" w:cs="宋体"/>
                <w:color w:val="auto"/>
                <w:sz w:val="21"/>
                <w:szCs w:val="21"/>
                <w:highlight w:val="none"/>
              </w:rPr>
            </w:pPr>
          </w:p>
        </w:tc>
      </w:tr>
      <w:tr w14:paraId="7D485E7F">
        <w:tblPrEx>
          <w:tblCellMar>
            <w:top w:w="0" w:type="dxa"/>
            <w:left w:w="108" w:type="dxa"/>
            <w:bottom w:w="0" w:type="dxa"/>
            <w:right w:w="108" w:type="dxa"/>
          </w:tblCellMar>
        </w:tblPrEx>
        <w:trPr>
          <w:trHeight w:val="570" w:hRule="atLeast"/>
        </w:trPr>
        <w:tc>
          <w:tcPr>
            <w:tcW w:w="1538" w:type="dxa"/>
            <w:vMerge w:val="restart"/>
            <w:tcBorders>
              <w:top w:val="single" w:color="auto" w:sz="4" w:space="0"/>
              <w:left w:val="single" w:color="auto" w:sz="4" w:space="0"/>
              <w:right w:val="single" w:color="auto" w:sz="4" w:space="0"/>
            </w:tcBorders>
            <w:noWrap w:val="0"/>
            <w:vAlign w:val="center"/>
          </w:tcPr>
          <w:p w14:paraId="40121C59">
            <w:pPr>
              <w:keepLines w:val="0"/>
              <w:pageBreakBefore w:val="0"/>
              <w:kinsoku/>
              <w:wordWrap/>
              <w:overflowPunct/>
              <w:topLinePunct w:val="0"/>
              <w:autoSpaceDE/>
              <w:autoSpaceDN/>
              <w:bidi w:val="0"/>
              <w:adjustRightInd/>
              <w:snapToGrid/>
              <w:spacing w:line="360" w:lineRule="auto"/>
              <w:ind w:right="119" w:rightChars="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清理</w:t>
            </w:r>
            <w:r>
              <w:rPr>
                <w:rFonts w:hint="eastAsia" w:ascii="宋体" w:hAnsi="宋体" w:eastAsia="宋体" w:cs="宋体"/>
                <w:color w:val="auto"/>
                <w:sz w:val="24"/>
                <w:szCs w:val="24"/>
                <w:highlight w:val="none"/>
                <w:lang w:eastAsia="zh-CN"/>
              </w:rPr>
              <w:t>乱堆乱放</w:t>
            </w:r>
            <w:r>
              <w:rPr>
                <w:rFonts w:hint="eastAsia" w:ascii="宋体" w:hAnsi="宋体" w:eastAsia="宋体" w:cs="宋体"/>
                <w:color w:val="auto"/>
                <w:sz w:val="24"/>
                <w:szCs w:val="24"/>
                <w:highlight w:val="none"/>
              </w:rPr>
              <w:t>（25</w:t>
            </w:r>
            <w:r>
              <w:rPr>
                <w:rFonts w:hint="eastAsia" w:ascii="宋体" w:hAnsi="宋体" w:eastAsia="宋体" w:cs="宋体"/>
                <w:color w:val="auto"/>
                <w:sz w:val="24"/>
                <w:szCs w:val="24"/>
                <w:highlight w:val="none"/>
                <w:lang w:eastAsia="zh-CN"/>
              </w:rPr>
              <w:t>分</w:t>
            </w:r>
            <w:r>
              <w:rPr>
                <w:rFonts w:hint="eastAsia" w:ascii="宋体" w:hAnsi="宋体" w:eastAsia="宋体" w:cs="宋体"/>
                <w:color w:val="auto"/>
                <w:sz w:val="24"/>
                <w:szCs w:val="24"/>
                <w:highlight w:val="none"/>
              </w:rPr>
              <w:t>）</w:t>
            </w:r>
          </w:p>
        </w:tc>
        <w:tc>
          <w:tcPr>
            <w:tcW w:w="817" w:type="dxa"/>
            <w:tcBorders>
              <w:top w:val="single" w:color="auto" w:sz="4" w:space="0"/>
              <w:left w:val="nil"/>
              <w:bottom w:val="single" w:color="auto" w:sz="4" w:space="0"/>
              <w:right w:val="single" w:color="auto" w:sz="4" w:space="0"/>
            </w:tcBorders>
            <w:noWrap w:val="0"/>
            <w:vAlign w:val="center"/>
          </w:tcPr>
          <w:p w14:paraId="4613B852">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5</w:t>
            </w:r>
            <w:r>
              <w:rPr>
                <w:rFonts w:hint="eastAsia" w:ascii="宋体" w:hAnsi="宋体" w:eastAsia="宋体" w:cs="宋体"/>
                <w:color w:val="auto"/>
                <w:sz w:val="24"/>
                <w:szCs w:val="24"/>
                <w:highlight w:val="none"/>
                <w:lang w:eastAsia="zh-CN"/>
              </w:rPr>
              <w:t>分</w:t>
            </w:r>
          </w:p>
        </w:tc>
        <w:tc>
          <w:tcPr>
            <w:tcW w:w="5951" w:type="dxa"/>
            <w:tcBorders>
              <w:top w:val="single" w:color="auto" w:sz="4" w:space="0"/>
              <w:left w:val="nil"/>
              <w:bottom w:val="single" w:color="auto" w:sz="4" w:space="0"/>
              <w:right w:val="single" w:color="auto" w:sz="4" w:space="0"/>
            </w:tcBorders>
            <w:noWrap w:val="0"/>
            <w:vAlign w:val="top"/>
          </w:tcPr>
          <w:p w14:paraId="3F2816DF">
            <w:pPr>
              <w:spacing w:line="320" w:lineRule="exact"/>
              <w:ind w:firstLine="480" w:firstLineChars="200"/>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村内道路、村与村连接道路、公共区域及绿化带无明显垃圾或积尘(包括未硬化道路及区域），道路两侧排水沟无垃圾，污水。每发现一处问题扣1分</w:t>
            </w:r>
          </w:p>
        </w:tc>
        <w:tc>
          <w:tcPr>
            <w:tcW w:w="817" w:type="dxa"/>
            <w:tcBorders>
              <w:top w:val="single" w:color="auto" w:sz="4" w:space="0"/>
              <w:left w:val="nil"/>
              <w:bottom w:val="single" w:color="auto" w:sz="4" w:space="0"/>
              <w:right w:val="single" w:color="auto" w:sz="4" w:space="0"/>
            </w:tcBorders>
            <w:noWrap w:val="0"/>
            <w:vAlign w:val="center"/>
          </w:tcPr>
          <w:p w14:paraId="278D2B50">
            <w:pPr>
              <w:keepLines w:val="0"/>
              <w:pageBreakBefore w:val="0"/>
              <w:kinsoku/>
              <w:wordWrap/>
              <w:overflowPunct/>
              <w:topLinePunct w:val="0"/>
              <w:autoSpaceDE/>
              <w:autoSpaceDN/>
              <w:bidi w:val="0"/>
              <w:adjustRightInd/>
              <w:snapToGrid/>
              <w:spacing w:line="380" w:lineRule="exact"/>
              <w:ind w:right="119" w:rightChars="0" w:firstLine="420" w:firstLineChars="200"/>
              <w:textAlignment w:val="auto"/>
              <w:rPr>
                <w:rFonts w:hint="eastAsia" w:ascii="宋体" w:hAnsi="宋体" w:eastAsia="宋体" w:cs="宋体"/>
                <w:color w:val="auto"/>
                <w:sz w:val="21"/>
                <w:szCs w:val="21"/>
                <w:highlight w:val="none"/>
              </w:rPr>
            </w:pPr>
          </w:p>
        </w:tc>
      </w:tr>
      <w:tr w14:paraId="3A62369A">
        <w:tblPrEx>
          <w:tblCellMar>
            <w:top w:w="0" w:type="dxa"/>
            <w:left w:w="108" w:type="dxa"/>
            <w:bottom w:w="0" w:type="dxa"/>
            <w:right w:w="108" w:type="dxa"/>
          </w:tblCellMar>
        </w:tblPrEx>
        <w:trPr>
          <w:trHeight w:val="570" w:hRule="atLeast"/>
        </w:trPr>
        <w:tc>
          <w:tcPr>
            <w:tcW w:w="1538" w:type="dxa"/>
            <w:vMerge w:val="continue"/>
            <w:tcBorders>
              <w:left w:val="single" w:color="auto" w:sz="4" w:space="0"/>
              <w:right w:val="single" w:color="auto" w:sz="4" w:space="0"/>
            </w:tcBorders>
            <w:noWrap w:val="0"/>
            <w:vAlign w:val="center"/>
          </w:tcPr>
          <w:p w14:paraId="37334DAC">
            <w:pPr>
              <w:keepLines w:val="0"/>
              <w:pageBreakBefore w:val="0"/>
              <w:kinsoku/>
              <w:wordWrap/>
              <w:overflowPunct/>
              <w:topLinePunct w:val="0"/>
              <w:autoSpaceDE/>
              <w:autoSpaceDN/>
              <w:bidi w:val="0"/>
              <w:adjustRightInd/>
              <w:snapToGrid/>
              <w:spacing w:line="360" w:lineRule="auto"/>
              <w:ind w:right="119" w:rightChars="0" w:firstLine="480" w:firstLineChars="200"/>
              <w:jc w:val="center"/>
              <w:textAlignment w:val="auto"/>
              <w:rPr>
                <w:rFonts w:hint="eastAsia" w:ascii="宋体" w:hAnsi="宋体" w:eastAsia="宋体" w:cs="宋体"/>
                <w:color w:val="auto"/>
                <w:sz w:val="24"/>
                <w:szCs w:val="24"/>
                <w:highlight w:val="none"/>
              </w:rPr>
            </w:pPr>
          </w:p>
        </w:tc>
        <w:tc>
          <w:tcPr>
            <w:tcW w:w="817" w:type="dxa"/>
            <w:tcBorders>
              <w:top w:val="single" w:color="auto" w:sz="4" w:space="0"/>
              <w:left w:val="nil"/>
              <w:bottom w:val="single" w:color="auto" w:sz="4" w:space="0"/>
              <w:right w:val="single" w:color="auto" w:sz="4" w:space="0"/>
            </w:tcBorders>
            <w:noWrap w:val="0"/>
            <w:vAlign w:val="center"/>
          </w:tcPr>
          <w:p w14:paraId="054FD301">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10</w:t>
            </w:r>
            <w:r>
              <w:rPr>
                <w:rFonts w:hint="eastAsia" w:ascii="宋体" w:hAnsi="宋体" w:eastAsia="宋体" w:cs="宋体"/>
                <w:color w:val="auto"/>
                <w:sz w:val="24"/>
                <w:szCs w:val="24"/>
                <w:highlight w:val="none"/>
                <w:lang w:eastAsia="zh-CN"/>
              </w:rPr>
              <w:t>分</w:t>
            </w:r>
          </w:p>
        </w:tc>
        <w:tc>
          <w:tcPr>
            <w:tcW w:w="5951" w:type="dxa"/>
            <w:tcBorders>
              <w:top w:val="single" w:color="auto" w:sz="4" w:space="0"/>
              <w:left w:val="nil"/>
              <w:bottom w:val="single" w:color="auto" w:sz="4" w:space="0"/>
              <w:right w:val="single" w:color="auto" w:sz="4" w:space="0"/>
            </w:tcBorders>
            <w:noWrap w:val="0"/>
            <w:vAlign w:val="top"/>
          </w:tcPr>
          <w:p w14:paraId="3099C7C1">
            <w:pPr>
              <w:spacing w:line="320" w:lineRule="exact"/>
              <w:ind w:firstLine="480" w:firstLineChars="200"/>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房前屋后、庭院内、田间地头、路边、岸边、空地等处无乱堆乱放、卫生死角及陈年垃圾；</w:t>
            </w:r>
            <w:r>
              <w:rPr>
                <w:rFonts w:hint="eastAsia" w:ascii="宋体" w:hAnsi="宋体" w:eastAsia="宋体" w:cs="宋体"/>
                <w:color w:val="auto"/>
                <w:sz w:val="24"/>
                <w:szCs w:val="24"/>
                <w:highlight w:val="none"/>
                <w:lang w:eastAsia="zh-CN"/>
              </w:rPr>
              <w:t>农业生产用具堆放整齐美观；车辆停放有序，无僵尸车；</w:t>
            </w:r>
            <w:r>
              <w:rPr>
                <w:rFonts w:hint="eastAsia" w:ascii="宋体" w:hAnsi="宋体" w:eastAsia="宋体" w:cs="宋体"/>
                <w:color w:val="auto"/>
                <w:sz w:val="24"/>
                <w:szCs w:val="24"/>
                <w:highlight w:val="none"/>
              </w:rPr>
              <w:t>每发现一处</w:t>
            </w:r>
            <w:r>
              <w:rPr>
                <w:rFonts w:hint="eastAsia" w:ascii="宋体" w:hAnsi="宋体" w:eastAsia="宋体" w:cs="宋体"/>
                <w:color w:val="auto"/>
                <w:sz w:val="24"/>
                <w:szCs w:val="24"/>
                <w:highlight w:val="none"/>
                <w:lang w:eastAsia="zh-CN"/>
              </w:rPr>
              <w:t>问题</w:t>
            </w:r>
            <w:r>
              <w:rPr>
                <w:rFonts w:hint="eastAsia" w:ascii="宋体" w:hAnsi="宋体" w:eastAsia="宋体" w:cs="宋体"/>
                <w:color w:val="auto"/>
                <w:sz w:val="24"/>
                <w:szCs w:val="24"/>
                <w:highlight w:val="none"/>
              </w:rPr>
              <w:t>扣1分</w:t>
            </w:r>
          </w:p>
        </w:tc>
        <w:tc>
          <w:tcPr>
            <w:tcW w:w="817" w:type="dxa"/>
            <w:tcBorders>
              <w:top w:val="single" w:color="auto" w:sz="4" w:space="0"/>
              <w:left w:val="nil"/>
              <w:bottom w:val="single" w:color="auto" w:sz="4" w:space="0"/>
              <w:right w:val="single" w:color="auto" w:sz="4" w:space="0"/>
            </w:tcBorders>
            <w:noWrap w:val="0"/>
            <w:vAlign w:val="center"/>
          </w:tcPr>
          <w:p w14:paraId="44162356">
            <w:pPr>
              <w:keepLines w:val="0"/>
              <w:pageBreakBefore w:val="0"/>
              <w:kinsoku/>
              <w:wordWrap/>
              <w:overflowPunct/>
              <w:topLinePunct w:val="0"/>
              <w:autoSpaceDE/>
              <w:autoSpaceDN/>
              <w:bidi w:val="0"/>
              <w:adjustRightInd/>
              <w:snapToGrid/>
              <w:spacing w:line="380" w:lineRule="exact"/>
              <w:ind w:right="119" w:rightChars="0" w:firstLine="420" w:firstLineChars="200"/>
              <w:textAlignment w:val="auto"/>
              <w:rPr>
                <w:rFonts w:hint="eastAsia" w:ascii="宋体" w:hAnsi="宋体" w:eastAsia="宋体" w:cs="宋体"/>
                <w:color w:val="auto"/>
                <w:sz w:val="21"/>
                <w:szCs w:val="21"/>
                <w:highlight w:val="none"/>
              </w:rPr>
            </w:pPr>
          </w:p>
        </w:tc>
      </w:tr>
      <w:tr w14:paraId="56C74BA4">
        <w:tblPrEx>
          <w:tblCellMar>
            <w:top w:w="0" w:type="dxa"/>
            <w:left w:w="108" w:type="dxa"/>
            <w:bottom w:w="0" w:type="dxa"/>
            <w:right w:w="108" w:type="dxa"/>
          </w:tblCellMar>
        </w:tblPrEx>
        <w:trPr>
          <w:trHeight w:val="570" w:hRule="atLeast"/>
        </w:trPr>
        <w:tc>
          <w:tcPr>
            <w:tcW w:w="1538" w:type="dxa"/>
            <w:vMerge w:val="continue"/>
            <w:tcBorders>
              <w:left w:val="single" w:color="auto" w:sz="4" w:space="0"/>
              <w:right w:val="single" w:color="auto" w:sz="4" w:space="0"/>
            </w:tcBorders>
            <w:noWrap w:val="0"/>
            <w:vAlign w:val="center"/>
          </w:tcPr>
          <w:p w14:paraId="3E69480F">
            <w:pPr>
              <w:keepLines w:val="0"/>
              <w:pageBreakBefore w:val="0"/>
              <w:kinsoku/>
              <w:wordWrap/>
              <w:overflowPunct/>
              <w:topLinePunct w:val="0"/>
              <w:autoSpaceDE/>
              <w:autoSpaceDN/>
              <w:bidi w:val="0"/>
              <w:adjustRightInd/>
              <w:snapToGrid/>
              <w:spacing w:line="360" w:lineRule="auto"/>
              <w:ind w:right="119" w:rightChars="0" w:firstLine="480" w:firstLineChars="200"/>
              <w:jc w:val="center"/>
              <w:textAlignment w:val="auto"/>
              <w:rPr>
                <w:rFonts w:hint="eastAsia" w:ascii="宋体" w:hAnsi="宋体" w:eastAsia="宋体" w:cs="宋体"/>
                <w:color w:val="auto"/>
                <w:sz w:val="24"/>
                <w:szCs w:val="24"/>
                <w:highlight w:val="none"/>
              </w:rPr>
            </w:pPr>
          </w:p>
        </w:tc>
        <w:tc>
          <w:tcPr>
            <w:tcW w:w="817" w:type="dxa"/>
            <w:tcBorders>
              <w:top w:val="single" w:color="auto" w:sz="4" w:space="0"/>
              <w:left w:val="nil"/>
              <w:bottom w:val="single" w:color="auto" w:sz="4" w:space="0"/>
              <w:right w:val="single" w:color="auto" w:sz="4" w:space="0"/>
            </w:tcBorders>
            <w:noWrap w:val="0"/>
            <w:vAlign w:val="center"/>
          </w:tcPr>
          <w:p w14:paraId="7E9A2310">
            <w:pPr>
              <w:spacing w:line="320" w:lineRule="exact"/>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lang w:eastAsia="zh-CN"/>
              </w:rPr>
              <w:t>分</w:t>
            </w:r>
          </w:p>
        </w:tc>
        <w:tc>
          <w:tcPr>
            <w:tcW w:w="5951" w:type="dxa"/>
            <w:tcBorders>
              <w:top w:val="single" w:color="auto" w:sz="4" w:space="0"/>
              <w:left w:val="nil"/>
              <w:bottom w:val="single" w:color="auto" w:sz="4" w:space="0"/>
              <w:right w:val="single" w:color="auto" w:sz="4" w:space="0"/>
            </w:tcBorders>
            <w:noWrap w:val="0"/>
            <w:vAlign w:val="top"/>
          </w:tcPr>
          <w:p w14:paraId="4AFB1945">
            <w:pPr>
              <w:spacing w:line="320" w:lineRule="exact"/>
              <w:ind w:firstLine="480" w:firstLineChars="200"/>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菜园围栏、各类棚架实用美观，无广告布缠绕，季节性枯枝及时清理；田间地头无废弃农药化肥包装物、废弃农膜；</w:t>
            </w:r>
            <w:r>
              <w:rPr>
                <w:rFonts w:hint="eastAsia" w:ascii="宋体" w:hAnsi="宋体" w:eastAsia="宋体" w:cs="宋体"/>
                <w:color w:val="auto"/>
                <w:sz w:val="24"/>
                <w:szCs w:val="24"/>
                <w:highlight w:val="none"/>
              </w:rPr>
              <w:t>每发现一处</w:t>
            </w:r>
            <w:r>
              <w:rPr>
                <w:rFonts w:hint="eastAsia" w:ascii="宋体" w:hAnsi="宋体" w:eastAsia="宋体" w:cs="宋体"/>
                <w:color w:val="auto"/>
                <w:sz w:val="24"/>
                <w:szCs w:val="24"/>
                <w:highlight w:val="none"/>
                <w:lang w:eastAsia="zh-CN"/>
              </w:rPr>
              <w:t>问题</w:t>
            </w:r>
            <w:r>
              <w:rPr>
                <w:rFonts w:hint="eastAsia" w:ascii="宋体" w:hAnsi="宋体" w:eastAsia="宋体" w:cs="宋体"/>
                <w:color w:val="auto"/>
                <w:sz w:val="24"/>
                <w:szCs w:val="24"/>
                <w:highlight w:val="none"/>
              </w:rPr>
              <w:t>扣1分</w:t>
            </w:r>
          </w:p>
        </w:tc>
        <w:tc>
          <w:tcPr>
            <w:tcW w:w="817" w:type="dxa"/>
            <w:tcBorders>
              <w:top w:val="single" w:color="auto" w:sz="4" w:space="0"/>
              <w:left w:val="nil"/>
              <w:bottom w:val="single" w:color="auto" w:sz="4" w:space="0"/>
              <w:right w:val="single" w:color="auto" w:sz="4" w:space="0"/>
            </w:tcBorders>
            <w:noWrap w:val="0"/>
            <w:vAlign w:val="center"/>
          </w:tcPr>
          <w:p w14:paraId="4D88C6B0">
            <w:pPr>
              <w:keepLines w:val="0"/>
              <w:pageBreakBefore w:val="0"/>
              <w:kinsoku/>
              <w:wordWrap/>
              <w:overflowPunct/>
              <w:topLinePunct w:val="0"/>
              <w:autoSpaceDE/>
              <w:autoSpaceDN/>
              <w:bidi w:val="0"/>
              <w:adjustRightInd/>
              <w:snapToGrid/>
              <w:spacing w:line="380" w:lineRule="exact"/>
              <w:ind w:right="119" w:rightChars="0" w:firstLine="420" w:firstLineChars="200"/>
              <w:textAlignment w:val="auto"/>
              <w:rPr>
                <w:rFonts w:hint="eastAsia" w:ascii="宋体" w:hAnsi="宋体" w:eastAsia="宋体" w:cs="宋体"/>
                <w:color w:val="auto"/>
                <w:sz w:val="21"/>
                <w:szCs w:val="21"/>
                <w:highlight w:val="none"/>
              </w:rPr>
            </w:pPr>
          </w:p>
        </w:tc>
      </w:tr>
      <w:tr w14:paraId="57A5F570">
        <w:tblPrEx>
          <w:tblCellMar>
            <w:top w:w="0" w:type="dxa"/>
            <w:left w:w="108" w:type="dxa"/>
            <w:bottom w:w="0" w:type="dxa"/>
            <w:right w:w="108" w:type="dxa"/>
          </w:tblCellMar>
        </w:tblPrEx>
        <w:trPr>
          <w:trHeight w:val="570" w:hRule="atLeast"/>
        </w:trPr>
        <w:tc>
          <w:tcPr>
            <w:tcW w:w="1538" w:type="dxa"/>
            <w:vMerge w:val="continue"/>
            <w:tcBorders>
              <w:left w:val="single" w:color="auto" w:sz="4" w:space="0"/>
              <w:right w:val="single" w:color="auto" w:sz="4" w:space="0"/>
            </w:tcBorders>
            <w:noWrap w:val="0"/>
            <w:vAlign w:val="center"/>
          </w:tcPr>
          <w:p w14:paraId="53BC567A">
            <w:pPr>
              <w:keepLines w:val="0"/>
              <w:pageBreakBefore w:val="0"/>
              <w:kinsoku/>
              <w:wordWrap/>
              <w:overflowPunct/>
              <w:topLinePunct w:val="0"/>
              <w:autoSpaceDE/>
              <w:autoSpaceDN/>
              <w:bidi w:val="0"/>
              <w:adjustRightInd/>
              <w:snapToGrid/>
              <w:spacing w:line="360" w:lineRule="auto"/>
              <w:ind w:right="119" w:rightChars="0" w:firstLine="480" w:firstLineChars="200"/>
              <w:jc w:val="center"/>
              <w:textAlignment w:val="auto"/>
              <w:rPr>
                <w:rFonts w:hint="eastAsia" w:ascii="宋体" w:hAnsi="宋体" w:eastAsia="宋体" w:cs="宋体"/>
                <w:color w:val="auto"/>
                <w:sz w:val="24"/>
                <w:szCs w:val="24"/>
                <w:highlight w:val="none"/>
              </w:rPr>
            </w:pPr>
          </w:p>
        </w:tc>
        <w:tc>
          <w:tcPr>
            <w:tcW w:w="817" w:type="dxa"/>
            <w:tcBorders>
              <w:top w:val="single" w:color="auto" w:sz="4" w:space="0"/>
              <w:left w:val="nil"/>
              <w:bottom w:val="single" w:color="auto" w:sz="4" w:space="0"/>
              <w:right w:val="single" w:color="auto" w:sz="4" w:space="0"/>
            </w:tcBorders>
            <w:noWrap w:val="0"/>
            <w:vAlign w:val="center"/>
          </w:tcPr>
          <w:p w14:paraId="5F862D25">
            <w:pPr>
              <w:spacing w:line="320" w:lineRule="exact"/>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分</w:t>
            </w:r>
          </w:p>
        </w:tc>
        <w:tc>
          <w:tcPr>
            <w:tcW w:w="5951" w:type="dxa"/>
            <w:tcBorders>
              <w:top w:val="single" w:color="auto" w:sz="4" w:space="0"/>
              <w:left w:val="nil"/>
              <w:bottom w:val="single" w:color="auto" w:sz="4" w:space="0"/>
              <w:right w:val="single" w:color="auto" w:sz="4" w:space="0"/>
            </w:tcBorders>
            <w:noWrap w:val="0"/>
            <w:vAlign w:val="top"/>
          </w:tcPr>
          <w:p w14:paraId="2167E465">
            <w:pPr>
              <w:spacing w:line="320" w:lineRule="exact"/>
              <w:ind w:firstLine="480" w:firstLineChars="200"/>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建筑垃圾、大件垃圾</w:t>
            </w:r>
            <w:r>
              <w:rPr>
                <w:rFonts w:hint="eastAsia" w:ascii="宋体" w:hAnsi="宋体" w:eastAsia="宋体" w:cs="宋体"/>
                <w:color w:val="auto"/>
                <w:sz w:val="24"/>
                <w:szCs w:val="24"/>
                <w:highlight w:val="none"/>
                <w:lang w:eastAsia="zh-CN"/>
              </w:rPr>
              <w:t>、园林垃圾临时堆放点</w:t>
            </w:r>
            <w:r>
              <w:rPr>
                <w:rFonts w:hint="eastAsia" w:ascii="宋体" w:hAnsi="宋体" w:eastAsia="宋体" w:cs="宋体"/>
                <w:color w:val="auto"/>
                <w:sz w:val="24"/>
                <w:szCs w:val="24"/>
                <w:highlight w:val="none"/>
              </w:rPr>
              <w:t>未规范堆放、及时清运。每发现一处</w:t>
            </w:r>
            <w:r>
              <w:rPr>
                <w:rFonts w:hint="eastAsia" w:ascii="宋体" w:hAnsi="宋体" w:eastAsia="宋体" w:cs="宋体"/>
                <w:color w:val="auto"/>
                <w:sz w:val="24"/>
                <w:szCs w:val="24"/>
                <w:highlight w:val="none"/>
                <w:lang w:eastAsia="zh-CN"/>
              </w:rPr>
              <w:t>问题</w:t>
            </w:r>
            <w:r>
              <w:rPr>
                <w:rFonts w:hint="eastAsia" w:ascii="宋体" w:hAnsi="宋体" w:eastAsia="宋体" w:cs="宋体"/>
                <w:color w:val="auto"/>
                <w:sz w:val="24"/>
                <w:szCs w:val="24"/>
                <w:highlight w:val="none"/>
              </w:rPr>
              <w:t>扣1分</w:t>
            </w:r>
          </w:p>
        </w:tc>
        <w:tc>
          <w:tcPr>
            <w:tcW w:w="817" w:type="dxa"/>
            <w:tcBorders>
              <w:top w:val="single" w:color="auto" w:sz="4" w:space="0"/>
              <w:left w:val="nil"/>
              <w:bottom w:val="single" w:color="auto" w:sz="4" w:space="0"/>
              <w:right w:val="single" w:color="auto" w:sz="4" w:space="0"/>
            </w:tcBorders>
            <w:noWrap w:val="0"/>
            <w:vAlign w:val="center"/>
          </w:tcPr>
          <w:p w14:paraId="47E99050">
            <w:pPr>
              <w:keepLines w:val="0"/>
              <w:pageBreakBefore w:val="0"/>
              <w:kinsoku/>
              <w:wordWrap/>
              <w:overflowPunct/>
              <w:topLinePunct w:val="0"/>
              <w:autoSpaceDE/>
              <w:autoSpaceDN/>
              <w:bidi w:val="0"/>
              <w:adjustRightInd/>
              <w:snapToGrid/>
              <w:spacing w:line="380" w:lineRule="exact"/>
              <w:ind w:right="119" w:rightChars="0" w:firstLine="420" w:firstLineChars="200"/>
              <w:textAlignment w:val="auto"/>
              <w:rPr>
                <w:rFonts w:hint="eastAsia" w:ascii="宋体" w:hAnsi="宋体" w:eastAsia="宋体" w:cs="宋体"/>
                <w:color w:val="auto"/>
                <w:sz w:val="21"/>
                <w:szCs w:val="21"/>
                <w:highlight w:val="none"/>
              </w:rPr>
            </w:pPr>
          </w:p>
        </w:tc>
      </w:tr>
      <w:tr w14:paraId="52119CB7">
        <w:tblPrEx>
          <w:tblCellMar>
            <w:top w:w="0" w:type="dxa"/>
            <w:left w:w="108" w:type="dxa"/>
            <w:bottom w:w="0" w:type="dxa"/>
            <w:right w:w="108" w:type="dxa"/>
          </w:tblCellMar>
        </w:tblPrEx>
        <w:trPr>
          <w:trHeight w:val="570" w:hRule="atLeast"/>
        </w:trPr>
        <w:tc>
          <w:tcPr>
            <w:tcW w:w="1538" w:type="dxa"/>
            <w:vMerge w:val="continue"/>
            <w:tcBorders>
              <w:left w:val="single" w:color="auto" w:sz="4" w:space="0"/>
              <w:bottom w:val="single" w:color="auto" w:sz="4" w:space="0"/>
              <w:right w:val="single" w:color="auto" w:sz="4" w:space="0"/>
            </w:tcBorders>
            <w:noWrap w:val="0"/>
            <w:vAlign w:val="center"/>
          </w:tcPr>
          <w:p w14:paraId="2278F293">
            <w:pPr>
              <w:keepLines w:val="0"/>
              <w:pageBreakBefore w:val="0"/>
              <w:kinsoku/>
              <w:wordWrap/>
              <w:overflowPunct/>
              <w:topLinePunct w:val="0"/>
              <w:autoSpaceDE/>
              <w:autoSpaceDN/>
              <w:bidi w:val="0"/>
              <w:adjustRightInd/>
              <w:snapToGrid/>
              <w:spacing w:line="360" w:lineRule="auto"/>
              <w:ind w:right="119" w:rightChars="0" w:firstLine="480" w:firstLineChars="200"/>
              <w:jc w:val="center"/>
              <w:textAlignment w:val="auto"/>
              <w:rPr>
                <w:rFonts w:hint="eastAsia" w:ascii="宋体" w:hAnsi="宋体" w:eastAsia="宋体" w:cs="宋体"/>
                <w:color w:val="auto"/>
                <w:sz w:val="24"/>
                <w:szCs w:val="24"/>
                <w:highlight w:val="none"/>
              </w:rPr>
            </w:pPr>
          </w:p>
        </w:tc>
        <w:tc>
          <w:tcPr>
            <w:tcW w:w="817" w:type="dxa"/>
            <w:tcBorders>
              <w:top w:val="single" w:color="auto" w:sz="4" w:space="0"/>
              <w:left w:val="nil"/>
              <w:bottom w:val="single" w:color="auto" w:sz="4" w:space="0"/>
              <w:right w:val="single" w:color="auto" w:sz="4" w:space="0"/>
            </w:tcBorders>
            <w:noWrap w:val="0"/>
            <w:vAlign w:val="center"/>
          </w:tcPr>
          <w:p w14:paraId="03B1374A">
            <w:pPr>
              <w:spacing w:line="320" w:lineRule="exact"/>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lang w:eastAsia="zh-CN"/>
              </w:rPr>
              <w:t>分</w:t>
            </w:r>
          </w:p>
        </w:tc>
        <w:tc>
          <w:tcPr>
            <w:tcW w:w="5951" w:type="dxa"/>
            <w:tcBorders>
              <w:top w:val="single" w:color="auto" w:sz="4" w:space="0"/>
              <w:left w:val="nil"/>
              <w:bottom w:val="single" w:color="auto" w:sz="4" w:space="0"/>
              <w:right w:val="single" w:color="auto" w:sz="4" w:space="0"/>
            </w:tcBorders>
            <w:noWrap w:val="0"/>
            <w:vAlign w:val="top"/>
          </w:tcPr>
          <w:p w14:paraId="6E29AA07">
            <w:pPr>
              <w:spacing w:line="320" w:lineRule="exact"/>
              <w:ind w:firstLine="480" w:firstLineChars="200"/>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村内农贸市场、商铺周边环境整洁，物品摆放有序，无乱堆乱放、破棚散架和占道、跨门经营现象；</w:t>
            </w:r>
            <w:r>
              <w:rPr>
                <w:rFonts w:hint="eastAsia" w:ascii="宋体" w:hAnsi="宋体" w:eastAsia="宋体" w:cs="宋体"/>
                <w:color w:val="auto"/>
                <w:sz w:val="24"/>
                <w:szCs w:val="24"/>
                <w:highlight w:val="none"/>
              </w:rPr>
              <w:t>每发现一处问题扣1分</w:t>
            </w:r>
          </w:p>
        </w:tc>
        <w:tc>
          <w:tcPr>
            <w:tcW w:w="817" w:type="dxa"/>
            <w:tcBorders>
              <w:top w:val="single" w:color="auto" w:sz="4" w:space="0"/>
              <w:left w:val="nil"/>
              <w:bottom w:val="single" w:color="auto" w:sz="4" w:space="0"/>
              <w:right w:val="single" w:color="auto" w:sz="4" w:space="0"/>
            </w:tcBorders>
            <w:noWrap w:val="0"/>
            <w:vAlign w:val="center"/>
          </w:tcPr>
          <w:p w14:paraId="30184AE6">
            <w:pPr>
              <w:keepLines w:val="0"/>
              <w:pageBreakBefore w:val="0"/>
              <w:kinsoku/>
              <w:wordWrap/>
              <w:overflowPunct/>
              <w:topLinePunct w:val="0"/>
              <w:autoSpaceDE/>
              <w:autoSpaceDN/>
              <w:bidi w:val="0"/>
              <w:adjustRightInd/>
              <w:snapToGrid/>
              <w:spacing w:line="380" w:lineRule="exact"/>
              <w:ind w:right="119" w:rightChars="0" w:firstLine="420" w:firstLineChars="200"/>
              <w:textAlignment w:val="auto"/>
              <w:rPr>
                <w:rFonts w:hint="eastAsia" w:ascii="宋体" w:hAnsi="宋体" w:eastAsia="宋体" w:cs="宋体"/>
                <w:color w:val="auto"/>
                <w:sz w:val="21"/>
                <w:szCs w:val="21"/>
                <w:highlight w:val="none"/>
              </w:rPr>
            </w:pPr>
          </w:p>
        </w:tc>
      </w:tr>
      <w:tr w14:paraId="1694F2C8">
        <w:tblPrEx>
          <w:tblCellMar>
            <w:top w:w="0" w:type="dxa"/>
            <w:left w:w="108" w:type="dxa"/>
            <w:bottom w:w="0" w:type="dxa"/>
            <w:right w:w="108" w:type="dxa"/>
          </w:tblCellMar>
        </w:tblPrEx>
        <w:trPr>
          <w:trHeight w:val="570" w:hRule="atLeast"/>
        </w:trPr>
        <w:tc>
          <w:tcPr>
            <w:tcW w:w="1538" w:type="dxa"/>
            <w:tcBorders>
              <w:top w:val="single" w:color="auto" w:sz="4" w:space="0"/>
              <w:left w:val="single" w:color="auto" w:sz="4" w:space="0"/>
              <w:bottom w:val="single" w:color="auto" w:sz="4" w:space="0"/>
              <w:right w:val="single" w:color="auto" w:sz="4" w:space="0"/>
            </w:tcBorders>
            <w:noWrap w:val="0"/>
            <w:vAlign w:val="center"/>
          </w:tcPr>
          <w:p w14:paraId="4118E5AB">
            <w:pPr>
              <w:keepLines w:val="0"/>
              <w:pageBreakBefore w:val="0"/>
              <w:kinsoku/>
              <w:wordWrap/>
              <w:overflowPunct/>
              <w:topLinePunct w:val="0"/>
              <w:autoSpaceDE/>
              <w:autoSpaceDN/>
              <w:bidi w:val="0"/>
              <w:adjustRightInd/>
              <w:snapToGrid/>
              <w:spacing w:line="360" w:lineRule="auto"/>
              <w:ind w:right="119" w:right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公厕</w:t>
            </w:r>
          </w:p>
          <w:p w14:paraId="227104C1">
            <w:pPr>
              <w:keepLines w:val="0"/>
              <w:pageBreakBefore w:val="0"/>
              <w:kinsoku/>
              <w:wordWrap/>
              <w:overflowPunct/>
              <w:topLinePunct w:val="0"/>
              <w:autoSpaceDE/>
              <w:autoSpaceDN/>
              <w:bidi w:val="0"/>
              <w:adjustRightInd/>
              <w:snapToGrid/>
              <w:spacing w:line="360" w:lineRule="auto"/>
              <w:ind w:right="119" w:right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lang w:eastAsia="zh-CN"/>
              </w:rPr>
              <w:t>分</w:t>
            </w:r>
            <w:r>
              <w:rPr>
                <w:rFonts w:hint="eastAsia" w:ascii="宋体" w:hAnsi="宋体" w:eastAsia="宋体" w:cs="宋体"/>
                <w:color w:val="auto"/>
                <w:sz w:val="24"/>
                <w:szCs w:val="24"/>
                <w:highlight w:val="none"/>
              </w:rPr>
              <w:t>）</w:t>
            </w:r>
          </w:p>
        </w:tc>
        <w:tc>
          <w:tcPr>
            <w:tcW w:w="817" w:type="dxa"/>
            <w:tcBorders>
              <w:top w:val="single" w:color="auto" w:sz="4" w:space="0"/>
              <w:left w:val="nil"/>
              <w:bottom w:val="single" w:color="auto" w:sz="4" w:space="0"/>
              <w:right w:val="single" w:color="auto" w:sz="4" w:space="0"/>
            </w:tcBorders>
            <w:noWrap w:val="0"/>
            <w:vAlign w:val="center"/>
          </w:tcPr>
          <w:p w14:paraId="2C728DE9">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lang w:eastAsia="zh-CN"/>
              </w:rPr>
              <w:t>分</w:t>
            </w:r>
          </w:p>
        </w:tc>
        <w:tc>
          <w:tcPr>
            <w:tcW w:w="5951" w:type="dxa"/>
            <w:tcBorders>
              <w:top w:val="single" w:color="auto" w:sz="4" w:space="0"/>
              <w:left w:val="nil"/>
              <w:bottom w:val="single" w:color="auto" w:sz="4" w:space="0"/>
              <w:right w:val="single" w:color="auto" w:sz="4" w:space="0"/>
            </w:tcBorders>
            <w:noWrap w:val="0"/>
            <w:vAlign w:val="top"/>
          </w:tcPr>
          <w:p w14:paraId="546BB3EF">
            <w:pPr>
              <w:spacing w:line="320" w:lineRule="exact"/>
              <w:ind w:firstLine="480" w:firstLineChars="20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男女标识、保洁制度等上墙；内部水、电、冲洗设施等完好，下水道通畅；公厕无异味，清扫及时，内外整洁；</w:t>
            </w:r>
            <w:r>
              <w:rPr>
                <w:rFonts w:hint="eastAsia" w:ascii="宋体" w:hAnsi="宋体" w:eastAsia="宋体" w:cs="宋体"/>
                <w:snapToGrid w:val="0"/>
                <w:color w:val="auto"/>
                <w:sz w:val="24"/>
                <w:szCs w:val="24"/>
                <w:highlight w:val="none"/>
              </w:rPr>
              <w:t>贮粪池不渗漏、密封有盖。</w:t>
            </w:r>
            <w:r>
              <w:rPr>
                <w:rFonts w:hint="eastAsia" w:ascii="宋体" w:hAnsi="宋体" w:eastAsia="宋体" w:cs="宋体"/>
                <w:color w:val="auto"/>
                <w:sz w:val="24"/>
                <w:szCs w:val="24"/>
                <w:highlight w:val="none"/>
              </w:rPr>
              <w:t>每发现一处问题扣1分</w:t>
            </w:r>
          </w:p>
          <w:p w14:paraId="2C414981">
            <w:pPr>
              <w:spacing w:line="320" w:lineRule="exact"/>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村域范围内无露天粪坑（缸）、旱厕，每发现一处问题扣5分</w:t>
            </w:r>
          </w:p>
        </w:tc>
        <w:tc>
          <w:tcPr>
            <w:tcW w:w="817" w:type="dxa"/>
            <w:tcBorders>
              <w:top w:val="single" w:color="auto" w:sz="4" w:space="0"/>
              <w:left w:val="nil"/>
              <w:bottom w:val="single" w:color="auto" w:sz="4" w:space="0"/>
              <w:right w:val="single" w:color="auto" w:sz="4" w:space="0"/>
            </w:tcBorders>
            <w:noWrap w:val="0"/>
            <w:vAlign w:val="center"/>
          </w:tcPr>
          <w:p w14:paraId="0DA9A496">
            <w:pPr>
              <w:keepLines w:val="0"/>
              <w:pageBreakBefore w:val="0"/>
              <w:kinsoku/>
              <w:wordWrap/>
              <w:overflowPunct/>
              <w:topLinePunct w:val="0"/>
              <w:autoSpaceDE/>
              <w:autoSpaceDN/>
              <w:bidi w:val="0"/>
              <w:adjustRightInd/>
              <w:snapToGrid/>
              <w:spacing w:line="380" w:lineRule="exact"/>
              <w:ind w:right="119" w:rightChars="0" w:firstLine="420" w:firstLineChars="200"/>
              <w:textAlignment w:val="auto"/>
              <w:rPr>
                <w:rFonts w:hint="eastAsia" w:ascii="宋体" w:hAnsi="宋体" w:eastAsia="宋体" w:cs="宋体"/>
                <w:color w:val="auto"/>
                <w:sz w:val="21"/>
                <w:szCs w:val="21"/>
                <w:highlight w:val="none"/>
              </w:rPr>
            </w:pPr>
          </w:p>
        </w:tc>
      </w:tr>
      <w:tr w14:paraId="3FC4B8EC">
        <w:tblPrEx>
          <w:tblCellMar>
            <w:top w:w="0" w:type="dxa"/>
            <w:left w:w="108" w:type="dxa"/>
            <w:bottom w:w="0" w:type="dxa"/>
            <w:right w:w="108" w:type="dxa"/>
          </w:tblCellMar>
        </w:tblPrEx>
        <w:trPr>
          <w:trHeight w:val="570" w:hRule="atLeast"/>
        </w:trPr>
        <w:tc>
          <w:tcPr>
            <w:tcW w:w="1538" w:type="dxa"/>
            <w:vMerge w:val="restart"/>
            <w:tcBorders>
              <w:top w:val="single" w:color="auto" w:sz="4" w:space="0"/>
              <w:left w:val="single" w:color="auto" w:sz="4" w:space="0"/>
              <w:right w:val="single" w:color="auto" w:sz="4" w:space="0"/>
            </w:tcBorders>
            <w:noWrap w:val="0"/>
            <w:vAlign w:val="center"/>
          </w:tcPr>
          <w:p w14:paraId="763181EA">
            <w:pPr>
              <w:keepLines w:val="0"/>
              <w:pageBreakBefore w:val="0"/>
              <w:kinsoku/>
              <w:wordWrap/>
              <w:overflowPunct/>
              <w:topLinePunct w:val="0"/>
              <w:autoSpaceDE/>
              <w:autoSpaceDN/>
              <w:bidi w:val="0"/>
              <w:adjustRightInd/>
              <w:snapToGrid/>
              <w:spacing w:line="360" w:lineRule="auto"/>
              <w:ind w:left="240" w:right="119" w:rightChars="0" w:hanging="240" w:hangingChars="10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河道及水体（15</w:t>
            </w:r>
            <w:r>
              <w:rPr>
                <w:rFonts w:hint="eastAsia" w:ascii="宋体" w:hAnsi="宋体" w:eastAsia="宋体" w:cs="宋体"/>
                <w:color w:val="auto"/>
                <w:sz w:val="24"/>
                <w:szCs w:val="24"/>
                <w:highlight w:val="none"/>
                <w:lang w:eastAsia="zh-CN"/>
              </w:rPr>
              <w:t>分</w:t>
            </w:r>
            <w:r>
              <w:rPr>
                <w:rFonts w:hint="eastAsia" w:ascii="宋体" w:hAnsi="宋体" w:eastAsia="宋体" w:cs="宋体"/>
                <w:color w:val="auto"/>
                <w:sz w:val="24"/>
                <w:szCs w:val="24"/>
                <w:highlight w:val="none"/>
              </w:rPr>
              <w:t>）</w:t>
            </w:r>
          </w:p>
        </w:tc>
        <w:tc>
          <w:tcPr>
            <w:tcW w:w="817" w:type="dxa"/>
            <w:tcBorders>
              <w:top w:val="single" w:color="auto" w:sz="4" w:space="0"/>
              <w:left w:val="nil"/>
              <w:bottom w:val="single" w:color="auto" w:sz="4" w:space="0"/>
              <w:right w:val="single" w:color="auto" w:sz="4" w:space="0"/>
            </w:tcBorders>
            <w:noWrap w:val="0"/>
            <w:vAlign w:val="center"/>
          </w:tcPr>
          <w:p w14:paraId="24EB5FB9">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10</w:t>
            </w:r>
            <w:r>
              <w:rPr>
                <w:rFonts w:hint="eastAsia" w:ascii="宋体" w:hAnsi="宋体" w:eastAsia="宋体" w:cs="宋体"/>
                <w:color w:val="auto"/>
                <w:sz w:val="24"/>
                <w:szCs w:val="24"/>
                <w:highlight w:val="none"/>
                <w:lang w:eastAsia="zh-CN"/>
              </w:rPr>
              <w:t>分</w:t>
            </w:r>
          </w:p>
        </w:tc>
        <w:tc>
          <w:tcPr>
            <w:tcW w:w="5951" w:type="dxa"/>
            <w:tcBorders>
              <w:top w:val="single" w:color="auto" w:sz="4" w:space="0"/>
              <w:left w:val="nil"/>
              <w:bottom w:val="single" w:color="auto" w:sz="4" w:space="0"/>
              <w:right w:val="single" w:color="auto" w:sz="4" w:space="0"/>
            </w:tcBorders>
            <w:noWrap w:val="0"/>
            <w:vAlign w:val="top"/>
          </w:tcPr>
          <w:p w14:paraId="436A4F70">
            <w:pPr>
              <w:spacing w:line="320" w:lineRule="exact"/>
              <w:ind w:firstLine="480" w:firstLineChars="200"/>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水面干净整洁，无塑料袋、浮萍、菜叶、水葫芦等漂浮物，无地笼或沉船；两岸环境整洁，岸边、桥墩边无垃圾或各类堆积物；河长牌、出水口牌管护到位，无缺失、破损；每发现一处问题扣1分，若浮萍、水草等大面积封江（塘）扣10分</w:t>
            </w:r>
          </w:p>
        </w:tc>
        <w:tc>
          <w:tcPr>
            <w:tcW w:w="817" w:type="dxa"/>
            <w:tcBorders>
              <w:top w:val="single" w:color="auto" w:sz="4" w:space="0"/>
              <w:left w:val="nil"/>
              <w:bottom w:val="single" w:color="auto" w:sz="4" w:space="0"/>
              <w:right w:val="single" w:color="auto" w:sz="4" w:space="0"/>
            </w:tcBorders>
            <w:noWrap w:val="0"/>
            <w:vAlign w:val="center"/>
          </w:tcPr>
          <w:p w14:paraId="5AA19AAA">
            <w:pPr>
              <w:keepLines w:val="0"/>
              <w:pageBreakBefore w:val="0"/>
              <w:kinsoku/>
              <w:wordWrap/>
              <w:overflowPunct/>
              <w:topLinePunct w:val="0"/>
              <w:autoSpaceDE/>
              <w:autoSpaceDN/>
              <w:bidi w:val="0"/>
              <w:adjustRightInd/>
              <w:snapToGrid/>
              <w:spacing w:line="380" w:lineRule="exact"/>
              <w:ind w:right="119" w:rightChars="0" w:firstLine="420" w:firstLineChars="200"/>
              <w:textAlignment w:val="auto"/>
              <w:rPr>
                <w:rFonts w:hint="eastAsia" w:ascii="宋体" w:hAnsi="宋体" w:eastAsia="宋体" w:cs="宋体"/>
                <w:color w:val="auto"/>
                <w:sz w:val="21"/>
                <w:szCs w:val="21"/>
                <w:highlight w:val="none"/>
              </w:rPr>
            </w:pPr>
          </w:p>
        </w:tc>
      </w:tr>
      <w:tr w14:paraId="1ECB9DC3">
        <w:tblPrEx>
          <w:tblCellMar>
            <w:top w:w="0" w:type="dxa"/>
            <w:left w:w="108" w:type="dxa"/>
            <w:bottom w:w="0" w:type="dxa"/>
            <w:right w:w="108" w:type="dxa"/>
          </w:tblCellMar>
        </w:tblPrEx>
        <w:trPr>
          <w:trHeight w:val="570" w:hRule="atLeast"/>
        </w:trPr>
        <w:tc>
          <w:tcPr>
            <w:tcW w:w="1538" w:type="dxa"/>
            <w:vMerge w:val="continue"/>
            <w:tcBorders>
              <w:left w:val="single" w:color="auto" w:sz="4" w:space="0"/>
              <w:bottom w:val="single" w:color="auto" w:sz="4" w:space="0"/>
              <w:right w:val="single" w:color="auto" w:sz="4" w:space="0"/>
            </w:tcBorders>
            <w:noWrap w:val="0"/>
            <w:vAlign w:val="center"/>
          </w:tcPr>
          <w:p w14:paraId="6C4658E5">
            <w:pPr>
              <w:keepLines w:val="0"/>
              <w:pageBreakBefore w:val="0"/>
              <w:kinsoku/>
              <w:wordWrap/>
              <w:overflowPunct/>
              <w:topLinePunct w:val="0"/>
              <w:autoSpaceDE/>
              <w:autoSpaceDN/>
              <w:bidi w:val="0"/>
              <w:adjustRightInd/>
              <w:snapToGrid/>
              <w:spacing w:line="360" w:lineRule="auto"/>
              <w:ind w:right="119" w:rightChars="0" w:firstLine="480" w:firstLineChars="200"/>
              <w:jc w:val="center"/>
              <w:textAlignment w:val="auto"/>
              <w:rPr>
                <w:rFonts w:hint="eastAsia" w:ascii="宋体" w:hAnsi="宋体" w:eastAsia="宋体" w:cs="宋体"/>
                <w:color w:val="auto"/>
                <w:sz w:val="24"/>
                <w:szCs w:val="24"/>
                <w:highlight w:val="none"/>
              </w:rPr>
            </w:pPr>
          </w:p>
        </w:tc>
        <w:tc>
          <w:tcPr>
            <w:tcW w:w="817" w:type="dxa"/>
            <w:tcBorders>
              <w:top w:val="single" w:color="auto" w:sz="4" w:space="0"/>
              <w:left w:val="nil"/>
              <w:bottom w:val="single" w:color="auto" w:sz="4" w:space="0"/>
              <w:right w:val="single" w:color="auto" w:sz="4" w:space="0"/>
            </w:tcBorders>
            <w:noWrap w:val="0"/>
            <w:vAlign w:val="center"/>
          </w:tcPr>
          <w:p w14:paraId="7E8BCECE">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5</w:t>
            </w:r>
            <w:r>
              <w:rPr>
                <w:rFonts w:hint="eastAsia" w:ascii="宋体" w:hAnsi="宋体" w:eastAsia="宋体" w:cs="宋体"/>
                <w:color w:val="auto"/>
                <w:sz w:val="24"/>
                <w:szCs w:val="24"/>
                <w:highlight w:val="none"/>
                <w:lang w:eastAsia="zh-CN"/>
              </w:rPr>
              <w:t>分</w:t>
            </w:r>
          </w:p>
        </w:tc>
        <w:tc>
          <w:tcPr>
            <w:tcW w:w="5951" w:type="dxa"/>
            <w:tcBorders>
              <w:top w:val="single" w:color="auto" w:sz="4" w:space="0"/>
              <w:left w:val="nil"/>
              <w:bottom w:val="single" w:color="auto" w:sz="4" w:space="0"/>
              <w:right w:val="single" w:color="auto" w:sz="4" w:space="0"/>
            </w:tcBorders>
            <w:noWrap w:val="0"/>
            <w:vAlign w:val="top"/>
          </w:tcPr>
          <w:p w14:paraId="0ADFFF7B">
            <w:pPr>
              <w:spacing w:line="320" w:lineRule="exact"/>
              <w:ind w:firstLine="480" w:firstLineChars="200"/>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河道水质良好，无排污口或晴天出水情况，无劣五类水体，每发现一处问题扣1分</w:t>
            </w:r>
          </w:p>
        </w:tc>
        <w:tc>
          <w:tcPr>
            <w:tcW w:w="817" w:type="dxa"/>
            <w:tcBorders>
              <w:top w:val="single" w:color="auto" w:sz="4" w:space="0"/>
              <w:left w:val="nil"/>
              <w:bottom w:val="single" w:color="auto" w:sz="4" w:space="0"/>
              <w:right w:val="single" w:color="auto" w:sz="4" w:space="0"/>
            </w:tcBorders>
            <w:noWrap w:val="0"/>
            <w:vAlign w:val="center"/>
          </w:tcPr>
          <w:p w14:paraId="7BA79BEE">
            <w:pPr>
              <w:keepLines w:val="0"/>
              <w:pageBreakBefore w:val="0"/>
              <w:kinsoku/>
              <w:wordWrap/>
              <w:overflowPunct/>
              <w:topLinePunct w:val="0"/>
              <w:autoSpaceDE/>
              <w:autoSpaceDN/>
              <w:bidi w:val="0"/>
              <w:adjustRightInd/>
              <w:snapToGrid/>
              <w:spacing w:line="380" w:lineRule="exact"/>
              <w:ind w:right="119" w:rightChars="0" w:firstLine="420" w:firstLineChars="200"/>
              <w:textAlignment w:val="auto"/>
              <w:rPr>
                <w:rFonts w:hint="eastAsia" w:ascii="宋体" w:hAnsi="宋体" w:eastAsia="宋体" w:cs="宋体"/>
                <w:color w:val="auto"/>
                <w:sz w:val="21"/>
                <w:szCs w:val="21"/>
                <w:highlight w:val="none"/>
              </w:rPr>
            </w:pPr>
          </w:p>
        </w:tc>
      </w:tr>
      <w:tr w14:paraId="6F976CBA">
        <w:tblPrEx>
          <w:tblCellMar>
            <w:top w:w="0" w:type="dxa"/>
            <w:left w:w="108" w:type="dxa"/>
            <w:bottom w:w="0" w:type="dxa"/>
            <w:right w:w="108" w:type="dxa"/>
          </w:tblCellMar>
        </w:tblPrEx>
        <w:trPr>
          <w:trHeight w:val="570" w:hRule="atLeast"/>
        </w:trPr>
        <w:tc>
          <w:tcPr>
            <w:tcW w:w="1538" w:type="dxa"/>
            <w:tcBorders>
              <w:top w:val="single" w:color="auto" w:sz="4" w:space="0"/>
              <w:left w:val="single" w:color="auto" w:sz="4" w:space="0"/>
              <w:bottom w:val="single" w:color="auto" w:sz="4" w:space="0"/>
              <w:right w:val="single" w:color="auto" w:sz="4" w:space="0"/>
            </w:tcBorders>
            <w:noWrap w:val="0"/>
            <w:vAlign w:val="center"/>
          </w:tcPr>
          <w:p w14:paraId="6E0B88BD">
            <w:pPr>
              <w:keepLines w:val="0"/>
              <w:pageBreakBefore w:val="0"/>
              <w:kinsoku/>
              <w:wordWrap/>
              <w:overflowPunct/>
              <w:topLinePunct w:val="0"/>
              <w:autoSpaceDE/>
              <w:autoSpaceDN/>
              <w:bidi w:val="0"/>
              <w:adjustRightInd/>
              <w:snapToGrid/>
              <w:spacing w:line="360" w:lineRule="auto"/>
              <w:ind w:left="240" w:right="119" w:rightChars="0" w:hanging="240" w:hangingChars="10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清理空倒房（5</w:t>
            </w:r>
            <w:r>
              <w:rPr>
                <w:rFonts w:hint="eastAsia" w:ascii="宋体" w:hAnsi="宋体" w:eastAsia="宋体" w:cs="宋体"/>
                <w:color w:val="auto"/>
                <w:sz w:val="24"/>
                <w:szCs w:val="24"/>
                <w:highlight w:val="none"/>
                <w:lang w:eastAsia="zh-CN"/>
              </w:rPr>
              <w:t>分</w:t>
            </w:r>
            <w:r>
              <w:rPr>
                <w:rFonts w:hint="eastAsia" w:ascii="宋体" w:hAnsi="宋体" w:eastAsia="宋体" w:cs="宋体"/>
                <w:color w:val="auto"/>
                <w:sz w:val="24"/>
                <w:szCs w:val="24"/>
                <w:highlight w:val="none"/>
              </w:rPr>
              <w:t>）</w:t>
            </w:r>
          </w:p>
        </w:tc>
        <w:tc>
          <w:tcPr>
            <w:tcW w:w="817" w:type="dxa"/>
            <w:tcBorders>
              <w:top w:val="single" w:color="auto" w:sz="4" w:space="0"/>
              <w:left w:val="nil"/>
              <w:bottom w:val="single" w:color="auto" w:sz="4" w:space="0"/>
              <w:right w:val="single" w:color="auto" w:sz="4" w:space="0"/>
            </w:tcBorders>
            <w:noWrap w:val="0"/>
            <w:vAlign w:val="center"/>
          </w:tcPr>
          <w:p w14:paraId="4C937744">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lang w:eastAsia="zh-CN"/>
              </w:rPr>
              <w:t>分</w:t>
            </w:r>
          </w:p>
        </w:tc>
        <w:tc>
          <w:tcPr>
            <w:tcW w:w="5951" w:type="dxa"/>
            <w:tcBorders>
              <w:top w:val="single" w:color="auto" w:sz="4" w:space="0"/>
              <w:left w:val="nil"/>
              <w:bottom w:val="single" w:color="auto" w:sz="4" w:space="0"/>
              <w:right w:val="single" w:color="auto" w:sz="4" w:space="0"/>
            </w:tcBorders>
            <w:noWrap w:val="0"/>
            <w:vAlign w:val="top"/>
          </w:tcPr>
          <w:p w14:paraId="5A5D73E9">
            <w:pPr>
              <w:spacing w:line="320" w:lineRule="exact"/>
              <w:ind w:firstLine="504" w:firstLineChars="200"/>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spacing w:val="6"/>
                <w:kern w:val="0"/>
                <w:sz w:val="24"/>
                <w:szCs w:val="24"/>
                <w:highlight w:val="none"/>
              </w:rPr>
              <w:t>村内无影响村容村貌、有碍观瞻及影响公共安全的残垣断壁、危房等空倒房，</w:t>
            </w:r>
            <w:r>
              <w:rPr>
                <w:rFonts w:hint="eastAsia" w:ascii="宋体" w:hAnsi="宋体" w:eastAsia="宋体" w:cs="宋体"/>
                <w:snapToGrid w:val="0"/>
                <w:color w:val="auto"/>
                <w:kern w:val="0"/>
                <w:sz w:val="24"/>
                <w:szCs w:val="24"/>
                <w:highlight w:val="none"/>
              </w:rPr>
              <w:t>无乱搭乱建、影响整体环境现象；建房、装修等材料规范堆放并挂牌施工。</w:t>
            </w:r>
            <w:r>
              <w:rPr>
                <w:rFonts w:hint="eastAsia" w:ascii="宋体" w:hAnsi="宋体" w:eastAsia="宋体" w:cs="宋体"/>
                <w:snapToGrid w:val="0"/>
                <w:color w:val="auto"/>
                <w:kern w:val="0"/>
                <w:sz w:val="24"/>
                <w:szCs w:val="24"/>
                <w:highlight w:val="none"/>
                <w:lang w:eastAsia="zh-CN"/>
              </w:rPr>
              <w:t>如有空倒房标志未上墙，空倒房、违章未上报，施工未挂牌等问题，</w:t>
            </w:r>
            <w:r>
              <w:rPr>
                <w:rFonts w:hint="eastAsia" w:ascii="宋体" w:hAnsi="宋体" w:eastAsia="宋体" w:cs="宋体"/>
                <w:color w:val="auto"/>
                <w:sz w:val="24"/>
                <w:szCs w:val="24"/>
                <w:highlight w:val="none"/>
              </w:rPr>
              <w:t>每</w:t>
            </w:r>
            <w:r>
              <w:rPr>
                <w:rFonts w:hint="eastAsia" w:ascii="宋体" w:hAnsi="宋体" w:eastAsia="宋体" w:cs="宋体"/>
                <w:color w:val="auto"/>
                <w:sz w:val="24"/>
                <w:szCs w:val="24"/>
                <w:highlight w:val="none"/>
                <w:lang w:eastAsia="zh-CN"/>
              </w:rPr>
              <w:t>起</w:t>
            </w:r>
            <w:r>
              <w:rPr>
                <w:rFonts w:hint="eastAsia" w:ascii="宋体" w:hAnsi="宋体" w:eastAsia="宋体" w:cs="宋体"/>
                <w:color w:val="auto"/>
                <w:sz w:val="24"/>
                <w:szCs w:val="24"/>
                <w:highlight w:val="none"/>
              </w:rPr>
              <w:t>扣1分</w:t>
            </w:r>
          </w:p>
        </w:tc>
        <w:tc>
          <w:tcPr>
            <w:tcW w:w="817" w:type="dxa"/>
            <w:tcBorders>
              <w:top w:val="single" w:color="auto" w:sz="4" w:space="0"/>
              <w:left w:val="nil"/>
              <w:bottom w:val="single" w:color="auto" w:sz="4" w:space="0"/>
              <w:right w:val="single" w:color="auto" w:sz="4" w:space="0"/>
            </w:tcBorders>
            <w:noWrap w:val="0"/>
            <w:vAlign w:val="center"/>
          </w:tcPr>
          <w:p w14:paraId="7F0D2265">
            <w:pPr>
              <w:keepLines w:val="0"/>
              <w:pageBreakBefore w:val="0"/>
              <w:kinsoku/>
              <w:wordWrap/>
              <w:overflowPunct/>
              <w:topLinePunct w:val="0"/>
              <w:autoSpaceDE/>
              <w:autoSpaceDN/>
              <w:bidi w:val="0"/>
              <w:adjustRightInd/>
              <w:snapToGrid/>
              <w:spacing w:line="380" w:lineRule="exact"/>
              <w:ind w:right="119" w:rightChars="0" w:firstLine="420" w:firstLineChars="200"/>
              <w:textAlignment w:val="auto"/>
              <w:rPr>
                <w:rFonts w:hint="eastAsia" w:ascii="宋体" w:hAnsi="宋体" w:eastAsia="宋体" w:cs="宋体"/>
                <w:color w:val="auto"/>
                <w:sz w:val="21"/>
                <w:szCs w:val="21"/>
                <w:highlight w:val="none"/>
              </w:rPr>
            </w:pPr>
          </w:p>
        </w:tc>
      </w:tr>
      <w:tr w14:paraId="55776360">
        <w:tblPrEx>
          <w:tblCellMar>
            <w:top w:w="0" w:type="dxa"/>
            <w:left w:w="108" w:type="dxa"/>
            <w:bottom w:w="0" w:type="dxa"/>
            <w:right w:w="108" w:type="dxa"/>
          </w:tblCellMar>
        </w:tblPrEx>
        <w:trPr>
          <w:trHeight w:val="570" w:hRule="atLeast"/>
        </w:trPr>
        <w:tc>
          <w:tcPr>
            <w:tcW w:w="1538" w:type="dxa"/>
            <w:tcBorders>
              <w:top w:val="single" w:color="auto" w:sz="4" w:space="0"/>
              <w:left w:val="single" w:color="auto" w:sz="4" w:space="0"/>
              <w:bottom w:val="single" w:color="auto" w:sz="4" w:space="0"/>
              <w:right w:val="single" w:color="auto" w:sz="4" w:space="0"/>
            </w:tcBorders>
            <w:noWrap w:val="0"/>
            <w:vAlign w:val="center"/>
          </w:tcPr>
          <w:p w14:paraId="7BC47B6F">
            <w:pPr>
              <w:keepLines w:val="0"/>
              <w:pageBreakBefore w:val="0"/>
              <w:kinsoku/>
              <w:wordWrap/>
              <w:overflowPunct/>
              <w:topLinePunct w:val="0"/>
              <w:autoSpaceDE/>
              <w:autoSpaceDN/>
              <w:bidi w:val="0"/>
              <w:adjustRightInd/>
              <w:snapToGrid/>
              <w:spacing w:line="360" w:lineRule="auto"/>
              <w:ind w:right="119" w:right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三线序化</w:t>
            </w:r>
          </w:p>
          <w:p w14:paraId="18EDB692">
            <w:pPr>
              <w:keepLines w:val="0"/>
              <w:pageBreakBefore w:val="0"/>
              <w:kinsoku/>
              <w:wordWrap/>
              <w:overflowPunct/>
              <w:topLinePunct w:val="0"/>
              <w:autoSpaceDE/>
              <w:autoSpaceDN/>
              <w:bidi w:val="0"/>
              <w:adjustRightInd/>
              <w:snapToGrid/>
              <w:spacing w:line="360" w:lineRule="auto"/>
              <w:ind w:right="119" w:right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lang w:eastAsia="zh-CN"/>
              </w:rPr>
              <w:t>分</w:t>
            </w:r>
            <w:r>
              <w:rPr>
                <w:rFonts w:hint="eastAsia" w:ascii="宋体" w:hAnsi="宋体" w:eastAsia="宋体" w:cs="宋体"/>
                <w:color w:val="auto"/>
                <w:sz w:val="24"/>
                <w:szCs w:val="24"/>
                <w:highlight w:val="none"/>
              </w:rPr>
              <w:t>）</w:t>
            </w:r>
          </w:p>
        </w:tc>
        <w:tc>
          <w:tcPr>
            <w:tcW w:w="817" w:type="dxa"/>
            <w:tcBorders>
              <w:top w:val="single" w:color="auto" w:sz="4" w:space="0"/>
              <w:left w:val="nil"/>
              <w:bottom w:val="single" w:color="auto" w:sz="4" w:space="0"/>
              <w:right w:val="single" w:color="auto" w:sz="4" w:space="0"/>
            </w:tcBorders>
            <w:noWrap w:val="0"/>
            <w:vAlign w:val="center"/>
          </w:tcPr>
          <w:p w14:paraId="25C02BE6">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lang w:eastAsia="zh-CN"/>
              </w:rPr>
              <w:t>分</w:t>
            </w:r>
          </w:p>
        </w:tc>
        <w:tc>
          <w:tcPr>
            <w:tcW w:w="5951" w:type="dxa"/>
            <w:tcBorders>
              <w:top w:val="single" w:color="auto" w:sz="4" w:space="0"/>
              <w:left w:val="nil"/>
              <w:bottom w:val="single" w:color="auto" w:sz="4" w:space="0"/>
              <w:right w:val="single" w:color="auto" w:sz="4" w:space="0"/>
            </w:tcBorders>
            <w:noWrap w:val="0"/>
            <w:vAlign w:val="top"/>
          </w:tcPr>
          <w:p w14:paraId="4C6948FE">
            <w:pPr>
              <w:spacing w:line="320" w:lineRule="exact"/>
              <w:ind w:firstLine="480" w:firstLineChars="200"/>
              <w:jc w:val="both"/>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三线管护到位，无“蜘蛛网”、下垂废线，强弱电电箱加盖，每发现一处扣1分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凌乱、闲置杆线及时对接清理，</w:t>
            </w:r>
            <w:r>
              <w:rPr>
                <w:rFonts w:hint="eastAsia" w:ascii="宋体" w:hAnsi="宋体" w:eastAsia="宋体" w:cs="宋体"/>
                <w:color w:val="auto"/>
                <w:sz w:val="24"/>
                <w:szCs w:val="24"/>
                <w:highlight w:val="none"/>
                <w:lang w:eastAsia="zh-CN"/>
              </w:rPr>
              <w:t>未上报的每起扣</w:t>
            </w:r>
            <w:r>
              <w:rPr>
                <w:rFonts w:hint="eastAsia" w:ascii="宋体" w:hAnsi="宋体" w:eastAsia="宋体" w:cs="宋体"/>
                <w:color w:val="auto"/>
                <w:sz w:val="24"/>
                <w:szCs w:val="24"/>
                <w:highlight w:val="none"/>
                <w:lang w:val="en-US" w:eastAsia="zh-CN"/>
              </w:rPr>
              <w:t>1分</w:t>
            </w:r>
          </w:p>
        </w:tc>
        <w:tc>
          <w:tcPr>
            <w:tcW w:w="817" w:type="dxa"/>
            <w:tcBorders>
              <w:top w:val="single" w:color="auto" w:sz="4" w:space="0"/>
              <w:left w:val="nil"/>
              <w:bottom w:val="single" w:color="auto" w:sz="4" w:space="0"/>
              <w:right w:val="single" w:color="auto" w:sz="4" w:space="0"/>
            </w:tcBorders>
            <w:noWrap w:val="0"/>
            <w:vAlign w:val="center"/>
          </w:tcPr>
          <w:p w14:paraId="4AF16A68">
            <w:pPr>
              <w:keepLines w:val="0"/>
              <w:pageBreakBefore w:val="0"/>
              <w:kinsoku/>
              <w:wordWrap/>
              <w:overflowPunct/>
              <w:topLinePunct w:val="0"/>
              <w:autoSpaceDE/>
              <w:autoSpaceDN/>
              <w:bidi w:val="0"/>
              <w:adjustRightInd/>
              <w:snapToGrid/>
              <w:spacing w:line="380" w:lineRule="exact"/>
              <w:ind w:right="119" w:rightChars="0" w:firstLine="420" w:firstLineChars="200"/>
              <w:textAlignment w:val="auto"/>
              <w:rPr>
                <w:rFonts w:hint="eastAsia" w:ascii="宋体" w:hAnsi="宋体" w:eastAsia="宋体" w:cs="宋体"/>
                <w:color w:val="auto"/>
                <w:sz w:val="21"/>
                <w:szCs w:val="21"/>
                <w:highlight w:val="none"/>
              </w:rPr>
            </w:pPr>
          </w:p>
        </w:tc>
      </w:tr>
      <w:tr w14:paraId="33DF659B">
        <w:tblPrEx>
          <w:tblCellMar>
            <w:top w:w="0" w:type="dxa"/>
            <w:left w:w="108" w:type="dxa"/>
            <w:bottom w:w="0" w:type="dxa"/>
            <w:right w:w="108" w:type="dxa"/>
          </w:tblCellMar>
        </w:tblPrEx>
        <w:trPr>
          <w:trHeight w:val="570" w:hRule="atLeast"/>
        </w:trPr>
        <w:tc>
          <w:tcPr>
            <w:tcW w:w="1538" w:type="dxa"/>
            <w:tcBorders>
              <w:top w:val="single" w:color="auto" w:sz="4" w:space="0"/>
              <w:left w:val="single" w:color="auto" w:sz="4" w:space="0"/>
              <w:bottom w:val="single" w:color="auto" w:sz="4" w:space="0"/>
              <w:right w:val="single" w:color="auto" w:sz="4" w:space="0"/>
            </w:tcBorders>
            <w:noWrap w:val="0"/>
            <w:vAlign w:val="center"/>
          </w:tcPr>
          <w:p w14:paraId="00E0A5E6">
            <w:pPr>
              <w:keepLines w:val="0"/>
              <w:pageBreakBefore w:val="0"/>
              <w:kinsoku/>
              <w:wordWrap/>
              <w:overflowPunct/>
              <w:topLinePunct w:val="0"/>
              <w:autoSpaceDE/>
              <w:autoSpaceDN/>
              <w:bidi w:val="0"/>
              <w:adjustRightInd/>
              <w:snapToGrid/>
              <w:spacing w:line="360" w:lineRule="auto"/>
              <w:ind w:right="119" w:rightChars="0" w:firstLine="240" w:firstLineChars="10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庭院美化</w:t>
            </w:r>
          </w:p>
          <w:p w14:paraId="4C10D7EF">
            <w:pPr>
              <w:keepLines w:val="0"/>
              <w:pageBreakBefore w:val="0"/>
              <w:kinsoku/>
              <w:wordWrap/>
              <w:overflowPunct/>
              <w:topLinePunct w:val="0"/>
              <w:autoSpaceDE/>
              <w:autoSpaceDN/>
              <w:bidi w:val="0"/>
              <w:adjustRightInd/>
              <w:snapToGrid/>
              <w:spacing w:line="360" w:lineRule="auto"/>
              <w:ind w:right="119" w:rightChars="0" w:firstLine="240" w:firstLineChars="10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w:t>
            </w:r>
            <w:r>
              <w:rPr>
                <w:rFonts w:hint="eastAsia" w:ascii="宋体" w:hAnsi="宋体" w:eastAsia="宋体" w:cs="宋体"/>
                <w:color w:val="auto"/>
                <w:sz w:val="24"/>
                <w:szCs w:val="24"/>
                <w:highlight w:val="none"/>
                <w:lang w:eastAsia="zh-CN"/>
              </w:rPr>
              <w:t>分</w:t>
            </w:r>
            <w:r>
              <w:rPr>
                <w:rFonts w:hint="eastAsia" w:ascii="宋体" w:hAnsi="宋体" w:eastAsia="宋体" w:cs="宋体"/>
                <w:color w:val="auto"/>
                <w:sz w:val="24"/>
                <w:szCs w:val="24"/>
                <w:highlight w:val="none"/>
              </w:rPr>
              <w:t>）</w:t>
            </w:r>
          </w:p>
        </w:tc>
        <w:tc>
          <w:tcPr>
            <w:tcW w:w="817" w:type="dxa"/>
            <w:tcBorders>
              <w:top w:val="single" w:color="auto" w:sz="4" w:space="0"/>
              <w:left w:val="nil"/>
              <w:bottom w:val="single" w:color="auto" w:sz="4" w:space="0"/>
              <w:right w:val="single" w:color="auto" w:sz="4" w:space="0"/>
            </w:tcBorders>
            <w:noWrap w:val="0"/>
            <w:vAlign w:val="center"/>
          </w:tcPr>
          <w:p w14:paraId="66ABA0B7">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lang w:eastAsia="zh-CN"/>
              </w:rPr>
              <w:t>分</w:t>
            </w:r>
          </w:p>
        </w:tc>
        <w:tc>
          <w:tcPr>
            <w:tcW w:w="5951" w:type="dxa"/>
            <w:tcBorders>
              <w:top w:val="single" w:color="auto" w:sz="4" w:space="0"/>
              <w:left w:val="nil"/>
              <w:bottom w:val="single" w:color="auto" w:sz="4" w:space="0"/>
              <w:right w:val="single" w:color="auto" w:sz="4" w:space="0"/>
            </w:tcBorders>
            <w:noWrap w:val="0"/>
            <w:vAlign w:val="top"/>
          </w:tcPr>
          <w:p w14:paraId="7F0FA1CE">
            <w:pPr>
              <w:spacing w:line="320" w:lineRule="exact"/>
              <w:ind w:firstLine="480" w:firstLineChars="200"/>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院内整洁，房前屋后无乱堆乱放、乱搭乱建，随机抽查5户美丽庭院，每发现一处扣1分</w:t>
            </w:r>
          </w:p>
        </w:tc>
        <w:tc>
          <w:tcPr>
            <w:tcW w:w="817" w:type="dxa"/>
            <w:tcBorders>
              <w:top w:val="single" w:color="auto" w:sz="4" w:space="0"/>
              <w:left w:val="nil"/>
              <w:bottom w:val="single" w:color="auto" w:sz="4" w:space="0"/>
              <w:right w:val="single" w:color="auto" w:sz="4" w:space="0"/>
            </w:tcBorders>
            <w:noWrap w:val="0"/>
            <w:vAlign w:val="center"/>
          </w:tcPr>
          <w:p w14:paraId="3C27ADAB">
            <w:pPr>
              <w:keepLines w:val="0"/>
              <w:pageBreakBefore w:val="0"/>
              <w:kinsoku/>
              <w:wordWrap/>
              <w:overflowPunct/>
              <w:topLinePunct w:val="0"/>
              <w:autoSpaceDE/>
              <w:autoSpaceDN/>
              <w:bidi w:val="0"/>
              <w:adjustRightInd/>
              <w:snapToGrid/>
              <w:spacing w:line="380" w:lineRule="exact"/>
              <w:ind w:right="119" w:rightChars="0" w:firstLine="420" w:firstLineChars="200"/>
              <w:textAlignment w:val="auto"/>
              <w:rPr>
                <w:rFonts w:hint="eastAsia" w:ascii="宋体" w:hAnsi="宋体" w:eastAsia="宋体" w:cs="宋体"/>
                <w:color w:val="auto"/>
                <w:sz w:val="21"/>
                <w:szCs w:val="21"/>
                <w:highlight w:val="none"/>
              </w:rPr>
            </w:pPr>
          </w:p>
        </w:tc>
      </w:tr>
      <w:tr w14:paraId="2C639C3F">
        <w:tblPrEx>
          <w:tblCellMar>
            <w:top w:w="0" w:type="dxa"/>
            <w:left w:w="108" w:type="dxa"/>
            <w:bottom w:w="0" w:type="dxa"/>
            <w:right w:w="108" w:type="dxa"/>
          </w:tblCellMar>
        </w:tblPrEx>
        <w:trPr>
          <w:trHeight w:val="570" w:hRule="atLeast"/>
        </w:trPr>
        <w:tc>
          <w:tcPr>
            <w:tcW w:w="1538" w:type="dxa"/>
            <w:vMerge w:val="restart"/>
            <w:tcBorders>
              <w:top w:val="single" w:color="auto" w:sz="4" w:space="0"/>
              <w:left w:val="single" w:color="auto" w:sz="4" w:space="0"/>
              <w:right w:val="single" w:color="auto" w:sz="4" w:space="0"/>
            </w:tcBorders>
            <w:noWrap w:val="0"/>
            <w:vAlign w:val="center"/>
          </w:tcPr>
          <w:p w14:paraId="06784B1F">
            <w:pPr>
              <w:keepLines w:val="0"/>
              <w:pageBreakBefore w:val="0"/>
              <w:kinsoku/>
              <w:wordWrap/>
              <w:overflowPunct/>
              <w:topLinePunct w:val="0"/>
              <w:autoSpaceDE/>
              <w:autoSpaceDN/>
              <w:bidi w:val="0"/>
              <w:adjustRightInd/>
              <w:snapToGrid/>
              <w:spacing w:line="360" w:lineRule="auto"/>
              <w:ind w:right="119" w:right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其他</w:t>
            </w:r>
          </w:p>
          <w:p w14:paraId="1C0F756A">
            <w:pPr>
              <w:keepLines w:val="0"/>
              <w:pageBreakBefore w:val="0"/>
              <w:kinsoku/>
              <w:wordWrap/>
              <w:overflowPunct/>
              <w:topLinePunct w:val="0"/>
              <w:autoSpaceDE/>
              <w:autoSpaceDN/>
              <w:bidi w:val="0"/>
              <w:adjustRightInd/>
              <w:snapToGrid/>
              <w:spacing w:line="360" w:lineRule="auto"/>
              <w:ind w:right="119" w:right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9</w:t>
            </w:r>
            <w:r>
              <w:rPr>
                <w:rFonts w:hint="eastAsia" w:ascii="宋体" w:hAnsi="宋体" w:eastAsia="宋体" w:cs="宋体"/>
                <w:color w:val="auto"/>
                <w:sz w:val="24"/>
                <w:szCs w:val="24"/>
                <w:highlight w:val="none"/>
                <w:lang w:eastAsia="zh-CN"/>
              </w:rPr>
              <w:t>分</w:t>
            </w:r>
            <w:r>
              <w:rPr>
                <w:rFonts w:hint="eastAsia" w:ascii="宋体" w:hAnsi="宋体" w:eastAsia="宋体" w:cs="宋体"/>
                <w:color w:val="auto"/>
                <w:sz w:val="24"/>
                <w:szCs w:val="24"/>
                <w:highlight w:val="none"/>
              </w:rPr>
              <w:t>）</w:t>
            </w:r>
          </w:p>
        </w:tc>
        <w:tc>
          <w:tcPr>
            <w:tcW w:w="817" w:type="dxa"/>
            <w:tcBorders>
              <w:top w:val="single" w:color="auto" w:sz="4" w:space="0"/>
              <w:left w:val="nil"/>
              <w:bottom w:val="single" w:color="auto" w:sz="4" w:space="0"/>
              <w:right w:val="single" w:color="auto" w:sz="4" w:space="0"/>
            </w:tcBorders>
            <w:noWrap w:val="0"/>
            <w:vAlign w:val="center"/>
          </w:tcPr>
          <w:p w14:paraId="14A42A54">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分</w:t>
            </w:r>
          </w:p>
        </w:tc>
        <w:tc>
          <w:tcPr>
            <w:tcW w:w="5951" w:type="dxa"/>
            <w:tcBorders>
              <w:top w:val="single" w:color="auto" w:sz="4" w:space="0"/>
              <w:left w:val="nil"/>
              <w:bottom w:val="single" w:color="auto" w:sz="4" w:space="0"/>
              <w:right w:val="single" w:color="auto" w:sz="4" w:space="0"/>
            </w:tcBorders>
            <w:noWrap w:val="0"/>
            <w:vAlign w:val="top"/>
          </w:tcPr>
          <w:p w14:paraId="1C30E9EA">
            <w:pPr>
              <w:spacing w:line="320" w:lineRule="exact"/>
              <w:ind w:firstLine="480" w:firstLineChars="200"/>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村内道路、健身器械、窨井盖、雨污水管道</w:t>
            </w:r>
            <w:r>
              <w:rPr>
                <w:rFonts w:hint="eastAsia" w:ascii="宋体" w:hAnsi="宋体" w:eastAsia="宋体" w:cs="宋体"/>
                <w:color w:val="auto"/>
                <w:sz w:val="24"/>
                <w:szCs w:val="24"/>
                <w:highlight w:val="none"/>
                <w:lang w:eastAsia="zh-CN"/>
              </w:rPr>
              <w:t>、路灯</w:t>
            </w:r>
            <w:r>
              <w:rPr>
                <w:rFonts w:hint="eastAsia" w:ascii="宋体" w:hAnsi="宋体" w:eastAsia="宋体" w:cs="宋体"/>
                <w:color w:val="auto"/>
                <w:sz w:val="24"/>
                <w:szCs w:val="24"/>
                <w:highlight w:val="none"/>
              </w:rPr>
              <w:t>等各类公共设施</w:t>
            </w:r>
            <w:r>
              <w:rPr>
                <w:rFonts w:hint="eastAsia" w:ascii="宋体" w:hAnsi="宋体" w:eastAsia="宋体" w:cs="宋体"/>
                <w:color w:val="auto"/>
                <w:sz w:val="24"/>
                <w:szCs w:val="24"/>
                <w:highlight w:val="none"/>
                <w:lang w:eastAsia="zh-CN"/>
              </w:rPr>
              <w:t>清洁、</w:t>
            </w:r>
            <w:r>
              <w:rPr>
                <w:rFonts w:hint="eastAsia" w:ascii="宋体" w:hAnsi="宋体" w:eastAsia="宋体" w:cs="宋体"/>
                <w:color w:val="auto"/>
                <w:sz w:val="24"/>
                <w:szCs w:val="24"/>
                <w:highlight w:val="none"/>
              </w:rPr>
              <w:t>管护到位；每发现一处</w:t>
            </w:r>
            <w:r>
              <w:rPr>
                <w:rFonts w:hint="eastAsia" w:ascii="宋体" w:hAnsi="宋体" w:eastAsia="宋体" w:cs="宋体"/>
                <w:color w:val="auto"/>
                <w:sz w:val="24"/>
                <w:szCs w:val="24"/>
                <w:highlight w:val="none"/>
                <w:lang w:eastAsia="zh-CN"/>
              </w:rPr>
              <w:t>问题</w:t>
            </w:r>
            <w:r>
              <w:rPr>
                <w:rFonts w:hint="eastAsia" w:ascii="宋体" w:hAnsi="宋体" w:eastAsia="宋体" w:cs="宋体"/>
                <w:color w:val="auto"/>
                <w:sz w:val="24"/>
                <w:szCs w:val="24"/>
                <w:highlight w:val="none"/>
              </w:rPr>
              <w:t>扣</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分</w:t>
            </w:r>
          </w:p>
        </w:tc>
        <w:tc>
          <w:tcPr>
            <w:tcW w:w="817" w:type="dxa"/>
            <w:tcBorders>
              <w:top w:val="single" w:color="auto" w:sz="4" w:space="0"/>
              <w:left w:val="nil"/>
              <w:bottom w:val="single" w:color="auto" w:sz="4" w:space="0"/>
              <w:right w:val="single" w:color="auto" w:sz="4" w:space="0"/>
            </w:tcBorders>
            <w:noWrap w:val="0"/>
            <w:vAlign w:val="center"/>
          </w:tcPr>
          <w:p w14:paraId="34428C67">
            <w:pPr>
              <w:keepLines w:val="0"/>
              <w:pageBreakBefore w:val="0"/>
              <w:kinsoku/>
              <w:wordWrap/>
              <w:overflowPunct/>
              <w:topLinePunct w:val="0"/>
              <w:autoSpaceDE/>
              <w:autoSpaceDN/>
              <w:bidi w:val="0"/>
              <w:adjustRightInd/>
              <w:snapToGrid/>
              <w:spacing w:line="380" w:lineRule="exact"/>
              <w:ind w:right="119" w:rightChars="0" w:firstLine="420" w:firstLineChars="200"/>
              <w:textAlignment w:val="auto"/>
              <w:rPr>
                <w:rFonts w:hint="eastAsia" w:ascii="宋体" w:hAnsi="宋体" w:eastAsia="宋体" w:cs="宋体"/>
                <w:color w:val="auto"/>
                <w:sz w:val="21"/>
                <w:szCs w:val="21"/>
                <w:highlight w:val="none"/>
              </w:rPr>
            </w:pPr>
          </w:p>
        </w:tc>
      </w:tr>
      <w:tr w14:paraId="49FB7732">
        <w:tblPrEx>
          <w:tblCellMar>
            <w:top w:w="0" w:type="dxa"/>
            <w:left w:w="108" w:type="dxa"/>
            <w:bottom w:w="0" w:type="dxa"/>
            <w:right w:w="108" w:type="dxa"/>
          </w:tblCellMar>
        </w:tblPrEx>
        <w:trPr>
          <w:trHeight w:val="375" w:hRule="atLeast"/>
        </w:trPr>
        <w:tc>
          <w:tcPr>
            <w:tcW w:w="1538" w:type="dxa"/>
            <w:vMerge w:val="continue"/>
            <w:tcBorders>
              <w:left w:val="single" w:color="auto" w:sz="4" w:space="0"/>
              <w:right w:val="single" w:color="auto" w:sz="4" w:space="0"/>
            </w:tcBorders>
            <w:noWrap w:val="0"/>
            <w:vAlign w:val="center"/>
          </w:tcPr>
          <w:p w14:paraId="4D7B1951">
            <w:pPr>
              <w:keepLines w:val="0"/>
              <w:pageBreakBefore w:val="0"/>
              <w:kinsoku/>
              <w:wordWrap/>
              <w:overflowPunct/>
              <w:topLinePunct w:val="0"/>
              <w:autoSpaceDE/>
              <w:autoSpaceDN/>
              <w:bidi w:val="0"/>
              <w:adjustRightInd/>
              <w:snapToGrid/>
              <w:spacing w:line="360" w:lineRule="auto"/>
              <w:ind w:right="119" w:rightChars="0" w:firstLine="240" w:firstLineChars="100"/>
              <w:jc w:val="both"/>
              <w:textAlignment w:val="auto"/>
              <w:rPr>
                <w:rFonts w:hint="eastAsia" w:ascii="宋体" w:hAnsi="宋体" w:eastAsia="宋体" w:cs="宋体"/>
                <w:color w:val="auto"/>
                <w:sz w:val="24"/>
                <w:szCs w:val="24"/>
                <w:highlight w:val="none"/>
              </w:rPr>
            </w:pPr>
          </w:p>
        </w:tc>
        <w:tc>
          <w:tcPr>
            <w:tcW w:w="817" w:type="dxa"/>
            <w:tcBorders>
              <w:top w:val="single" w:color="auto" w:sz="4" w:space="0"/>
              <w:left w:val="nil"/>
              <w:bottom w:val="single" w:color="auto" w:sz="4" w:space="0"/>
              <w:right w:val="single" w:color="auto" w:sz="4" w:space="0"/>
            </w:tcBorders>
            <w:noWrap w:val="0"/>
            <w:vAlign w:val="center"/>
          </w:tcPr>
          <w:p w14:paraId="6E685DD4">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分</w:t>
            </w:r>
          </w:p>
        </w:tc>
        <w:tc>
          <w:tcPr>
            <w:tcW w:w="5951" w:type="dxa"/>
            <w:tcBorders>
              <w:top w:val="single" w:color="auto" w:sz="4" w:space="0"/>
              <w:left w:val="nil"/>
              <w:bottom w:val="single" w:color="auto" w:sz="4" w:space="0"/>
              <w:right w:val="single" w:color="auto" w:sz="4" w:space="0"/>
            </w:tcBorders>
            <w:noWrap w:val="0"/>
            <w:vAlign w:val="top"/>
          </w:tcPr>
          <w:p w14:paraId="32DFD213">
            <w:pPr>
              <w:spacing w:line="320" w:lineRule="exact"/>
              <w:ind w:firstLine="480" w:firstLineChars="200"/>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无散养家禽、路边（河边）等醒目位置无圈养家禽</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无秸秆焚烧</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每发现一处</w:t>
            </w:r>
            <w:r>
              <w:rPr>
                <w:rFonts w:hint="eastAsia" w:ascii="宋体" w:hAnsi="宋体" w:eastAsia="宋体" w:cs="宋体"/>
                <w:color w:val="auto"/>
                <w:sz w:val="24"/>
                <w:szCs w:val="24"/>
                <w:highlight w:val="none"/>
                <w:lang w:eastAsia="zh-CN"/>
              </w:rPr>
              <w:t>问题</w:t>
            </w:r>
            <w:r>
              <w:rPr>
                <w:rFonts w:hint="eastAsia" w:ascii="宋体" w:hAnsi="宋体" w:eastAsia="宋体" w:cs="宋体"/>
                <w:color w:val="auto"/>
                <w:sz w:val="24"/>
                <w:szCs w:val="24"/>
                <w:highlight w:val="none"/>
              </w:rPr>
              <w:t>扣</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分</w:t>
            </w:r>
          </w:p>
        </w:tc>
        <w:tc>
          <w:tcPr>
            <w:tcW w:w="817" w:type="dxa"/>
            <w:tcBorders>
              <w:top w:val="single" w:color="auto" w:sz="4" w:space="0"/>
              <w:left w:val="nil"/>
              <w:bottom w:val="single" w:color="auto" w:sz="4" w:space="0"/>
              <w:right w:val="single" w:color="auto" w:sz="4" w:space="0"/>
            </w:tcBorders>
            <w:noWrap w:val="0"/>
            <w:vAlign w:val="center"/>
          </w:tcPr>
          <w:p w14:paraId="2DE95EA7">
            <w:pPr>
              <w:keepLines w:val="0"/>
              <w:pageBreakBefore w:val="0"/>
              <w:kinsoku/>
              <w:wordWrap/>
              <w:overflowPunct/>
              <w:topLinePunct w:val="0"/>
              <w:autoSpaceDE/>
              <w:autoSpaceDN/>
              <w:bidi w:val="0"/>
              <w:adjustRightInd/>
              <w:snapToGrid/>
              <w:spacing w:line="380" w:lineRule="exact"/>
              <w:ind w:right="119" w:rightChars="0" w:firstLine="420" w:firstLineChars="200"/>
              <w:textAlignment w:val="auto"/>
              <w:rPr>
                <w:rFonts w:hint="eastAsia" w:ascii="宋体" w:hAnsi="宋体" w:eastAsia="宋体" w:cs="宋体"/>
                <w:color w:val="auto"/>
                <w:sz w:val="21"/>
                <w:szCs w:val="21"/>
                <w:highlight w:val="none"/>
                <w:lang w:val="en-US" w:eastAsia="zh-CN"/>
              </w:rPr>
            </w:pPr>
          </w:p>
        </w:tc>
      </w:tr>
      <w:tr w14:paraId="6979D58E">
        <w:tblPrEx>
          <w:tblCellMar>
            <w:top w:w="0" w:type="dxa"/>
            <w:left w:w="108" w:type="dxa"/>
            <w:bottom w:w="0" w:type="dxa"/>
            <w:right w:w="108" w:type="dxa"/>
          </w:tblCellMar>
        </w:tblPrEx>
        <w:trPr>
          <w:trHeight w:val="375" w:hRule="atLeast"/>
        </w:trPr>
        <w:tc>
          <w:tcPr>
            <w:tcW w:w="1538" w:type="dxa"/>
            <w:vMerge w:val="continue"/>
            <w:tcBorders>
              <w:left w:val="single" w:color="auto" w:sz="4" w:space="0"/>
              <w:right w:val="single" w:color="auto" w:sz="4" w:space="0"/>
            </w:tcBorders>
            <w:noWrap w:val="0"/>
            <w:vAlign w:val="center"/>
          </w:tcPr>
          <w:p w14:paraId="3300BCBB">
            <w:pPr>
              <w:keepLines w:val="0"/>
              <w:pageBreakBefore w:val="0"/>
              <w:kinsoku/>
              <w:wordWrap/>
              <w:overflowPunct/>
              <w:topLinePunct w:val="0"/>
              <w:autoSpaceDE/>
              <w:autoSpaceDN/>
              <w:bidi w:val="0"/>
              <w:adjustRightInd/>
              <w:snapToGrid/>
              <w:spacing w:line="360" w:lineRule="auto"/>
              <w:ind w:right="119" w:rightChars="0" w:firstLine="480" w:firstLineChars="200"/>
              <w:jc w:val="center"/>
              <w:textAlignment w:val="auto"/>
              <w:rPr>
                <w:rFonts w:hint="eastAsia" w:ascii="宋体" w:hAnsi="宋体" w:eastAsia="宋体" w:cs="宋体"/>
                <w:color w:val="auto"/>
                <w:sz w:val="24"/>
                <w:szCs w:val="24"/>
                <w:highlight w:val="none"/>
              </w:rPr>
            </w:pPr>
          </w:p>
        </w:tc>
        <w:tc>
          <w:tcPr>
            <w:tcW w:w="817" w:type="dxa"/>
            <w:tcBorders>
              <w:top w:val="nil"/>
              <w:left w:val="nil"/>
              <w:bottom w:val="single" w:color="auto" w:sz="4" w:space="0"/>
              <w:right w:val="single" w:color="auto" w:sz="4" w:space="0"/>
            </w:tcBorders>
            <w:noWrap w:val="0"/>
            <w:vAlign w:val="center"/>
          </w:tcPr>
          <w:p w14:paraId="6DECDB0D">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lang w:eastAsia="zh-CN"/>
              </w:rPr>
              <w:t>分</w:t>
            </w:r>
          </w:p>
        </w:tc>
        <w:tc>
          <w:tcPr>
            <w:tcW w:w="5951" w:type="dxa"/>
            <w:tcBorders>
              <w:top w:val="nil"/>
              <w:left w:val="nil"/>
              <w:bottom w:val="single" w:color="auto" w:sz="4" w:space="0"/>
              <w:right w:val="single" w:color="auto" w:sz="4" w:space="0"/>
            </w:tcBorders>
            <w:noWrap w:val="0"/>
            <w:vAlign w:val="top"/>
          </w:tcPr>
          <w:p w14:paraId="3DA14033">
            <w:pPr>
              <w:spacing w:line="320" w:lineRule="exact"/>
              <w:ind w:firstLine="480" w:firstLineChars="20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电线杆、墙面、公厕等处无小广告、牛皮癣；每发现一处</w:t>
            </w:r>
            <w:r>
              <w:rPr>
                <w:rFonts w:hint="eastAsia" w:ascii="宋体" w:hAnsi="宋体" w:eastAsia="宋体" w:cs="宋体"/>
                <w:color w:val="auto"/>
                <w:sz w:val="24"/>
                <w:szCs w:val="24"/>
                <w:highlight w:val="none"/>
                <w:lang w:eastAsia="zh-CN"/>
              </w:rPr>
              <w:t>问题</w:t>
            </w:r>
            <w:r>
              <w:rPr>
                <w:rFonts w:hint="eastAsia" w:ascii="宋体" w:hAnsi="宋体" w:eastAsia="宋体" w:cs="宋体"/>
                <w:color w:val="auto"/>
                <w:sz w:val="24"/>
                <w:szCs w:val="24"/>
                <w:highlight w:val="none"/>
              </w:rPr>
              <w:t>扣</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分</w:t>
            </w:r>
          </w:p>
        </w:tc>
        <w:tc>
          <w:tcPr>
            <w:tcW w:w="817" w:type="dxa"/>
            <w:tcBorders>
              <w:top w:val="nil"/>
              <w:left w:val="nil"/>
              <w:bottom w:val="single" w:color="auto" w:sz="4" w:space="0"/>
              <w:right w:val="single" w:color="auto" w:sz="4" w:space="0"/>
            </w:tcBorders>
            <w:noWrap w:val="0"/>
            <w:vAlign w:val="center"/>
          </w:tcPr>
          <w:p w14:paraId="57C99C23">
            <w:pPr>
              <w:keepLines w:val="0"/>
              <w:pageBreakBefore w:val="0"/>
              <w:kinsoku/>
              <w:wordWrap/>
              <w:overflowPunct/>
              <w:topLinePunct w:val="0"/>
              <w:autoSpaceDE/>
              <w:autoSpaceDN/>
              <w:bidi w:val="0"/>
              <w:adjustRightInd/>
              <w:snapToGrid/>
              <w:spacing w:line="380" w:lineRule="exact"/>
              <w:ind w:right="119" w:rightChars="0" w:firstLine="420" w:firstLineChars="200"/>
              <w:textAlignment w:val="auto"/>
              <w:rPr>
                <w:rFonts w:hint="eastAsia" w:ascii="宋体" w:hAnsi="宋体" w:eastAsia="宋体" w:cs="宋体"/>
                <w:color w:val="auto"/>
                <w:sz w:val="21"/>
                <w:szCs w:val="21"/>
                <w:highlight w:val="none"/>
              </w:rPr>
            </w:pPr>
          </w:p>
        </w:tc>
      </w:tr>
      <w:tr w14:paraId="7AA57634">
        <w:tblPrEx>
          <w:tblCellMar>
            <w:top w:w="0" w:type="dxa"/>
            <w:left w:w="108" w:type="dxa"/>
            <w:bottom w:w="0" w:type="dxa"/>
            <w:right w:w="108" w:type="dxa"/>
          </w:tblCellMar>
        </w:tblPrEx>
        <w:trPr>
          <w:trHeight w:val="570" w:hRule="atLeast"/>
        </w:trPr>
        <w:tc>
          <w:tcPr>
            <w:tcW w:w="1538" w:type="dxa"/>
            <w:vMerge w:val="continue"/>
            <w:tcBorders>
              <w:left w:val="single" w:color="auto" w:sz="4" w:space="0"/>
              <w:bottom w:val="single" w:color="auto" w:sz="4" w:space="0"/>
              <w:right w:val="single" w:color="auto" w:sz="4" w:space="0"/>
            </w:tcBorders>
            <w:noWrap w:val="0"/>
            <w:vAlign w:val="center"/>
          </w:tcPr>
          <w:p w14:paraId="57E8589F">
            <w:pPr>
              <w:keepLines w:val="0"/>
              <w:pageBreakBefore w:val="0"/>
              <w:kinsoku/>
              <w:wordWrap/>
              <w:overflowPunct/>
              <w:topLinePunct w:val="0"/>
              <w:autoSpaceDE/>
              <w:autoSpaceDN/>
              <w:bidi w:val="0"/>
              <w:adjustRightInd/>
              <w:snapToGrid/>
              <w:spacing w:line="360" w:lineRule="auto"/>
              <w:ind w:right="119" w:rightChars="0" w:firstLine="480" w:firstLineChars="200"/>
              <w:jc w:val="center"/>
              <w:textAlignment w:val="auto"/>
              <w:rPr>
                <w:rFonts w:hint="eastAsia" w:ascii="宋体" w:hAnsi="宋体" w:eastAsia="宋体" w:cs="宋体"/>
                <w:color w:val="auto"/>
                <w:sz w:val="24"/>
                <w:szCs w:val="24"/>
                <w:highlight w:val="none"/>
              </w:rPr>
            </w:pPr>
          </w:p>
        </w:tc>
        <w:tc>
          <w:tcPr>
            <w:tcW w:w="817" w:type="dxa"/>
            <w:tcBorders>
              <w:top w:val="nil"/>
              <w:left w:val="nil"/>
              <w:bottom w:val="single" w:color="auto" w:sz="4" w:space="0"/>
              <w:right w:val="single" w:color="auto" w:sz="4" w:space="0"/>
            </w:tcBorders>
            <w:noWrap w:val="0"/>
            <w:vAlign w:val="center"/>
          </w:tcPr>
          <w:p w14:paraId="2745F01A">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分</w:t>
            </w:r>
          </w:p>
        </w:tc>
        <w:tc>
          <w:tcPr>
            <w:tcW w:w="5951" w:type="dxa"/>
            <w:tcBorders>
              <w:top w:val="nil"/>
              <w:left w:val="nil"/>
              <w:bottom w:val="single" w:color="auto" w:sz="4" w:space="0"/>
              <w:right w:val="single" w:color="auto" w:sz="4" w:space="0"/>
            </w:tcBorders>
            <w:noWrap w:val="0"/>
            <w:vAlign w:val="top"/>
          </w:tcPr>
          <w:p w14:paraId="21A6AADB">
            <w:pPr>
              <w:spacing w:line="320" w:lineRule="exact"/>
              <w:ind w:firstLine="480" w:firstLineChars="20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绿化管护到位、花坛中无杂草横生、杂乱无章现象，枯树等及时清理；</w:t>
            </w:r>
            <w:r>
              <w:rPr>
                <w:rFonts w:hint="eastAsia" w:ascii="宋体" w:hAnsi="宋体" w:eastAsia="宋体" w:cs="宋体"/>
                <w:color w:val="auto"/>
                <w:sz w:val="24"/>
                <w:szCs w:val="24"/>
                <w:highlight w:val="none"/>
              </w:rPr>
              <w:t>每发现一处</w:t>
            </w:r>
            <w:r>
              <w:rPr>
                <w:rFonts w:hint="eastAsia" w:ascii="宋体" w:hAnsi="宋体" w:eastAsia="宋体" w:cs="宋体"/>
                <w:color w:val="auto"/>
                <w:sz w:val="24"/>
                <w:szCs w:val="24"/>
                <w:highlight w:val="none"/>
                <w:lang w:eastAsia="zh-CN"/>
              </w:rPr>
              <w:t>问题</w:t>
            </w:r>
            <w:r>
              <w:rPr>
                <w:rFonts w:hint="eastAsia" w:ascii="宋体" w:hAnsi="宋体" w:eastAsia="宋体" w:cs="宋体"/>
                <w:color w:val="auto"/>
                <w:sz w:val="24"/>
                <w:szCs w:val="24"/>
                <w:highlight w:val="none"/>
              </w:rPr>
              <w:t>扣</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分</w:t>
            </w:r>
          </w:p>
        </w:tc>
        <w:tc>
          <w:tcPr>
            <w:tcW w:w="817" w:type="dxa"/>
            <w:tcBorders>
              <w:top w:val="nil"/>
              <w:left w:val="nil"/>
              <w:bottom w:val="single" w:color="auto" w:sz="4" w:space="0"/>
              <w:right w:val="single" w:color="auto" w:sz="4" w:space="0"/>
            </w:tcBorders>
            <w:noWrap w:val="0"/>
            <w:vAlign w:val="center"/>
          </w:tcPr>
          <w:p w14:paraId="29D1A731">
            <w:pPr>
              <w:keepLines w:val="0"/>
              <w:pageBreakBefore w:val="0"/>
              <w:kinsoku/>
              <w:wordWrap/>
              <w:overflowPunct/>
              <w:topLinePunct w:val="0"/>
              <w:autoSpaceDE/>
              <w:autoSpaceDN/>
              <w:bidi w:val="0"/>
              <w:adjustRightInd/>
              <w:snapToGrid/>
              <w:spacing w:line="380" w:lineRule="exact"/>
              <w:ind w:right="119" w:rightChars="0" w:firstLine="420" w:firstLineChars="200"/>
              <w:textAlignment w:val="auto"/>
              <w:rPr>
                <w:rFonts w:hint="eastAsia" w:ascii="宋体" w:hAnsi="宋体" w:eastAsia="宋体" w:cs="宋体"/>
                <w:color w:val="auto"/>
                <w:sz w:val="21"/>
                <w:szCs w:val="21"/>
                <w:highlight w:val="none"/>
              </w:rPr>
            </w:pPr>
          </w:p>
        </w:tc>
      </w:tr>
      <w:tr w14:paraId="3B65B216">
        <w:tblPrEx>
          <w:tblCellMar>
            <w:top w:w="0" w:type="dxa"/>
            <w:left w:w="108" w:type="dxa"/>
            <w:bottom w:w="0" w:type="dxa"/>
            <w:right w:w="108" w:type="dxa"/>
          </w:tblCellMar>
        </w:tblPrEx>
        <w:trPr>
          <w:trHeight w:val="570" w:hRule="atLeast"/>
        </w:trPr>
        <w:tc>
          <w:tcPr>
            <w:tcW w:w="1538" w:type="dxa"/>
            <w:tcBorders>
              <w:top w:val="single" w:color="auto" w:sz="4" w:space="0"/>
              <w:left w:val="single" w:color="auto" w:sz="4" w:space="0"/>
              <w:bottom w:val="single" w:color="auto" w:sz="4" w:space="0"/>
              <w:right w:val="single" w:color="auto" w:sz="4" w:space="0"/>
            </w:tcBorders>
            <w:noWrap w:val="0"/>
            <w:vAlign w:val="center"/>
          </w:tcPr>
          <w:p w14:paraId="48A253E9">
            <w:pPr>
              <w:keepLines w:val="0"/>
              <w:pageBreakBefore w:val="0"/>
              <w:kinsoku/>
              <w:wordWrap/>
              <w:overflowPunct/>
              <w:topLinePunct w:val="0"/>
              <w:autoSpaceDE/>
              <w:autoSpaceDN/>
              <w:bidi w:val="0"/>
              <w:adjustRightInd/>
              <w:snapToGrid/>
              <w:spacing w:line="240" w:lineRule="auto"/>
              <w:ind w:right="119" w:rightChars="0" w:firstLine="480" w:firstLineChars="20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合计</w:t>
            </w:r>
          </w:p>
        </w:tc>
        <w:tc>
          <w:tcPr>
            <w:tcW w:w="817" w:type="dxa"/>
            <w:tcBorders>
              <w:top w:val="single" w:color="auto" w:sz="4" w:space="0"/>
              <w:left w:val="single" w:color="auto" w:sz="4" w:space="0"/>
              <w:bottom w:val="single" w:color="auto" w:sz="4" w:space="0"/>
              <w:right w:val="single" w:color="auto" w:sz="4" w:space="0"/>
            </w:tcBorders>
            <w:noWrap w:val="0"/>
            <w:vAlign w:val="center"/>
          </w:tcPr>
          <w:p w14:paraId="02654592">
            <w:pPr>
              <w:keepLines w:val="0"/>
              <w:pageBreakBefore w:val="0"/>
              <w:kinsoku/>
              <w:wordWrap/>
              <w:overflowPunct/>
              <w:topLinePunct w:val="0"/>
              <w:autoSpaceDE/>
              <w:autoSpaceDN/>
              <w:bidi w:val="0"/>
              <w:adjustRightInd/>
              <w:snapToGrid/>
              <w:spacing w:line="380" w:lineRule="exact"/>
              <w:ind w:right="119" w:rightChars="0" w:firstLine="240" w:firstLineChars="100"/>
              <w:jc w:val="both"/>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100分</w:t>
            </w:r>
          </w:p>
        </w:tc>
        <w:tc>
          <w:tcPr>
            <w:tcW w:w="5951" w:type="dxa"/>
            <w:tcBorders>
              <w:top w:val="single" w:color="auto" w:sz="4" w:space="0"/>
              <w:left w:val="single" w:color="auto" w:sz="4" w:space="0"/>
              <w:bottom w:val="single" w:color="auto" w:sz="4" w:space="0"/>
              <w:right w:val="single" w:color="auto" w:sz="4" w:space="0"/>
            </w:tcBorders>
            <w:noWrap w:val="0"/>
            <w:vAlign w:val="center"/>
          </w:tcPr>
          <w:p w14:paraId="0146E927">
            <w:pPr>
              <w:keepLines w:val="0"/>
              <w:pageBreakBefore w:val="0"/>
              <w:kinsoku/>
              <w:wordWrap/>
              <w:overflowPunct/>
              <w:topLinePunct w:val="0"/>
              <w:autoSpaceDE/>
              <w:autoSpaceDN/>
              <w:bidi w:val="0"/>
              <w:adjustRightInd/>
              <w:snapToGrid/>
              <w:spacing w:line="380" w:lineRule="exact"/>
              <w:ind w:right="119" w:rightChars="0" w:firstLine="420" w:firstLineChars="200"/>
              <w:textAlignment w:val="auto"/>
              <w:rPr>
                <w:rFonts w:hint="eastAsia" w:ascii="宋体" w:hAnsi="宋体" w:eastAsia="宋体" w:cs="宋体"/>
                <w:color w:val="auto"/>
                <w:sz w:val="21"/>
                <w:szCs w:val="21"/>
                <w:highlight w:val="none"/>
                <w:lang w:val="en-US" w:eastAsia="zh-CN"/>
              </w:rPr>
            </w:pPr>
          </w:p>
        </w:tc>
        <w:tc>
          <w:tcPr>
            <w:tcW w:w="817" w:type="dxa"/>
            <w:tcBorders>
              <w:top w:val="single" w:color="auto" w:sz="4" w:space="0"/>
              <w:left w:val="single" w:color="auto" w:sz="4" w:space="0"/>
              <w:bottom w:val="single" w:color="auto" w:sz="4" w:space="0"/>
              <w:right w:val="single" w:color="auto" w:sz="4" w:space="0"/>
            </w:tcBorders>
            <w:noWrap w:val="0"/>
            <w:vAlign w:val="center"/>
          </w:tcPr>
          <w:p w14:paraId="3039BAE9">
            <w:pPr>
              <w:keepLines w:val="0"/>
              <w:pageBreakBefore w:val="0"/>
              <w:kinsoku/>
              <w:wordWrap/>
              <w:overflowPunct/>
              <w:topLinePunct w:val="0"/>
              <w:autoSpaceDE/>
              <w:autoSpaceDN/>
              <w:bidi w:val="0"/>
              <w:adjustRightInd/>
              <w:snapToGrid/>
              <w:spacing w:line="380" w:lineRule="exact"/>
              <w:ind w:right="119" w:rightChars="0" w:firstLine="420" w:firstLineChars="200"/>
              <w:textAlignment w:val="auto"/>
              <w:rPr>
                <w:rFonts w:hint="eastAsia" w:ascii="宋体" w:hAnsi="宋体" w:eastAsia="宋体" w:cs="宋体"/>
                <w:color w:val="auto"/>
                <w:sz w:val="21"/>
                <w:szCs w:val="21"/>
                <w:highlight w:val="none"/>
                <w:lang w:val="en-US" w:eastAsia="zh-CN"/>
              </w:rPr>
            </w:pPr>
          </w:p>
        </w:tc>
      </w:tr>
    </w:tbl>
    <w:p w14:paraId="31408B4C">
      <w:pPr>
        <w:pStyle w:val="4"/>
        <w:spacing w:before="120" w:after="120" w:line="360" w:lineRule="auto"/>
        <w:jc w:val="center"/>
        <w:rPr>
          <w:rFonts w:hint="eastAsia" w:ascii="宋体" w:hAnsi="宋体" w:eastAsia="宋体" w:cs="Times New Roman"/>
          <w:b/>
          <w:bCs/>
          <w:color w:val="auto"/>
          <w:szCs w:val="28"/>
          <w:highlight w:val="none"/>
          <w:lang w:val="en-US" w:eastAsia="zh-CN"/>
        </w:rPr>
      </w:pPr>
      <w:r>
        <w:rPr>
          <w:rFonts w:hint="eastAsia" w:ascii="宋体" w:hAnsi="宋体" w:eastAsia="宋体" w:cs="Times New Roman"/>
          <w:b/>
          <w:bCs/>
          <w:color w:val="auto"/>
          <w:szCs w:val="28"/>
          <w:highlight w:val="none"/>
          <w:lang w:val="en-US" w:eastAsia="zh-CN"/>
        </w:rPr>
        <w:t>第三章  付款方式</w:t>
      </w:r>
    </w:p>
    <w:p w14:paraId="0CFAEF4F">
      <w:pPr>
        <w:pStyle w:val="13"/>
        <w:keepNext w:val="0"/>
        <w:keepLines w:val="0"/>
        <w:pageBreakBefore w:val="0"/>
        <w:widowControl w:val="0"/>
        <w:kinsoku/>
        <w:wordWrap/>
        <w:overflowPunct/>
        <w:topLinePunct w:val="0"/>
        <w:autoSpaceDE/>
        <w:autoSpaceDN/>
        <w:bidi w:val="0"/>
        <w:adjustRightInd/>
        <w:snapToGrid/>
        <w:spacing w:after="0" w:line="360" w:lineRule="auto"/>
        <w:ind w:left="0" w:leftChars="0" w:firstLine="480" w:firstLineChars="20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Times New Roman"/>
          <w:bCs/>
          <w:color w:val="auto"/>
          <w:sz w:val="24"/>
          <w:highlight w:val="none"/>
          <w:lang w:val="en-US" w:eastAsia="zh-CN"/>
        </w:rPr>
        <w:t>本项目采取的付款方式为一个</w:t>
      </w:r>
      <w:r>
        <w:rPr>
          <w:rFonts w:hint="eastAsia" w:ascii="宋体" w:hAnsi="宋体" w:eastAsia="宋体" w:cs="宋体"/>
          <w:color w:val="auto"/>
          <w:kern w:val="2"/>
          <w:sz w:val="24"/>
          <w:szCs w:val="24"/>
          <w:highlight w:val="none"/>
          <w:lang w:val="en-US" w:eastAsia="zh-CN" w:bidi="ar-SA"/>
        </w:rPr>
        <w:t>季度一付（三个月为一季度）：在合同生效后服务期每满一个季度，在十五个工作日内支付合同价的1/4（具体服务费按考核的结果和奖罚制度按实支付）。</w:t>
      </w:r>
    </w:p>
    <w:p w14:paraId="7E189A72">
      <w:pPr>
        <w:spacing w:line="360" w:lineRule="auto"/>
        <w:jc w:val="center"/>
        <w:outlineLvl w:val="0"/>
        <w:rPr>
          <w:rFonts w:hint="eastAsia" w:ascii="宋体" w:hAnsi="宋体" w:eastAsia="宋体" w:cs="宋体"/>
          <w:b/>
          <w:sz w:val="36"/>
          <w:szCs w:val="36"/>
          <w:highlight w:val="none"/>
        </w:rPr>
      </w:pPr>
      <w:r>
        <w:rPr>
          <w:rFonts w:hint="eastAsia" w:ascii="宋体" w:hAnsi="宋体" w:eastAsia="宋体" w:cs="宋体"/>
          <w:b/>
          <w:sz w:val="36"/>
          <w:szCs w:val="36"/>
          <w:highlight w:val="none"/>
        </w:rPr>
        <w:br w:type="page"/>
      </w:r>
      <w:bookmarkStart w:id="503" w:name="_Toc28926"/>
      <w:bookmarkStart w:id="504" w:name="_Toc32337"/>
      <w:bookmarkStart w:id="505" w:name="_Toc3092"/>
      <w:r>
        <w:rPr>
          <w:rFonts w:hint="eastAsia" w:ascii="宋体" w:hAnsi="宋体" w:eastAsia="宋体" w:cs="宋体"/>
          <w:b/>
          <w:sz w:val="36"/>
          <w:szCs w:val="36"/>
          <w:highlight w:val="none"/>
        </w:rPr>
        <w:t>第五部分 采购合同</w:t>
      </w:r>
      <w:bookmarkEnd w:id="503"/>
      <w:bookmarkEnd w:id="504"/>
      <w:bookmarkEnd w:id="505"/>
    </w:p>
    <w:p w14:paraId="00F4457C">
      <w:pPr>
        <w:pStyle w:val="5"/>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签约日期：</w:t>
      </w:r>
    </w:p>
    <w:p w14:paraId="420A9D21">
      <w:pPr>
        <w:pStyle w:val="5"/>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委托方：</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（甲方)</w:t>
      </w:r>
    </w:p>
    <w:p w14:paraId="0D632F42">
      <w:pPr>
        <w:pStyle w:val="5"/>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受托方：</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（乙方)</w:t>
      </w:r>
    </w:p>
    <w:p w14:paraId="3DEEE874">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甲方经公开、公平、公正招标，乙方中标，根据《中华人民共和国</w:t>
      </w:r>
      <w:r>
        <w:rPr>
          <w:rFonts w:hint="eastAsia" w:ascii="宋体" w:hAnsi="宋体" w:eastAsia="宋体" w:cs="宋体"/>
          <w:color w:val="auto"/>
          <w:sz w:val="24"/>
          <w:szCs w:val="24"/>
          <w:highlight w:val="none"/>
          <w:lang w:val="en-US" w:eastAsia="zh-CN"/>
        </w:rPr>
        <w:t>民法典</w:t>
      </w:r>
      <w:r>
        <w:rPr>
          <w:rFonts w:hint="eastAsia" w:ascii="宋体" w:hAnsi="宋体" w:eastAsia="宋体" w:cs="宋体"/>
          <w:color w:val="auto"/>
          <w:sz w:val="24"/>
          <w:szCs w:val="24"/>
          <w:highlight w:val="none"/>
        </w:rPr>
        <w:t>》、采购</w:t>
      </w:r>
      <w:r>
        <w:rPr>
          <w:rFonts w:hint="eastAsia" w:ascii="宋体" w:hAnsi="宋体" w:cs="宋体"/>
          <w:color w:val="auto"/>
          <w:sz w:val="24"/>
          <w:szCs w:val="24"/>
          <w:highlight w:val="none"/>
          <w:lang w:eastAsia="zh-CN"/>
        </w:rPr>
        <w:t>项目</w:t>
      </w:r>
      <w:r>
        <w:rPr>
          <w:rFonts w:hint="eastAsia" w:ascii="宋体" w:hAnsi="宋体" w:cs="宋体"/>
          <w:color w:val="auto"/>
          <w:sz w:val="24"/>
          <w:szCs w:val="24"/>
          <w:highlight w:val="none"/>
          <w:lang w:val="en-US" w:eastAsia="zh-CN"/>
        </w:rPr>
        <w:t>为</w:t>
      </w:r>
      <w:r>
        <w:rPr>
          <w:rFonts w:hint="eastAsia" w:ascii="宋体" w:hAnsi="宋体" w:eastAsia="宋体" w:cs="宋体"/>
          <w:color w:val="auto"/>
          <w:sz w:val="24"/>
          <w:szCs w:val="24"/>
          <w:highlight w:val="none"/>
          <w:u w:val="single"/>
          <w:lang w:eastAsia="zh-CN"/>
        </w:rPr>
        <w:t>蒿东村2025年度环境卫生物业化外包项目</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编号为</w:t>
      </w:r>
      <w:r>
        <w:rPr>
          <w:rFonts w:hint="eastAsia" w:ascii="宋体" w:hAnsi="宋体" w:eastAsia="宋体" w:cs="宋体"/>
          <w:color w:val="auto"/>
          <w:sz w:val="24"/>
          <w:szCs w:val="24"/>
          <w:highlight w:val="none"/>
          <w:u w:val="single"/>
          <w:lang w:val="en-US" w:eastAsia="zh-CN"/>
        </w:rPr>
        <w:t>ZJGZ-2025-031</w:t>
      </w:r>
      <w:r>
        <w:rPr>
          <w:rFonts w:hint="eastAsia" w:ascii="宋体" w:hAnsi="宋体" w:cs="宋体"/>
          <w:color w:val="auto"/>
          <w:sz w:val="24"/>
          <w:szCs w:val="24"/>
          <w:highlight w:val="none"/>
          <w:u w:val="single"/>
          <w:lang w:val="en-US" w:eastAsia="zh-CN"/>
        </w:rPr>
        <w:t>8</w:t>
      </w:r>
      <w:r>
        <w:rPr>
          <w:rFonts w:hint="eastAsia" w:ascii="宋体" w:hAnsi="宋体" w:eastAsia="宋体" w:cs="宋体"/>
          <w:color w:val="auto"/>
          <w:sz w:val="24"/>
          <w:szCs w:val="24"/>
          <w:highlight w:val="none"/>
        </w:rPr>
        <w:t>采购文件，签订本合同。</w:t>
      </w:r>
    </w:p>
    <w:p w14:paraId="6AEA1582">
      <w:pPr>
        <w:numPr>
          <w:ilvl w:val="0"/>
          <w:numId w:val="0"/>
        </w:numPr>
        <w:tabs>
          <w:tab w:val="left" w:pos="772"/>
        </w:tabs>
        <w:spacing w:line="360" w:lineRule="auto"/>
        <w:ind w:leftChars="200"/>
        <w:rPr>
          <w:rFonts w:hint="eastAsia" w:ascii="宋体" w:hAnsi="Times New Roman" w:eastAsia="宋体" w:cs="Times New Roman"/>
          <w:b/>
          <w:color w:val="auto"/>
          <w:sz w:val="24"/>
          <w:szCs w:val="18"/>
          <w:highlight w:val="none"/>
          <w:lang w:eastAsia="zh-CN"/>
        </w:rPr>
      </w:pPr>
      <w:bookmarkStart w:id="506" w:name="_Toc21448"/>
      <w:bookmarkStart w:id="507" w:name="_Toc9931"/>
      <w:bookmarkStart w:id="508" w:name="_Toc3945"/>
      <w:r>
        <w:rPr>
          <w:rFonts w:hint="eastAsia" w:ascii="宋体" w:hAnsi="Times New Roman" w:eastAsia="宋体" w:cs="Times New Roman"/>
          <w:b/>
          <w:color w:val="auto"/>
          <w:sz w:val="24"/>
          <w:szCs w:val="18"/>
          <w:highlight w:val="none"/>
          <w:lang w:eastAsia="zh-CN"/>
        </w:rPr>
        <w:t>一、基本情况</w:t>
      </w:r>
      <w:bookmarkEnd w:id="506"/>
      <w:bookmarkEnd w:id="507"/>
      <w:bookmarkEnd w:id="508"/>
    </w:p>
    <w:p w14:paraId="0743967D">
      <w:pPr>
        <w:tabs>
          <w:tab w:val="left" w:pos="772"/>
        </w:tabs>
        <w:spacing w:line="360" w:lineRule="auto"/>
        <w:ind w:firstLine="480" w:firstLineChars="200"/>
        <w:rPr>
          <w:rFonts w:hint="eastAsia" w:ascii="宋体" w:hAnsi="宋体" w:eastAsia="宋体" w:cs="Times New Roman"/>
          <w:color w:val="auto"/>
          <w:sz w:val="24"/>
          <w:highlight w:val="none"/>
        </w:rPr>
      </w:pPr>
      <w:bookmarkStart w:id="509" w:name="_Toc2670"/>
      <w:r>
        <w:rPr>
          <w:rFonts w:hint="eastAsia" w:ascii="宋体" w:hAnsi="宋体" w:cs="Times New Roman"/>
          <w:color w:val="auto"/>
          <w:sz w:val="24"/>
          <w:highlight w:val="none"/>
          <w:lang w:val="en-US" w:eastAsia="zh-CN"/>
        </w:rPr>
        <w:t>蒿东</w:t>
      </w:r>
      <w:r>
        <w:rPr>
          <w:rFonts w:hint="eastAsia" w:ascii="宋体" w:hAnsi="宋体" w:eastAsia="宋体" w:cs="Times New Roman"/>
          <w:color w:val="auto"/>
          <w:sz w:val="24"/>
          <w:highlight w:val="none"/>
          <w:lang w:val="en-US" w:eastAsia="zh-CN"/>
        </w:rPr>
        <w:t>村</w:t>
      </w:r>
      <w:r>
        <w:rPr>
          <w:rFonts w:hint="eastAsia" w:ascii="宋体" w:hAnsi="宋体" w:eastAsia="宋体" w:cs="Times New Roman"/>
          <w:color w:val="auto"/>
          <w:sz w:val="24"/>
          <w:highlight w:val="none"/>
        </w:rPr>
        <w:t>全村</w:t>
      </w:r>
      <w:r>
        <w:rPr>
          <w:rFonts w:hint="eastAsia" w:ascii="宋体" w:hAnsi="宋体" w:eastAsia="宋体" w:cs="Times New Roman"/>
          <w:color w:val="auto"/>
          <w:sz w:val="24"/>
          <w:highlight w:val="none"/>
          <w:lang w:eastAsia="zh-CN"/>
        </w:rPr>
        <w:t>范围内</w:t>
      </w:r>
      <w:r>
        <w:rPr>
          <w:rFonts w:hint="eastAsia" w:ascii="宋体" w:hAnsi="宋体" w:eastAsia="宋体" w:cs="Times New Roman"/>
          <w:color w:val="auto"/>
          <w:sz w:val="24"/>
          <w:highlight w:val="none"/>
        </w:rPr>
        <w:t>，</w:t>
      </w:r>
      <w:r>
        <w:rPr>
          <w:rFonts w:hint="eastAsia" w:ascii="宋体" w:hAnsi="宋体" w:eastAsia="宋体" w:cs="Times New Roman"/>
          <w:color w:val="auto"/>
          <w:sz w:val="24"/>
          <w:highlight w:val="none"/>
          <w:lang w:eastAsia="zh-CN"/>
        </w:rPr>
        <w:t>所有道路</w:t>
      </w:r>
      <w:r>
        <w:rPr>
          <w:rFonts w:hint="eastAsia" w:ascii="宋体" w:hAnsi="宋体" w:eastAsia="宋体" w:cs="Times New Roman"/>
          <w:color w:val="auto"/>
          <w:sz w:val="24"/>
          <w:highlight w:val="none"/>
        </w:rPr>
        <w:t>路面</w:t>
      </w:r>
      <w:r>
        <w:rPr>
          <w:rFonts w:hint="eastAsia" w:ascii="宋体" w:hAnsi="宋体" w:cs="Times New Roman"/>
          <w:color w:val="auto"/>
          <w:sz w:val="24"/>
          <w:highlight w:val="none"/>
          <w:lang w:eastAsia="zh-CN"/>
        </w:rPr>
        <w:t>、</w:t>
      </w:r>
      <w:r>
        <w:rPr>
          <w:rFonts w:hint="eastAsia" w:ascii="宋体" w:hAnsi="宋体" w:eastAsia="宋体" w:cs="Times New Roman"/>
          <w:color w:val="auto"/>
          <w:sz w:val="24"/>
          <w:highlight w:val="none"/>
        </w:rPr>
        <w:t>河道</w:t>
      </w:r>
      <w:r>
        <w:rPr>
          <w:rFonts w:hint="eastAsia" w:ascii="宋体" w:hAnsi="宋体" w:eastAsia="宋体" w:cs="Times New Roman"/>
          <w:color w:val="auto"/>
          <w:sz w:val="24"/>
          <w:highlight w:val="none"/>
          <w:lang w:eastAsia="zh-CN"/>
        </w:rPr>
        <w:t>及绿化带</w:t>
      </w:r>
      <w:r>
        <w:rPr>
          <w:rFonts w:hint="eastAsia" w:ascii="宋体" w:hAnsi="宋体" w:eastAsia="宋体" w:cs="Times New Roman"/>
          <w:color w:val="auto"/>
          <w:sz w:val="24"/>
          <w:highlight w:val="none"/>
        </w:rPr>
        <w:t>清扫</w:t>
      </w:r>
      <w:r>
        <w:rPr>
          <w:rFonts w:hint="eastAsia" w:ascii="宋体" w:hAnsi="宋体" w:eastAsia="宋体" w:cs="Times New Roman"/>
          <w:color w:val="auto"/>
          <w:sz w:val="24"/>
          <w:highlight w:val="none"/>
          <w:lang w:eastAsia="zh-CN"/>
        </w:rPr>
        <w:t>；公园、广场、市场</w:t>
      </w:r>
      <w:r>
        <w:rPr>
          <w:rFonts w:hint="eastAsia" w:ascii="宋体" w:hAnsi="宋体" w:cs="Times New Roman"/>
          <w:color w:val="auto"/>
          <w:sz w:val="24"/>
          <w:highlight w:val="none"/>
          <w:lang w:val="en-US" w:eastAsia="zh-CN"/>
        </w:rPr>
        <w:t>保洁</w:t>
      </w:r>
      <w:r>
        <w:rPr>
          <w:rFonts w:hint="eastAsia" w:ascii="宋体" w:hAnsi="宋体" w:eastAsia="宋体" w:cs="Times New Roman"/>
          <w:color w:val="auto"/>
          <w:sz w:val="24"/>
          <w:highlight w:val="none"/>
          <w:lang w:eastAsia="zh-CN"/>
        </w:rPr>
        <w:t>清扫；</w:t>
      </w:r>
      <w:r>
        <w:rPr>
          <w:rFonts w:hint="eastAsia" w:ascii="宋体" w:hAnsi="宋体" w:eastAsia="宋体" w:cs="Times New Roman"/>
          <w:color w:val="auto"/>
          <w:sz w:val="24"/>
          <w:highlight w:val="none"/>
        </w:rPr>
        <w:t>生活垃圾按</w:t>
      </w:r>
      <w:r>
        <w:rPr>
          <w:rFonts w:hint="eastAsia" w:ascii="宋体" w:hAnsi="宋体" w:eastAsia="宋体" w:cs="Times New Roman"/>
          <w:color w:val="auto"/>
          <w:sz w:val="24"/>
          <w:highlight w:val="none"/>
          <w:lang w:eastAsia="zh-CN"/>
        </w:rPr>
        <w:t>四分</w:t>
      </w:r>
      <w:r>
        <w:rPr>
          <w:rFonts w:hint="eastAsia" w:ascii="宋体" w:hAnsi="宋体" w:eastAsia="宋体" w:cs="Times New Roman"/>
          <w:color w:val="auto"/>
          <w:sz w:val="24"/>
          <w:highlight w:val="none"/>
        </w:rPr>
        <w:t>法分类</w:t>
      </w:r>
      <w:r>
        <w:rPr>
          <w:rFonts w:hint="eastAsia" w:ascii="宋体" w:hAnsi="宋体" w:eastAsia="宋体" w:cs="Times New Roman"/>
          <w:color w:val="auto"/>
          <w:sz w:val="24"/>
          <w:highlight w:val="none"/>
          <w:lang w:eastAsia="zh-CN"/>
        </w:rPr>
        <w:t>；</w:t>
      </w:r>
      <w:r>
        <w:rPr>
          <w:rFonts w:hint="eastAsia" w:ascii="宋体" w:hAnsi="宋体" w:eastAsia="宋体" w:cs="Times New Roman"/>
          <w:color w:val="auto"/>
          <w:sz w:val="24"/>
          <w:highlight w:val="none"/>
        </w:rPr>
        <w:t>建筑</w:t>
      </w:r>
      <w:r>
        <w:rPr>
          <w:rFonts w:hint="eastAsia" w:ascii="宋体" w:hAnsi="宋体" w:eastAsia="宋体" w:cs="Times New Roman"/>
          <w:color w:val="auto"/>
          <w:sz w:val="24"/>
          <w:highlight w:val="none"/>
          <w:lang w:eastAsia="zh-CN"/>
        </w:rPr>
        <w:t>垃圾、大件垃圾、乱堆乱放清理</w:t>
      </w:r>
      <w:r>
        <w:rPr>
          <w:rFonts w:hint="eastAsia" w:ascii="宋体" w:hAnsi="宋体" w:cs="Times New Roman"/>
          <w:color w:val="auto"/>
          <w:sz w:val="24"/>
          <w:highlight w:val="none"/>
          <w:lang w:val="en-US" w:eastAsia="zh-CN"/>
        </w:rPr>
        <w:t>清运</w:t>
      </w:r>
      <w:r>
        <w:rPr>
          <w:rFonts w:hint="eastAsia" w:ascii="宋体" w:hAnsi="宋体" w:eastAsia="宋体" w:cs="Times New Roman"/>
          <w:color w:val="auto"/>
          <w:sz w:val="24"/>
          <w:highlight w:val="none"/>
          <w:lang w:eastAsia="zh-CN"/>
        </w:rPr>
        <w:t>；</w:t>
      </w:r>
      <w:r>
        <w:rPr>
          <w:rFonts w:hint="eastAsia" w:ascii="宋体" w:hAnsi="宋体" w:eastAsia="宋体" w:cs="Times New Roman"/>
          <w:color w:val="auto"/>
          <w:sz w:val="24"/>
          <w:highlight w:val="none"/>
        </w:rPr>
        <w:t>农作物秸秆</w:t>
      </w:r>
      <w:r>
        <w:rPr>
          <w:rFonts w:hint="eastAsia" w:ascii="宋体" w:hAnsi="宋体" w:eastAsia="宋体" w:cs="Times New Roman"/>
          <w:color w:val="auto"/>
          <w:sz w:val="24"/>
          <w:highlight w:val="none"/>
          <w:lang w:eastAsia="zh-CN"/>
        </w:rPr>
        <w:t>收集</w:t>
      </w:r>
      <w:r>
        <w:rPr>
          <w:rFonts w:hint="eastAsia" w:ascii="宋体" w:hAnsi="宋体" w:cs="Times New Roman"/>
          <w:color w:val="auto"/>
          <w:sz w:val="24"/>
          <w:highlight w:val="none"/>
          <w:lang w:val="en-US" w:eastAsia="zh-CN"/>
        </w:rPr>
        <w:t>及焚烧管控</w:t>
      </w:r>
      <w:r>
        <w:rPr>
          <w:rFonts w:hint="eastAsia" w:ascii="宋体" w:hAnsi="宋体" w:eastAsia="宋体" w:cs="Times New Roman"/>
          <w:color w:val="auto"/>
          <w:sz w:val="24"/>
          <w:highlight w:val="none"/>
          <w:lang w:eastAsia="zh-CN"/>
        </w:rPr>
        <w:t>；绿化管理及养护；</w:t>
      </w:r>
      <w:r>
        <w:rPr>
          <w:rFonts w:hint="eastAsia" w:ascii="宋体" w:hAnsi="宋体" w:eastAsia="宋体" w:cs="Times New Roman"/>
          <w:color w:val="auto"/>
          <w:sz w:val="24"/>
          <w:highlight w:val="none"/>
        </w:rPr>
        <w:t>庭院</w:t>
      </w:r>
      <w:r>
        <w:rPr>
          <w:rFonts w:hint="eastAsia" w:ascii="宋体" w:hAnsi="宋体" w:eastAsia="宋体" w:cs="Times New Roman"/>
          <w:color w:val="auto"/>
          <w:sz w:val="24"/>
          <w:highlight w:val="none"/>
          <w:lang w:eastAsia="zh-CN"/>
        </w:rPr>
        <w:t>内及房前屋后</w:t>
      </w:r>
      <w:r>
        <w:rPr>
          <w:rFonts w:hint="eastAsia" w:ascii="宋体" w:hAnsi="宋体" w:eastAsia="宋体" w:cs="Times New Roman"/>
          <w:color w:val="auto"/>
          <w:sz w:val="24"/>
          <w:highlight w:val="none"/>
        </w:rPr>
        <w:t>整治</w:t>
      </w:r>
      <w:r>
        <w:rPr>
          <w:rFonts w:hint="eastAsia" w:ascii="宋体" w:hAnsi="宋体" w:eastAsia="宋体" w:cs="Times New Roman"/>
          <w:color w:val="auto"/>
          <w:sz w:val="24"/>
          <w:highlight w:val="none"/>
          <w:lang w:eastAsia="zh-CN"/>
        </w:rPr>
        <w:t>；</w:t>
      </w:r>
      <w:r>
        <w:rPr>
          <w:rFonts w:hint="eastAsia" w:ascii="宋体" w:hAnsi="宋体" w:eastAsia="宋体" w:cs="Times New Roman"/>
          <w:color w:val="auto"/>
          <w:sz w:val="24"/>
          <w:highlight w:val="none"/>
          <w:lang w:val="en-US" w:eastAsia="zh-CN"/>
        </w:rPr>
        <w:t>公共</w:t>
      </w:r>
      <w:r>
        <w:rPr>
          <w:rFonts w:hint="eastAsia" w:ascii="宋体" w:hAnsi="宋体" w:eastAsia="宋体" w:cs="Times New Roman"/>
          <w:color w:val="auto"/>
          <w:sz w:val="24"/>
          <w:highlight w:val="none"/>
        </w:rPr>
        <w:t>设施设备维护</w:t>
      </w:r>
      <w:r>
        <w:rPr>
          <w:rFonts w:hint="eastAsia" w:ascii="宋体" w:hAnsi="宋体" w:eastAsia="宋体" w:cs="Times New Roman"/>
          <w:color w:val="auto"/>
          <w:sz w:val="24"/>
          <w:highlight w:val="none"/>
          <w:lang w:eastAsia="zh-CN"/>
        </w:rPr>
        <w:t>；</w:t>
      </w:r>
      <w:r>
        <w:rPr>
          <w:rFonts w:hint="eastAsia" w:ascii="宋体" w:hAnsi="宋体" w:eastAsia="宋体" w:cs="Times New Roman"/>
          <w:color w:val="auto"/>
          <w:sz w:val="24"/>
          <w:highlight w:val="none"/>
        </w:rPr>
        <w:t>公厕保洁</w:t>
      </w:r>
      <w:r>
        <w:rPr>
          <w:rFonts w:hint="eastAsia" w:ascii="宋体" w:hAnsi="宋体" w:eastAsia="宋体" w:cs="Times New Roman"/>
          <w:color w:val="auto"/>
          <w:sz w:val="24"/>
          <w:highlight w:val="none"/>
          <w:lang w:eastAsia="zh-CN"/>
        </w:rPr>
        <w:t>；</w:t>
      </w:r>
      <w:r>
        <w:rPr>
          <w:rFonts w:hint="eastAsia" w:ascii="宋体" w:hAnsi="宋体" w:eastAsia="宋体" w:cs="Times New Roman"/>
          <w:color w:val="auto"/>
          <w:sz w:val="24"/>
          <w:highlight w:val="none"/>
          <w:lang w:val="en-US" w:eastAsia="zh-CN"/>
        </w:rPr>
        <w:t>乱搭乱建巡查</w:t>
      </w:r>
      <w:r>
        <w:rPr>
          <w:rFonts w:hint="eastAsia" w:ascii="宋体" w:hAnsi="宋体" w:eastAsia="宋体" w:cs="Times New Roman"/>
          <w:color w:val="auto"/>
          <w:sz w:val="24"/>
          <w:highlight w:val="none"/>
        </w:rPr>
        <w:t>等。具体范围请投标人实地考察，费用自理。</w:t>
      </w:r>
    </w:p>
    <w:p w14:paraId="7F559699">
      <w:pPr>
        <w:numPr>
          <w:ilvl w:val="0"/>
          <w:numId w:val="38"/>
        </w:numPr>
        <w:tabs>
          <w:tab w:val="left" w:pos="772"/>
        </w:tabs>
        <w:spacing w:line="360" w:lineRule="auto"/>
        <w:ind w:left="0" w:leftChars="0" w:firstLine="482" w:firstLineChars="200"/>
        <w:rPr>
          <w:rFonts w:hint="eastAsia" w:ascii="宋体"/>
          <w:b/>
          <w:color w:val="auto"/>
          <w:sz w:val="24"/>
          <w:szCs w:val="18"/>
          <w:highlight w:val="none"/>
          <w:lang w:eastAsia="zh-CN"/>
        </w:rPr>
      </w:pPr>
      <w:r>
        <w:rPr>
          <w:rFonts w:hint="eastAsia" w:ascii="宋体"/>
          <w:b/>
          <w:color w:val="auto"/>
          <w:sz w:val="24"/>
          <w:szCs w:val="18"/>
          <w:highlight w:val="none"/>
          <w:lang w:eastAsia="zh-CN"/>
        </w:rPr>
        <w:t>服务</w:t>
      </w:r>
      <w:r>
        <w:rPr>
          <w:rFonts w:hint="eastAsia"/>
          <w:b/>
          <w:color w:val="auto"/>
          <w:sz w:val="24"/>
          <w:szCs w:val="18"/>
          <w:highlight w:val="none"/>
          <w:lang w:eastAsia="zh-CN"/>
        </w:rPr>
        <w:t>内容</w:t>
      </w:r>
      <w:r>
        <w:rPr>
          <w:rFonts w:hint="eastAsia" w:ascii="宋体"/>
          <w:b/>
          <w:color w:val="auto"/>
          <w:sz w:val="24"/>
          <w:szCs w:val="18"/>
          <w:highlight w:val="none"/>
          <w:lang w:eastAsia="zh-CN"/>
        </w:rPr>
        <w:t>及要求</w:t>
      </w:r>
      <w:bookmarkEnd w:id="509"/>
    </w:p>
    <w:bookmarkEnd w:id="498"/>
    <w:p w14:paraId="4FC5B1B5">
      <w:pPr>
        <w:tabs>
          <w:tab w:val="left" w:pos="772"/>
        </w:tabs>
        <w:spacing w:line="360" w:lineRule="auto"/>
        <w:ind w:firstLine="480" w:firstLineChars="200"/>
        <w:rPr>
          <w:rFonts w:hint="eastAsia" w:hAnsi="宋体" w:eastAsia="宋体" w:cs="Times New Roman"/>
          <w:b w:val="0"/>
          <w:bCs w:val="0"/>
          <w:color w:val="auto"/>
          <w:kern w:val="2"/>
          <w:sz w:val="24"/>
          <w:szCs w:val="24"/>
          <w:highlight w:val="none"/>
          <w:lang w:val="en-US" w:eastAsia="zh-CN" w:bidi="ar-SA"/>
        </w:rPr>
      </w:pPr>
      <w:r>
        <w:rPr>
          <w:rFonts w:hint="eastAsia" w:hAnsi="宋体" w:eastAsia="宋体" w:cs="Times New Roman"/>
          <w:b w:val="0"/>
          <w:bCs w:val="0"/>
          <w:color w:val="auto"/>
          <w:kern w:val="2"/>
          <w:sz w:val="24"/>
          <w:szCs w:val="24"/>
          <w:highlight w:val="none"/>
          <w:lang w:val="en-US" w:eastAsia="zh-CN" w:bidi="ar-SA"/>
        </w:rPr>
        <w:t>1、</w:t>
      </w:r>
      <w:r>
        <w:rPr>
          <w:rFonts w:hint="eastAsia" w:ascii="宋体" w:hAnsi="宋体" w:eastAsia="宋体" w:cs="Times New Roman"/>
          <w:b w:val="0"/>
          <w:bCs w:val="0"/>
          <w:color w:val="auto"/>
          <w:kern w:val="2"/>
          <w:sz w:val="24"/>
          <w:szCs w:val="24"/>
          <w:highlight w:val="none"/>
          <w:lang w:val="en-US" w:eastAsia="zh-CN" w:bidi="ar-SA"/>
        </w:rPr>
        <w:t>道路路面</w:t>
      </w:r>
      <w:r>
        <w:rPr>
          <w:rFonts w:hint="eastAsia" w:ascii="宋体" w:hAnsi="宋体" w:cs="Times New Roman"/>
          <w:b w:val="0"/>
          <w:bCs w:val="0"/>
          <w:color w:val="auto"/>
          <w:kern w:val="2"/>
          <w:sz w:val="24"/>
          <w:szCs w:val="24"/>
          <w:highlight w:val="none"/>
          <w:lang w:val="en-US" w:eastAsia="zh-CN" w:bidi="ar-SA"/>
        </w:rPr>
        <w:t>、</w:t>
      </w:r>
      <w:r>
        <w:rPr>
          <w:rFonts w:hint="eastAsia" w:ascii="Times New Roman" w:hAnsi="宋体" w:eastAsia="宋体" w:cs="Times New Roman"/>
          <w:b w:val="0"/>
          <w:bCs w:val="0"/>
          <w:color w:val="auto"/>
          <w:kern w:val="2"/>
          <w:sz w:val="24"/>
          <w:szCs w:val="24"/>
          <w:highlight w:val="none"/>
          <w:lang w:val="en-US" w:eastAsia="zh-CN" w:bidi="ar-SA"/>
        </w:rPr>
        <w:t>河道</w:t>
      </w:r>
      <w:r>
        <w:rPr>
          <w:rFonts w:hint="eastAsia" w:ascii="宋体" w:hAnsi="宋体" w:eastAsia="宋体" w:cs="Times New Roman"/>
          <w:b w:val="0"/>
          <w:bCs w:val="0"/>
          <w:color w:val="auto"/>
          <w:kern w:val="2"/>
          <w:sz w:val="24"/>
          <w:szCs w:val="24"/>
          <w:highlight w:val="none"/>
          <w:lang w:val="en-US" w:eastAsia="zh-CN" w:bidi="ar-SA"/>
        </w:rPr>
        <w:t>及绿化带清扫：</w:t>
      </w:r>
      <w:r>
        <w:rPr>
          <w:rFonts w:hint="eastAsia" w:hAnsi="宋体" w:eastAsia="宋体" w:cs="Times New Roman"/>
          <w:b w:val="0"/>
          <w:bCs w:val="0"/>
          <w:color w:val="auto"/>
          <w:kern w:val="2"/>
          <w:sz w:val="24"/>
          <w:szCs w:val="24"/>
          <w:highlight w:val="none"/>
          <w:lang w:val="en-US" w:eastAsia="zh-CN" w:bidi="ar-SA"/>
        </w:rPr>
        <w:t>分区域定人定岗，</w:t>
      </w:r>
      <w:r>
        <w:rPr>
          <w:rFonts w:hint="eastAsia" w:ascii="宋体" w:hAnsi="宋体" w:eastAsia="宋体" w:cs="Times New Roman"/>
          <w:b w:val="0"/>
          <w:bCs w:val="0"/>
          <w:color w:val="auto"/>
          <w:kern w:val="2"/>
          <w:sz w:val="24"/>
          <w:szCs w:val="24"/>
          <w:highlight w:val="none"/>
          <w:lang w:val="en-US" w:eastAsia="zh-CN" w:bidi="ar-SA"/>
        </w:rPr>
        <w:t>每天早晚各普扫一次，</w:t>
      </w:r>
      <w:r>
        <w:rPr>
          <w:rFonts w:hint="eastAsia" w:hAnsi="宋体" w:eastAsia="宋体" w:cs="Times New Roman"/>
          <w:b w:val="0"/>
          <w:bCs w:val="0"/>
          <w:color w:val="auto"/>
          <w:kern w:val="2"/>
          <w:sz w:val="24"/>
          <w:szCs w:val="24"/>
          <w:highlight w:val="none"/>
          <w:lang w:val="en-US" w:eastAsia="zh-CN" w:bidi="ar-SA"/>
        </w:rPr>
        <w:t>其余时间巡回保洁</w:t>
      </w:r>
      <w:r>
        <w:rPr>
          <w:rFonts w:hint="eastAsia" w:hAnsi="宋体" w:cs="Times New Roman"/>
          <w:b w:val="0"/>
          <w:bCs w:val="0"/>
          <w:color w:val="auto"/>
          <w:kern w:val="2"/>
          <w:sz w:val="24"/>
          <w:szCs w:val="24"/>
          <w:highlight w:val="none"/>
          <w:lang w:val="en-US" w:eastAsia="zh-CN" w:bidi="ar-SA"/>
        </w:rPr>
        <w:t>。</w:t>
      </w:r>
      <w:r>
        <w:rPr>
          <w:rFonts w:hint="eastAsia" w:ascii="宋体" w:hAnsi="宋体" w:eastAsia="宋体" w:cs="Times New Roman"/>
          <w:b w:val="0"/>
          <w:bCs w:val="0"/>
          <w:color w:val="auto"/>
          <w:kern w:val="2"/>
          <w:sz w:val="24"/>
          <w:szCs w:val="24"/>
          <w:highlight w:val="none"/>
          <w:lang w:val="en-US" w:eastAsia="zh-CN" w:bidi="ar-SA"/>
        </w:rPr>
        <w:t>保持地面干净整洁，地面无污迹、无积水、无果核、无杂物等</w:t>
      </w:r>
      <w:r>
        <w:rPr>
          <w:rFonts w:hint="eastAsia" w:ascii="宋体" w:hAnsi="宋体" w:cs="Times New Roman"/>
          <w:b w:val="0"/>
          <w:bCs w:val="0"/>
          <w:color w:val="auto"/>
          <w:kern w:val="2"/>
          <w:sz w:val="24"/>
          <w:szCs w:val="24"/>
          <w:highlight w:val="none"/>
          <w:lang w:val="en-US" w:eastAsia="zh-CN" w:bidi="ar-SA"/>
        </w:rPr>
        <w:t>；</w:t>
      </w:r>
      <w:r>
        <w:rPr>
          <w:rFonts w:hint="eastAsia" w:ascii="宋体" w:hAnsi="宋体" w:eastAsia="宋体" w:cs="Times New Roman"/>
          <w:b w:val="0"/>
          <w:bCs w:val="0"/>
          <w:color w:val="auto"/>
          <w:kern w:val="2"/>
          <w:sz w:val="24"/>
          <w:szCs w:val="24"/>
          <w:highlight w:val="none"/>
          <w:lang w:val="en-US" w:eastAsia="zh-CN" w:bidi="ar-SA"/>
        </w:rPr>
        <w:t>路面侧石边无杂草</w:t>
      </w:r>
      <w:r>
        <w:rPr>
          <w:rFonts w:hint="eastAsia" w:hAnsi="宋体" w:eastAsia="宋体" w:cs="Times New Roman"/>
          <w:b w:val="0"/>
          <w:bCs w:val="0"/>
          <w:color w:val="auto"/>
          <w:kern w:val="2"/>
          <w:sz w:val="24"/>
          <w:szCs w:val="24"/>
          <w:highlight w:val="none"/>
          <w:lang w:val="en-US" w:eastAsia="zh-CN" w:bidi="ar-SA"/>
        </w:rPr>
        <w:t>，边沟无垃圾、污水等</w:t>
      </w:r>
      <w:r>
        <w:rPr>
          <w:rFonts w:hint="eastAsia" w:hAnsi="宋体" w:cs="Times New Roman"/>
          <w:b w:val="0"/>
          <w:bCs w:val="0"/>
          <w:color w:val="auto"/>
          <w:kern w:val="2"/>
          <w:sz w:val="24"/>
          <w:szCs w:val="24"/>
          <w:highlight w:val="none"/>
          <w:lang w:val="en-US" w:eastAsia="zh-CN" w:bidi="ar-SA"/>
        </w:rPr>
        <w:t>；</w:t>
      </w:r>
      <w:r>
        <w:rPr>
          <w:rFonts w:hint="eastAsia" w:ascii="Times New Roman" w:hAnsi="宋体" w:eastAsia="宋体" w:cs="Times New Roman"/>
          <w:b w:val="0"/>
          <w:bCs w:val="0"/>
          <w:color w:val="auto"/>
          <w:kern w:val="2"/>
          <w:sz w:val="24"/>
          <w:szCs w:val="24"/>
          <w:highlight w:val="none"/>
          <w:lang w:val="en-US" w:eastAsia="zh-CN" w:bidi="ar-SA"/>
        </w:rPr>
        <w:t>河道、池塘、灌溉沟等水面岸边</w:t>
      </w:r>
      <w:r>
        <w:rPr>
          <w:rFonts w:hint="eastAsia" w:hAnsi="宋体" w:eastAsia="宋体" w:cs="Times New Roman"/>
          <w:b w:val="0"/>
          <w:bCs w:val="0"/>
          <w:color w:val="auto"/>
          <w:kern w:val="2"/>
          <w:sz w:val="24"/>
          <w:szCs w:val="24"/>
          <w:highlight w:val="none"/>
          <w:lang w:val="en-US" w:eastAsia="zh-CN" w:bidi="ar-SA"/>
        </w:rPr>
        <w:t>无</w:t>
      </w:r>
      <w:r>
        <w:rPr>
          <w:rFonts w:hint="eastAsia" w:ascii="Times New Roman" w:hAnsi="宋体" w:eastAsia="宋体" w:cs="Times New Roman"/>
          <w:b w:val="0"/>
          <w:bCs w:val="0"/>
          <w:color w:val="auto"/>
          <w:kern w:val="2"/>
          <w:sz w:val="24"/>
          <w:szCs w:val="24"/>
          <w:highlight w:val="none"/>
          <w:lang w:val="en-US" w:eastAsia="zh-CN" w:bidi="ar-SA"/>
        </w:rPr>
        <w:t>垃圾</w:t>
      </w:r>
      <w:r>
        <w:rPr>
          <w:rFonts w:hint="eastAsia" w:hAnsi="宋体" w:cs="Times New Roman"/>
          <w:b w:val="0"/>
          <w:bCs w:val="0"/>
          <w:color w:val="auto"/>
          <w:kern w:val="2"/>
          <w:sz w:val="24"/>
          <w:szCs w:val="24"/>
          <w:highlight w:val="none"/>
          <w:lang w:val="en-US" w:eastAsia="zh-CN" w:bidi="ar-SA"/>
        </w:rPr>
        <w:t>、无杂草</w:t>
      </w:r>
      <w:r>
        <w:rPr>
          <w:rFonts w:hint="eastAsia" w:ascii="Times New Roman" w:hAnsi="宋体" w:eastAsia="宋体" w:cs="Times New Roman"/>
          <w:b w:val="0"/>
          <w:bCs w:val="0"/>
          <w:color w:val="auto"/>
          <w:kern w:val="2"/>
          <w:sz w:val="24"/>
          <w:szCs w:val="24"/>
          <w:highlight w:val="none"/>
          <w:lang w:val="en-US" w:eastAsia="zh-CN" w:bidi="ar-SA"/>
        </w:rPr>
        <w:t>等</w:t>
      </w:r>
      <w:r>
        <w:rPr>
          <w:rFonts w:hint="eastAsia" w:hAnsi="宋体" w:eastAsia="宋体" w:cs="Times New Roman"/>
          <w:b w:val="0"/>
          <w:bCs w:val="0"/>
          <w:color w:val="auto"/>
          <w:kern w:val="2"/>
          <w:sz w:val="24"/>
          <w:szCs w:val="24"/>
          <w:highlight w:val="none"/>
          <w:lang w:val="en-US" w:eastAsia="zh-CN" w:bidi="ar-SA"/>
        </w:rPr>
        <w:t>；根据需要对路面进行洒水、冲洗作业。</w:t>
      </w:r>
    </w:p>
    <w:p w14:paraId="5F72181D">
      <w:pPr>
        <w:keepLines w:val="0"/>
        <w:pageBreakBefore w:val="0"/>
        <w:widowControl w:val="0"/>
        <w:numPr>
          <w:ilvl w:val="0"/>
          <w:numId w:val="0"/>
        </w:numPr>
        <w:tabs>
          <w:tab w:val="left" w:pos="772"/>
        </w:tabs>
        <w:kinsoku/>
        <w:wordWrap/>
        <w:overflowPunct/>
        <w:topLinePunct w:val="0"/>
        <w:autoSpaceDE/>
        <w:autoSpaceDN/>
        <w:bidi w:val="0"/>
        <w:adjustRightInd/>
        <w:snapToGrid/>
        <w:spacing w:line="360" w:lineRule="auto"/>
        <w:ind w:firstLine="480" w:firstLineChars="200"/>
        <w:textAlignment w:val="auto"/>
        <w:rPr>
          <w:rFonts w:hint="eastAsia" w:ascii="Times New Roman" w:hAnsi="宋体" w:eastAsia="宋体" w:cs="Times New Roman"/>
          <w:b w:val="0"/>
          <w:bCs w:val="0"/>
          <w:color w:val="auto"/>
          <w:kern w:val="2"/>
          <w:sz w:val="24"/>
          <w:szCs w:val="24"/>
          <w:highlight w:val="none"/>
          <w:lang w:val="en-US" w:eastAsia="zh-CN" w:bidi="ar-SA"/>
        </w:rPr>
      </w:pPr>
      <w:r>
        <w:rPr>
          <w:rFonts w:hint="eastAsia" w:hAnsi="宋体" w:eastAsia="宋体" w:cs="Times New Roman"/>
          <w:b w:val="0"/>
          <w:bCs w:val="0"/>
          <w:color w:val="auto"/>
          <w:kern w:val="2"/>
          <w:sz w:val="24"/>
          <w:szCs w:val="24"/>
          <w:highlight w:val="none"/>
          <w:lang w:val="en-US" w:eastAsia="zh-CN" w:bidi="ar-SA"/>
        </w:rPr>
        <w:t>2、</w:t>
      </w:r>
      <w:r>
        <w:rPr>
          <w:rFonts w:hint="eastAsia" w:ascii="宋体" w:hAnsi="宋体" w:eastAsia="宋体" w:cs="Times New Roman"/>
          <w:b w:val="0"/>
          <w:bCs w:val="0"/>
          <w:color w:val="auto"/>
          <w:kern w:val="2"/>
          <w:sz w:val="24"/>
          <w:szCs w:val="24"/>
          <w:highlight w:val="none"/>
          <w:lang w:val="en-US" w:eastAsia="zh-CN" w:bidi="ar-SA"/>
        </w:rPr>
        <w:t>公园、广场、市场保洁</w:t>
      </w:r>
      <w:r>
        <w:rPr>
          <w:rFonts w:hint="eastAsia" w:ascii="宋体" w:hAnsi="宋体" w:cs="Times New Roman"/>
          <w:b w:val="0"/>
          <w:bCs w:val="0"/>
          <w:color w:val="auto"/>
          <w:kern w:val="2"/>
          <w:sz w:val="24"/>
          <w:szCs w:val="24"/>
          <w:highlight w:val="none"/>
          <w:lang w:val="en-US" w:eastAsia="zh-CN" w:bidi="ar-SA"/>
        </w:rPr>
        <w:t>清扫</w:t>
      </w:r>
      <w:r>
        <w:rPr>
          <w:rFonts w:hint="eastAsia" w:ascii="宋体" w:hAnsi="宋体" w:eastAsia="宋体" w:cs="Times New Roman"/>
          <w:b w:val="0"/>
          <w:bCs w:val="0"/>
          <w:color w:val="auto"/>
          <w:kern w:val="2"/>
          <w:sz w:val="24"/>
          <w:szCs w:val="24"/>
          <w:highlight w:val="none"/>
          <w:lang w:val="en-US" w:eastAsia="zh-CN" w:bidi="ar-SA"/>
        </w:rPr>
        <w:t>：</w:t>
      </w:r>
      <w:r>
        <w:rPr>
          <w:rFonts w:hint="eastAsia" w:hAnsi="宋体" w:eastAsia="宋体" w:cs="Times New Roman"/>
          <w:b w:val="0"/>
          <w:bCs w:val="0"/>
          <w:color w:val="auto"/>
          <w:kern w:val="2"/>
          <w:sz w:val="24"/>
          <w:szCs w:val="24"/>
          <w:highlight w:val="none"/>
          <w:lang w:val="en-US" w:eastAsia="zh-CN" w:bidi="ar-SA"/>
        </w:rPr>
        <w:t>落实专人进行巡回保洁，</w:t>
      </w:r>
      <w:r>
        <w:rPr>
          <w:rFonts w:hint="eastAsia" w:ascii="宋体" w:hAnsi="宋体" w:eastAsia="宋体" w:cs="Times New Roman"/>
          <w:b w:val="0"/>
          <w:bCs w:val="0"/>
          <w:color w:val="auto"/>
          <w:kern w:val="2"/>
          <w:sz w:val="24"/>
          <w:szCs w:val="24"/>
          <w:highlight w:val="none"/>
          <w:lang w:val="en-US" w:eastAsia="zh-CN" w:bidi="ar-SA"/>
        </w:rPr>
        <w:t>清扫道路果皮、塑料袋、烟蒂、石块等各类垃圾。根据需要对路面进行洒水、冲洗作业</w:t>
      </w:r>
      <w:r>
        <w:rPr>
          <w:rFonts w:hint="eastAsia" w:ascii="Times New Roman" w:hAnsi="宋体" w:eastAsia="宋体" w:cs="Times New Roman"/>
          <w:b w:val="0"/>
          <w:bCs w:val="0"/>
          <w:color w:val="auto"/>
          <w:kern w:val="2"/>
          <w:sz w:val="24"/>
          <w:szCs w:val="24"/>
          <w:highlight w:val="none"/>
          <w:lang w:val="en-US" w:eastAsia="zh-CN" w:bidi="ar-SA"/>
        </w:rPr>
        <w:t>。</w:t>
      </w:r>
    </w:p>
    <w:p w14:paraId="3EC92E38">
      <w:pPr>
        <w:keepLines w:val="0"/>
        <w:pageBreakBefore w:val="0"/>
        <w:widowControl w:val="0"/>
        <w:numPr>
          <w:ilvl w:val="0"/>
          <w:numId w:val="0"/>
        </w:numPr>
        <w:tabs>
          <w:tab w:val="left" w:pos="772"/>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Times New Roman"/>
          <w:color w:val="auto"/>
          <w:sz w:val="24"/>
          <w:highlight w:val="none"/>
          <w:lang w:val="en-US" w:eastAsia="zh-CN"/>
        </w:rPr>
      </w:pPr>
      <w:r>
        <w:rPr>
          <w:rFonts w:hint="eastAsia" w:ascii="宋体" w:hAnsi="宋体" w:eastAsia="宋体" w:cs="Times New Roman"/>
          <w:color w:val="auto"/>
          <w:sz w:val="24"/>
          <w:highlight w:val="none"/>
          <w:lang w:val="en-US" w:eastAsia="zh-CN"/>
        </w:rPr>
        <w:t>3、</w:t>
      </w:r>
      <w:r>
        <w:rPr>
          <w:rFonts w:hint="eastAsia" w:ascii="宋体" w:hAnsi="宋体" w:eastAsia="宋体" w:cs="Times New Roman"/>
          <w:color w:val="auto"/>
          <w:sz w:val="24"/>
          <w:highlight w:val="none"/>
        </w:rPr>
        <w:t>生活垃圾按</w:t>
      </w:r>
      <w:r>
        <w:rPr>
          <w:rFonts w:hint="eastAsia" w:ascii="宋体" w:hAnsi="宋体" w:eastAsia="宋体" w:cs="Times New Roman"/>
          <w:color w:val="auto"/>
          <w:sz w:val="24"/>
          <w:highlight w:val="none"/>
          <w:lang w:eastAsia="zh-CN"/>
        </w:rPr>
        <w:t>四分</w:t>
      </w:r>
      <w:r>
        <w:rPr>
          <w:rFonts w:hint="eastAsia" w:ascii="宋体" w:hAnsi="宋体" w:eastAsia="宋体" w:cs="Times New Roman"/>
          <w:color w:val="auto"/>
          <w:sz w:val="24"/>
          <w:highlight w:val="none"/>
        </w:rPr>
        <w:t>法分类</w:t>
      </w:r>
      <w:r>
        <w:rPr>
          <w:rFonts w:hint="eastAsia" w:ascii="宋体" w:hAnsi="宋体" w:eastAsia="宋体" w:cs="Times New Roman"/>
          <w:color w:val="auto"/>
          <w:sz w:val="24"/>
          <w:highlight w:val="none"/>
          <w:lang w:eastAsia="zh-CN"/>
        </w:rPr>
        <w:t>：合理安排</w:t>
      </w:r>
      <w:r>
        <w:rPr>
          <w:rFonts w:hint="eastAsia" w:ascii="宋体" w:hAnsi="宋体" w:eastAsia="宋体" w:cs="Times New Roman"/>
          <w:color w:val="auto"/>
          <w:sz w:val="24"/>
          <w:highlight w:val="none"/>
          <w:lang w:val="en-US" w:eastAsia="zh-CN"/>
        </w:rPr>
        <w:t>工作</w:t>
      </w:r>
      <w:r>
        <w:rPr>
          <w:rFonts w:hint="eastAsia" w:ascii="宋体" w:hAnsi="宋体" w:eastAsia="宋体" w:cs="Times New Roman"/>
          <w:color w:val="auto"/>
          <w:sz w:val="24"/>
          <w:highlight w:val="none"/>
          <w:lang w:eastAsia="zh-CN"/>
        </w:rPr>
        <w:t>人员</w:t>
      </w:r>
      <w:r>
        <w:rPr>
          <w:rFonts w:hint="eastAsia" w:ascii="宋体" w:hAnsi="宋体" w:eastAsia="宋体" w:cs="Times New Roman"/>
          <w:color w:val="auto"/>
          <w:sz w:val="24"/>
          <w:highlight w:val="none"/>
          <w:lang w:val="en-US" w:eastAsia="zh-CN"/>
        </w:rPr>
        <w:t>在垃圾分类指定地点</w:t>
      </w:r>
      <w:r>
        <w:rPr>
          <w:rFonts w:hint="eastAsia" w:ascii="宋体" w:hAnsi="宋体" w:eastAsia="宋体" w:cs="Times New Roman"/>
          <w:color w:val="auto"/>
          <w:sz w:val="24"/>
          <w:highlight w:val="none"/>
          <w:lang w:eastAsia="zh-CN"/>
        </w:rPr>
        <w:t>开展</w:t>
      </w:r>
      <w:r>
        <w:rPr>
          <w:rFonts w:hint="eastAsia" w:ascii="宋体" w:hAnsi="宋体" w:eastAsia="宋体" w:cs="Times New Roman"/>
          <w:color w:val="auto"/>
          <w:sz w:val="24"/>
          <w:highlight w:val="none"/>
          <w:lang w:val="en-US" w:eastAsia="zh-CN"/>
        </w:rPr>
        <w:t>生活垃圾分类</w:t>
      </w:r>
      <w:r>
        <w:rPr>
          <w:rFonts w:hint="eastAsia" w:ascii="宋体" w:hAnsi="宋体" w:eastAsia="宋体" w:cs="Times New Roman"/>
          <w:color w:val="auto"/>
          <w:sz w:val="24"/>
          <w:highlight w:val="none"/>
          <w:lang w:eastAsia="zh-CN"/>
        </w:rPr>
        <w:t>收运，并做好监管平台信息录入工作（如有）；村内大桶垃圾按每天两次及时清运，避免垃圾满溢（若上级有垃圾分类新模式，按新模式执行）。</w:t>
      </w:r>
      <w:r>
        <w:rPr>
          <w:rFonts w:hint="eastAsia" w:ascii="宋体" w:hAnsi="宋体" w:eastAsia="宋体" w:cs="Times New Roman"/>
          <w:sz w:val="24"/>
        </w:rPr>
        <w:t>生活垃圾分类桶外观要保持整洁干净，</w:t>
      </w:r>
      <w:r>
        <w:rPr>
          <w:rFonts w:hint="eastAsia" w:ascii="宋体" w:hAnsi="宋体" w:eastAsia="宋体" w:cs="Times New Roman"/>
          <w:sz w:val="24"/>
          <w:lang w:eastAsia="zh-CN"/>
        </w:rPr>
        <w:t>每周</w:t>
      </w:r>
      <w:r>
        <w:rPr>
          <w:rFonts w:hint="eastAsia" w:ascii="宋体" w:hAnsi="宋体" w:eastAsia="宋体" w:cs="Times New Roman"/>
          <w:sz w:val="24"/>
        </w:rPr>
        <w:t>至少清洗一次</w:t>
      </w:r>
      <w:r>
        <w:rPr>
          <w:rFonts w:hint="eastAsia" w:ascii="宋体" w:hAnsi="宋体" w:eastAsia="宋体" w:cs="Times New Roman"/>
          <w:sz w:val="24"/>
          <w:lang w:eastAsia="zh-CN"/>
        </w:rPr>
        <w:t>，</w:t>
      </w:r>
      <w:r>
        <w:rPr>
          <w:rFonts w:hint="eastAsia" w:ascii="宋体" w:hAnsi="宋体" w:eastAsia="宋体" w:cs="Times New Roman"/>
          <w:sz w:val="24"/>
        </w:rPr>
        <w:t>发现垃圾桶破损的应及时报修</w:t>
      </w:r>
      <w:r>
        <w:rPr>
          <w:rFonts w:hint="eastAsia" w:ascii="宋体" w:hAnsi="宋体" w:eastAsia="宋体" w:cs="Times New Roman"/>
          <w:sz w:val="24"/>
          <w:lang w:eastAsia="zh-CN"/>
        </w:rPr>
        <w:t>。</w:t>
      </w:r>
    </w:p>
    <w:p w14:paraId="60C19C5D">
      <w:pPr>
        <w:tabs>
          <w:tab w:val="left" w:pos="772"/>
        </w:tabs>
        <w:spacing w:line="360" w:lineRule="auto"/>
        <w:ind w:firstLine="480" w:firstLineChars="200"/>
        <w:rPr>
          <w:rFonts w:hint="eastAsia" w:ascii="宋体" w:hAnsi="宋体" w:eastAsia="宋体" w:cs="Times New Roman"/>
          <w:color w:val="auto"/>
          <w:sz w:val="24"/>
          <w:highlight w:val="none"/>
          <w:lang w:eastAsia="zh-CN"/>
        </w:rPr>
      </w:pPr>
      <w:r>
        <w:rPr>
          <w:rFonts w:hint="eastAsia" w:ascii="宋体" w:hAnsi="宋体" w:eastAsia="宋体" w:cs="Times New Roman"/>
          <w:color w:val="auto"/>
          <w:sz w:val="24"/>
          <w:highlight w:val="none"/>
          <w:lang w:val="en-US" w:eastAsia="zh-CN"/>
        </w:rPr>
        <w:t>3.1</w:t>
      </w:r>
      <w:r>
        <w:rPr>
          <w:rFonts w:hint="eastAsia" w:ascii="宋体" w:hAnsi="宋体" w:eastAsia="宋体" w:cs="Times New Roman"/>
          <w:color w:val="auto"/>
          <w:sz w:val="24"/>
          <w:highlight w:val="none"/>
          <w:lang w:eastAsia="zh-CN"/>
        </w:rPr>
        <w:t>可回收物：再生利用价值较高，能进入废品回收渠道的垃圾。</w:t>
      </w:r>
    </w:p>
    <w:p w14:paraId="53A431E6">
      <w:pPr>
        <w:tabs>
          <w:tab w:val="left" w:pos="772"/>
        </w:tabs>
        <w:spacing w:line="360" w:lineRule="auto"/>
        <w:ind w:firstLine="480" w:firstLineChars="200"/>
        <w:rPr>
          <w:rFonts w:hint="eastAsia" w:ascii="宋体" w:hAnsi="宋体" w:eastAsia="宋体" w:cs="Times New Roman"/>
          <w:color w:val="auto"/>
          <w:sz w:val="24"/>
          <w:highlight w:val="none"/>
          <w:lang w:eastAsia="zh-CN"/>
        </w:rPr>
      </w:pPr>
      <w:r>
        <w:rPr>
          <w:rFonts w:hint="eastAsia" w:ascii="宋体" w:hAnsi="宋体" w:eastAsia="宋体" w:cs="Times New Roman"/>
          <w:color w:val="auto"/>
          <w:sz w:val="24"/>
          <w:highlight w:val="none"/>
          <w:lang w:eastAsia="zh-CN"/>
        </w:rPr>
        <w:t>主要包括:纸类(报纸、传单、杂志、旧书、纸板及其它没受污染的纸制品等)金属(铁、铜、铝等制品)玻璃(玻璃瓶罐、平板玻璃及其它玻璃制品)除塑料袋外的塑料制品(泡沫塑料、塑料瓶、硬塑料等)橡胶及橡胶制品、牛奶盒等利乐包装、饮料瓶(可乐瓶、塑料饮料瓶、啤酒瓶等)等。</w:t>
      </w:r>
    </w:p>
    <w:p w14:paraId="63BE6E74">
      <w:pPr>
        <w:tabs>
          <w:tab w:val="left" w:pos="772"/>
        </w:tabs>
        <w:spacing w:line="360" w:lineRule="auto"/>
        <w:ind w:firstLine="480" w:firstLineChars="200"/>
        <w:rPr>
          <w:rFonts w:hint="eastAsia" w:ascii="宋体" w:hAnsi="宋体" w:eastAsia="宋体" w:cs="Times New Roman"/>
          <w:color w:val="auto"/>
          <w:sz w:val="24"/>
          <w:highlight w:val="none"/>
          <w:lang w:eastAsia="zh-CN"/>
        </w:rPr>
      </w:pPr>
      <w:r>
        <w:rPr>
          <w:rFonts w:hint="eastAsia" w:ascii="宋体" w:hAnsi="宋体" w:eastAsia="宋体" w:cs="Times New Roman"/>
          <w:color w:val="auto"/>
          <w:sz w:val="24"/>
          <w:highlight w:val="none"/>
          <w:lang w:val="en-US" w:eastAsia="zh-CN"/>
        </w:rPr>
        <w:t>3.2</w:t>
      </w:r>
      <w:r>
        <w:rPr>
          <w:rFonts w:hint="eastAsia" w:ascii="宋体" w:hAnsi="宋体" w:eastAsia="宋体" w:cs="Times New Roman"/>
          <w:color w:val="auto"/>
          <w:sz w:val="24"/>
          <w:highlight w:val="none"/>
          <w:lang w:eastAsia="zh-CN"/>
        </w:rPr>
        <w:t>易腐垃圾:厨房产生的食物类垃圾及果皮等。</w:t>
      </w:r>
    </w:p>
    <w:p w14:paraId="662F1924">
      <w:pPr>
        <w:tabs>
          <w:tab w:val="left" w:pos="772"/>
        </w:tabs>
        <w:spacing w:line="360" w:lineRule="auto"/>
        <w:ind w:firstLine="480" w:firstLineChars="200"/>
        <w:rPr>
          <w:rFonts w:hint="eastAsia" w:ascii="宋体" w:hAnsi="宋体" w:eastAsia="宋体" w:cs="Times New Roman"/>
          <w:color w:val="auto"/>
          <w:sz w:val="24"/>
          <w:highlight w:val="none"/>
          <w:lang w:eastAsia="zh-CN"/>
        </w:rPr>
      </w:pPr>
      <w:r>
        <w:rPr>
          <w:rFonts w:hint="eastAsia" w:ascii="宋体" w:hAnsi="宋体" w:eastAsia="宋体" w:cs="Times New Roman"/>
          <w:color w:val="auto"/>
          <w:sz w:val="24"/>
          <w:highlight w:val="none"/>
          <w:lang w:eastAsia="zh-CN"/>
        </w:rPr>
        <w:t>主要包括:剩菜剩饭与西餐糕点等食物残余、菜梗菜叶、动物骨骼内脏、茶叶渣、水果残余、果壳瓜皮、盆景等植物的残枝落叶、废弃食用油等。</w:t>
      </w:r>
    </w:p>
    <w:p w14:paraId="44F56EA1">
      <w:pPr>
        <w:tabs>
          <w:tab w:val="left" w:pos="772"/>
        </w:tabs>
        <w:spacing w:line="360" w:lineRule="auto"/>
        <w:ind w:firstLine="480" w:firstLineChars="200"/>
        <w:rPr>
          <w:rFonts w:hint="eastAsia" w:ascii="宋体" w:hAnsi="宋体" w:eastAsia="宋体" w:cs="Times New Roman"/>
          <w:color w:val="auto"/>
          <w:sz w:val="24"/>
          <w:highlight w:val="none"/>
          <w:lang w:eastAsia="zh-CN"/>
        </w:rPr>
      </w:pPr>
      <w:r>
        <w:rPr>
          <w:rFonts w:hint="eastAsia" w:ascii="宋体" w:hAnsi="宋体" w:eastAsia="宋体" w:cs="Times New Roman"/>
          <w:color w:val="auto"/>
          <w:sz w:val="24"/>
          <w:highlight w:val="none"/>
          <w:lang w:val="en-US" w:eastAsia="zh-CN"/>
        </w:rPr>
        <w:t>3.3</w:t>
      </w:r>
      <w:r>
        <w:rPr>
          <w:rFonts w:hint="eastAsia" w:ascii="宋体" w:hAnsi="宋体" w:eastAsia="宋体" w:cs="Times New Roman"/>
          <w:color w:val="auto"/>
          <w:sz w:val="24"/>
          <w:highlight w:val="none"/>
          <w:lang w:eastAsia="zh-CN"/>
        </w:rPr>
        <w:t>有害垃圾:含有毒有害化学物质的垃圾。</w:t>
      </w:r>
    </w:p>
    <w:p w14:paraId="3DD25285">
      <w:pPr>
        <w:tabs>
          <w:tab w:val="left" w:pos="772"/>
        </w:tabs>
        <w:spacing w:line="360" w:lineRule="auto"/>
        <w:ind w:firstLine="480" w:firstLineChars="200"/>
        <w:rPr>
          <w:rFonts w:hint="eastAsia" w:ascii="宋体" w:hAnsi="宋体" w:eastAsia="宋体" w:cs="Times New Roman"/>
          <w:color w:val="auto"/>
          <w:sz w:val="24"/>
          <w:highlight w:val="none"/>
          <w:lang w:eastAsia="zh-CN"/>
        </w:rPr>
      </w:pPr>
      <w:r>
        <w:rPr>
          <w:rFonts w:hint="eastAsia" w:ascii="宋体" w:hAnsi="宋体" w:eastAsia="宋体" w:cs="Times New Roman"/>
          <w:color w:val="auto"/>
          <w:sz w:val="24"/>
          <w:highlight w:val="none"/>
          <w:lang w:eastAsia="zh-CN"/>
        </w:rPr>
        <w:t>主要包括:电池(蓄电池、纽扣电池等)废旧电子产品、废旧灯管灯泡、过期药品、过期日用化妆品、染发剂、杀虫剂容器、除草剂容器、废弃水银温度计、废弃漆桶、废打印机墨盒、硒鼓等。</w:t>
      </w:r>
    </w:p>
    <w:p w14:paraId="71E8EA79">
      <w:pPr>
        <w:tabs>
          <w:tab w:val="left" w:pos="772"/>
        </w:tabs>
        <w:spacing w:line="360" w:lineRule="auto"/>
        <w:ind w:firstLine="480" w:firstLineChars="200"/>
        <w:rPr>
          <w:rFonts w:hint="eastAsia" w:ascii="宋体" w:hAnsi="宋体" w:eastAsia="宋体" w:cs="Times New Roman"/>
          <w:color w:val="auto"/>
          <w:sz w:val="24"/>
          <w:highlight w:val="none"/>
          <w:lang w:eastAsia="zh-CN"/>
        </w:rPr>
      </w:pPr>
      <w:r>
        <w:rPr>
          <w:rFonts w:hint="eastAsia" w:ascii="宋体" w:hAnsi="宋体" w:eastAsia="宋体" w:cs="Times New Roman"/>
          <w:color w:val="auto"/>
          <w:sz w:val="24"/>
          <w:highlight w:val="none"/>
          <w:lang w:val="en-US" w:eastAsia="zh-CN"/>
        </w:rPr>
        <w:t>3.4</w:t>
      </w:r>
      <w:r>
        <w:rPr>
          <w:rFonts w:hint="eastAsia" w:ascii="宋体" w:hAnsi="宋体" w:eastAsia="宋体" w:cs="Times New Roman"/>
          <w:color w:val="auto"/>
          <w:sz w:val="24"/>
          <w:highlight w:val="none"/>
          <w:lang w:eastAsia="zh-CN"/>
        </w:rPr>
        <w:t>其他垃圾:除去易腐垃圾、可回收物、有害垃圾之外的所有垃圾的总称。</w:t>
      </w:r>
    </w:p>
    <w:p w14:paraId="3510780C">
      <w:pPr>
        <w:tabs>
          <w:tab w:val="left" w:pos="772"/>
        </w:tabs>
        <w:spacing w:line="360" w:lineRule="auto"/>
        <w:ind w:firstLine="480" w:firstLineChars="200"/>
        <w:rPr>
          <w:rFonts w:hint="eastAsia" w:ascii="宋体" w:hAnsi="宋体" w:eastAsia="宋体" w:cs="Times New Roman"/>
          <w:color w:val="auto"/>
          <w:sz w:val="24"/>
          <w:highlight w:val="none"/>
          <w:lang w:eastAsia="zh-CN"/>
        </w:rPr>
      </w:pPr>
      <w:r>
        <w:rPr>
          <w:rFonts w:hint="eastAsia" w:ascii="宋体" w:hAnsi="宋体" w:eastAsia="宋体" w:cs="Times New Roman"/>
          <w:color w:val="auto"/>
          <w:sz w:val="24"/>
          <w:highlight w:val="none"/>
          <w:lang w:eastAsia="zh-CN"/>
        </w:rPr>
        <w:t>主要包括:受污染与无法再生的纸张(纸杯、照片、复写纸、压敏纸、收据用纸、明信片、相册、卫生纸、尿片等)受污染或其它不可回收的玻璃、塑料袋与其它塑料制品、废旧衣物与其它纺织品、破旧陶瓷品、妇女卫生用品、一次性餐具、烟头等。</w:t>
      </w:r>
    </w:p>
    <w:p w14:paraId="27D67AAE">
      <w:pPr>
        <w:tabs>
          <w:tab w:val="left" w:pos="772"/>
        </w:tabs>
        <w:spacing w:line="360" w:lineRule="auto"/>
        <w:ind w:firstLine="480" w:firstLineChars="200"/>
        <w:rPr>
          <w:rFonts w:hint="eastAsia" w:ascii="宋体" w:hAnsi="宋体" w:eastAsia="宋体" w:cs="Times New Roman"/>
          <w:color w:val="auto"/>
          <w:sz w:val="24"/>
          <w:highlight w:val="none"/>
          <w:lang w:eastAsia="zh-CN"/>
        </w:rPr>
      </w:pPr>
      <w:r>
        <w:rPr>
          <w:rFonts w:hint="eastAsia" w:hAnsi="宋体" w:eastAsia="宋体" w:cs="Times New Roman"/>
          <w:b w:val="0"/>
          <w:bCs w:val="0"/>
          <w:color w:val="auto"/>
          <w:kern w:val="2"/>
          <w:sz w:val="24"/>
          <w:szCs w:val="24"/>
          <w:highlight w:val="none"/>
          <w:lang w:val="en-US" w:eastAsia="zh-CN" w:bidi="ar-SA"/>
        </w:rPr>
        <w:t>4</w:t>
      </w:r>
      <w:r>
        <w:rPr>
          <w:rFonts w:hint="eastAsia" w:ascii="Times New Roman" w:hAnsi="宋体" w:eastAsia="宋体" w:cs="Times New Roman"/>
          <w:b w:val="0"/>
          <w:bCs w:val="0"/>
          <w:color w:val="auto"/>
          <w:kern w:val="2"/>
          <w:sz w:val="24"/>
          <w:szCs w:val="24"/>
          <w:highlight w:val="none"/>
          <w:lang w:val="en-US" w:eastAsia="zh-CN" w:bidi="ar-SA"/>
        </w:rPr>
        <w:t>、建筑垃圾、大件垃圾、</w:t>
      </w:r>
      <w:r>
        <w:rPr>
          <w:rFonts w:hint="eastAsia" w:ascii="宋体" w:hAnsi="宋体" w:eastAsia="宋体" w:cs="Times New Roman"/>
          <w:color w:val="auto"/>
          <w:sz w:val="24"/>
          <w:highlight w:val="none"/>
          <w:lang w:eastAsia="zh-CN"/>
        </w:rPr>
        <w:t>乱堆乱放清理</w:t>
      </w:r>
      <w:r>
        <w:rPr>
          <w:rFonts w:hint="eastAsia" w:hAnsi="宋体" w:eastAsia="宋体" w:cs="Times New Roman"/>
          <w:color w:val="auto"/>
          <w:sz w:val="24"/>
          <w:highlight w:val="none"/>
          <w:lang w:eastAsia="zh-CN"/>
        </w:rPr>
        <w:t>：</w:t>
      </w:r>
      <w:r>
        <w:rPr>
          <w:rFonts w:hint="eastAsia" w:ascii="Times New Roman" w:hAnsi="宋体" w:eastAsia="宋体" w:cs="Times New Roman"/>
          <w:b w:val="0"/>
          <w:bCs w:val="0"/>
          <w:color w:val="auto"/>
          <w:kern w:val="2"/>
          <w:sz w:val="24"/>
          <w:szCs w:val="24"/>
          <w:highlight w:val="none"/>
          <w:lang w:val="en-US" w:eastAsia="zh-CN" w:bidi="ar-SA"/>
        </w:rPr>
        <w:t>每天收集村域范围内各类建筑垃圾、大件垃圾并集中堆放到村指定的临时堆放点，定期分类清运至街道垃圾中转站。原则上村内临时堆放点一周一清。</w:t>
      </w:r>
      <w:r>
        <w:rPr>
          <w:rFonts w:hint="eastAsia" w:hAnsi="宋体" w:eastAsia="宋体" w:cs="Times New Roman"/>
          <w:color w:val="auto"/>
          <w:sz w:val="24"/>
          <w:highlight w:val="none"/>
          <w:lang w:eastAsia="zh-CN"/>
        </w:rPr>
        <w:t>每天开展</w:t>
      </w:r>
      <w:r>
        <w:rPr>
          <w:rFonts w:hint="eastAsia" w:ascii="宋体" w:hAnsi="宋体" w:eastAsia="宋体" w:cs="Times New Roman"/>
          <w:color w:val="auto"/>
          <w:sz w:val="24"/>
          <w:highlight w:val="none"/>
          <w:lang w:eastAsia="zh-CN"/>
        </w:rPr>
        <w:t>村域内巡查检查，对房前屋后、弄堂弄尾、田间地头等各处乱堆乱放进行清理；因施工等需要的临时堆放，及时设置警示牌。</w:t>
      </w:r>
    </w:p>
    <w:p w14:paraId="63BA601B">
      <w:pPr>
        <w:keepLines w:val="0"/>
        <w:pageBreakBefore w:val="0"/>
        <w:widowControl w:val="0"/>
        <w:numPr>
          <w:ilvl w:val="0"/>
          <w:numId w:val="0"/>
        </w:numPr>
        <w:tabs>
          <w:tab w:val="left" w:pos="772"/>
        </w:tabs>
        <w:kinsoku/>
        <w:wordWrap/>
        <w:overflowPunct/>
        <w:topLinePunct w:val="0"/>
        <w:autoSpaceDE/>
        <w:autoSpaceDN/>
        <w:bidi w:val="0"/>
        <w:adjustRightInd/>
        <w:snapToGrid/>
        <w:spacing w:line="360" w:lineRule="auto"/>
        <w:ind w:firstLine="480" w:firstLineChars="200"/>
        <w:textAlignment w:val="auto"/>
        <w:rPr>
          <w:rFonts w:hint="default"/>
          <w:color w:val="auto"/>
          <w:highlight w:val="none"/>
          <w:lang w:val="en-US" w:eastAsia="zh-CN"/>
        </w:rPr>
      </w:pPr>
      <w:r>
        <w:rPr>
          <w:rFonts w:hint="eastAsia" w:ascii="宋体" w:hAnsi="宋体" w:eastAsia="宋体" w:cs="Times New Roman"/>
          <w:color w:val="auto"/>
          <w:sz w:val="24"/>
          <w:highlight w:val="none"/>
          <w:lang w:val="en-US" w:eastAsia="zh-CN"/>
        </w:rPr>
        <w:t>5、</w:t>
      </w:r>
      <w:r>
        <w:rPr>
          <w:rFonts w:hint="eastAsia" w:ascii="宋体" w:hAnsi="宋体" w:eastAsia="宋体" w:cs="Times New Roman"/>
          <w:color w:val="auto"/>
          <w:sz w:val="24"/>
          <w:highlight w:val="none"/>
        </w:rPr>
        <w:t>农作物秸秆</w:t>
      </w:r>
      <w:r>
        <w:rPr>
          <w:rFonts w:hint="eastAsia" w:ascii="宋体" w:hAnsi="宋体" w:eastAsia="宋体" w:cs="Times New Roman"/>
          <w:color w:val="auto"/>
          <w:sz w:val="24"/>
          <w:highlight w:val="none"/>
          <w:lang w:eastAsia="zh-CN"/>
        </w:rPr>
        <w:t>收集：农田秸秆收集并集中堆放到村指定地点</w:t>
      </w:r>
      <w:r>
        <w:rPr>
          <w:rFonts w:hint="eastAsia" w:ascii="宋体" w:hAnsi="宋体" w:cs="Times New Roman"/>
          <w:color w:val="auto"/>
          <w:sz w:val="24"/>
          <w:highlight w:val="none"/>
          <w:lang w:eastAsia="zh-CN"/>
        </w:rPr>
        <w:t>，</w:t>
      </w:r>
      <w:r>
        <w:rPr>
          <w:rFonts w:hint="eastAsia" w:ascii="宋体" w:hAnsi="宋体" w:eastAsia="宋体" w:cs="Times New Roman"/>
          <w:color w:val="auto"/>
          <w:sz w:val="24"/>
          <w:highlight w:val="none"/>
          <w:lang w:val="en-US" w:eastAsia="zh-CN"/>
        </w:rPr>
        <w:t>禁止私自焚烧。</w:t>
      </w:r>
    </w:p>
    <w:p w14:paraId="5B337800">
      <w:pPr>
        <w:tabs>
          <w:tab w:val="left" w:pos="772"/>
        </w:tabs>
        <w:spacing w:line="360" w:lineRule="auto"/>
        <w:ind w:firstLine="480" w:firstLineChars="200"/>
        <w:rPr>
          <w:rFonts w:hint="default" w:ascii="Times New Roman" w:hAnsi="宋体" w:eastAsia="宋体" w:cs="Times New Roman"/>
          <w:b w:val="0"/>
          <w:bCs w:val="0"/>
          <w:color w:val="auto"/>
          <w:kern w:val="2"/>
          <w:sz w:val="24"/>
          <w:szCs w:val="24"/>
          <w:highlight w:val="none"/>
          <w:lang w:val="en-US" w:eastAsia="zh-CN" w:bidi="ar-SA"/>
        </w:rPr>
      </w:pPr>
      <w:r>
        <w:rPr>
          <w:rFonts w:hint="eastAsia" w:hAnsi="宋体" w:cs="Times New Roman"/>
          <w:b w:val="0"/>
          <w:bCs w:val="0"/>
          <w:color w:val="auto"/>
          <w:kern w:val="2"/>
          <w:sz w:val="24"/>
          <w:szCs w:val="24"/>
          <w:highlight w:val="none"/>
          <w:lang w:val="en-US" w:eastAsia="zh-CN" w:bidi="ar-SA"/>
        </w:rPr>
        <w:t>6</w:t>
      </w:r>
      <w:r>
        <w:rPr>
          <w:rFonts w:hint="eastAsia" w:ascii="Times New Roman" w:hAnsi="宋体" w:eastAsia="宋体" w:cs="Times New Roman"/>
          <w:b w:val="0"/>
          <w:bCs w:val="0"/>
          <w:color w:val="auto"/>
          <w:kern w:val="2"/>
          <w:sz w:val="24"/>
          <w:szCs w:val="24"/>
          <w:highlight w:val="none"/>
          <w:lang w:val="en-US" w:eastAsia="zh-CN" w:bidi="ar-SA"/>
        </w:rPr>
        <w:t>、绿化管理及养护：定期做好绿化养护工作，如浇水，施肥，修剪，除草、补种、绿地清洁卫生、病虫害防治，防涝防旱等各项工作。</w:t>
      </w:r>
    </w:p>
    <w:p w14:paraId="3E7AFCA0">
      <w:pPr>
        <w:tabs>
          <w:tab w:val="left" w:pos="772"/>
        </w:tabs>
        <w:spacing w:line="360" w:lineRule="auto"/>
        <w:ind w:firstLine="480" w:firstLineChars="200"/>
        <w:rPr>
          <w:rFonts w:hint="eastAsia"/>
          <w:color w:val="auto"/>
          <w:highlight w:val="none"/>
          <w:lang w:eastAsia="zh-CN"/>
        </w:rPr>
      </w:pPr>
      <w:r>
        <w:rPr>
          <w:rFonts w:hint="eastAsia" w:ascii="宋体" w:hAnsi="宋体" w:eastAsia="宋体" w:cs="Times New Roman"/>
          <w:color w:val="auto"/>
          <w:sz w:val="24"/>
          <w:highlight w:val="none"/>
          <w:lang w:val="en-US" w:eastAsia="zh-CN"/>
        </w:rPr>
        <w:t>7、</w:t>
      </w:r>
      <w:r>
        <w:rPr>
          <w:rFonts w:hint="eastAsia" w:ascii="宋体" w:hAnsi="宋体" w:eastAsia="宋体" w:cs="Times New Roman"/>
          <w:color w:val="auto"/>
          <w:sz w:val="24"/>
          <w:highlight w:val="none"/>
        </w:rPr>
        <w:t>庭院</w:t>
      </w:r>
      <w:r>
        <w:rPr>
          <w:rFonts w:hint="eastAsia" w:ascii="宋体" w:hAnsi="宋体" w:eastAsia="宋体" w:cs="Times New Roman"/>
          <w:color w:val="auto"/>
          <w:sz w:val="24"/>
          <w:highlight w:val="none"/>
          <w:lang w:eastAsia="zh-CN"/>
        </w:rPr>
        <w:t>内及房前屋后</w:t>
      </w:r>
      <w:r>
        <w:rPr>
          <w:rFonts w:hint="eastAsia" w:ascii="宋体" w:hAnsi="宋体" w:eastAsia="宋体" w:cs="Times New Roman"/>
          <w:color w:val="auto"/>
          <w:sz w:val="24"/>
          <w:highlight w:val="none"/>
        </w:rPr>
        <w:t>整治</w:t>
      </w:r>
      <w:r>
        <w:rPr>
          <w:rFonts w:hint="eastAsia" w:hAnsi="宋体" w:eastAsia="宋体" w:cs="Times New Roman"/>
          <w:color w:val="auto"/>
          <w:sz w:val="24"/>
          <w:highlight w:val="none"/>
          <w:lang w:eastAsia="zh-CN"/>
        </w:rPr>
        <w:t>：</w:t>
      </w:r>
      <w:r>
        <w:rPr>
          <w:rFonts w:hint="eastAsia" w:ascii="宋体" w:hAnsi="宋体" w:eastAsia="宋体" w:cs="Times New Roman"/>
          <w:color w:val="auto"/>
          <w:sz w:val="24"/>
          <w:highlight w:val="none"/>
          <w:lang w:eastAsia="zh-CN"/>
        </w:rPr>
        <w:t>处理庭院</w:t>
      </w:r>
      <w:r>
        <w:rPr>
          <w:rFonts w:hint="eastAsia" w:ascii="宋体" w:hAnsi="宋体" w:eastAsia="宋体" w:cs="Times New Roman"/>
          <w:color w:val="auto"/>
          <w:sz w:val="24"/>
          <w:highlight w:val="none"/>
          <w:lang w:val="en-US" w:eastAsia="zh-CN"/>
        </w:rPr>
        <w:t>及房前屋后</w:t>
      </w:r>
      <w:r>
        <w:rPr>
          <w:rFonts w:hint="eastAsia" w:ascii="宋体" w:hAnsi="宋体" w:eastAsia="宋体" w:cs="Times New Roman"/>
          <w:color w:val="auto"/>
          <w:sz w:val="24"/>
          <w:highlight w:val="none"/>
          <w:lang w:eastAsia="zh-CN"/>
        </w:rPr>
        <w:t>乱堆乱放，做到庭院</w:t>
      </w:r>
      <w:r>
        <w:rPr>
          <w:rFonts w:hint="eastAsia" w:ascii="宋体" w:hAnsi="宋体" w:eastAsia="宋体" w:cs="Times New Roman"/>
          <w:color w:val="auto"/>
          <w:sz w:val="24"/>
          <w:highlight w:val="none"/>
          <w:lang w:val="en-US" w:eastAsia="zh-CN"/>
        </w:rPr>
        <w:t>及房前屋后</w:t>
      </w:r>
      <w:r>
        <w:rPr>
          <w:rFonts w:hint="eastAsia" w:ascii="宋体" w:hAnsi="宋体" w:eastAsia="宋体" w:cs="Times New Roman"/>
          <w:color w:val="auto"/>
          <w:sz w:val="24"/>
          <w:highlight w:val="none"/>
          <w:lang w:eastAsia="zh-CN"/>
        </w:rPr>
        <w:t>整洁。</w:t>
      </w:r>
    </w:p>
    <w:p w14:paraId="341B2527">
      <w:pPr>
        <w:tabs>
          <w:tab w:val="left" w:pos="772"/>
        </w:tabs>
        <w:spacing w:line="360" w:lineRule="auto"/>
        <w:ind w:firstLine="480" w:firstLineChars="200"/>
        <w:rPr>
          <w:rFonts w:hint="eastAsia" w:ascii="宋体" w:hAnsi="宋体" w:eastAsia="宋体" w:cs="Times New Roman"/>
          <w:color w:val="auto"/>
          <w:sz w:val="24"/>
          <w:highlight w:val="none"/>
          <w:lang w:eastAsia="zh-CN"/>
        </w:rPr>
      </w:pPr>
      <w:r>
        <w:rPr>
          <w:rFonts w:hint="eastAsia" w:ascii="宋体" w:hAnsi="宋体" w:eastAsia="宋体" w:cs="Times New Roman"/>
          <w:color w:val="auto"/>
          <w:sz w:val="24"/>
          <w:highlight w:val="none"/>
          <w:lang w:val="en-US" w:eastAsia="zh-CN"/>
        </w:rPr>
        <w:t>8、</w:t>
      </w:r>
      <w:r>
        <w:rPr>
          <w:rFonts w:hint="eastAsia" w:ascii="宋体" w:hAnsi="宋体" w:cs="Times New Roman"/>
          <w:color w:val="auto"/>
          <w:sz w:val="24"/>
          <w:highlight w:val="none"/>
          <w:lang w:val="en-US" w:eastAsia="zh-CN"/>
        </w:rPr>
        <w:t>公共</w:t>
      </w:r>
      <w:r>
        <w:rPr>
          <w:rFonts w:hint="eastAsia" w:ascii="宋体" w:hAnsi="宋体" w:eastAsia="宋体" w:cs="Times New Roman"/>
          <w:color w:val="auto"/>
          <w:sz w:val="24"/>
          <w:highlight w:val="none"/>
          <w:lang w:eastAsia="zh-CN"/>
        </w:rPr>
        <w:t>设施设备维护：做好窨井、消防栓、路灯杆、健身器材、花坛围栏、村牌等维护、保洁，有破损及时上报村委。</w:t>
      </w:r>
    </w:p>
    <w:p w14:paraId="4590F828">
      <w:pPr>
        <w:tabs>
          <w:tab w:val="left" w:pos="772"/>
        </w:tabs>
        <w:spacing w:line="360" w:lineRule="auto"/>
        <w:ind w:firstLine="480" w:firstLineChars="200"/>
        <w:rPr>
          <w:rFonts w:hint="eastAsia" w:ascii="宋体" w:hAnsi="宋体" w:eastAsia="宋体" w:cs="Times New Roman"/>
          <w:color w:val="auto"/>
          <w:sz w:val="24"/>
          <w:highlight w:val="none"/>
          <w:lang w:eastAsia="zh-CN"/>
        </w:rPr>
      </w:pPr>
      <w:r>
        <w:rPr>
          <w:rFonts w:hint="eastAsia" w:ascii="宋体" w:hAnsi="宋体" w:cs="Times New Roman"/>
          <w:color w:val="auto"/>
          <w:sz w:val="24"/>
          <w:highlight w:val="none"/>
          <w:lang w:val="en-US" w:eastAsia="zh-CN"/>
        </w:rPr>
        <w:t>9</w:t>
      </w:r>
      <w:r>
        <w:rPr>
          <w:rFonts w:hint="eastAsia" w:ascii="宋体" w:hAnsi="宋体" w:eastAsia="宋体" w:cs="Times New Roman"/>
          <w:color w:val="auto"/>
          <w:sz w:val="24"/>
          <w:highlight w:val="none"/>
          <w:lang w:val="en-US" w:eastAsia="zh-CN"/>
        </w:rPr>
        <w:t>、</w:t>
      </w:r>
      <w:r>
        <w:rPr>
          <w:rFonts w:hint="eastAsia" w:ascii="宋体" w:hAnsi="宋体"/>
          <w:sz w:val="24"/>
        </w:rPr>
        <w:t>公厕维护保洁</w:t>
      </w:r>
      <w:r>
        <w:rPr>
          <w:rFonts w:hint="eastAsia" w:ascii="宋体" w:hAnsi="宋体" w:eastAsia="宋体" w:cs="Times New Roman"/>
          <w:color w:val="auto"/>
          <w:sz w:val="24"/>
          <w:highlight w:val="none"/>
          <w:lang w:eastAsia="zh-CN"/>
        </w:rPr>
        <w:t>：村域内公厕每日两次冲洗消毒，便槽无粪便及其他杂物积淀；公厕内外整洁干净、无严重异味；做好厕所疏通、水龙头维修、化粪池加盖等日常维护工作；每只厕所由专人保洁，</w:t>
      </w:r>
      <w:r>
        <w:rPr>
          <w:rFonts w:hint="eastAsia" w:ascii="宋体" w:hAnsi="宋体"/>
          <w:sz w:val="24"/>
        </w:rPr>
        <w:t>发现破损</w:t>
      </w:r>
      <w:r>
        <w:rPr>
          <w:rFonts w:hint="eastAsia" w:ascii="宋体" w:hAnsi="宋体"/>
          <w:sz w:val="24"/>
          <w:lang w:eastAsia="zh-CN"/>
        </w:rPr>
        <w:t>、停水停电</w:t>
      </w:r>
      <w:r>
        <w:rPr>
          <w:rFonts w:hint="eastAsia" w:ascii="宋体" w:hAnsi="宋体"/>
          <w:sz w:val="24"/>
        </w:rPr>
        <w:t>立即报告村委</w:t>
      </w:r>
      <w:r>
        <w:rPr>
          <w:rFonts w:hint="eastAsia" w:ascii="宋体" w:hAnsi="宋体" w:eastAsia="宋体" w:cs="Times New Roman"/>
          <w:color w:val="auto"/>
          <w:sz w:val="24"/>
          <w:highlight w:val="none"/>
          <w:lang w:eastAsia="zh-CN"/>
        </w:rPr>
        <w:t>，并做好保洁记录。</w:t>
      </w:r>
    </w:p>
    <w:p w14:paraId="48F87C61">
      <w:pPr>
        <w:tabs>
          <w:tab w:val="left" w:pos="772"/>
        </w:tabs>
        <w:spacing w:line="360" w:lineRule="auto"/>
        <w:ind w:firstLine="480" w:firstLineChars="200"/>
        <w:rPr>
          <w:rFonts w:hint="eastAsia" w:ascii="宋体" w:hAnsi="宋体" w:eastAsia="宋体" w:cs="Times New Roman"/>
          <w:color w:val="auto"/>
          <w:sz w:val="24"/>
          <w:highlight w:val="none"/>
          <w:lang w:val="en-US" w:eastAsia="zh-CN"/>
        </w:rPr>
      </w:pPr>
      <w:r>
        <w:rPr>
          <w:rFonts w:hint="eastAsia" w:ascii="宋体" w:hAnsi="宋体" w:cs="Times New Roman"/>
          <w:color w:val="auto"/>
          <w:sz w:val="24"/>
          <w:highlight w:val="none"/>
          <w:lang w:val="en-US" w:eastAsia="zh-CN"/>
        </w:rPr>
        <w:t>10</w:t>
      </w:r>
      <w:r>
        <w:rPr>
          <w:rFonts w:hint="eastAsia" w:ascii="宋体" w:hAnsi="宋体" w:eastAsia="宋体" w:cs="Times New Roman"/>
          <w:color w:val="auto"/>
          <w:sz w:val="24"/>
          <w:highlight w:val="none"/>
          <w:lang w:val="en-US" w:eastAsia="zh-CN"/>
        </w:rPr>
        <w:t>、空倒房</w:t>
      </w:r>
      <w:r>
        <w:rPr>
          <w:rFonts w:hint="eastAsia" w:ascii="宋体" w:hAnsi="宋体" w:cs="Times New Roman"/>
          <w:color w:val="auto"/>
          <w:sz w:val="24"/>
          <w:highlight w:val="none"/>
          <w:lang w:val="en-US" w:eastAsia="zh-CN"/>
        </w:rPr>
        <w:t>、</w:t>
      </w:r>
      <w:r>
        <w:rPr>
          <w:rFonts w:hint="eastAsia" w:ascii="宋体" w:hAnsi="宋体" w:eastAsia="宋体" w:cs="Times New Roman"/>
          <w:color w:val="auto"/>
          <w:sz w:val="24"/>
          <w:highlight w:val="none"/>
          <w:lang w:val="en-US" w:eastAsia="zh-CN"/>
        </w:rPr>
        <w:t>乱搭乱建巡查：开展日常巡查，若发现有</w:t>
      </w:r>
      <w:r>
        <w:rPr>
          <w:rFonts w:hint="eastAsia" w:ascii="宋体" w:hAnsi="宋体" w:cs="Times New Roman"/>
          <w:color w:val="auto"/>
          <w:sz w:val="24"/>
          <w:highlight w:val="none"/>
          <w:lang w:val="en-US" w:eastAsia="zh-CN"/>
        </w:rPr>
        <w:t>影响</w:t>
      </w:r>
      <w:r>
        <w:rPr>
          <w:rFonts w:hint="eastAsia" w:ascii="宋体" w:hAnsi="宋体" w:eastAsia="宋体" w:cs="Times New Roman"/>
          <w:color w:val="auto"/>
          <w:sz w:val="24"/>
          <w:highlight w:val="none"/>
          <w:lang w:eastAsia="zh-CN"/>
        </w:rPr>
        <w:t>村容村貌、影响公共安全的残垣断壁、</w:t>
      </w:r>
      <w:r>
        <w:rPr>
          <w:rFonts w:hint="eastAsia" w:ascii="宋体" w:hAnsi="宋体" w:eastAsia="宋体" w:cs="Times New Roman"/>
          <w:color w:val="auto"/>
          <w:sz w:val="24"/>
          <w:highlight w:val="none"/>
          <w:lang w:val="en-US" w:eastAsia="zh-CN"/>
        </w:rPr>
        <w:t>乱搭乱建</w:t>
      </w:r>
      <w:r>
        <w:rPr>
          <w:rFonts w:hint="eastAsia" w:ascii="宋体" w:hAnsi="宋体" w:eastAsia="宋体" w:cs="Times New Roman"/>
          <w:color w:val="auto"/>
          <w:sz w:val="24"/>
          <w:highlight w:val="none"/>
          <w:lang w:eastAsia="zh-CN"/>
        </w:rPr>
        <w:t>时做好安全</w:t>
      </w:r>
      <w:r>
        <w:rPr>
          <w:rFonts w:hint="eastAsia" w:ascii="宋体" w:hAnsi="宋体" w:cs="Times New Roman"/>
          <w:color w:val="auto"/>
          <w:sz w:val="24"/>
          <w:highlight w:val="none"/>
          <w:lang w:val="en-US" w:eastAsia="zh-CN"/>
        </w:rPr>
        <w:t>管理</w:t>
      </w:r>
      <w:r>
        <w:rPr>
          <w:rFonts w:hint="eastAsia" w:ascii="宋体" w:hAnsi="宋体" w:eastAsia="宋体" w:cs="Times New Roman"/>
          <w:color w:val="auto"/>
          <w:sz w:val="24"/>
          <w:highlight w:val="none"/>
          <w:lang w:eastAsia="zh-CN"/>
        </w:rPr>
        <w:t>，并报告村委</w:t>
      </w:r>
      <w:r>
        <w:rPr>
          <w:rFonts w:hint="eastAsia" w:ascii="宋体" w:hAnsi="宋体" w:eastAsia="宋体" w:cs="Times New Roman"/>
          <w:color w:val="auto"/>
          <w:sz w:val="24"/>
          <w:highlight w:val="none"/>
          <w:lang w:val="en-US" w:eastAsia="zh-CN"/>
        </w:rPr>
        <w:t>。</w:t>
      </w:r>
    </w:p>
    <w:p w14:paraId="54F8FBE6">
      <w:pPr>
        <w:tabs>
          <w:tab w:val="left" w:pos="772"/>
        </w:tabs>
        <w:spacing w:line="360" w:lineRule="auto"/>
        <w:ind w:firstLine="480" w:firstLineChars="200"/>
        <w:rPr>
          <w:rFonts w:hint="default"/>
          <w:color w:val="auto"/>
          <w:highlight w:val="none"/>
          <w:lang w:val="en-US" w:eastAsia="zh-CN"/>
        </w:rPr>
      </w:pPr>
      <w:r>
        <w:rPr>
          <w:rFonts w:hint="eastAsia" w:ascii="宋体" w:hAnsi="宋体" w:cs="Times New Roman"/>
          <w:color w:val="auto"/>
          <w:sz w:val="24"/>
          <w:highlight w:val="none"/>
          <w:lang w:val="en-US" w:eastAsia="zh-CN"/>
        </w:rPr>
        <w:t>11</w:t>
      </w:r>
      <w:r>
        <w:rPr>
          <w:rFonts w:hint="eastAsia" w:ascii="宋体" w:hAnsi="宋体" w:eastAsia="宋体" w:cs="Times New Roman"/>
          <w:color w:val="auto"/>
          <w:sz w:val="24"/>
          <w:highlight w:val="none"/>
          <w:lang w:val="en-US" w:eastAsia="zh-CN"/>
        </w:rPr>
        <w:t>、按上级要求，做好相关的工作台账（如：道路清扫记录、河道保洁记录、公厕保洁记录等）</w:t>
      </w:r>
      <w:r>
        <w:rPr>
          <w:rFonts w:hint="eastAsia" w:ascii="宋体" w:hAnsi="宋体" w:eastAsia="宋体" w:cs="Times New Roman"/>
          <w:color w:val="auto"/>
          <w:sz w:val="24"/>
          <w:highlight w:val="none"/>
          <w:lang w:eastAsia="zh-CN"/>
        </w:rPr>
        <w:t>。</w:t>
      </w:r>
    </w:p>
    <w:p w14:paraId="4E997FC3">
      <w:pPr>
        <w:tabs>
          <w:tab w:val="left" w:pos="772"/>
        </w:tabs>
        <w:spacing w:line="360" w:lineRule="auto"/>
        <w:ind w:firstLine="480" w:firstLineChars="200"/>
        <w:rPr>
          <w:rFonts w:hint="eastAsia" w:ascii="宋体" w:hAnsi="宋体" w:eastAsia="宋体" w:cs="Times New Roman"/>
          <w:color w:val="auto"/>
          <w:sz w:val="24"/>
          <w:highlight w:val="none"/>
          <w:lang w:eastAsia="zh-CN"/>
        </w:rPr>
      </w:pPr>
      <w:r>
        <w:rPr>
          <w:rFonts w:hint="eastAsia" w:ascii="宋体" w:hAnsi="宋体" w:cs="Times New Roman"/>
          <w:color w:val="auto"/>
          <w:sz w:val="24"/>
          <w:highlight w:val="none"/>
          <w:lang w:val="en-US" w:eastAsia="zh-CN"/>
        </w:rPr>
        <w:t>12</w:t>
      </w:r>
      <w:r>
        <w:rPr>
          <w:rFonts w:hint="eastAsia" w:ascii="宋体" w:hAnsi="宋体" w:eastAsia="宋体" w:cs="Times New Roman"/>
          <w:color w:val="auto"/>
          <w:sz w:val="24"/>
          <w:highlight w:val="none"/>
          <w:lang w:val="en-US" w:eastAsia="zh-CN"/>
        </w:rPr>
        <w:t>、其他：</w:t>
      </w:r>
      <w:r>
        <w:rPr>
          <w:rFonts w:hint="eastAsia" w:ascii="宋体" w:hAnsi="宋体" w:eastAsia="宋体" w:cs="Times New Roman"/>
          <w:color w:val="auto"/>
          <w:sz w:val="24"/>
          <w:highlight w:val="none"/>
          <w:lang w:eastAsia="zh-CN"/>
        </w:rPr>
        <w:t>村域内的露天粪缸、粪桶的巡查清理，散养家禽劝导。</w:t>
      </w:r>
    </w:p>
    <w:p w14:paraId="763D1920">
      <w:pPr>
        <w:tabs>
          <w:tab w:val="left" w:pos="772"/>
        </w:tabs>
        <w:spacing w:line="360" w:lineRule="auto"/>
        <w:ind w:firstLine="480" w:firstLineChars="200"/>
        <w:rPr>
          <w:rFonts w:hint="eastAsia" w:ascii="宋体" w:hAnsi="宋体" w:eastAsia="宋体" w:cs="Times New Roman"/>
          <w:color w:val="auto"/>
          <w:sz w:val="24"/>
          <w:highlight w:val="none"/>
          <w:lang w:val="en-US" w:eastAsia="zh-CN"/>
        </w:rPr>
      </w:pPr>
      <w:r>
        <w:rPr>
          <w:rFonts w:hint="eastAsia" w:ascii="宋体" w:hAnsi="宋体" w:cs="Times New Roman"/>
          <w:color w:val="auto"/>
          <w:sz w:val="24"/>
          <w:highlight w:val="none"/>
          <w:lang w:val="en-US" w:eastAsia="zh-CN"/>
        </w:rPr>
        <w:t>13</w:t>
      </w:r>
      <w:r>
        <w:rPr>
          <w:rFonts w:hint="eastAsia" w:ascii="宋体" w:hAnsi="宋体" w:eastAsia="宋体" w:cs="Times New Roman"/>
          <w:color w:val="auto"/>
          <w:sz w:val="24"/>
          <w:highlight w:val="none"/>
          <w:lang w:eastAsia="zh-CN"/>
        </w:rPr>
        <w:t>、如遇重要活动、重大节日、上级检查等临时性需突击作业的，中标方必须服从招标方的工作调整，及时增加人员、机械并开展集中整治。做好上级下发的问题清单的</w:t>
      </w:r>
      <w:r>
        <w:rPr>
          <w:rFonts w:hint="eastAsia" w:ascii="宋体" w:hAnsi="宋体" w:eastAsia="宋体" w:cs="Times New Roman"/>
          <w:color w:val="auto"/>
          <w:sz w:val="24"/>
          <w:highlight w:val="none"/>
          <w:lang w:val="en-US" w:eastAsia="zh-CN"/>
        </w:rPr>
        <w:t>反馈工作，并确保保洁范围内的整改率达到100%（拆违等工作任务之外的除外）。</w:t>
      </w:r>
    </w:p>
    <w:p w14:paraId="5856BD54">
      <w:pPr>
        <w:tabs>
          <w:tab w:val="left" w:pos="772"/>
        </w:tabs>
        <w:spacing w:line="360" w:lineRule="auto"/>
        <w:ind w:firstLine="480" w:firstLineChars="200"/>
        <w:rPr>
          <w:rFonts w:hint="eastAsia" w:ascii="宋体" w:hAnsi="宋体" w:eastAsia="宋体" w:cs="Times New Roman"/>
          <w:color w:val="auto"/>
          <w:sz w:val="24"/>
          <w:highlight w:val="none"/>
          <w:lang w:val="en-US" w:eastAsia="zh-CN"/>
        </w:rPr>
      </w:pPr>
      <w:r>
        <w:rPr>
          <w:rFonts w:hint="eastAsia" w:ascii="宋体" w:hAnsi="宋体" w:eastAsia="宋体" w:cs="Times New Roman"/>
          <w:color w:val="auto"/>
          <w:sz w:val="24"/>
          <w:highlight w:val="none"/>
          <w:lang w:val="en-US" w:eastAsia="zh-CN"/>
        </w:rPr>
        <w:t>14、工作时间：工作时间根据各村实际情况安排，但不低于8小时工作制，要确保早中晚定时定点保洁。</w:t>
      </w:r>
    </w:p>
    <w:p w14:paraId="68519DB8">
      <w:pPr>
        <w:tabs>
          <w:tab w:val="left" w:pos="772"/>
        </w:tabs>
        <w:spacing w:line="360" w:lineRule="auto"/>
        <w:ind w:firstLine="480" w:firstLineChars="200"/>
        <w:rPr>
          <w:rFonts w:hint="eastAsia" w:ascii="宋体" w:hAnsi="宋体" w:eastAsia="宋体" w:cs="Times New Roman"/>
          <w:color w:val="auto"/>
          <w:sz w:val="24"/>
          <w:highlight w:val="none"/>
          <w:lang w:eastAsia="zh-CN"/>
        </w:rPr>
      </w:pPr>
      <w:r>
        <w:rPr>
          <w:rFonts w:hint="eastAsia" w:ascii="宋体" w:hAnsi="宋体" w:cs="Times New Roman"/>
          <w:color w:val="auto"/>
          <w:sz w:val="24"/>
          <w:highlight w:val="none"/>
          <w:lang w:val="en-US" w:eastAsia="zh-CN"/>
        </w:rPr>
        <w:t>15</w:t>
      </w:r>
      <w:r>
        <w:rPr>
          <w:rFonts w:hint="eastAsia" w:ascii="宋体" w:hAnsi="宋体" w:eastAsia="宋体" w:cs="Times New Roman"/>
          <w:color w:val="auto"/>
          <w:sz w:val="24"/>
          <w:highlight w:val="none"/>
          <w:lang w:eastAsia="zh-CN"/>
        </w:rPr>
        <w:t>、人员及设备</w:t>
      </w:r>
    </w:p>
    <w:p w14:paraId="6A3E9836">
      <w:pPr>
        <w:tabs>
          <w:tab w:val="left" w:pos="772"/>
        </w:tabs>
        <w:spacing w:line="360" w:lineRule="auto"/>
        <w:ind w:firstLine="480" w:firstLineChars="200"/>
        <w:rPr>
          <w:rFonts w:hint="eastAsia" w:ascii="宋体" w:hAnsi="宋体" w:eastAsia="宋体" w:cs="Times New Roman"/>
          <w:color w:val="auto"/>
          <w:sz w:val="24"/>
          <w:highlight w:val="none"/>
          <w:lang w:eastAsia="zh-CN"/>
        </w:rPr>
      </w:pPr>
      <w:r>
        <w:rPr>
          <w:rFonts w:hint="eastAsia" w:ascii="宋体" w:hAnsi="宋体" w:eastAsia="宋体" w:cs="Times New Roman"/>
          <w:color w:val="auto"/>
          <w:sz w:val="24"/>
          <w:highlight w:val="none"/>
          <w:lang w:eastAsia="zh-CN"/>
        </w:rPr>
        <w:t>作业人员由中标单位自行安排，总人数（包括调班）不得少于</w:t>
      </w:r>
      <w:r>
        <w:rPr>
          <w:rFonts w:hint="eastAsia" w:ascii="宋体" w:hAnsi="宋体" w:cs="Times New Roman"/>
          <w:color w:val="auto"/>
          <w:sz w:val="24"/>
          <w:highlight w:val="none"/>
          <w:lang w:val="en-US" w:eastAsia="zh-CN"/>
        </w:rPr>
        <w:t>30</w:t>
      </w:r>
      <w:r>
        <w:rPr>
          <w:rFonts w:hint="eastAsia" w:ascii="宋体" w:hAnsi="宋体" w:eastAsia="宋体" w:cs="Times New Roman"/>
          <w:color w:val="auto"/>
          <w:sz w:val="24"/>
          <w:highlight w:val="none"/>
          <w:lang w:eastAsia="zh-CN"/>
        </w:rPr>
        <w:t>人，工作人员年龄原则要求在65周岁以下（其中管理人员要求在</w:t>
      </w:r>
      <w:r>
        <w:rPr>
          <w:rFonts w:hint="eastAsia" w:ascii="宋体" w:hAnsi="宋体" w:eastAsia="宋体" w:cs="Times New Roman"/>
          <w:color w:val="auto"/>
          <w:sz w:val="24"/>
          <w:highlight w:val="none"/>
          <w:lang w:val="en-US" w:eastAsia="zh-CN"/>
        </w:rPr>
        <w:t>60</w:t>
      </w:r>
      <w:r>
        <w:rPr>
          <w:rFonts w:hint="eastAsia" w:ascii="宋体" w:hAnsi="宋体" w:eastAsia="宋体" w:cs="Times New Roman"/>
          <w:color w:val="auto"/>
          <w:sz w:val="24"/>
          <w:highlight w:val="none"/>
          <w:lang w:eastAsia="zh-CN"/>
        </w:rPr>
        <w:t>周岁以下），所有人员应身体健康，形象端正，具有一定的政治文化素养和基本的服务素质，符合相应用工需求并具备相应技能和资质。</w:t>
      </w:r>
    </w:p>
    <w:p w14:paraId="18A896CB">
      <w:pPr>
        <w:pStyle w:val="48"/>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auto"/>
        <w:ind w:firstLine="482" w:firstLineChars="200"/>
        <w:textAlignment w:val="auto"/>
        <w:rPr>
          <w:rFonts w:hint="eastAsia" w:ascii="宋体" w:hAnsi="宋体" w:eastAsia="宋体" w:cs="宋体"/>
          <w:b/>
          <w:bCs/>
          <w:color w:val="auto"/>
          <w:kern w:val="0"/>
          <w:sz w:val="24"/>
          <w:szCs w:val="24"/>
          <w:highlight w:val="none"/>
          <w:lang w:val="en-US" w:eastAsia="zh-CN" w:bidi="ar-SA"/>
        </w:rPr>
      </w:pPr>
      <w:r>
        <w:rPr>
          <w:rFonts w:hint="eastAsia" w:ascii="宋体" w:hAnsi="宋体" w:cs="宋体"/>
          <w:b/>
          <w:bCs/>
          <w:color w:val="auto"/>
          <w:kern w:val="0"/>
          <w:sz w:val="24"/>
          <w:highlight w:val="none"/>
          <w:lang w:eastAsia="zh-CN"/>
        </w:rPr>
        <w:t>注</w:t>
      </w:r>
      <w:r>
        <w:rPr>
          <w:rFonts w:hint="eastAsia" w:ascii="宋体" w:hAnsi="宋体" w:cs="宋体"/>
          <w:b/>
          <w:bCs/>
          <w:color w:val="auto"/>
          <w:kern w:val="0"/>
          <w:sz w:val="24"/>
          <w:highlight w:val="none"/>
        </w:rPr>
        <w:t>：</w:t>
      </w:r>
      <w:r>
        <w:rPr>
          <w:rFonts w:hint="eastAsia" w:ascii="宋体" w:hAnsi="宋体" w:cs="Times New Roman"/>
          <w:b/>
          <w:bCs/>
          <w:color w:val="auto"/>
          <w:sz w:val="24"/>
          <w:highlight w:val="none"/>
          <w:lang w:eastAsia="zh-CN"/>
        </w:rPr>
        <w:t>乙方</w:t>
      </w:r>
      <w:r>
        <w:rPr>
          <w:rFonts w:hint="eastAsia" w:ascii="宋体" w:hAnsi="宋体" w:cs="宋体"/>
          <w:b/>
          <w:bCs/>
          <w:color w:val="auto"/>
          <w:kern w:val="0"/>
          <w:sz w:val="24"/>
          <w:highlight w:val="none"/>
        </w:rPr>
        <w:t>需在</w:t>
      </w:r>
      <w:r>
        <w:rPr>
          <w:rFonts w:hint="eastAsia" w:ascii="宋体" w:hAnsi="宋体" w:cs="宋体"/>
          <w:b/>
          <w:bCs/>
          <w:color w:val="auto"/>
          <w:kern w:val="0"/>
          <w:sz w:val="24"/>
          <w:highlight w:val="none"/>
          <w:lang w:eastAsia="zh-CN"/>
        </w:rPr>
        <w:t>签订合同前对</w:t>
      </w:r>
      <w:r>
        <w:rPr>
          <w:rFonts w:hint="eastAsia" w:ascii="宋体" w:hAnsi="宋体" w:cs="宋体"/>
          <w:b/>
          <w:bCs/>
          <w:color w:val="auto"/>
          <w:kern w:val="0"/>
          <w:sz w:val="24"/>
          <w:highlight w:val="none"/>
        </w:rPr>
        <w:t>投标文件中对中标后提供的服务人员和人身保险(雇主责任险)</w:t>
      </w:r>
      <w:r>
        <w:rPr>
          <w:rFonts w:hint="eastAsia" w:ascii="宋体" w:hAnsi="宋体" w:cs="宋体"/>
          <w:b/>
          <w:bCs/>
          <w:color w:val="auto"/>
          <w:kern w:val="0"/>
          <w:sz w:val="24"/>
          <w:highlight w:val="none"/>
          <w:lang w:eastAsia="zh-CN"/>
        </w:rPr>
        <w:t>进行</w:t>
      </w:r>
      <w:r>
        <w:rPr>
          <w:rFonts w:hint="eastAsia" w:ascii="宋体" w:hAnsi="宋体" w:eastAsia="宋体" w:cs="宋体"/>
          <w:b/>
          <w:bCs/>
          <w:color w:val="auto"/>
          <w:kern w:val="0"/>
          <w:sz w:val="24"/>
          <w:szCs w:val="24"/>
          <w:highlight w:val="none"/>
          <w:lang w:val="en-US" w:eastAsia="zh-CN" w:bidi="ar-SA"/>
        </w:rPr>
        <w:t>参保。</w:t>
      </w:r>
    </w:p>
    <w:p w14:paraId="1BD82036">
      <w:pPr>
        <w:keepNext w:val="0"/>
        <w:keepLines w:val="0"/>
        <w:pageBreakBefore w:val="0"/>
        <w:widowControl w:val="0"/>
        <w:kinsoku/>
        <w:wordWrap/>
        <w:overflowPunct/>
        <w:topLinePunct w:val="0"/>
        <w:bidi w:val="0"/>
        <w:snapToGrid/>
        <w:spacing w:line="360" w:lineRule="auto"/>
        <w:ind w:firstLine="482" w:firstLineChars="200"/>
        <w:textAlignment w:val="auto"/>
        <w:rPr>
          <w:rFonts w:hint="eastAsia" w:ascii="宋体" w:hAnsi="宋体" w:eastAsia="宋体" w:cs="宋体"/>
          <w:b/>
          <w:bCs/>
          <w:color w:val="auto"/>
          <w:kern w:val="0"/>
          <w:sz w:val="24"/>
          <w:szCs w:val="24"/>
          <w:highlight w:val="none"/>
          <w:lang w:val="en-US" w:eastAsia="zh-CN" w:bidi="ar-SA"/>
        </w:rPr>
      </w:pPr>
      <w:bookmarkStart w:id="510" w:name="_Toc12352"/>
      <w:bookmarkStart w:id="511" w:name="_Toc26659"/>
      <w:bookmarkStart w:id="512" w:name="_Toc19854"/>
      <w:r>
        <w:rPr>
          <w:rFonts w:hint="eastAsia" w:ascii="宋体" w:hAnsi="宋体" w:eastAsia="宋体" w:cs="宋体"/>
          <w:b/>
          <w:bCs/>
          <w:color w:val="auto"/>
          <w:kern w:val="0"/>
          <w:sz w:val="24"/>
          <w:szCs w:val="24"/>
          <w:highlight w:val="none"/>
          <w:lang w:val="en-US" w:eastAsia="zh-CN" w:bidi="ar-SA"/>
        </w:rPr>
        <w:t>采购人负责</w:t>
      </w:r>
      <w:r>
        <w:rPr>
          <w:rFonts w:hint="eastAsia" w:ascii="宋体" w:hAnsi="宋体" w:cs="宋体"/>
          <w:b/>
          <w:bCs/>
          <w:color w:val="auto"/>
          <w:kern w:val="0"/>
          <w:sz w:val="24"/>
          <w:szCs w:val="24"/>
          <w:highlight w:val="none"/>
          <w:lang w:val="en-US" w:eastAsia="zh-CN" w:bidi="ar-SA"/>
        </w:rPr>
        <w:t>提供</w:t>
      </w:r>
      <w:r>
        <w:rPr>
          <w:rFonts w:hint="eastAsia" w:ascii="宋体" w:hAnsi="宋体" w:eastAsia="宋体" w:cs="宋体"/>
          <w:b/>
          <w:bCs/>
          <w:color w:val="auto"/>
          <w:kern w:val="0"/>
          <w:sz w:val="24"/>
          <w:szCs w:val="24"/>
          <w:highlight w:val="none"/>
          <w:lang w:val="en-US" w:eastAsia="zh-CN" w:bidi="ar-SA"/>
        </w:rPr>
        <w:t>村域内</w:t>
      </w:r>
      <w:r>
        <w:rPr>
          <w:rFonts w:hint="eastAsia" w:ascii="宋体" w:hAnsi="宋体" w:cs="宋体"/>
          <w:b/>
          <w:bCs/>
          <w:color w:val="auto"/>
          <w:kern w:val="0"/>
          <w:sz w:val="24"/>
          <w:szCs w:val="24"/>
          <w:highlight w:val="none"/>
          <w:lang w:val="en-US" w:eastAsia="zh-CN" w:bidi="ar-SA"/>
        </w:rPr>
        <w:t>项目所需</w:t>
      </w:r>
      <w:r>
        <w:rPr>
          <w:rFonts w:hint="eastAsia" w:ascii="宋体" w:hAnsi="宋体" w:eastAsia="宋体" w:cs="宋体"/>
          <w:b/>
          <w:bCs/>
          <w:color w:val="auto"/>
          <w:kern w:val="0"/>
          <w:sz w:val="24"/>
          <w:szCs w:val="24"/>
          <w:highlight w:val="none"/>
          <w:lang w:val="en-US" w:eastAsia="zh-CN" w:bidi="ar-SA"/>
        </w:rPr>
        <w:t>垃圾桶</w:t>
      </w:r>
      <w:r>
        <w:rPr>
          <w:rFonts w:hint="eastAsia" w:ascii="宋体" w:hAnsi="宋体" w:cs="宋体"/>
          <w:b/>
          <w:bCs/>
          <w:color w:val="auto"/>
          <w:kern w:val="0"/>
          <w:sz w:val="24"/>
          <w:szCs w:val="24"/>
          <w:highlight w:val="none"/>
          <w:lang w:val="en-US" w:eastAsia="zh-CN" w:bidi="ar-SA"/>
        </w:rPr>
        <w:t>和</w:t>
      </w:r>
      <w:r>
        <w:rPr>
          <w:rFonts w:hint="eastAsia" w:ascii="宋体" w:hAnsi="宋体" w:eastAsia="宋体" w:cs="宋体"/>
          <w:b/>
          <w:bCs/>
          <w:color w:val="auto"/>
          <w:kern w:val="0"/>
          <w:sz w:val="24"/>
          <w:szCs w:val="24"/>
          <w:highlight w:val="none"/>
          <w:lang w:val="en-US" w:eastAsia="zh-CN" w:bidi="ar-SA"/>
        </w:rPr>
        <w:t>垃圾车，中标人无偿使用现有垃圾桶及清运车辆，日常保养、维修及保险费由中标人承担。</w:t>
      </w:r>
    </w:p>
    <w:p w14:paraId="342C0352">
      <w:pPr>
        <w:keepNext w:val="0"/>
        <w:keepLines w:val="0"/>
        <w:pageBreakBefore w:val="0"/>
        <w:widowControl w:val="0"/>
        <w:kinsoku/>
        <w:wordWrap/>
        <w:overflowPunct/>
        <w:topLinePunct w:val="0"/>
        <w:bidi w:val="0"/>
        <w:snapToGrid/>
        <w:spacing w:line="360" w:lineRule="auto"/>
        <w:ind w:firstLine="482" w:firstLineChars="200"/>
        <w:textAlignment w:val="auto"/>
        <w:rPr>
          <w:rFonts w:hint="eastAsia" w:ascii="宋体" w:hAnsi="宋体" w:eastAsia="宋体" w:cs="宋体"/>
          <w:b/>
          <w:bCs/>
          <w:color w:val="auto"/>
          <w:kern w:val="0"/>
          <w:sz w:val="24"/>
          <w:szCs w:val="24"/>
          <w:highlight w:val="none"/>
          <w:lang w:val="en-US" w:eastAsia="zh-CN" w:bidi="ar-SA"/>
        </w:rPr>
      </w:pPr>
      <w:r>
        <w:rPr>
          <w:rFonts w:hint="eastAsia" w:ascii="宋体" w:hAnsi="宋体" w:eastAsia="宋体" w:cs="宋体"/>
          <w:b/>
          <w:bCs/>
          <w:color w:val="auto"/>
          <w:kern w:val="0"/>
          <w:sz w:val="24"/>
          <w:szCs w:val="24"/>
          <w:highlight w:val="none"/>
          <w:lang w:val="en-US" w:eastAsia="zh-CN" w:bidi="ar-SA"/>
        </w:rPr>
        <w:t>合同期内，清运车辆因</w:t>
      </w:r>
      <w:r>
        <w:rPr>
          <w:rFonts w:hint="eastAsia" w:ascii="宋体" w:hAnsi="宋体" w:cs="宋体"/>
          <w:b/>
          <w:bCs/>
          <w:color w:val="auto"/>
          <w:kern w:val="0"/>
          <w:sz w:val="24"/>
          <w:szCs w:val="24"/>
          <w:highlight w:val="none"/>
          <w:lang w:val="en-US" w:eastAsia="zh-CN" w:bidi="ar-SA"/>
        </w:rPr>
        <w:t>中标人原因</w:t>
      </w:r>
      <w:r>
        <w:rPr>
          <w:rFonts w:hint="eastAsia" w:ascii="宋体" w:hAnsi="宋体" w:eastAsia="宋体" w:cs="宋体"/>
          <w:b/>
          <w:bCs/>
          <w:color w:val="auto"/>
          <w:kern w:val="0"/>
          <w:sz w:val="24"/>
          <w:szCs w:val="24"/>
          <w:highlight w:val="none"/>
          <w:lang w:val="en-US" w:eastAsia="zh-CN" w:bidi="ar-SA"/>
        </w:rPr>
        <w:t>导致无法使用或遗失的，由中标人配足或赔偿。</w:t>
      </w:r>
      <w:r>
        <w:rPr>
          <w:rFonts w:hint="eastAsia" w:ascii="宋体" w:hAnsi="宋体" w:cs="宋体"/>
          <w:b/>
          <w:bCs/>
          <w:color w:val="auto"/>
          <w:kern w:val="0"/>
          <w:sz w:val="24"/>
          <w:szCs w:val="24"/>
          <w:highlight w:val="none"/>
          <w:lang w:val="en-US" w:eastAsia="zh-CN" w:bidi="ar-SA"/>
        </w:rPr>
        <w:t>中标人</w:t>
      </w:r>
      <w:r>
        <w:rPr>
          <w:rFonts w:hint="eastAsia" w:ascii="宋体" w:hAnsi="宋体" w:eastAsia="宋体" w:cs="宋体"/>
          <w:b/>
          <w:bCs/>
          <w:color w:val="auto"/>
          <w:kern w:val="0"/>
          <w:sz w:val="24"/>
          <w:szCs w:val="24"/>
          <w:highlight w:val="none"/>
          <w:lang w:val="en-US" w:eastAsia="zh-CN" w:bidi="ar-SA"/>
        </w:rPr>
        <w:t>需</w:t>
      </w:r>
      <w:r>
        <w:rPr>
          <w:rFonts w:hint="eastAsia" w:ascii="宋体" w:hAnsi="宋体" w:eastAsia="宋体" w:cs="宋体"/>
          <w:b/>
          <w:bCs/>
          <w:color w:val="auto"/>
          <w:kern w:val="0"/>
          <w:sz w:val="24"/>
          <w:szCs w:val="24"/>
          <w:highlight w:val="none"/>
        </w:rPr>
        <w:t>提供农用车、洒水车和扫路车及其他必要的一切作业用具（维修、保养、配件等费用由中标单位负责）</w:t>
      </w:r>
      <w:r>
        <w:rPr>
          <w:rFonts w:hint="eastAsia" w:ascii="宋体" w:hAnsi="宋体" w:eastAsia="宋体" w:cs="宋体"/>
          <w:b/>
          <w:bCs/>
          <w:color w:val="auto"/>
          <w:kern w:val="0"/>
          <w:sz w:val="24"/>
          <w:szCs w:val="24"/>
          <w:highlight w:val="none"/>
          <w:lang w:val="en-US" w:eastAsia="zh-CN"/>
        </w:rPr>
        <w:t xml:space="preserve"> 。</w:t>
      </w:r>
      <w:r>
        <w:rPr>
          <w:rFonts w:hint="eastAsia" w:ascii="宋体" w:hAnsi="宋体" w:eastAsia="宋体" w:cs="宋体"/>
          <w:b/>
          <w:bCs/>
          <w:color w:val="auto"/>
          <w:kern w:val="0"/>
          <w:sz w:val="24"/>
          <w:szCs w:val="24"/>
          <w:highlight w:val="none"/>
          <w:lang w:val="en-US" w:eastAsia="zh-CN" w:bidi="ar-SA"/>
        </w:rPr>
        <w:t>中标人对</w:t>
      </w:r>
      <w:r>
        <w:rPr>
          <w:rFonts w:hint="eastAsia" w:ascii="宋体" w:hAnsi="宋体" w:cs="宋体"/>
          <w:b/>
          <w:bCs/>
          <w:color w:val="auto"/>
          <w:kern w:val="0"/>
          <w:sz w:val="24"/>
          <w:szCs w:val="24"/>
          <w:highlight w:val="none"/>
          <w:lang w:val="en-US" w:eastAsia="zh-CN" w:bidi="ar-SA"/>
        </w:rPr>
        <w:t>村域</w:t>
      </w:r>
      <w:r>
        <w:rPr>
          <w:rFonts w:hint="eastAsia" w:ascii="宋体" w:hAnsi="宋体" w:eastAsia="宋体" w:cs="宋体"/>
          <w:b/>
          <w:bCs/>
          <w:color w:val="auto"/>
          <w:kern w:val="0"/>
          <w:sz w:val="24"/>
          <w:szCs w:val="24"/>
          <w:highlight w:val="none"/>
          <w:lang w:val="en-US" w:eastAsia="zh-CN" w:bidi="ar-SA"/>
        </w:rPr>
        <w:t>垃圾桶的完整性负责，垃圾桶年更换率不得高于该村已配备数的10%，超过10%的部分，由中标人负责配足。中标后，中标方、招标方需对现有</w:t>
      </w:r>
      <w:r>
        <w:rPr>
          <w:rFonts w:hint="eastAsia" w:ascii="宋体" w:hAnsi="宋体" w:cs="宋体"/>
          <w:b/>
          <w:bCs/>
          <w:color w:val="auto"/>
          <w:kern w:val="0"/>
          <w:sz w:val="24"/>
          <w:szCs w:val="24"/>
          <w:highlight w:val="none"/>
          <w:lang w:val="en-US" w:eastAsia="zh-CN" w:bidi="ar-SA"/>
        </w:rPr>
        <w:t>清运</w:t>
      </w:r>
      <w:r>
        <w:rPr>
          <w:rFonts w:hint="eastAsia" w:ascii="宋体" w:hAnsi="宋体" w:eastAsia="宋体" w:cs="宋体"/>
          <w:b/>
          <w:bCs/>
          <w:color w:val="auto"/>
          <w:kern w:val="0"/>
          <w:sz w:val="24"/>
          <w:szCs w:val="24"/>
          <w:highlight w:val="none"/>
          <w:lang w:val="en-US" w:eastAsia="zh-CN" w:bidi="ar-SA"/>
        </w:rPr>
        <w:t>车辆、</w:t>
      </w:r>
      <w:r>
        <w:rPr>
          <w:rFonts w:hint="eastAsia" w:ascii="宋体" w:hAnsi="宋体" w:cs="宋体"/>
          <w:b/>
          <w:bCs/>
          <w:color w:val="auto"/>
          <w:kern w:val="0"/>
          <w:sz w:val="24"/>
          <w:szCs w:val="24"/>
          <w:highlight w:val="none"/>
          <w:lang w:val="en-US" w:eastAsia="zh-CN" w:bidi="ar-SA"/>
        </w:rPr>
        <w:t>垃圾</w:t>
      </w:r>
      <w:r>
        <w:rPr>
          <w:rFonts w:hint="eastAsia" w:ascii="宋体" w:hAnsi="宋体" w:eastAsia="宋体" w:cs="宋体"/>
          <w:b/>
          <w:bCs/>
          <w:color w:val="auto"/>
          <w:kern w:val="0"/>
          <w:sz w:val="24"/>
          <w:szCs w:val="24"/>
          <w:highlight w:val="none"/>
          <w:lang w:val="en-US" w:eastAsia="zh-CN" w:bidi="ar-SA"/>
        </w:rPr>
        <w:t>桶等设施设备进行清点</w:t>
      </w:r>
      <w:r>
        <w:rPr>
          <w:rFonts w:hint="eastAsia" w:ascii="宋体" w:hAnsi="宋体" w:cs="宋体"/>
          <w:b/>
          <w:bCs/>
          <w:color w:val="auto"/>
          <w:kern w:val="0"/>
          <w:sz w:val="24"/>
          <w:szCs w:val="24"/>
          <w:highlight w:val="none"/>
          <w:lang w:val="en-US" w:eastAsia="zh-CN" w:bidi="ar-SA"/>
        </w:rPr>
        <w:t>、登记</w:t>
      </w:r>
      <w:r>
        <w:rPr>
          <w:rFonts w:hint="eastAsia" w:ascii="宋体" w:hAnsi="宋体" w:eastAsia="宋体" w:cs="宋体"/>
          <w:b/>
          <w:bCs/>
          <w:color w:val="auto"/>
          <w:kern w:val="0"/>
          <w:sz w:val="24"/>
          <w:szCs w:val="24"/>
          <w:highlight w:val="none"/>
          <w:lang w:val="en-US" w:eastAsia="zh-CN" w:bidi="ar-SA"/>
        </w:rPr>
        <w:t>并做好移交工作。</w:t>
      </w:r>
    </w:p>
    <w:p w14:paraId="7C0DEDD1">
      <w:pPr>
        <w:keepLines w:val="0"/>
        <w:pageBreakBefore w:val="0"/>
        <w:numPr>
          <w:ilvl w:val="0"/>
          <w:numId w:val="0"/>
        </w:numPr>
        <w:kinsoku/>
        <w:wordWrap/>
        <w:overflowPunct/>
        <w:topLinePunct w:val="0"/>
        <w:autoSpaceDE/>
        <w:autoSpaceDN/>
        <w:bidi w:val="0"/>
        <w:adjustRightInd/>
        <w:snapToGrid/>
        <w:spacing w:before="156" w:beforeLines="50" w:after="156" w:afterLines="50" w:line="380" w:lineRule="exact"/>
        <w:textAlignment w:val="auto"/>
        <w:outlineLvl w:val="1"/>
        <w:rPr>
          <w:rFonts w:hint="eastAsia" w:ascii="宋体" w:hAnsi="宋体" w:eastAsia="宋体" w:cs="宋体"/>
          <w:b/>
          <w:bCs/>
          <w:color w:val="auto"/>
          <w:sz w:val="24"/>
          <w:szCs w:val="24"/>
          <w:highlight w:val="none"/>
        </w:rPr>
      </w:pPr>
      <w:r>
        <w:rPr>
          <w:rFonts w:hint="eastAsia" w:ascii="宋体" w:hAnsi="宋体" w:eastAsia="宋体" w:cs="宋体"/>
          <w:color w:val="auto"/>
          <w:sz w:val="22"/>
          <w:szCs w:val="22"/>
          <w:highlight w:val="none"/>
          <w:lang w:val="en-US" w:eastAsia="zh-CN"/>
        </w:rPr>
        <w:t>三</w:t>
      </w:r>
      <w:r>
        <w:rPr>
          <w:rFonts w:hint="eastAsia" w:ascii="宋体" w:hAnsi="宋体" w:eastAsia="宋体" w:cs="宋体"/>
          <w:b/>
          <w:bCs/>
          <w:color w:val="auto"/>
          <w:kern w:val="0"/>
          <w:sz w:val="24"/>
          <w:szCs w:val="24"/>
          <w:highlight w:val="none"/>
          <w:lang w:val="en-US" w:eastAsia="zh-CN"/>
        </w:rPr>
        <w:t>、</w:t>
      </w:r>
      <w:r>
        <w:rPr>
          <w:rFonts w:hint="eastAsia" w:ascii="宋体" w:hAnsi="宋体" w:eastAsia="宋体" w:cs="宋体"/>
          <w:b/>
          <w:bCs/>
          <w:color w:val="auto"/>
          <w:sz w:val="24"/>
          <w:szCs w:val="24"/>
          <w:highlight w:val="none"/>
        </w:rPr>
        <w:t>承包期限：</w:t>
      </w:r>
      <w:bookmarkEnd w:id="510"/>
      <w:bookmarkEnd w:id="511"/>
      <w:bookmarkEnd w:id="512"/>
    </w:p>
    <w:p w14:paraId="30227C5C">
      <w:pPr>
        <w:numPr>
          <w:ilvl w:val="0"/>
          <w:numId w:val="0"/>
        </w:numPr>
        <w:spacing w:line="500" w:lineRule="exact"/>
        <w:ind w:firstLine="482" w:firstLineChars="200"/>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项目服务期限为1年，（</w:t>
      </w:r>
      <w:r>
        <w:rPr>
          <w:rFonts w:hint="eastAsia" w:ascii="宋体" w:hAnsi="宋体" w:cs="宋体"/>
          <w:b/>
          <w:bCs/>
          <w:color w:val="auto"/>
          <w:sz w:val="24"/>
          <w:szCs w:val="24"/>
          <w:highlight w:val="none"/>
          <w:u w:val="single"/>
          <w:lang w:val="en-US" w:eastAsia="zh-CN"/>
        </w:rPr>
        <w:t>2025</w:t>
      </w:r>
      <w:r>
        <w:rPr>
          <w:rFonts w:hint="eastAsia" w:ascii="宋体" w:hAnsi="宋体" w:eastAsia="宋体" w:cs="宋体"/>
          <w:b/>
          <w:bCs/>
          <w:color w:val="auto"/>
          <w:sz w:val="24"/>
          <w:szCs w:val="24"/>
          <w:highlight w:val="none"/>
          <w:u w:val="single"/>
          <w:lang w:val="en-US" w:eastAsia="zh-CN"/>
        </w:rPr>
        <w:t>年   月   日至</w:t>
      </w:r>
      <w:r>
        <w:rPr>
          <w:rFonts w:hint="eastAsia" w:ascii="宋体" w:hAnsi="宋体" w:cs="宋体"/>
          <w:b/>
          <w:bCs/>
          <w:color w:val="auto"/>
          <w:sz w:val="24"/>
          <w:szCs w:val="24"/>
          <w:highlight w:val="none"/>
          <w:u w:val="single"/>
          <w:lang w:val="en-US" w:eastAsia="zh-CN"/>
        </w:rPr>
        <w:t>2026</w:t>
      </w:r>
      <w:r>
        <w:rPr>
          <w:rFonts w:hint="eastAsia" w:ascii="宋体" w:hAnsi="宋体" w:eastAsia="宋体" w:cs="宋体"/>
          <w:b/>
          <w:bCs/>
          <w:color w:val="auto"/>
          <w:sz w:val="24"/>
          <w:szCs w:val="24"/>
          <w:highlight w:val="none"/>
          <w:u w:val="single"/>
          <w:lang w:val="en-US" w:eastAsia="zh-CN"/>
        </w:rPr>
        <w:t>年   月    日）</w:t>
      </w:r>
      <w:r>
        <w:rPr>
          <w:rFonts w:hint="eastAsia" w:ascii="宋体" w:hAnsi="宋体" w:eastAsia="宋体" w:cs="宋体"/>
          <w:b/>
          <w:bCs/>
          <w:color w:val="auto"/>
          <w:sz w:val="24"/>
          <w:szCs w:val="24"/>
          <w:highlight w:val="none"/>
          <w:lang w:val="en-US" w:eastAsia="zh-CN"/>
        </w:rPr>
        <w:t>，乙方不得转包或分包。</w:t>
      </w:r>
    </w:p>
    <w:p w14:paraId="62D60E85">
      <w:pPr>
        <w:keepLines w:val="0"/>
        <w:pageBreakBefore w:val="0"/>
        <w:kinsoku/>
        <w:wordWrap/>
        <w:overflowPunct/>
        <w:topLinePunct w:val="0"/>
        <w:autoSpaceDE/>
        <w:autoSpaceDN/>
        <w:bidi w:val="0"/>
        <w:adjustRightInd/>
        <w:snapToGrid/>
        <w:spacing w:before="156" w:beforeLines="50" w:after="156" w:afterLines="50" w:line="380" w:lineRule="exact"/>
        <w:jc w:val="left"/>
        <w:textAlignment w:val="auto"/>
        <w:outlineLvl w:val="1"/>
        <w:rPr>
          <w:rFonts w:hint="eastAsia" w:ascii="宋体" w:hAnsi="宋体" w:eastAsia="宋体" w:cs="宋体"/>
          <w:b/>
          <w:color w:val="auto"/>
          <w:sz w:val="24"/>
          <w:szCs w:val="24"/>
          <w:highlight w:val="none"/>
        </w:rPr>
      </w:pPr>
      <w:bookmarkStart w:id="513" w:name="_Toc27001"/>
      <w:bookmarkStart w:id="514" w:name="_Toc4611"/>
      <w:bookmarkStart w:id="515" w:name="_Toc18665"/>
      <w:bookmarkStart w:id="516" w:name="_Toc9233"/>
      <w:bookmarkStart w:id="517" w:name="_Toc2284"/>
      <w:r>
        <w:rPr>
          <w:rFonts w:hint="eastAsia" w:ascii="宋体" w:hAnsi="宋体" w:eastAsia="宋体" w:cs="宋体"/>
          <w:b/>
          <w:color w:val="auto"/>
          <w:sz w:val="24"/>
          <w:szCs w:val="24"/>
          <w:highlight w:val="none"/>
          <w:lang w:val="en-US" w:eastAsia="zh-CN"/>
        </w:rPr>
        <w:t>四</w:t>
      </w:r>
      <w:r>
        <w:rPr>
          <w:rFonts w:hint="eastAsia" w:ascii="宋体" w:hAnsi="宋体" w:eastAsia="宋体" w:cs="宋体"/>
          <w:b/>
          <w:color w:val="auto"/>
          <w:sz w:val="24"/>
          <w:szCs w:val="24"/>
          <w:highlight w:val="none"/>
        </w:rPr>
        <w:t>、合同金额及付款方式：</w:t>
      </w:r>
      <w:bookmarkEnd w:id="513"/>
      <w:bookmarkEnd w:id="514"/>
      <w:bookmarkEnd w:id="515"/>
      <w:bookmarkEnd w:id="516"/>
      <w:bookmarkEnd w:id="517"/>
    </w:p>
    <w:p w14:paraId="0598479F">
      <w:pPr>
        <w:pStyle w:val="13"/>
        <w:keepNext w:val="0"/>
        <w:keepLines w:val="0"/>
        <w:pageBreakBefore w:val="0"/>
        <w:widowControl w:val="0"/>
        <w:kinsoku/>
        <w:wordWrap/>
        <w:overflowPunct/>
        <w:topLinePunct w:val="0"/>
        <w:autoSpaceDE/>
        <w:autoSpaceDN/>
        <w:bidi w:val="0"/>
        <w:adjustRightInd/>
        <w:snapToGrid/>
        <w:spacing w:after="0" w:line="360" w:lineRule="auto"/>
        <w:ind w:left="0" w:leftChars="0" w:firstLine="480" w:firstLineChars="200"/>
        <w:textAlignment w:val="auto"/>
        <w:rPr>
          <w:rFonts w:hint="eastAsia" w:ascii="宋体" w:hAnsi="宋体" w:eastAsia="宋体" w:cs="Times New Roman"/>
          <w:bCs/>
          <w:color w:val="auto"/>
          <w:sz w:val="24"/>
          <w:highlight w:val="none"/>
        </w:rPr>
      </w:pPr>
      <w:bookmarkStart w:id="518" w:name="_Toc6874"/>
      <w:bookmarkStart w:id="519" w:name="_Toc23821"/>
      <w:r>
        <w:rPr>
          <w:rFonts w:hint="eastAsia" w:ascii="宋体" w:hAnsi="宋体"/>
          <w:bCs/>
          <w:color w:val="auto"/>
          <w:sz w:val="24"/>
          <w:highlight w:val="none"/>
        </w:rPr>
        <w:t>1、本服务费为人民币</w:t>
      </w:r>
      <w:r>
        <w:rPr>
          <w:rFonts w:hint="eastAsia" w:ascii="宋体" w:hAnsi="宋体"/>
          <w:bCs/>
          <w:color w:val="auto"/>
          <w:sz w:val="24"/>
          <w:highlight w:val="none"/>
          <w:u w:val="single"/>
        </w:rPr>
        <w:t xml:space="preserve">           </w:t>
      </w:r>
      <w:r>
        <w:rPr>
          <w:rFonts w:hint="eastAsia" w:ascii="宋体" w:hAnsi="宋体"/>
          <w:bCs/>
          <w:color w:val="auto"/>
          <w:sz w:val="24"/>
          <w:highlight w:val="none"/>
        </w:rPr>
        <w:t>元（小写：           ），包括人员费用（保洁人员、垃圾清理人员及管理人员等）、按规定缴纳的各类保险、福利费、管理费用、税费、劳保用品、保洁用具、垃圾清运及处置费、招标代理费等本项目所需的一切费用。凡</w:t>
      </w:r>
      <w:r>
        <w:rPr>
          <w:rFonts w:hint="eastAsia" w:ascii="宋体" w:hAnsi="宋体" w:cs="Times New Roman"/>
          <w:color w:val="auto"/>
          <w:sz w:val="24"/>
          <w:highlight w:val="none"/>
          <w:lang w:eastAsia="zh-CN"/>
        </w:rPr>
        <w:t>乙方</w:t>
      </w:r>
      <w:r>
        <w:rPr>
          <w:rFonts w:hint="eastAsia" w:ascii="宋体" w:hAnsi="宋体"/>
          <w:bCs/>
          <w:color w:val="auto"/>
          <w:sz w:val="24"/>
          <w:highlight w:val="none"/>
        </w:rPr>
        <w:t>在报价中未列明但又为本次采购所必须的项目或遗漏项目，甲方将一律视为已包</w:t>
      </w:r>
      <w:r>
        <w:rPr>
          <w:rFonts w:hint="eastAsia" w:ascii="宋体" w:hAnsi="宋体" w:eastAsia="宋体" w:cs="Times New Roman"/>
          <w:bCs/>
          <w:color w:val="auto"/>
          <w:sz w:val="24"/>
          <w:highlight w:val="none"/>
        </w:rPr>
        <w:t>括在合同价中，在合同执行中将不再另行支付。</w:t>
      </w:r>
    </w:p>
    <w:p w14:paraId="3579343D">
      <w:pPr>
        <w:pStyle w:val="13"/>
        <w:keepNext w:val="0"/>
        <w:keepLines w:val="0"/>
        <w:pageBreakBefore w:val="0"/>
        <w:widowControl w:val="0"/>
        <w:kinsoku/>
        <w:wordWrap/>
        <w:overflowPunct/>
        <w:topLinePunct w:val="0"/>
        <w:autoSpaceDE/>
        <w:autoSpaceDN/>
        <w:bidi w:val="0"/>
        <w:adjustRightInd/>
        <w:snapToGrid/>
        <w:spacing w:after="0" w:line="360" w:lineRule="auto"/>
        <w:textAlignment w:val="auto"/>
        <w:rPr>
          <w:rFonts w:hint="eastAsia" w:ascii="宋体" w:hAnsi="宋体" w:eastAsia="宋体" w:cs="Times New Roman"/>
          <w:bCs/>
          <w:color w:val="auto"/>
          <w:sz w:val="24"/>
          <w:highlight w:val="none"/>
          <w:lang w:val="en-US" w:eastAsia="zh-CN"/>
        </w:rPr>
      </w:pPr>
      <w:bookmarkStart w:id="520" w:name="_Toc14703"/>
      <w:bookmarkStart w:id="521" w:name="_Toc16204"/>
      <w:bookmarkStart w:id="522" w:name="_Toc41330206"/>
      <w:bookmarkStart w:id="523" w:name="_Toc11701"/>
      <w:bookmarkStart w:id="524" w:name="_Toc31187"/>
      <w:bookmarkStart w:id="525" w:name="_Toc23817"/>
      <w:r>
        <w:rPr>
          <w:rFonts w:hint="eastAsia" w:ascii="宋体" w:hAnsi="宋体" w:eastAsia="宋体" w:cs="Times New Roman"/>
          <w:bCs/>
          <w:color w:val="auto"/>
          <w:sz w:val="24"/>
          <w:highlight w:val="none"/>
          <w:lang w:val="en-US" w:eastAsia="zh-CN"/>
        </w:rPr>
        <w:t>2、付款方式：</w:t>
      </w:r>
      <w:bookmarkEnd w:id="518"/>
      <w:bookmarkEnd w:id="519"/>
      <w:bookmarkEnd w:id="520"/>
      <w:bookmarkEnd w:id="521"/>
      <w:bookmarkEnd w:id="522"/>
      <w:bookmarkEnd w:id="523"/>
      <w:bookmarkEnd w:id="524"/>
      <w:bookmarkEnd w:id="525"/>
    </w:p>
    <w:p w14:paraId="554360C1">
      <w:pPr>
        <w:pStyle w:val="13"/>
        <w:keepNext w:val="0"/>
        <w:keepLines w:val="0"/>
        <w:pageBreakBefore w:val="0"/>
        <w:widowControl w:val="0"/>
        <w:kinsoku/>
        <w:wordWrap/>
        <w:overflowPunct/>
        <w:topLinePunct w:val="0"/>
        <w:autoSpaceDE/>
        <w:autoSpaceDN/>
        <w:bidi w:val="0"/>
        <w:adjustRightInd/>
        <w:snapToGrid/>
        <w:spacing w:after="0" w:line="360" w:lineRule="auto"/>
        <w:ind w:left="0" w:leftChars="0" w:firstLine="480" w:firstLineChars="20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Times New Roman"/>
          <w:bCs/>
          <w:color w:val="auto"/>
          <w:sz w:val="24"/>
          <w:highlight w:val="none"/>
          <w:lang w:val="en-US" w:eastAsia="zh-CN"/>
        </w:rPr>
        <w:t>本项目采取的付款方式为一个</w:t>
      </w:r>
      <w:r>
        <w:rPr>
          <w:rFonts w:hint="eastAsia" w:ascii="宋体" w:hAnsi="宋体" w:eastAsia="宋体" w:cs="宋体"/>
          <w:color w:val="auto"/>
          <w:kern w:val="2"/>
          <w:sz w:val="24"/>
          <w:szCs w:val="24"/>
          <w:highlight w:val="none"/>
          <w:lang w:val="en-US" w:eastAsia="zh-CN" w:bidi="ar-SA"/>
        </w:rPr>
        <w:t>季度一付（三个月为一季度）：在合同生效后服务期每满一个季度，在十五个工作日内支付合同价的1/4（具体服务费按考核的结果和奖罚制度按实支付）。</w:t>
      </w:r>
    </w:p>
    <w:p w14:paraId="6AFB0C54">
      <w:pPr>
        <w:keepLines w:val="0"/>
        <w:pageBreakBefore w:val="0"/>
        <w:kinsoku/>
        <w:wordWrap/>
        <w:overflowPunct/>
        <w:topLinePunct w:val="0"/>
        <w:autoSpaceDE/>
        <w:autoSpaceDN/>
        <w:bidi w:val="0"/>
        <w:adjustRightInd/>
        <w:snapToGrid/>
        <w:spacing w:before="156" w:beforeLines="50" w:after="156" w:afterLines="50" w:line="380" w:lineRule="exact"/>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lang w:val="en-US" w:eastAsia="zh-CN"/>
        </w:rPr>
        <w:t>五</w:t>
      </w:r>
      <w:r>
        <w:rPr>
          <w:rFonts w:hint="eastAsia" w:ascii="宋体" w:hAnsi="宋体" w:eastAsia="宋体" w:cs="宋体"/>
          <w:b/>
          <w:color w:val="auto"/>
          <w:sz w:val="24"/>
          <w:szCs w:val="24"/>
          <w:highlight w:val="none"/>
        </w:rPr>
        <w:t>、履约保证金</w:t>
      </w:r>
    </w:p>
    <w:p w14:paraId="2622F2BE">
      <w:pPr>
        <w:keepNext w:val="0"/>
        <w:keepLines w:val="0"/>
        <w:pageBreakBefore w:val="0"/>
        <w:widowControl w:val="0"/>
        <w:kinsoku/>
        <w:wordWrap/>
        <w:overflowPunct/>
        <w:topLinePunct w:val="0"/>
        <w:autoSpaceDE/>
        <w:autoSpaceDN/>
        <w:bidi w:val="0"/>
        <w:adjustRightInd/>
        <w:snapToGrid/>
        <w:spacing w:before="156" w:beforeLines="50" w:after="156" w:afterLines="50" w:line="500" w:lineRule="exact"/>
        <w:ind w:firstLine="480" w:firstLineChars="20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4"/>
          <w:szCs w:val="24"/>
          <w:highlight w:val="none"/>
        </w:rPr>
        <w:t>乙方交纳</w:t>
      </w:r>
      <w:r>
        <w:rPr>
          <w:rFonts w:hint="eastAsia" w:ascii="宋体" w:hAnsi="宋体" w:eastAsia="宋体" w:cs="宋体"/>
          <w:color w:val="auto"/>
          <w:sz w:val="24"/>
          <w:szCs w:val="24"/>
          <w:highlight w:val="none"/>
          <w:u w:val="single"/>
        </w:rPr>
        <w:t>合同价的5%</w:t>
      </w:r>
      <w:r>
        <w:rPr>
          <w:rFonts w:hint="eastAsia" w:ascii="宋体" w:hAnsi="宋体" w:eastAsia="宋体" w:cs="宋体"/>
          <w:color w:val="auto"/>
          <w:sz w:val="24"/>
          <w:szCs w:val="24"/>
          <w:highlight w:val="none"/>
        </w:rPr>
        <w:t>作为本合同的履约保证金。履约保证金在合同期满后</w:t>
      </w:r>
      <w:r>
        <w:rPr>
          <w:rFonts w:hint="eastAsia" w:ascii="宋体" w:hAnsi="宋体" w:eastAsia="宋体" w:cs="宋体"/>
          <w:color w:val="auto"/>
          <w:sz w:val="24"/>
          <w:szCs w:val="24"/>
          <w:highlight w:val="none"/>
          <w:lang w:val="en-US" w:eastAsia="zh-CN"/>
        </w:rPr>
        <w:t>30</w:t>
      </w:r>
      <w:r>
        <w:rPr>
          <w:rFonts w:hint="eastAsia" w:ascii="宋体" w:hAnsi="宋体" w:eastAsia="宋体" w:cs="宋体"/>
          <w:color w:val="auto"/>
          <w:sz w:val="24"/>
          <w:szCs w:val="24"/>
          <w:highlight w:val="none"/>
        </w:rPr>
        <w:t>个工作日内无息退还。</w:t>
      </w:r>
    </w:p>
    <w:p w14:paraId="27D5D3FB">
      <w:pPr>
        <w:keepLines w:val="0"/>
        <w:pageBreakBefore w:val="0"/>
        <w:kinsoku/>
        <w:wordWrap/>
        <w:overflowPunct/>
        <w:topLinePunct w:val="0"/>
        <w:autoSpaceDE/>
        <w:autoSpaceDN/>
        <w:bidi w:val="0"/>
        <w:adjustRightInd/>
        <w:snapToGrid/>
        <w:spacing w:before="156" w:beforeLines="50" w:after="156" w:afterLines="50" w:line="380" w:lineRule="exact"/>
        <w:textAlignment w:val="auto"/>
        <w:rPr>
          <w:rFonts w:hint="eastAsia" w:ascii="宋体" w:hAnsi="宋体" w:eastAsia="宋体" w:cs="宋体"/>
          <w:color w:val="auto"/>
          <w:sz w:val="21"/>
          <w:szCs w:val="21"/>
          <w:highlight w:val="none"/>
        </w:rPr>
      </w:pPr>
      <w:r>
        <w:rPr>
          <w:rFonts w:hint="eastAsia" w:ascii="宋体" w:hAnsi="宋体" w:eastAsia="宋体" w:cs="宋体"/>
          <w:b/>
          <w:color w:val="auto"/>
          <w:sz w:val="24"/>
          <w:szCs w:val="24"/>
          <w:highlight w:val="none"/>
          <w:lang w:val="en-US" w:eastAsia="zh-CN"/>
        </w:rPr>
        <w:t>六</w:t>
      </w:r>
      <w:r>
        <w:rPr>
          <w:rFonts w:hint="eastAsia" w:ascii="宋体" w:hAnsi="宋体" w:eastAsia="宋体" w:cs="宋体"/>
          <w:b/>
          <w:color w:val="auto"/>
          <w:sz w:val="24"/>
          <w:szCs w:val="24"/>
          <w:highlight w:val="none"/>
        </w:rPr>
        <w:t>、作业人员配备</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w:t>
      </w:r>
    </w:p>
    <w:p w14:paraId="0137A2C7">
      <w:pPr>
        <w:keepLines w:val="0"/>
        <w:pageBreakBefore w:val="0"/>
        <w:kinsoku/>
        <w:wordWrap/>
        <w:overflowPunct/>
        <w:topLinePunct w:val="0"/>
        <w:autoSpaceDE/>
        <w:autoSpaceDN/>
        <w:bidi w:val="0"/>
        <w:adjustRightInd/>
        <w:snapToGrid/>
        <w:spacing w:before="156" w:beforeLines="50" w:after="156" w:afterLines="50" w:line="380" w:lineRule="exact"/>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lang w:val="en-US" w:eastAsia="zh-CN"/>
        </w:rPr>
        <w:t>七</w:t>
      </w:r>
      <w:r>
        <w:rPr>
          <w:rFonts w:hint="eastAsia" w:ascii="宋体" w:hAnsi="宋体" w:eastAsia="宋体" w:cs="宋体"/>
          <w:b/>
          <w:color w:val="auto"/>
          <w:sz w:val="24"/>
          <w:szCs w:val="24"/>
          <w:highlight w:val="none"/>
        </w:rPr>
        <w:t>、考核标准及办法</w:t>
      </w:r>
    </w:p>
    <w:p w14:paraId="30C52FCF">
      <w:pPr>
        <w:keepNext w:val="0"/>
        <w:keepLines w:val="0"/>
        <w:pageBreakBefore w:val="0"/>
        <w:widowControl w:val="0"/>
        <w:numPr>
          <w:ilvl w:val="0"/>
          <w:numId w:val="0"/>
        </w:numPr>
        <w:kinsoku/>
        <w:wordWrap w:val="0"/>
        <w:overflowPunct/>
        <w:topLinePunct/>
        <w:autoSpaceDE/>
        <w:autoSpaceDN/>
        <w:bidi w:val="0"/>
        <w:spacing w:line="360" w:lineRule="auto"/>
        <w:ind w:leftChars="200"/>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lang w:eastAsia="zh-CN"/>
        </w:rPr>
        <w:t>（一）、</w:t>
      </w:r>
      <w:r>
        <w:rPr>
          <w:rFonts w:hint="eastAsia" w:ascii="宋体" w:hAnsi="宋体" w:eastAsia="宋体" w:cs="宋体"/>
          <w:b/>
          <w:color w:val="auto"/>
          <w:sz w:val="24"/>
          <w:highlight w:val="none"/>
        </w:rPr>
        <w:t>考核方式</w:t>
      </w:r>
    </w:p>
    <w:p w14:paraId="74C10637">
      <w:pPr>
        <w:keepNext w:val="0"/>
        <w:keepLines w:val="0"/>
        <w:pageBreakBefore w:val="0"/>
        <w:widowControl w:val="0"/>
        <w:kinsoku/>
        <w:wordWrap w:val="0"/>
        <w:overflowPunct/>
        <w:topLinePunct/>
        <w:autoSpaceDE/>
        <w:autoSpaceDN/>
        <w:bidi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lang w:eastAsia="zh-CN"/>
        </w:rPr>
        <w:t>考核分数参照街道对村考核结果</w:t>
      </w:r>
      <w:r>
        <w:rPr>
          <w:rFonts w:hint="eastAsia" w:ascii="宋体" w:hAnsi="宋体" w:eastAsia="宋体" w:cs="宋体"/>
          <w:color w:val="auto"/>
          <w:sz w:val="24"/>
          <w:highlight w:val="none"/>
          <w:lang w:val="en-US" w:eastAsia="zh-CN"/>
        </w:rPr>
        <w:t>，考核内容以《农村人居环境长效保洁考核评分表》为准</w:t>
      </w:r>
      <w:r>
        <w:rPr>
          <w:rFonts w:hint="eastAsia" w:ascii="宋体" w:hAnsi="宋体" w:eastAsia="宋体" w:cs="宋体"/>
          <w:color w:val="auto"/>
          <w:sz w:val="24"/>
          <w:highlight w:val="none"/>
        </w:rPr>
        <w:t xml:space="preserve">。 </w:t>
      </w:r>
    </w:p>
    <w:p w14:paraId="73CB02A3">
      <w:pPr>
        <w:keepNext w:val="0"/>
        <w:keepLines w:val="0"/>
        <w:pageBreakBefore w:val="0"/>
        <w:widowControl w:val="0"/>
        <w:kinsoku/>
        <w:wordWrap w:val="0"/>
        <w:overflowPunct/>
        <w:topLinePunct/>
        <w:autoSpaceDE/>
        <w:autoSpaceDN/>
        <w:bidi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2、</w:t>
      </w:r>
      <w:r>
        <w:rPr>
          <w:rFonts w:hint="eastAsia" w:ascii="宋体" w:hAnsi="宋体" w:cs="宋体"/>
          <w:color w:val="auto"/>
          <w:sz w:val="24"/>
          <w:highlight w:val="none"/>
          <w:lang w:eastAsia="zh-CN"/>
        </w:rPr>
        <w:t>甲方</w:t>
      </w:r>
      <w:r>
        <w:rPr>
          <w:rFonts w:hint="eastAsia" w:ascii="宋体" w:hAnsi="宋体" w:eastAsia="宋体" w:cs="宋体"/>
          <w:color w:val="auto"/>
          <w:sz w:val="24"/>
          <w:highlight w:val="none"/>
          <w:lang w:eastAsia="zh-CN"/>
        </w:rPr>
        <w:t>对</w:t>
      </w:r>
      <w:r>
        <w:rPr>
          <w:rFonts w:hint="eastAsia" w:ascii="宋体" w:hAnsi="宋体" w:cs="Times New Roman"/>
          <w:color w:val="auto"/>
          <w:sz w:val="24"/>
          <w:highlight w:val="none"/>
          <w:lang w:eastAsia="zh-CN"/>
        </w:rPr>
        <w:t>乙方</w:t>
      </w:r>
      <w:r>
        <w:rPr>
          <w:rFonts w:hint="eastAsia" w:ascii="宋体" w:hAnsi="宋体" w:eastAsia="宋体" w:cs="宋体"/>
          <w:color w:val="auto"/>
          <w:sz w:val="24"/>
          <w:highlight w:val="none"/>
          <w:lang w:eastAsia="zh-CN"/>
        </w:rPr>
        <w:t>工作人员到岗到位情况进行不定期抽查，抽查时如发现实际工作人数没有达到投标时承诺的人数，在月考核基础上每少一人加扣</w:t>
      </w:r>
      <w:r>
        <w:rPr>
          <w:rFonts w:hint="eastAsia" w:ascii="宋体" w:hAnsi="宋体" w:eastAsia="宋体" w:cs="宋体"/>
          <w:color w:val="auto"/>
          <w:sz w:val="24"/>
          <w:highlight w:val="none"/>
          <w:lang w:val="en-US" w:eastAsia="zh-CN"/>
        </w:rPr>
        <w:t>2000元</w:t>
      </w:r>
      <w:r>
        <w:rPr>
          <w:rFonts w:hint="eastAsia" w:ascii="宋体" w:hAnsi="宋体" w:eastAsia="宋体" w:cs="宋体"/>
          <w:color w:val="auto"/>
          <w:sz w:val="24"/>
          <w:highlight w:val="none"/>
        </w:rPr>
        <w:t>。</w:t>
      </w:r>
    </w:p>
    <w:p w14:paraId="567E9767">
      <w:pPr>
        <w:keepNext w:val="0"/>
        <w:keepLines w:val="0"/>
        <w:pageBreakBefore w:val="0"/>
        <w:widowControl w:val="0"/>
        <w:kinsoku/>
        <w:wordWrap w:val="0"/>
        <w:overflowPunct/>
        <w:topLinePunct/>
        <w:autoSpaceDE/>
        <w:autoSpaceDN/>
        <w:bidi w:val="0"/>
        <w:adjustRightInd/>
        <w:snapToGrid/>
        <w:spacing w:line="360" w:lineRule="auto"/>
        <w:ind w:firstLine="482" w:firstLineChars="200"/>
        <w:jc w:val="left"/>
        <w:textAlignment w:val="auto"/>
        <w:rPr>
          <w:rFonts w:hint="eastAsia" w:ascii="宋体" w:hAnsi="宋体" w:eastAsia="宋体" w:cs="宋体"/>
          <w:b/>
          <w:bCs/>
          <w:color w:val="auto"/>
          <w:sz w:val="24"/>
          <w:highlight w:val="none"/>
          <w:lang w:val="en-US" w:eastAsia="zh-CN"/>
        </w:rPr>
      </w:pPr>
      <w:r>
        <w:rPr>
          <w:rFonts w:hint="eastAsia" w:ascii="宋体" w:hAnsi="宋体" w:eastAsia="宋体" w:cs="宋体"/>
          <w:b/>
          <w:bCs/>
          <w:color w:val="auto"/>
          <w:sz w:val="24"/>
          <w:highlight w:val="none"/>
          <w:lang w:val="en-US" w:eastAsia="zh-CN"/>
        </w:rPr>
        <w:t>3、</w:t>
      </w:r>
      <w:r>
        <w:rPr>
          <w:rFonts w:hint="eastAsia" w:ascii="宋体" w:hAnsi="宋体" w:eastAsia="宋体" w:cs="宋体"/>
          <w:b/>
          <w:bCs/>
          <w:color w:val="auto"/>
          <w:sz w:val="24"/>
          <w:highlight w:val="none"/>
          <w:lang w:eastAsia="zh-CN"/>
        </w:rPr>
        <w:t>当月在区级或以上人居环境检查中排名全区后三位，全市后十位，当月月考核成绩直接定为不合格</w:t>
      </w:r>
      <w:r>
        <w:rPr>
          <w:rFonts w:hint="eastAsia" w:ascii="宋体" w:hAnsi="宋体" w:eastAsia="宋体" w:cs="宋体"/>
          <w:b/>
          <w:bCs/>
          <w:color w:val="auto"/>
          <w:sz w:val="24"/>
          <w:highlight w:val="none"/>
          <w:lang w:val="en-US" w:eastAsia="zh-CN"/>
        </w:rPr>
        <w:t>。</w:t>
      </w:r>
    </w:p>
    <w:p w14:paraId="5500F17E">
      <w:pPr>
        <w:numPr>
          <w:ilvl w:val="0"/>
          <w:numId w:val="0"/>
        </w:numPr>
        <w:spacing w:after="120" w:line="400" w:lineRule="exact"/>
        <w:ind w:firstLine="480"/>
        <w:rPr>
          <w:rFonts w:hint="default"/>
          <w:color w:val="auto"/>
          <w:highlight w:val="none"/>
          <w:lang w:val="en-US"/>
        </w:rPr>
      </w:pPr>
      <w:r>
        <w:rPr>
          <w:rFonts w:hint="eastAsia" w:ascii="宋体" w:hAnsi="宋体" w:eastAsia="宋体" w:cs="宋体"/>
          <w:b/>
          <w:bCs/>
          <w:color w:val="auto"/>
          <w:sz w:val="24"/>
          <w:szCs w:val="24"/>
          <w:highlight w:val="none"/>
          <w:lang w:val="en-US" w:eastAsia="zh-CN"/>
        </w:rPr>
        <w:t>（二）、考核评分表</w:t>
      </w:r>
    </w:p>
    <w:p w14:paraId="75CBC4A7">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考核</w:t>
      </w:r>
      <w:r>
        <w:rPr>
          <w:rFonts w:hint="eastAsia" w:ascii="宋体" w:hAnsi="宋体" w:eastAsia="宋体" w:cs="宋体"/>
          <w:color w:val="auto"/>
          <w:sz w:val="24"/>
          <w:highlight w:val="none"/>
        </w:rPr>
        <w:t>满分100分</w:t>
      </w:r>
      <w:r>
        <w:rPr>
          <w:rFonts w:hint="eastAsia" w:ascii="宋体" w:hAnsi="宋体" w:eastAsia="宋体" w:cs="宋体"/>
          <w:color w:val="auto"/>
          <w:sz w:val="24"/>
          <w:highlight w:val="none"/>
          <w:lang w:val="en-US" w:eastAsia="zh-CN"/>
        </w:rPr>
        <w:t>。</w:t>
      </w:r>
    </w:p>
    <w:p w14:paraId="7DDCD1FF">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    1、月</w:t>
      </w:r>
      <w:r>
        <w:rPr>
          <w:rFonts w:hint="eastAsia" w:ascii="宋体" w:hAnsi="宋体" w:eastAsia="宋体" w:cs="宋体"/>
          <w:color w:val="auto"/>
          <w:sz w:val="24"/>
          <w:szCs w:val="24"/>
          <w:highlight w:val="none"/>
        </w:rPr>
        <w:t>考核</w:t>
      </w:r>
      <w:r>
        <w:rPr>
          <w:rFonts w:hint="eastAsia" w:ascii="宋体" w:hAnsi="宋体" w:eastAsia="宋体" w:cs="宋体"/>
          <w:bCs/>
          <w:color w:val="auto"/>
          <w:sz w:val="24"/>
          <w:szCs w:val="24"/>
          <w:highlight w:val="none"/>
        </w:rPr>
        <w:t>成绩在</w:t>
      </w:r>
      <w:r>
        <w:rPr>
          <w:rFonts w:hint="eastAsia" w:ascii="宋体" w:hAnsi="宋体" w:eastAsia="宋体" w:cs="宋体"/>
          <w:color w:val="auto"/>
          <w:sz w:val="24"/>
          <w:szCs w:val="24"/>
          <w:highlight w:val="none"/>
        </w:rPr>
        <w:t>80分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含80分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及以上为优秀，</w:t>
      </w:r>
      <w:r>
        <w:rPr>
          <w:rFonts w:hint="eastAsia" w:ascii="宋体" w:hAnsi="宋体" w:eastAsia="宋体" w:cs="宋体"/>
          <w:color w:val="auto"/>
          <w:sz w:val="24"/>
          <w:szCs w:val="24"/>
          <w:highlight w:val="none"/>
          <w:lang w:eastAsia="zh-CN"/>
        </w:rPr>
        <w:t>得每月承包款的</w:t>
      </w:r>
      <w:r>
        <w:rPr>
          <w:rFonts w:hint="eastAsia" w:ascii="宋体" w:hAnsi="宋体" w:eastAsia="宋体" w:cs="宋体"/>
          <w:color w:val="auto"/>
          <w:sz w:val="24"/>
          <w:szCs w:val="24"/>
          <w:highlight w:val="none"/>
        </w:rPr>
        <w:t>100%；</w:t>
      </w:r>
    </w:p>
    <w:p w14:paraId="537891BD">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2、月</w:t>
      </w:r>
      <w:r>
        <w:rPr>
          <w:rFonts w:hint="eastAsia" w:ascii="宋体" w:hAnsi="宋体" w:eastAsia="宋体" w:cs="宋体"/>
          <w:color w:val="auto"/>
          <w:sz w:val="24"/>
          <w:szCs w:val="24"/>
          <w:highlight w:val="none"/>
        </w:rPr>
        <w:t>考核</w:t>
      </w:r>
      <w:r>
        <w:rPr>
          <w:rFonts w:hint="eastAsia" w:ascii="宋体" w:hAnsi="宋体" w:eastAsia="宋体" w:cs="宋体"/>
          <w:bCs/>
          <w:color w:val="auto"/>
          <w:sz w:val="24"/>
          <w:szCs w:val="24"/>
          <w:highlight w:val="none"/>
        </w:rPr>
        <w:t>成绩在</w:t>
      </w:r>
      <w:r>
        <w:rPr>
          <w:rFonts w:hint="eastAsia" w:ascii="宋体" w:hAnsi="宋体" w:eastAsia="宋体" w:cs="宋体"/>
          <w:color w:val="auto"/>
          <w:sz w:val="24"/>
          <w:szCs w:val="24"/>
          <w:highlight w:val="none"/>
        </w:rPr>
        <w:t>70分（含70分）至80分为良好，</w:t>
      </w:r>
      <w:r>
        <w:rPr>
          <w:rFonts w:hint="eastAsia" w:ascii="宋体" w:hAnsi="宋体" w:eastAsia="宋体" w:cs="宋体"/>
          <w:color w:val="auto"/>
          <w:sz w:val="24"/>
          <w:szCs w:val="24"/>
          <w:highlight w:val="none"/>
          <w:lang w:eastAsia="zh-CN"/>
        </w:rPr>
        <w:t>得每月承包款的</w:t>
      </w:r>
      <w:r>
        <w:rPr>
          <w:rFonts w:hint="eastAsia" w:ascii="宋体" w:hAnsi="宋体" w:eastAsia="宋体" w:cs="宋体"/>
          <w:color w:val="auto"/>
          <w:sz w:val="24"/>
          <w:szCs w:val="24"/>
          <w:highlight w:val="none"/>
        </w:rPr>
        <w:t>90%；</w:t>
      </w:r>
    </w:p>
    <w:p w14:paraId="40D25D92">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3、月</w:t>
      </w:r>
      <w:r>
        <w:rPr>
          <w:rFonts w:hint="eastAsia" w:ascii="宋体" w:hAnsi="宋体" w:eastAsia="宋体" w:cs="宋体"/>
          <w:color w:val="auto"/>
          <w:sz w:val="24"/>
          <w:szCs w:val="24"/>
          <w:highlight w:val="none"/>
        </w:rPr>
        <w:t>考核</w:t>
      </w:r>
      <w:r>
        <w:rPr>
          <w:rFonts w:hint="eastAsia" w:ascii="宋体" w:hAnsi="宋体" w:eastAsia="宋体" w:cs="宋体"/>
          <w:bCs/>
          <w:color w:val="auto"/>
          <w:sz w:val="24"/>
          <w:szCs w:val="24"/>
          <w:highlight w:val="none"/>
        </w:rPr>
        <w:t>成绩在</w:t>
      </w:r>
      <w:r>
        <w:rPr>
          <w:rFonts w:hint="eastAsia" w:ascii="宋体" w:hAnsi="宋体" w:eastAsia="宋体" w:cs="宋体"/>
          <w:color w:val="auto"/>
          <w:sz w:val="24"/>
          <w:szCs w:val="24"/>
          <w:highlight w:val="none"/>
        </w:rPr>
        <w:t>60分（含60分）至70分为合格，</w:t>
      </w:r>
      <w:r>
        <w:rPr>
          <w:rFonts w:hint="eastAsia" w:ascii="宋体" w:hAnsi="宋体" w:eastAsia="宋体" w:cs="宋体"/>
          <w:color w:val="auto"/>
          <w:sz w:val="24"/>
          <w:szCs w:val="24"/>
          <w:highlight w:val="none"/>
          <w:lang w:eastAsia="zh-CN"/>
        </w:rPr>
        <w:t>得每月承包款的</w:t>
      </w:r>
      <w:r>
        <w:rPr>
          <w:rFonts w:hint="eastAsia" w:ascii="宋体" w:hAnsi="宋体" w:eastAsia="宋体" w:cs="宋体"/>
          <w:color w:val="auto"/>
          <w:sz w:val="24"/>
          <w:szCs w:val="24"/>
          <w:highlight w:val="none"/>
        </w:rPr>
        <w:t>80%；</w:t>
      </w:r>
    </w:p>
    <w:p w14:paraId="3ED03E4B">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4、月</w:t>
      </w:r>
      <w:r>
        <w:rPr>
          <w:rFonts w:hint="eastAsia" w:ascii="宋体" w:hAnsi="宋体" w:eastAsia="宋体" w:cs="宋体"/>
          <w:color w:val="auto"/>
          <w:sz w:val="24"/>
          <w:szCs w:val="24"/>
          <w:highlight w:val="none"/>
        </w:rPr>
        <w:t>考核</w:t>
      </w:r>
      <w:r>
        <w:rPr>
          <w:rFonts w:hint="eastAsia" w:ascii="宋体" w:hAnsi="宋体" w:eastAsia="宋体" w:cs="宋体"/>
          <w:bCs/>
          <w:color w:val="auto"/>
          <w:sz w:val="24"/>
          <w:szCs w:val="24"/>
          <w:highlight w:val="none"/>
        </w:rPr>
        <w:t>成绩在</w:t>
      </w:r>
      <w:r>
        <w:rPr>
          <w:rFonts w:hint="eastAsia" w:ascii="宋体" w:hAnsi="宋体" w:eastAsia="宋体" w:cs="宋体"/>
          <w:color w:val="auto"/>
          <w:sz w:val="24"/>
          <w:szCs w:val="24"/>
          <w:highlight w:val="none"/>
        </w:rPr>
        <w:t>60分以下为不合格，</w:t>
      </w:r>
      <w:r>
        <w:rPr>
          <w:rFonts w:hint="eastAsia" w:ascii="宋体" w:hAnsi="宋体" w:eastAsia="宋体" w:cs="宋体"/>
          <w:color w:val="auto"/>
          <w:sz w:val="24"/>
          <w:szCs w:val="24"/>
          <w:highlight w:val="none"/>
          <w:lang w:eastAsia="zh-CN"/>
        </w:rPr>
        <w:t>得每月承包款的</w:t>
      </w:r>
      <w:r>
        <w:rPr>
          <w:rFonts w:hint="eastAsia" w:ascii="宋体" w:hAnsi="宋体" w:eastAsia="宋体" w:cs="宋体"/>
          <w:color w:val="auto"/>
          <w:sz w:val="24"/>
          <w:szCs w:val="24"/>
          <w:highlight w:val="none"/>
        </w:rPr>
        <w:t>50%。</w:t>
      </w:r>
    </w:p>
    <w:p w14:paraId="44A527A9">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注：1、连续两个月定为不合格的，扣除第二个月全部承包款；连续三个月定为不合格的，</w:t>
      </w:r>
      <w:r>
        <w:rPr>
          <w:rFonts w:hint="eastAsia" w:ascii="宋体" w:hAnsi="宋体" w:cs="宋体"/>
          <w:b/>
          <w:bCs/>
          <w:color w:val="auto"/>
          <w:sz w:val="24"/>
          <w:szCs w:val="24"/>
          <w:highlight w:val="none"/>
          <w:lang w:val="en-US" w:eastAsia="zh-CN"/>
        </w:rPr>
        <w:t>甲方</w:t>
      </w:r>
      <w:r>
        <w:rPr>
          <w:rFonts w:hint="eastAsia" w:ascii="宋体" w:hAnsi="宋体" w:eastAsia="宋体" w:cs="宋体"/>
          <w:b/>
          <w:bCs/>
          <w:color w:val="auto"/>
          <w:sz w:val="24"/>
          <w:szCs w:val="24"/>
          <w:highlight w:val="none"/>
          <w:lang w:val="en-US" w:eastAsia="zh-CN"/>
        </w:rPr>
        <w:t>有权终止服务合同，取消中标资格，乙方无条件直接退场并上报上级主管部门拉入黑名单。</w:t>
      </w:r>
    </w:p>
    <w:p w14:paraId="778D0097">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bookmarkStart w:id="526" w:name="_Toc2053"/>
      <w:r>
        <w:rPr>
          <w:rFonts w:hint="eastAsia" w:ascii="宋体" w:hAnsi="宋体" w:eastAsia="宋体" w:cs="宋体"/>
          <w:b/>
          <w:bCs/>
          <w:color w:val="auto"/>
          <w:sz w:val="24"/>
          <w:szCs w:val="24"/>
          <w:highlight w:val="none"/>
          <w:lang w:val="en-US" w:eastAsia="zh-CN"/>
        </w:rPr>
        <w:t>2、涉及上虞美丽乡村PPP项目委托运维的：</w:t>
      </w:r>
      <w:bookmarkEnd w:id="526"/>
    </w:p>
    <w:p w14:paraId="7D91A80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（1）上级部门随机安排对</w:t>
      </w:r>
      <w:r>
        <w:rPr>
          <w:rFonts w:hint="eastAsia" w:ascii="宋体" w:hAnsi="宋体" w:cs="Times New Roman"/>
          <w:color w:val="auto"/>
          <w:sz w:val="24"/>
          <w:highlight w:val="none"/>
          <w:lang w:eastAsia="zh-CN"/>
        </w:rPr>
        <w:t>乙方</w:t>
      </w:r>
      <w:r>
        <w:rPr>
          <w:rFonts w:hint="eastAsia" w:ascii="宋体" w:hAnsi="宋体" w:eastAsia="宋体" w:cs="宋体"/>
          <w:b w:val="0"/>
          <w:bCs w:val="0"/>
          <w:color w:val="auto"/>
          <w:sz w:val="24"/>
          <w:szCs w:val="24"/>
          <w:highlight w:val="none"/>
          <w:lang w:val="en-US" w:eastAsia="zh-CN"/>
        </w:rPr>
        <w:t>的日常工作进行检查，如检查</w:t>
      </w:r>
      <w:r>
        <w:rPr>
          <w:rFonts w:hint="eastAsia" w:ascii="宋体" w:hAnsi="宋体" w:eastAsia="宋体" w:cs="宋体"/>
          <w:bCs/>
          <w:color w:val="auto"/>
          <w:sz w:val="24"/>
          <w:szCs w:val="24"/>
          <w:highlight w:val="none"/>
          <w:lang w:val="en-US" w:eastAsia="zh-CN"/>
        </w:rPr>
        <w:t>情况不达标，上级部门可开出整改通知单，</w:t>
      </w:r>
      <w:r>
        <w:rPr>
          <w:rFonts w:hint="eastAsia" w:ascii="宋体" w:hAnsi="宋体" w:cs="Times New Roman"/>
          <w:color w:val="auto"/>
          <w:sz w:val="24"/>
          <w:highlight w:val="none"/>
          <w:lang w:eastAsia="zh-CN"/>
        </w:rPr>
        <w:t>乙方</w:t>
      </w:r>
      <w:r>
        <w:rPr>
          <w:rFonts w:hint="eastAsia" w:ascii="宋体" w:hAnsi="宋体" w:eastAsia="宋体" w:cs="宋体"/>
          <w:bCs/>
          <w:color w:val="auto"/>
          <w:sz w:val="24"/>
          <w:szCs w:val="24"/>
          <w:highlight w:val="none"/>
          <w:lang w:val="en-US" w:eastAsia="zh-CN"/>
        </w:rPr>
        <w:t>应按通知要求内容整改，如整改不及时、不到位，上级部门有权开具罚款单，如拒绝整改的，上级部门有权派施工人员进驻现场整改，并按双倍工程款计取并在年度养护费中扣除。</w:t>
      </w:r>
    </w:p>
    <w:p w14:paraId="0EA559FC">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default"/>
          <w:color w:val="auto"/>
          <w:highlight w:val="none"/>
          <w:lang w:val="en-US" w:eastAsia="zh-CN"/>
        </w:rPr>
      </w:pPr>
      <w:r>
        <w:rPr>
          <w:rFonts w:hint="eastAsia" w:ascii="宋体" w:hAnsi="宋体" w:eastAsia="宋体" w:cs="宋体"/>
          <w:bCs/>
          <w:color w:val="auto"/>
          <w:sz w:val="24"/>
          <w:szCs w:val="24"/>
          <w:highlight w:val="none"/>
          <w:lang w:val="en-US" w:eastAsia="zh-CN"/>
        </w:rPr>
        <w:t>（2）</w:t>
      </w:r>
      <w:r>
        <w:rPr>
          <w:rFonts w:hint="eastAsia" w:ascii="宋体" w:hAnsi="宋体" w:cs="Times New Roman"/>
          <w:color w:val="auto"/>
          <w:sz w:val="24"/>
          <w:highlight w:val="none"/>
          <w:lang w:eastAsia="zh-CN"/>
        </w:rPr>
        <w:t>乙方</w:t>
      </w:r>
      <w:r>
        <w:rPr>
          <w:rFonts w:hint="eastAsia" w:ascii="宋体" w:hAnsi="宋体" w:eastAsia="宋体" w:cs="宋体"/>
          <w:bCs/>
          <w:color w:val="auto"/>
          <w:sz w:val="24"/>
          <w:szCs w:val="24"/>
          <w:highlight w:val="none"/>
          <w:lang w:val="en-US" w:eastAsia="zh-CN"/>
        </w:rPr>
        <w:t>养护范围内若在每月考核、季度考核中未达到85分以上（折算后），上级部门按当年度养护费的5%至30%进行处罚，若年度考核中考核评分未能在85分及以上的（折算后），上级部门有权按年度养护费的50%以上扣除，并由</w:t>
      </w:r>
      <w:r>
        <w:rPr>
          <w:rFonts w:hint="eastAsia" w:ascii="宋体" w:hAnsi="宋体" w:cs="Times New Roman"/>
          <w:color w:val="auto"/>
          <w:sz w:val="24"/>
          <w:highlight w:val="none"/>
          <w:lang w:eastAsia="zh-CN"/>
        </w:rPr>
        <w:t>乙方</w:t>
      </w:r>
      <w:r>
        <w:rPr>
          <w:rFonts w:hint="eastAsia" w:ascii="宋体" w:hAnsi="宋体" w:eastAsia="宋体" w:cs="宋体"/>
          <w:bCs/>
          <w:color w:val="auto"/>
          <w:sz w:val="24"/>
          <w:szCs w:val="24"/>
          <w:highlight w:val="none"/>
          <w:lang w:val="en-US" w:eastAsia="zh-CN"/>
        </w:rPr>
        <w:t>承担全部整改费用，甲方视情况有权终止合同。</w:t>
      </w:r>
    </w:p>
    <w:p w14:paraId="4FE8CE97">
      <w:pPr>
        <w:spacing w:line="560" w:lineRule="exact"/>
        <w:ind w:firstLine="643" w:firstLineChars="200"/>
        <w:rPr>
          <w:rFonts w:ascii="宋体" w:hAnsi="宋体" w:cs="宋体"/>
          <w:b/>
          <w:bCs/>
          <w:color w:val="auto"/>
          <w:sz w:val="32"/>
          <w:szCs w:val="32"/>
          <w:highlight w:val="none"/>
        </w:rPr>
      </w:pPr>
      <w:r>
        <w:rPr>
          <w:rFonts w:hint="eastAsia" w:ascii="宋体" w:hAnsi="宋体" w:cs="宋体"/>
          <w:b/>
          <w:bCs/>
          <w:color w:val="auto"/>
          <w:sz w:val="32"/>
          <w:szCs w:val="32"/>
          <w:highlight w:val="none"/>
        </w:rPr>
        <w:t>附件</w:t>
      </w:r>
      <w:r>
        <w:rPr>
          <w:rFonts w:hint="eastAsia" w:ascii="黑体" w:hAnsi="黑体" w:eastAsia="黑体"/>
          <w:b/>
          <w:bCs/>
          <w:color w:val="auto"/>
          <w:sz w:val="36"/>
          <w:szCs w:val="36"/>
          <w:highlight w:val="none"/>
        </w:rPr>
        <w:t xml:space="preserve">     </w:t>
      </w:r>
      <w:r>
        <w:rPr>
          <w:rFonts w:hint="eastAsia" w:ascii="宋体" w:hAnsi="宋体" w:cs="宋体"/>
          <w:b/>
          <w:bCs/>
          <w:color w:val="auto"/>
          <w:sz w:val="32"/>
          <w:szCs w:val="32"/>
          <w:highlight w:val="none"/>
        </w:rPr>
        <w:t>农村</w:t>
      </w:r>
      <w:r>
        <w:rPr>
          <w:rFonts w:hint="eastAsia" w:ascii="宋体" w:hAnsi="宋体" w:cs="宋体"/>
          <w:b/>
          <w:bCs/>
          <w:color w:val="auto"/>
          <w:sz w:val="32"/>
          <w:szCs w:val="32"/>
          <w:highlight w:val="none"/>
          <w:lang w:eastAsia="zh-CN"/>
        </w:rPr>
        <w:t>人居环境</w:t>
      </w:r>
      <w:r>
        <w:rPr>
          <w:rFonts w:hint="eastAsia" w:ascii="宋体" w:hAnsi="宋体" w:cs="宋体"/>
          <w:b/>
          <w:bCs/>
          <w:color w:val="auto"/>
          <w:sz w:val="32"/>
          <w:szCs w:val="32"/>
          <w:highlight w:val="none"/>
        </w:rPr>
        <w:t>长效保洁考核评分表</w:t>
      </w:r>
    </w:p>
    <w:p w14:paraId="620FBF20">
      <w:pPr>
        <w:spacing w:before="62" w:beforeLines="20" w:after="62" w:afterLines="20"/>
        <w:ind w:firstLine="210" w:firstLineChars="100"/>
        <w:rPr>
          <w:rFonts w:hint="eastAsia"/>
          <w:color w:val="auto"/>
          <w:highlight w:val="none"/>
        </w:rPr>
      </w:pPr>
      <w:r>
        <w:rPr>
          <w:rFonts w:hint="eastAsia"/>
          <w:color w:val="auto"/>
          <w:highlight w:val="none"/>
        </w:rPr>
        <w:t xml:space="preserve">_____________村（居）   </w:t>
      </w:r>
      <w:r>
        <w:rPr>
          <w:rFonts w:hint="eastAsia"/>
          <w:color w:val="auto"/>
          <w:highlight w:val="none"/>
          <w:lang w:val="en-US" w:eastAsia="zh-CN"/>
        </w:rPr>
        <w:t xml:space="preserve">      </w:t>
      </w:r>
      <w:r>
        <w:rPr>
          <w:rFonts w:hint="eastAsia"/>
          <w:color w:val="auto"/>
          <w:highlight w:val="none"/>
        </w:rPr>
        <w:t xml:space="preserve"> 检查时间：____年____月____日       得分（总分100）</w:t>
      </w:r>
    </w:p>
    <w:tbl>
      <w:tblPr>
        <w:tblStyle w:val="30"/>
        <w:tblW w:w="9982" w:type="dxa"/>
        <w:tblInd w:w="-298" w:type="dxa"/>
        <w:tblLayout w:type="fixed"/>
        <w:tblCellMar>
          <w:top w:w="0" w:type="dxa"/>
          <w:left w:w="108" w:type="dxa"/>
          <w:bottom w:w="0" w:type="dxa"/>
          <w:right w:w="108" w:type="dxa"/>
        </w:tblCellMar>
      </w:tblPr>
      <w:tblGrid>
        <w:gridCol w:w="1601"/>
        <w:gridCol w:w="1260"/>
        <w:gridCol w:w="6206"/>
        <w:gridCol w:w="915"/>
      </w:tblGrid>
      <w:tr w14:paraId="443CE4AB">
        <w:tblPrEx>
          <w:tblCellMar>
            <w:top w:w="0" w:type="dxa"/>
            <w:left w:w="108" w:type="dxa"/>
            <w:bottom w:w="0" w:type="dxa"/>
            <w:right w:w="108" w:type="dxa"/>
          </w:tblCellMar>
        </w:tblPrEx>
        <w:trPr>
          <w:trHeight w:val="640" w:hRule="atLeast"/>
        </w:trPr>
        <w:tc>
          <w:tcPr>
            <w:tcW w:w="1601" w:type="dxa"/>
            <w:tcBorders>
              <w:top w:val="single" w:color="auto" w:sz="4" w:space="0"/>
              <w:left w:val="single" w:color="auto" w:sz="4" w:space="0"/>
              <w:bottom w:val="single" w:color="auto" w:sz="4" w:space="0"/>
              <w:right w:val="single" w:color="auto" w:sz="4" w:space="0"/>
            </w:tcBorders>
            <w:noWrap w:val="0"/>
            <w:vAlign w:val="center"/>
          </w:tcPr>
          <w:p w14:paraId="1CA32E8D">
            <w:pPr>
              <w:keepLines w:val="0"/>
              <w:pageBreakBefore w:val="0"/>
              <w:tabs>
                <w:tab w:val="left" w:pos="274"/>
                <w:tab w:val="center" w:pos="1081"/>
              </w:tabs>
              <w:kinsoku/>
              <w:wordWrap/>
              <w:overflowPunct/>
              <w:topLinePunct w:val="0"/>
              <w:autoSpaceDE/>
              <w:autoSpaceDN/>
              <w:bidi w:val="0"/>
              <w:adjustRightInd/>
              <w:snapToGrid/>
              <w:spacing w:line="380" w:lineRule="exact"/>
              <w:ind w:right="119" w:rightChars="0" w:firstLine="482" w:firstLineChars="200"/>
              <w:jc w:val="center"/>
              <w:textAlignment w:val="auto"/>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val="en-US" w:eastAsia="zh-CN"/>
              </w:rPr>
              <w:t>项目</w:t>
            </w:r>
          </w:p>
        </w:tc>
        <w:tc>
          <w:tcPr>
            <w:tcW w:w="1260" w:type="dxa"/>
            <w:tcBorders>
              <w:top w:val="single" w:color="auto" w:sz="4" w:space="0"/>
              <w:left w:val="single" w:color="auto" w:sz="4" w:space="0"/>
              <w:bottom w:val="single" w:color="auto" w:sz="4" w:space="0"/>
              <w:right w:val="single" w:color="auto" w:sz="4" w:space="0"/>
            </w:tcBorders>
            <w:noWrap w:val="0"/>
            <w:vAlign w:val="center"/>
          </w:tcPr>
          <w:p w14:paraId="395744BD">
            <w:pPr>
              <w:keepLines w:val="0"/>
              <w:pageBreakBefore w:val="0"/>
              <w:kinsoku/>
              <w:wordWrap/>
              <w:overflowPunct/>
              <w:topLinePunct w:val="0"/>
              <w:autoSpaceDE/>
              <w:autoSpaceDN/>
              <w:bidi w:val="0"/>
              <w:adjustRightInd/>
              <w:snapToGrid/>
              <w:spacing w:line="380" w:lineRule="exact"/>
              <w:ind w:right="119" w:rightChars="0"/>
              <w:jc w:val="center"/>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分值</w:t>
            </w:r>
          </w:p>
        </w:tc>
        <w:tc>
          <w:tcPr>
            <w:tcW w:w="6206" w:type="dxa"/>
            <w:tcBorders>
              <w:top w:val="single" w:color="auto" w:sz="4" w:space="0"/>
              <w:left w:val="single" w:color="auto" w:sz="4" w:space="0"/>
              <w:bottom w:val="single" w:color="auto" w:sz="4" w:space="0"/>
              <w:right w:val="single" w:color="auto" w:sz="4" w:space="0"/>
            </w:tcBorders>
            <w:noWrap w:val="0"/>
            <w:vAlign w:val="center"/>
          </w:tcPr>
          <w:p w14:paraId="01189A31">
            <w:pPr>
              <w:keepLines w:val="0"/>
              <w:pageBreakBefore w:val="0"/>
              <w:kinsoku/>
              <w:wordWrap/>
              <w:overflowPunct/>
              <w:topLinePunct w:val="0"/>
              <w:autoSpaceDE/>
              <w:autoSpaceDN/>
              <w:bidi w:val="0"/>
              <w:adjustRightInd/>
              <w:snapToGrid/>
              <w:spacing w:line="380" w:lineRule="exact"/>
              <w:ind w:right="119" w:rightChars="0"/>
              <w:jc w:val="center"/>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考核标准</w:t>
            </w:r>
          </w:p>
        </w:tc>
        <w:tc>
          <w:tcPr>
            <w:tcW w:w="915" w:type="dxa"/>
            <w:tcBorders>
              <w:top w:val="single" w:color="auto" w:sz="4" w:space="0"/>
              <w:left w:val="single" w:color="auto" w:sz="4" w:space="0"/>
              <w:bottom w:val="single" w:color="auto" w:sz="4" w:space="0"/>
              <w:right w:val="single" w:color="auto" w:sz="4" w:space="0"/>
            </w:tcBorders>
            <w:noWrap w:val="0"/>
            <w:vAlign w:val="center"/>
          </w:tcPr>
          <w:p w14:paraId="6CAC39A6">
            <w:pPr>
              <w:keepLines w:val="0"/>
              <w:pageBreakBefore w:val="0"/>
              <w:kinsoku/>
              <w:wordWrap/>
              <w:overflowPunct/>
              <w:topLinePunct w:val="0"/>
              <w:autoSpaceDE/>
              <w:autoSpaceDN/>
              <w:bidi w:val="0"/>
              <w:adjustRightInd/>
              <w:snapToGrid/>
              <w:spacing w:line="380" w:lineRule="exact"/>
              <w:ind w:right="119" w:rightChars="0"/>
              <w:jc w:val="center"/>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扣分</w:t>
            </w:r>
          </w:p>
        </w:tc>
      </w:tr>
      <w:tr w14:paraId="4A5C495B">
        <w:tblPrEx>
          <w:tblCellMar>
            <w:top w:w="0" w:type="dxa"/>
            <w:left w:w="108" w:type="dxa"/>
            <w:bottom w:w="0" w:type="dxa"/>
            <w:right w:w="108" w:type="dxa"/>
          </w:tblCellMar>
        </w:tblPrEx>
        <w:trPr>
          <w:trHeight w:val="789" w:hRule="atLeast"/>
        </w:trPr>
        <w:tc>
          <w:tcPr>
            <w:tcW w:w="1601" w:type="dxa"/>
            <w:tcBorders>
              <w:top w:val="single" w:color="auto" w:sz="4" w:space="0"/>
              <w:left w:val="single" w:color="auto" w:sz="4" w:space="0"/>
              <w:bottom w:val="single" w:color="auto" w:sz="4" w:space="0"/>
              <w:right w:val="single" w:color="auto" w:sz="4" w:space="0"/>
            </w:tcBorders>
            <w:noWrap w:val="0"/>
            <w:vAlign w:val="center"/>
          </w:tcPr>
          <w:p w14:paraId="4944AB09">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体制机制</w:t>
            </w:r>
          </w:p>
          <w:p w14:paraId="5E7565C3">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eastAsia="zh-CN"/>
              </w:rPr>
              <w:t>分</w:t>
            </w:r>
            <w:r>
              <w:rPr>
                <w:rFonts w:hint="eastAsia" w:ascii="宋体" w:hAnsi="宋体" w:eastAsia="宋体" w:cs="宋体"/>
                <w:color w:val="auto"/>
                <w:sz w:val="24"/>
                <w:szCs w:val="24"/>
                <w:highlight w:val="none"/>
              </w:rPr>
              <w:t>）</w:t>
            </w:r>
          </w:p>
        </w:tc>
        <w:tc>
          <w:tcPr>
            <w:tcW w:w="1260" w:type="dxa"/>
            <w:tcBorders>
              <w:top w:val="single" w:color="auto" w:sz="4" w:space="0"/>
              <w:left w:val="nil"/>
              <w:bottom w:val="single" w:color="auto" w:sz="4" w:space="0"/>
              <w:right w:val="single" w:color="auto" w:sz="4" w:space="0"/>
            </w:tcBorders>
            <w:noWrap w:val="0"/>
            <w:vAlign w:val="center"/>
          </w:tcPr>
          <w:p w14:paraId="7BED5119">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eastAsia="zh-CN"/>
              </w:rPr>
              <w:t>分</w:t>
            </w:r>
          </w:p>
        </w:tc>
        <w:tc>
          <w:tcPr>
            <w:tcW w:w="6206" w:type="dxa"/>
            <w:tcBorders>
              <w:top w:val="single" w:color="auto" w:sz="4" w:space="0"/>
              <w:left w:val="nil"/>
              <w:bottom w:val="single" w:color="auto" w:sz="4" w:space="0"/>
              <w:right w:val="single" w:color="auto" w:sz="4" w:space="0"/>
            </w:tcBorders>
            <w:noWrap w:val="0"/>
            <w:vAlign w:val="top"/>
          </w:tcPr>
          <w:p w14:paraId="31E5A0AD">
            <w:pPr>
              <w:spacing w:line="320" w:lineRule="exact"/>
              <w:ind w:firstLine="480" w:firstLineChars="200"/>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工作人员配置固定、合理</w:t>
            </w:r>
            <w:r>
              <w:rPr>
                <w:rFonts w:hint="eastAsia" w:ascii="宋体" w:hAnsi="宋体" w:eastAsia="宋体" w:cs="宋体"/>
                <w:color w:val="auto"/>
                <w:sz w:val="24"/>
                <w:szCs w:val="24"/>
                <w:highlight w:val="none"/>
              </w:rPr>
              <w:t>，有保洁记录并及时更新。每发现一处问题扣1分</w:t>
            </w:r>
          </w:p>
        </w:tc>
        <w:tc>
          <w:tcPr>
            <w:tcW w:w="915" w:type="dxa"/>
            <w:tcBorders>
              <w:top w:val="single" w:color="auto" w:sz="4" w:space="0"/>
              <w:left w:val="nil"/>
              <w:bottom w:val="single" w:color="auto" w:sz="4" w:space="0"/>
              <w:right w:val="single" w:color="auto" w:sz="4" w:space="0"/>
            </w:tcBorders>
            <w:noWrap w:val="0"/>
            <w:vAlign w:val="center"/>
          </w:tcPr>
          <w:p w14:paraId="4539A4C1">
            <w:pPr>
              <w:keepLines w:val="0"/>
              <w:pageBreakBefore w:val="0"/>
              <w:kinsoku/>
              <w:wordWrap/>
              <w:overflowPunct/>
              <w:topLinePunct w:val="0"/>
              <w:autoSpaceDE/>
              <w:autoSpaceDN/>
              <w:bidi w:val="0"/>
              <w:adjustRightInd/>
              <w:snapToGrid/>
              <w:spacing w:line="380" w:lineRule="exact"/>
              <w:ind w:right="119" w:rightChars="0" w:firstLine="420" w:firstLineChars="200"/>
              <w:textAlignment w:val="auto"/>
              <w:rPr>
                <w:rFonts w:hint="eastAsia" w:ascii="宋体" w:hAnsi="宋体" w:eastAsia="宋体" w:cs="宋体"/>
                <w:color w:val="auto"/>
                <w:sz w:val="21"/>
                <w:szCs w:val="21"/>
                <w:highlight w:val="none"/>
                <w:lang w:val="en-US" w:eastAsia="zh-CN"/>
              </w:rPr>
            </w:pPr>
          </w:p>
        </w:tc>
      </w:tr>
      <w:tr w14:paraId="6ADBFACF">
        <w:tblPrEx>
          <w:tblCellMar>
            <w:top w:w="0" w:type="dxa"/>
            <w:left w:w="108" w:type="dxa"/>
            <w:bottom w:w="0" w:type="dxa"/>
            <w:right w:w="108" w:type="dxa"/>
          </w:tblCellMar>
        </w:tblPrEx>
        <w:trPr>
          <w:trHeight w:val="900" w:hRule="atLeast"/>
        </w:trPr>
        <w:tc>
          <w:tcPr>
            <w:tcW w:w="1601" w:type="dxa"/>
            <w:vMerge w:val="restart"/>
            <w:tcBorders>
              <w:top w:val="single" w:color="auto" w:sz="4" w:space="0"/>
              <w:left w:val="single" w:color="auto" w:sz="4" w:space="0"/>
              <w:right w:val="single" w:color="auto" w:sz="4" w:space="0"/>
            </w:tcBorders>
            <w:noWrap w:val="0"/>
            <w:vAlign w:val="center"/>
          </w:tcPr>
          <w:p w14:paraId="6DFB9565">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垃圾分类</w:t>
            </w:r>
          </w:p>
          <w:p w14:paraId="01630E6F">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（25</w:t>
            </w:r>
            <w:r>
              <w:rPr>
                <w:rFonts w:hint="eastAsia" w:ascii="宋体" w:hAnsi="宋体" w:eastAsia="宋体" w:cs="宋体"/>
                <w:color w:val="auto"/>
                <w:sz w:val="24"/>
                <w:szCs w:val="24"/>
                <w:highlight w:val="none"/>
                <w:lang w:eastAsia="zh-CN"/>
              </w:rPr>
              <w:t>分</w:t>
            </w:r>
            <w:r>
              <w:rPr>
                <w:rFonts w:hint="eastAsia" w:ascii="宋体" w:hAnsi="宋体" w:eastAsia="宋体" w:cs="宋体"/>
                <w:color w:val="auto"/>
                <w:sz w:val="24"/>
                <w:szCs w:val="24"/>
                <w:highlight w:val="none"/>
              </w:rPr>
              <w:t>）</w:t>
            </w:r>
          </w:p>
        </w:tc>
        <w:tc>
          <w:tcPr>
            <w:tcW w:w="1260" w:type="dxa"/>
            <w:tcBorders>
              <w:top w:val="nil"/>
              <w:left w:val="nil"/>
              <w:bottom w:val="single" w:color="auto" w:sz="4" w:space="0"/>
              <w:right w:val="single" w:color="auto" w:sz="4" w:space="0"/>
            </w:tcBorders>
            <w:noWrap w:val="0"/>
            <w:vAlign w:val="center"/>
          </w:tcPr>
          <w:p w14:paraId="5DB92F74">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eastAsia="zh-CN"/>
              </w:rPr>
              <w:t>分</w:t>
            </w:r>
          </w:p>
        </w:tc>
        <w:tc>
          <w:tcPr>
            <w:tcW w:w="6206" w:type="dxa"/>
            <w:tcBorders>
              <w:top w:val="nil"/>
              <w:left w:val="nil"/>
              <w:bottom w:val="single" w:color="auto" w:sz="4" w:space="0"/>
              <w:right w:val="single" w:color="auto" w:sz="4" w:space="0"/>
            </w:tcBorders>
            <w:noWrap w:val="0"/>
            <w:vAlign w:val="top"/>
          </w:tcPr>
          <w:p w14:paraId="6CD766EB">
            <w:pPr>
              <w:spacing w:line="320" w:lineRule="exact"/>
              <w:ind w:firstLine="504" w:firstLineChars="200"/>
              <w:jc w:val="both"/>
              <w:rPr>
                <w:rFonts w:hint="eastAsia" w:ascii="宋体" w:hAnsi="宋体" w:eastAsia="宋体" w:cs="宋体"/>
                <w:color w:val="auto"/>
                <w:sz w:val="24"/>
                <w:szCs w:val="24"/>
                <w:highlight w:val="none"/>
              </w:rPr>
            </w:pPr>
            <w:r>
              <w:rPr>
                <w:rFonts w:hint="eastAsia" w:ascii="宋体" w:hAnsi="宋体" w:eastAsia="宋体" w:cs="宋体"/>
                <w:color w:val="auto"/>
                <w:spacing w:val="6"/>
                <w:kern w:val="0"/>
                <w:sz w:val="24"/>
                <w:szCs w:val="24"/>
                <w:highlight w:val="none"/>
              </w:rPr>
              <w:t>垃圾分类宣传</w:t>
            </w:r>
            <w:r>
              <w:rPr>
                <w:rFonts w:hint="eastAsia" w:ascii="宋体" w:hAnsi="宋体" w:eastAsia="宋体" w:cs="宋体"/>
                <w:color w:val="auto"/>
                <w:spacing w:val="6"/>
                <w:kern w:val="0"/>
                <w:sz w:val="24"/>
                <w:szCs w:val="24"/>
                <w:highlight w:val="none"/>
                <w:lang w:eastAsia="zh-CN"/>
              </w:rPr>
              <w:t>窗设施管护到位</w:t>
            </w:r>
            <w:r>
              <w:rPr>
                <w:rFonts w:hint="eastAsia" w:ascii="宋体" w:hAnsi="宋体" w:eastAsia="宋体" w:cs="宋体"/>
                <w:color w:val="auto"/>
                <w:spacing w:val="6"/>
                <w:kern w:val="0"/>
                <w:sz w:val="24"/>
                <w:szCs w:val="24"/>
                <w:highlight w:val="none"/>
              </w:rPr>
              <w:t>，荣誉榜</w:t>
            </w:r>
            <w:r>
              <w:rPr>
                <w:rFonts w:hint="eastAsia" w:ascii="宋体" w:hAnsi="宋体" w:eastAsia="宋体" w:cs="宋体"/>
                <w:color w:val="auto"/>
                <w:spacing w:val="6"/>
                <w:kern w:val="0"/>
                <w:sz w:val="24"/>
                <w:szCs w:val="24"/>
                <w:highlight w:val="none"/>
                <w:lang w:eastAsia="zh-CN"/>
              </w:rPr>
              <w:t>信息</w:t>
            </w:r>
            <w:r>
              <w:rPr>
                <w:rFonts w:hint="eastAsia" w:ascii="宋体" w:hAnsi="宋体" w:eastAsia="宋体" w:cs="宋体"/>
                <w:color w:val="auto"/>
                <w:spacing w:val="6"/>
                <w:kern w:val="0"/>
                <w:sz w:val="24"/>
                <w:szCs w:val="24"/>
                <w:highlight w:val="none"/>
              </w:rPr>
              <w:t>及时更新；</w:t>
            </w:r>
            <w:r>
              <w:rPr>
                <w:rFonts w:hint="eastAsia" w:ascii="宋体" w:hAnsi="宋体" w:eastAsia="宋体" w:cs="宋体"/>
                <w:color w:val="auto"/>
                <w:sz w:val="24"/>
                <w:szCs w:val="24"/>
                <w:highlight w:val="none"/>
              </w:rPr>
              <w:t>每发现一处问题扣1分</w:t>
            </w:r>
          </w:p>
        </w:tc>
        <w:tc>
          <w:tcPr>
            <w:tcW w:w="915" w:type="dxa"/>
            <w:tcBorders>
              <w:top w:val="nil"/>
              <w:left w:val="nil"/>
              <w:bottom w:val="single" w:color="auto" w:sz="4" w:space="0"/>
              <w:right w:val="single" w:color="auto" w:sz="4" w:space="0"/>
            </w:tcBorders>
            <w:noWrap w:val="0"/>
            <w:vAlign w:val="center"/>
          </w:tcPr>
          <w:p w14:paraId="21B8C391">
            <w:pPr>
              <w:keepLines w:val="0"/>
              <w:pageBreakBefore w:val="0"/>
              <w:kinsoku/>
              <w:wordWrap/>
              <w:overflowPunct/>
              <w:topLinePunct w:val="0"/>
              <w:autoSpaceDE/>
              <w:autoSpaceDN/>
              <w:bidi w:val="0"/>
              <w:adjustRightInd/>
              <w:snapToGrid/>
              <w:spacing w:line="380" w:lineRule="exact"/>
              <w:ind w:right="119" w:rightChars="0" w:firstLine="420" w:firstLineChars="200"/>
              <w:textAlignment w:val="auto"/>
              <w:rPr>
                <w:rFonts w:hint="eastAsia" w:ascii="宋体" w:hAnsi="宋体" w:eastAsia="宋体" w:cs="宋体"/>
                <w:color w:val="auto"/>
                <w:sz w:val="21"/>
                <w:szCs w:val="21"/>
                <w:highlight w:val="none"/>
              </w:rPr>
            </w:pPr>
          </w:p>
        </w:tc>
      </w:tr>
      <w:tr w14:paraId="72CB1441">
        <w:tblPrEx>
          <w:tblCellMar>
            <w:top w:w="0" w:type="dxa"/>
            <w:left w:w="108" w:type="dxa"/>
            <w:bottom w:w="0" w:type="dxa"/>
            <w:right w:w="108" w:type="dxa"/>
          </w:tblCellMar>
        </w:tblPrEx>
        <w:trPr>
          <w:trHeight w:val="570" w:hRule="atLeast"/>
        </w:trPr>
        <w:tc>
          <w:tcPr>
            <w:tcW w:w="1601" w:type="dxa"/>
            <w:vMerge w:val="continue"/>
            <w:tcBorders>
              <w:left w:val="single" w:color="auto" w:sz="4" w:space="0"/>
              <w:right w:val="single" w:color="auto" w:sz="4" w:space="0"/>
            </w:tcBorders>
            <w:noWrap w:val="0"/>
            <w:vAlign w:val="center"/>
          </w:tcPr>
          <w:p w14:paraId="08325514">
            <w:pPr>
              <w:keepLines w:val="0"/>
              <w:pageBreakBefore w:val="0"/>
              <w:kinsoku/>
              <w:wordWrap/>
              <w:overflowPunct/>
              <w:topLinePunct w:val="0"/>
              <w:autoSpaceDE/>
              <w:autoSpaceDN/>
              <w:bidi w:val="0"/>
              <w:adjustRightInd/>
              <w:snapToGrid/>
              <w:spacing w:line="360" w:lineRule="auto"/>
              <w:ind w:right="119" w:rightChars="0" w:firstLine="480" w:firstLineChars="200"/>
              <w:jc w:val="center"/>
              <w:textAlignment w:val="auto"/>
              <w:rPr>
                <w:rFonts w:hint="eastAsia" w:ascii="宋体" w:hAnsi="宋体" w:eastAsia="宋体" w:cs="宋体"/>
                <w:color w:val="auto"/>
                <w:sz w:val="24"/>
                <w:szCs w:val="24"/>
                <w:highlight w:val="none"/>
              </w:rPr>
            </w:pPr>
          </w:p>
        </w:tc>
        <w:tc>
          <w:tcPr>
            <w:tcW w:w="1260" w:type="dxa"/>
            <w:tcBorders>
              <w:top w:val="nil"/>
              <w:left w:val="nil"/>
              <w:bottom w:val="single" w:color="auto" w:sz="4" w:space="0"/>
              <w:right w:val="single" w:color="auto" w:sz="4" w:space="0"/>
            </w:tcBorders>
            <w:noWrap w:val="0"/>
            <w:vAlign w:val="center"/>
          </w:tcPr>
          <w:p w14:paraId="78A08F92">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5</w:t>
            </w:r>
            <w:r>
              <w:rPr>
                <w:rFonts w:hint="eastAsia" w:ascii="宋体" w:hAnsi="宋体" w:eastAsia="宋体" w:cs="宋体"/>
                <w:color w:val="auto"/>
                <w:sz w:val="24"/>
                <w:szCs w:val="24"/>
                <w:highlight w:val="none"/>
                <w:lang w:eastAsia="zh-CN"/>
              </w:rPr>
              <w:t>分</w:t>
            </w:r>
          </w:p>
        </w:tc>
        <w:tc>
          <w:tcPr>
            <w:tcW w:w="6206" w:type="dxa"/>
            <w:tcBorders>
              <w:top w:val="nil"/>
              <w:left w:val="nil"/>
              <w:bottom w:val="single" w:color="auto" w:sz="4" w:space="0"/>
              <w:right w:val="single" w:color="auto" w:sz="4" w:space="0"/>
            </w:tcBorders>
            <w:noWrap w:val="0"/>
            <w:vAlign w:val="top"/>
          </w:tcPr>
          <w:p w14:paraId="5C90985A">
            <w:pPr>
              <w:spacing w:line="320" w:lineRule="exact"/>
              <w:ind w:firstLine="504" w:firstLineChars="200"/>
              <w:jc w:val="both"/>
              <w:rPr>
                <w:rFonts w:hint="eastAsia" w:ascii="宋体" w:hAnsi="宋体" w:eastAsia="宋体" w:cs="宋体"/>
                <w:color w:val="auto"/>
                <w:sz w:val="24"/>
                <w:szCs w:val="24"/>
                <w:highlight w:val="none"/>
              </w:rPr>
            </w:pPr>
            <w:r>
              <w:rPr>
                <w:rFonts w:hint="eastAsia" w:ascii="宋体" w:hAnsi="宋体" w:eastAsia="宋体" w:cs="宋体"/>
                <w:color w:val="auto"/>
                <w:spacing w:val="6"/>
                <w:kern w:val="0"/>
                <w:sz w:val="24"/>
                <w:szCs w:val="24"/>
                <w:highlight w:val="none"/>
              </w:rPr>
              <w:t>每个自然村4分法垃圾桶放置点，正确摆放垃圾桶；垃圾清运车及时维修保养</w:t>
            </w:r>
            <w:r>
              <w:rPr>
                <w:rFonts w:hint="eastAsia" w:ascii="宋体" w:hAnsi="宋体" w:eastAsia="宋体" w:cs="宋体"/>
                <w:color w:val="auto"/>
                <w:sz w:val="24"/>
                <w:szCs w:val="24"/>
                <w:highlight w:val="none"/>
              </w:rPr>
              <w:t>。每发现一处问题扣1分</w:t>
            </w:r>
          </w:p>
        </w:tc>
        <w:tc>
          <w:tcPr>
            <w:tcW w:w="915" w:type="dxa"/>
            <w:tcBorders>
              <w:top w:val="nil"/>
              <w:left w:val="nil"/>
              <w:bottom w:val="single" w:color="auto" w:sz="4" w:space="0"/>
              <w:right w:val="single" w:color="auto" w:sz="4" w:space="0"/>
            </w:tcBorders>
            <w:noWrap w:val="0"/>
            <w:vAlign w:val="center"/>
          </w:tcPr>
          <w:p w14:paraId="4180AD71">
            <w:pPr>
              <w:keepLines w:val="0"/>
              <w:pageBreakBefore w:val="0"/>
              <w:kinsoku/>
              <w:wordWrap/>
              <w:overflowPunct/>
              <w:topLinePunct w:val="0"/>
              <w:autoSpaceDE/>
              <w:autoSpaceDN/>
              <w:bidi w:val="0"/>
              <w:adjustRightInd/>
              <w:snapToGrid/>
              <w:spacing w:line="380" w:lineRule="exact"/>
              <w:ind w:right="119" w:rightChars="0" w:firstLine="420" w:firstLineChars="200"/>
              <w:textAlignment w:val="auto"/>
              <w:rPr>
                <w:rFonts w:hint="eastAsia" w:ascii="宋体" w:hAnsi="宋体" w:eastAsia="宋体" w:cs="宋体"/>
                <w:color w:val="auto"/>
                <w:sz w:val="21"/>
                <w:szCs w:val="21"/>
                <w:highlight w:val="none"/>
              </w:rPr>
            </w:pPr>
          </w:p>
        </w:tc>
      </w:tr>
      <w:tr w14:paraId="5F9B8C09">
        <w:tblPrEx>
          <w:tblCellMar>
            <w:top w:w="0" w:type="dxa"/>
            <w:left w:w="108" w:type="dxa"/>
            <w:bottom w:w="0" w:type="dxa"/>
            <w:right w:w="108" w:type="dxa"/>
          </w:tblCellMar>
        </w:tblPrEx>
        <w:trPr>
          <w:trHeight w:val="570" w:hRule="atLeast"/>
        </w:trPr>
        <w:tc>
          <w:tcPr>
            <w:tcW w:w="1601" w:type="dxa"/>
            <w:vMerge w:val="continue"/>
            <w:tcBorders>
              <w:left w:val="single" w:color="auto" w:sz="4" w:space="0"/>
              <w:right w:val="single" w:color="auto" w:sz="4" w:space="0"/>
            </w:tcBorders>
            <w:noWrap w:val="0"/>
            <w:vAlign w:val="center"/>
          </w:tcPr>
          <w:p w14:paraId="571C70C3">
            <w:pPr>
              <w:keepLines w:val="0"/>
              <w:pageBreakBefore w:val="0"/>
              <w:kinsoku/>
              <w:wordWrap/>
              <w:overflowPunct/>
              <w:topLinePunct w:val="0"/>
              <w:autoSpaceDE/>
              <w:autoSpaceDN/>
              <w:bidi w:val="0"/>
              <w:adjustRightInd/>
              <w:snapToGrid/>
              <w:spacing w:line="360" w:lineRule="auto"/>
              <w:ind w:right="119" w:rightChars="0" w:firstLine="480" w:firstLineChars="200"/>
              <w:jc w:val="center"/>
              <w:textAlignment w:val="auto"/>
              <w:rPr>
                <w:rFonts w:hint="eastAsia" w:ascii="宋体" w:hAnsi="宋体" w:eastAsia="宋体" w:cs="宋体"/>
                <w:color w:val="auto"/>
                <w:sz w:val="24"/>
                <w:szCs w:val="24"/>
                <w:highlight w:val="none"/>
              </w:rPr>
            </w:pPr>
          </w:p>
        </w:tc>
        <w:tc>
          <w:tcPr>
            <w:tcW w:w="1260" w:type="dxa"/>
            <w:tcBorders>
              <w:top w:val="nil"/>
              <w:left w:val="nil"/>
              <w:bottom w:val="single" w:color="auto" w:sz="4" w:space="0"/>
              <w:right w:val="single" w:color="auto" w:sz="4" w:space="0"/>
            </w:tcBorders>
            <w:noWrap w:val="0"/>
            <w:vAlign w:val="center"/>
          </w:tcPr>
          <w:p w14:paraId="68601485">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7</w:t>
            </w:r>
            <w:r>
              <w:rPr>
                <w:rFonts w:hint="eastAsia" w:ascii="宋体" w:hAnsi="宋体" w:eastAsia="宋体" w:cs="宋体"/>
                <w:color w:val="auto"/>
                <w:sz w:val="24"/>
                <w:szCs w:val="24"/>
                <w:highlight w:val="none"/>
                <w:lang w:eastAsia="zh-CN"/>
              </w:rPr>
              <w:t>分</w:t>
            </w:r>
          </w:p>
        </w:tc>
        <w:tc>
          <w:tcPr>
            <w:tcW w:w="6206" w:type="dxa"/>
            <w:tcBorders>
              <w:top w:val="nil"/>
              <w:left w:val="nil"/>
              <w:bottom w:val="single" w:color="auto" w:sz="4" w:space="0"/>
              <w:right w:val="single" w:color="auto" w:sz="4" w:space="0"/>
            </w:tcBorders>
            <w:noWrap w:val="0"/>
            <w:vAlign w:val="top"/>
          </w:tcPr>
          <w:p w14:paraId="037C0E67">
            <w:pPr>
              <w:spacing w:line="320" w:lineRule="exact"/>
              <w:ind w:firstLine="504" w:firstLineChars="200"/>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pacing w:val="6"/>
                <w:kern w:val="0"/>
                <w:sz w:val="24"/>
                <w:szCs w:val="24"/>
                <w:highlight w:val="none"/>
              </w:rPr>
              <w:t>村内垃圾桶桶体无破损、周边洁净无垃圾满溢，垃圾桶集置点整洁、地面</w:t>
            </w:r>
            <w:r>
              <w:rPr>
                <w:rFonts w:hint="eastAsia" w:ascii="宋体" w:hAnsi="宋体" w:eastAsia="宋体" w:cs="宋体"/>
                <w:color w:val="auto"/>
                <w:spacing w:val="6"/>
                <w:kern w:val="0"/>
                <w:sz w:val="24"/>
                <w:szCs w:val="24"/>
                <w:highlight w:val="none"/>
                <w:lang w:eastAsia="zh-CN"/>
              </w:rPr>
              <w:t>无</w:t>
            </w:r>
            <w:r>
              <w:rPr>
                <w:rFonts w:hint="eastAsia" w:ascii="宋体" w:hAnsi="宋体" w:eastAsia="宋体" w:cs="宋体"/>
                <w:color w:val="auto"/>
                <w:spacing w:val="6"/>
                <w:kern w:val="0"/>
                <w:sz w:val="24"/>
                <w:szCs w:val="24"/>
                <w:highlight w:val="none"/>
              </w:rPr>
              <w:t>垃圾、污水，无焚烧现象。</w:t>
            </w:r>
            <w:r>
              <w:rPr>
                <w:rFonts w:hint="eastAsia" w:ascii="宋体" w:hAnsi="宋体" w:eastAsia="宋体" w:cs="宋体"/>
                <w:color w:val="auto"/>
                <w:sz w:val="24"/>
                <w:szCs w:val="24"/>
                <w:highlight w:val="none"/>
              </w:rPr>
              <w:t>每发现一处问题扣1分</w:t>
            </w:r>
          </w:p>
        </w:tc>
        <w:tc>
          <w:tcPr>
            <w:tcW w:w="915" w:type="dxa"/>
            <w:tcBorders>
              <w:top w:val="nil"/>
              <w:left w:val="nil"/>
              <w:bottom w:val="single" w:color="auto" w:sz="4" w:space="0"/>
              <w:right w:val="single" w:color="auto" w:sz="4" w:space="0"/>
            </w:tcBorders>
            <w:noWrap w:val="0"/>
            <w:vAlign w:val="center"/>
          </w:tcPr>
          <w:p w14:paraId="1199EEA2">
            <w:pPr>
              <w:keepLines w:val="0"/>
              <w:pageBreakBefore w:val="0"/>
              <w:kinsoku/>
              <w:wordWrap/>
              <w:overflowPunct/>
              <w:topLinePunct w:val="0"/>
              <w:autoSpaceDE/>
              <w:autoSpaceDN/>
              <w:bidi w:val="0"/>
              <w:adjustRightInd/>
              <w:snapToGrid/>
              <w:spacing w:line="380" w:lineRule="exact"/>
              <w:ind w:right="119" w:rightChars="0" w:firstLine="420" w:firstLineChars="200"/>
              <w:textAlignment w:val="auto"/>
              <w:rPr>
                <w:rFonts w:hint="eastAsia" w:ascii="宋体" w:hAnsi="宋体" w:eastAsia="宋体" w:cs="宋体"/>
                <w:color w:val="auto"/>
                <w:sz w:val="21"/>
                <w:szCs w:val="21"/>
                <w:highlight w:val="none"/>
                <w:lang w:val="en-US" w:eastAsia="zh-CN"/>
              </w:rPr>
            </w:pPr>
          </w:p>
        </w:tc>
      </w:tr>
      <w:tr w14:paraId="2C1045A8">
        <w:tblPrEx>
          <w:tblCellMar>
            <w:top w:w="0" w:type="dxa"/>
            <w:left w:w="108" w:type="dxa"/>
            <w:bottom w:w="0" w:type="dxa"/>
            <w:right w:w="108" w:type="dxa"/>
          </w:tblCellMar>
        </w:tblPrEx>
        <w:trPr>
          <w:trHeight w:val="1013" w:hRule="atLeast"/>
        </w:trPr>
        <w:tc>
          <w:tcPr>
            <w:tcW w:w="1601" w:type="dxa"/>
            <w:vMerge w:val="continue"/>
            <w:tcBorders>
              <w:left w:val="single" w:color="auto" w:sz="4" w:space="0"/>
              <w:right w:val="single" w:color="auto" w:sz="4" w:space="0"/>
            </w:tcBorders>
            <w:noWrap w:val="0"/>
            <w:vAlign w:val="center"/>
          </w:tcPr>
          <w:p w14:paraId="330D0F52">
            <w:pPr>
              <w:keepLines w:val="0"/>
              <w:pageBreakBefore w:val="0"/>
              <w:kinsoku/>
              <w:wordWrap/>
              <w:overflowPunct/>
              <w:topLinePunct w:val="0"/>
              <w:autoSpaceDE/>
              <w:autoSpaceDN/>
              <w:bidi w:val="0"/>
              <w:adjustRightInd/>
              <w:snapToGrid/>
              <w:spacing w:line="360" w:lineRule="auto"/>
              <w:ind w:right="119" w:rightChars="0" w:firstLine="480" w:firstLineChars="200"/>
              <w:jc w:val="center"/>
              <w:textAlignment w:val="auto"/>
              <w:rPr>
                <w:rFonts w:hint="eastAsia" w:ascii="宋体" w:hAnsi="宋体" w:eastAsia="宋体" w:cs="宋体"/>
                <w:color w:val="auto"/>
                <w:sz w:val="24"/>
                <w:szCs w:val="24"/>
                <w:highlight w:val="none"/>
              </w:rPr>
            </w:pPr>
          </w:p>
        </w:tc>
        <w:tc>
          <w:tcPr>
            <w:tcW w:w="1260" w:type="dxa"/>
            <w:tcBorders>
              <w:top w:val="nil"/>
              <w:left w:val="nil"/>
              <w:bottom w:val="single" w:color="auto" w:sz="4" w:space="0"/>
              <w:right w:val="single" w:color="auto" w:sz="4" w:space="0"/>
            </w:tcBorders>
            <w:noWrap w:val="0"/>
            <w:vAlign w:val="center"/>
          </w:tcPr>
          <w:p w14:paraId="5181ACE9">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lang w:eastAsia="zh-CN"/>
              </w:rPr>
              <w:t>分</w:t>
            </w:r>
          </w:p>
        </w:tc>
        <w:tc>
          <w:tcPr>
            <w:tcW w:w="6206" w:type="dxa"/>
            <w:tcBorders>
              <w:top w:val="nil"/>
              <w:left w:val="nil"/>
              <w:bottom w:val="single" w:color="auto" w:sz="4" w:space="0"/>
              <w:right w:val="single" w:color="auto" w:sz="4" w:space="0"/>
            </w:tcBorders>
            <w:noWrap w:val="0"/>
            <w:vAlign w:val="top"/>
          </w:tcPr>
          <w:p w14:paraId="072A2012">
            <w:pPr>
              <w:spacing w:line="320" w:lineRule="exact"/>
              <w:ind w:firstLine="480" w:firstLineChars="20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生活垃圾正确分类，抽查村内垃圾桶、村内集置点，村两委班子成员、农村党员、村民代表家庭生活垃圾分类投放情况，共计20处。每发现一处问题扣0.5分</w:t>
            </w:r>
          </w:p>
        </w:tc>
        <w:tc>
          <w:tcPr>
            <w:tcW w:w="915" w:type="dxa"/>
            <w:tcBorders>
              <w:top w:val="nil"/>
              <w:left w:val="nil"/>
              <w:bottom w:val="single" w:color="auto" w:sz="4" w:space="0"/>
              <w:right w:val="single" w:color="auto" w:sz="4" w:space="0"/>
            </w:tcBorders>
            <w:noWrap w:val="0"/>
            <w:vAlign w:val="center"/>
          </w:tcPr>
          <w:p w14:paraId="40901534">
            <w:pPr>
              <w:keepLines w:val="0"/>
              <w:pageBreakBefore w:val="0"/>
              <w:kinsoku/>
              <w:wordWrap/>
              <w:overflowPunct/>
              <w:topLinePunct w:val="0"/>
              <w:autoSpaceDE/>
              <w:autoSpaceDN/>
              <w:bidi w:val="0"/>
              <w:adjustRightInd/>
              <w:snapToGrid/>
              <w:spacing w:line="380" w:lineRule="exact"/>
              <w:ind w:right="119" w:rightChars="0" w:firstLine="420" w:firstLineChars="200"/>
              <w:textAlignment w:val="auto"/>
              <w:rPr>
                <w:rFonts w:hint="eastAsia" w:ascii="宋体" w:hAnsi="宋体" w:eastAsia="宋体" w:cs="宋体"/>
                <w:color w:val="auto"/>
                <w:sz w:val="21"/>
                <w:szCs w:val="21"/>
                <w:highlight w:val="none"/>
              </w:rPr>
            </w:pPr>
          </w:p>
        </w:tc>
      </w:tr>
      <w:tr w14:paraId="6C57AF2A">
        <w:tblPrEx>
          <w:tblCellMar>
            <w:top w:w="0" w:type="dxa"/>
            <w:left w:w="108" w:type="dxa"/>
            <w:bottom w:w="0" w:type="dxa"/>
            <w:right w:w="108" w:type="dxa"/>
          </w:tblCellMar>
        </w:tblPrEx>
        <w:trPr>
          <w:trHeight w:val="570" w:hRule="atLeast"/>
        </w:trPr>
        <w:tc>
          <w:tcPr>
            <w:tcW w:w="1601" w:type="dxa"/>
            <w:vMerge w:val="continue"/>
            <w:tcBorders>
              <w:left w:val="single" w:color="auto" w:sz="4" w:space="0"/>
              <w:bottom w:val="single" w:color="auto" w:sz="4" w:space="0"/>
              <w:right w:val="single" w:color="auto" w:sz="4" w:space="0"/>
            </w:tcBorders>
            <w:noWrap w:val="0"/>
            <w:vAlign w:val="center"/>
          </w:tcPr>
          <w:p w14:paraId="0BAB6A3C">
            <w:pPr>
              <w:keepLines w:val="0"/>
              <w:pageBreakBefore w:val="0"/>
              <w:kinsoku/>
              <w:wordWrap/>
              <w:overflowPunct/>
              <w:topLinePunct w:val="0"/>
              <w:autoSpaceDE/>
              <w:autoSpaceDN/>
              <w:bidi w:val="0"/>
              <w:adjustRightInd/>
              <w:snapToGrid/>
              <w:spacing w:line="360" w:lineRule="auto"/>
              <w:ind w:right="119" w:rightChars="0" w:firstLine="480" w:firstLineChars="200"/>
              <w:jc w:val="center"/>
              <w:textAlignment w:val="auto"/>
              <w:rPr>
                <w:rFonts w:hint="eastAsia" w:ascii="宋体" w:hAnsi="宋体" w:eastAsia="宋体" w:cs="宋体"/>
                <w:color w:val="auto"/>
                <w:sz w:val="24"/>
                <w:szCs w:val="24"/>
                <w:highlight w:val="none"/>
              </w:rPr>
            </w:pPr>
          </w:p>
        </w:tc>
        <w:tc>
          <w:tcPr>
            <w:tcW w:w="1260" w:type="dxa"/>
            <w:tcBorders>
              <w:top w:val="single" w:color="auto" w:sz="4" w:space="0"/>
              <w:left w:val="nil"/>
              <w:bottom w:val="single" w:color="auto" w:sz="4" w:space="0"/>
              <w:right w:val="single" w:color="auto" w:sz="4" w:space="0"/>
            </w:tcBorders>
            <w:noWrap w:val="0"/>
            <w:vAlign w:val="center"/>
          </w:tcPr>
          <w:p w14:paraId="499C4F68">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lang w:eastAsia="zh-CN"/>
              </w:rPr>
              <w:t>分</w:t>
            </w:r>
          </w:p>
        </w:tc>
        <w:tc>
          <w:tcPr>
            <w:tcW w:w="6206" w:type="dxa"/>
            <w:tcBorders>
              <w:top w:val="single" w:color="auto" w:sz="4" w:space="0"/>
              <w:left w:val="nil"/>
              <w:bottom w:val="single" w:color="auto" w:sz="4" w:space="0"/>
              <w:right w:val="single" w:color="auto" w:sz="4" w:space="0"/>
            </w:tcBorders>
            <w:noWrap w:val="0"/>
            <w:vAlign w:val="top"/>
          </w:tcPr>
          <w:p w14:paraId="1E29AFF9">
            <w:pPr>
              <w:spacing w:line="320" w:lineRule="exact"/>
              <w:ind w:firstLine="480" w:firstLineChars="20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每月上门收集率达到</w:t>
            </w:r>
            <w:r>
              <w:rPr>
                <w:rFonts w:hint="eastAsia" w:ascii="宋体" w:hAnsi="宋体" w:eastAsia="宋体" w:cs="宋体"/>
                <w:color w:val="auto"/>
                <w:sz w:val="24"/>
                <w:szCs w:val="24"/>
                <w:highlight w:val="none"/>
                <w:lang w:val="en-US" w:eastAsia="zh-CN"/>
              </w:rPr>
              <w:t>95%，每下降1%扣0.5分；每月分类合格率达到75%，低于75%，每下降1%扣0.5分</w:t>
            </w:r>
          </w:p>
        </w:tc>
        <w:tc>
          <w:tcPr>
            <w:tcW w:w="915" w:type="dxa"/>
            <w:tcBorders>
              <w:top w:val="single" w:color="auto" w:sz="4" w:space="0"/>
              <w:left w:val="nil"/>
              <w:bottom w:val="single" w:color="auto" w:sz="4" w:space="0"/>
              <w:right w:val="single" w:color="auto" w:sz="4" w:space="0"/>
            </w:tcBorders>
            <w:noWrap w:val="0"/>
            <w:vAlign w:val="center"/>
          </w:tcPr>
          <w:p w14:paraId="27ADC4B7">
            <w:pPr>
              <w:keepLines w:val="0"/>
              <w:pageBreakBefore w:val="0"/>
              <w:kinsoku/>
              <w:wordWrap/>
              <w:overflowPunct/>
              <w:topLinePunct w:val="0"/>
              <w:autoSpaceDE/>
              <w:autoSpaceDN/>
              <w:bidi w:val="0"/>
              <w:adjustRightInd/>
              <w:snapToGrid/>
              <w:spacing w:line="380" w:lineRule="exact"/>
              <w:ind w:right="119" w:rightChars="0" w:firstLine="420" w:firstLineChars="200"/>
              <w:textAlignment w:val="auto"/>
              <w:rPr>
                <w:rFonts w:hint="eastAsia" w:ascii="宋体" w:hAnsi="宋体" w:eastAsia="宋体" w:cs="宋体"/>
                <w:color w:val="auto"/>
                <w:sz w:val="21"/>
                <w:szCs w:val="21"/>
                <w:highlight w:val="none"/>
              </w:rPr>
            </w:pPr>
          </w:p>
        </w:tc>
      </w:tr>
      <w:tr w14:paraId="414ED808">
        <w:tblPrEx>
          <w:tblCellMar>
            <w:top w:w="0" w:type="dxa"/>
            <w:left w:w="108" w:type="dxa"/>
            <w:bottom w:w="0" w:type="dxa"/>
            <w:right w:w="108" w:type="dxa"/>
          </w:tblCellMar>
        </w:tblPrEx>
        <w:trPr>
          <w:trHeight w:val="570" w:hRule="atLeast"/>
        </w:trPr>
        <w:tc>
          <w:tcPr>
            <w:tcW w:w="1601" w:type="dxa"/>
            <w:vMerge w:val="restart"/>
            <w:tcBorders>
              <w:top w:val="single" w:color="auto" w:sz="4" w:space="0"/>
              <w:left w:val="single" w:color="auto" w:sz="4" w:space="0"/>
              <w:right w:val="single" w:color="auto" w:sz="4" w:space="0"/>
            </w:tcBorders>
            <w:noWrap w:val="0"/>
            <w:vAlign w:val="center"/>
          </w:tcPr>
          <w:p w14:paraId="7DD48B08">
            <w:pPr>
              <w:keepLines w:val="0"/>
              <w:pageBreakBefore w:val="0"/>
              <w:kinsoku/>
              <w:wordWrap/>
              <w:overflowPunct/>
              <w:topLinePunct w:val="0"/>
              <w:autoSpaceDE/>
              <w:autoSpaceDN/>
              <w:bidi w:val="0"/>
              <w:adjustRightInd/>
              <w:snapToGrid/>
              <w:spacing w:line="360" w:lineRule="auto"/>
              <w:ind w:right="119" w:rightChars="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清理</w:t>
            </w:r>
            <w:r>
              <w:rPr>
                <w:rFonts w:hint="eastAsia" w:ascii="宋体" w:hAnsi="宋体" w:eastAsia="宋体" w:cs="宋体"/>
                <w:color w:val="auto"/>
                <w:sz w:val="24"/>
                <w:szCs w:val="24"/>
                <w:highlight w:val="none"/>
                <w:lang w:eastAsia="zh-CN"/>
              </w:rPr>
              <w:t>乱堆乱放</w:t>
            </w:r>
            <w:r>
              <w:rPr>
                <w:rFonts w:hint="eastAsia" w:ascii="宋体" w:hAnsi="宋体" w:eastAsia="宋体" w:cs="宋体"/>
                <w:color w:val="auto"/>
                <w:sz w:val="24"/>
                <w:szCs w:val="24"/>
                <w:highlight w:val="none"/>
              </w:rPr>
              <w:t>（25</w:t>
            </w:r>
            <w:r>
              <w:rPr>
                <w:rFonts w:hint="eastAsia" w:ascii="宋体" w:hAnsi="宋体" w:eastAsia="宋体" w:cs="宋体"/>
                <w:color w:val="auto"/>
                <w:sz w:val="24"/>
                <w:szCs w:val="24"/>
                <w:highlight w:val="none"/>
                <w:lang w:eastAsia="zh-CN"/>
              </w:rPr>
              <w:t>分</w:t>
            </w:r>
            <w:r>
              <w:rPr>
                <w:rFonts w:hint="eastAsia" w:ascii="宋体" w:hAnsi="宋体" w:eastAsia="宋体" w:cs="宋体"/>
                <w:color w:val="auto"/>
                <w:sz w:val="24"/>
                <w:szCs w:val="24"/>
                <w:highlight w:val="none"/>
              </w:rPr>
              <w:t>）</w:t>
            </w:r>
          </w:p>
        </w:tc>
        <w:tc>
          <w:tcPr>
            <w:tcW w:w="1260" w:type="dxa"/>
            <w:tcBorders>
              <w:top w:val="single" w:color="auto" w:sz="4" w:space="0"/>
              <w:left w:val="nil"/>
              <w:bottom w:val="single" w:color="auto" w:sz="4" w:space="0"/>
              <w:right w:val="single" w:color="auto" w:sz="4" w:space="0"/>
            </w:tcBorders>
            <w:noWrap w:val="0"/>
            <w:vAlign w:val="center"/>
          </w:tcPr>
          <w:p w14:paraId="11E1FDB1">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5</w:t>
            </w:r>
            <w:r>
              <w:rPr>
                <w:rFonts w:hint="eastAsia" w:ascii="宋体" w:hAnsi="宋体" w:eastAsia="宋体" w:cs="宋体"/>
                <w:color w:val="auto"/>
                <w:sz w:val="24"/>
                <w:szCs w:val="24"/>
                <w:highlight w:val="none"/>
                <w:lang w:eastAsia="zh-CN"/>
              </w:rPr>
              <w:t>分</w:t>
            </w:r>
          </w:p>
        </w:tc>
        <w:tc>
          <w:tcPr>
            <w:tcW w:w="6206" w:type="dxa"/>
            <w:tcBorders>
              <w:top w:val="single" w:color="auto" w:sz="4" w:space="0"/>
              <w:left w:val="nil"/>
              <w:bottom w:val="single" w:color="auto" w:sz="4" w:space="0"/>
              <w:right w:val="single" w:color="auto" w:sz="4" w:space="0"/>
            </w:tcBorders>
            <w:noWrap w:val="0"/>
            <w:vAlign w:val="top"/>
          </w:tcPr>
          <w:p w14:paraId="48A2E084">
            <w:pPr>
              <w:spacing w:line="320" w:lineRule="exact"/>
              <w:ind w:firstLine="480" w:firstLineChars="200"/>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村内道路、村与村连接道路、公共区域及绿化带无明显垃圾或积尘(包括未硬化道路及区域），道路两侧排水沟无垃圾，污水。每发现一处问题扣1分</w:t>
            </w:r>
          </w:p>
        </w:tc>
        <w:tc>
          <w:tcPr>
            <w:tcW w:w="915" w:type="dxa"/>
            <w:tcBorders>
              <w:top w:val="single" w:color="auto" w:sz="4" w:space="0"/>
              <w:left w:val="nil"/>
              <w:bottom w:val="single" w:color="auto" w:sz="4" w:space="0"/>
              <w:right w:val="single" w:color="auto" w:sz="4" w:space="0"/>
            </w:tcBorders>
            <w:noWrap w:val="0"/>
            <w:vAlign w:val="center"/>
          </w:tcPr>
          <w:p w14:paraId="5FC79786">
            <w:pPr>
              <w:keepLines w:val="0"/>
              <w:pageBreakBefore w:val="0"/>
              <w:kinsoku/>
              <w:wordWrap/>
              <w:overflowPunct/>
              <w:topLinePunct w:val="0"/>
              <w:autoSpaceDE/>
              <w:autoSpaceDN/>
              <w:bidi w:val="0"/>
              <w:adjustRightInd/>
              <w:snapToGrid/>
              <w:spacing w:line="380" w:lineRule="exact"/>
              <w:ind w:right="119" w:rightChars="0" w:firstLine="420" w:firstLineChars="200"/>
              <w:textAlignment w:val="auto"/>
              <w:rPr>
                <w:rFonts w:hint="eastAsia" w:ascii="宋体" w:hAnsi="宋体" w:eastAsia="宋体" w:cs="宋体"/>
                <w:color w:val="auto"/>
                <w:sz w:val="21"/>
                <w:szCs w:val="21"/>
                <w:highlight w:val="none"/>
              </w:rPr>
            </w:pPr>
          </w:p>
        </w:tc>
      </w:tr>
      <w:tr w14:paraId="6B055550">
        <w:tblPrEx>
          <w:tblCellMar>
            <w:top w:w="0" w:type="dxa"/>
            <w:left w:w="108" w:type="dxa"/>
            <w:bottom w:w="0" w:type="dxa"/>
            <w:right w:w="108" w:type="dxa"/>
          </w:tblCellMar>
        </w:tblPrEx>
        <w:trPr>
          <w:trHeight w:val="570" w:hRule="atLeast"/>
        </w:trPr>
        <w:tc>
          <w:tcPr>
            <w:tcW w:w="1601" w:type="dxa"/>
            <w:vMerge w:val="continue"/>
            <w:tcBorders>
              <w:left w:val="single" w:color="auto" w:sz="4" w:space="0"/>
              <w:right w:val="single" w:color="auto" w:sz="4" w:space="0"/>
            </w:tcBorders>
            <w:noWrap w:val="0"/>
            <w:vAlign w:val="center"/>
          </w:tcPr>
          <w:p w14:paraId="790743C8">
            <w:pPr>
              <w:keepLines w:val="0"/>
              <w:pageBreakBefore w:val="0"/>
              <w:kinsoku/>
              <w:wordWrap/>
              <w:overflowPunct/>
              <w:topLinePunct w:val="0"/>
              <w:autoSpaceDE/>
              <w:autoSpaceDN/>
              <w:bidi w:val="0"/>
              <w:adjustRightInd/>
              <w:snapToGrid/>
              <w:spacing w:line="360" w:lineRule="auto"/>
              <w:ind w:right="119" w:rightChars="0" w:firstLine="480" w:firstLineChars="200"/>
              <w:jc w:val="center"/>
              <w:textAlignment w:val="auto"/>
              <w:rPr>
                <w:rFonts w:hint="eastAsia" w:ascii="宋体" w:hAnsi="宋体" w:eastAsia="宋体" w:cs="宋体"/>
                <w:color w:val="auto"/>
                <w:sz w:val="24"/>
                <w:szCs w:val="24"/>
                <w:highlight w:val="none"/>
              </w:rPr>
            </w:pPr>
          </w:p>
        </w:tc>
        <w:tc>
          <w:tcPr>
            <w:tcW w:w="1260" w:type="dxa"/>
            <w:tcBorders>
              <w:top w:val="single" w:color="auto" w:sz="4" w:space="0"/>
              <w:left w:val="nil"/>
              <w:bottom w:val="single" w:color="auto" w:sz="4" w:space="0"/>
              <w:right w:val="single" w:color="auto" w:sz="4" w:space="0"/>
            </w:tcBorders>
            <w:noWrap w:val="0"/>
            <w:vAlign w:val="center"/>
          </w:tcPr>
          <w:p w14:paraId="2EFD352E">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10</w:t>
            </w:r>
            <w:r>
              <w:rPr>
                <w:rFonts w:hint="eastAsia" w:ascii="宋体" w:hAnsi="宋体" w:eastAsia="宋体" w:cs="宋体"/>
                <w:color w:val="auto"/>
                <w:sz w:val="24"/>
                <w:szCs w:val="24"/>
                <w:highlight w:val="none"/>
                <w:lang w:eastAsia="zh-CN"/>
              </w:rPr>
              <w:t>分</w:t>
            </w:r>
          </w:p>
        </w:tc>
        <w:tc>
          <w:tcPr>
            <w:tcW w:w="6206" w:type="dxa"/>
            <w:tcBorders>
              <w:top w:val="single" w:color="auto" w:sz="4" w:space="0"/>
              <w:left w:val="nil"/>
              <w:bottom w:val="single" w:color="auto" w:sz="4" w:space="0"/>
              <w:right w:val="single" w:color="auto" w:sz="4" w:space="0"/>
            </w:tcBorders>
            <w:noWrap w:val="0"/>
            <w:vAlign w:val="top"/>
          </w:tcPr>
          <w:p w14:paraId="793FBF93">
            <w:pPr>
              <w:spacing w:line="320" w:lineRule="exact"/>
              <w:ind w:firstLine="480" w:firstLineChars="200"/>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房前屋后、庭院内、田间地头、路边、岸边、空地等处无乱堆乱放、卫生死角及陈年垃圾；</w:t>
            </w:r>
            <w:r>
              <w:rPr>
                <w:rFonts w:hint="eastAsia" w:ascii="宋体" w:hAnsi="宋体" w:eastAsia="宋体" w:cs="宋体"/>
                <w:color w:val="auto"/>
                <w:sz w:val="24"/>
                <w:szCs w:val="24"/>
                <w:highlight w:val="none"/>
                <w:lang w:eastAsia="zh-CN"/>
              </w:rPr>
              <w:t>农业生产用具堆放整齐美观；车辆停放有序，无僵尸车；</w:t>
            </w:r>
            <w:r>
              <w:rPr>
                <w:rFonts w:hint="eastAsia" w:ascii="宋体" w:hAnsi="宋体" w:eastAsia="宋体" w:cs="宋体"/>
                <w:color w:val="auto"/>
                <w:sz w:val="24"/>
                <w:szCs w:val="24"/>
                <w:highlight w:val="none"/>
              </w:rPr>
              <w:t>每发现一处</w:t>
            </w:r>
            <w:r>
              <w:rPr>
                <w:rFonts w:hint="eastAsia" w:ascii="宋体" w:hAnsi="宋体" w:eastAsia="宋体" w:cs="宋体"/>
                <w:color w:val="auto"/>
                <w:sz w:val="24"/>
                <w:szCs w:val="24"/>
                <w:highlight w:val="none"/>
                <w:lang w:eastAsia="zh-CN"/>
              </w:rPr>
              <w:t>问题</w:t>
            </w:r>
            <w:r>
              <w:rPr>
                <w:rFonts w:hint="eastAsia" w:ascii="宋体" w:hAnsi="宋体" w:eastAsia="宋体" w:cs="宋体"/>
                <w:color w:val="auto"/>
                <w:sz w:val="24"/>
                <w:szCs w:val="24"/>
                <w:highlight w:val="none"/>
              </w:rPr>
              <w:t>扣1分</w:t>
            </w:r>
          </w:p>
        </w:tc>
        <w:tc>
          <w:tcPr>
            <w:tcW w:w="915" w:type="dxa"/>
            <w:tcBorders>
              <w:top w:val="single" w:color="auto" w:sz="4" w:space="0"/>
              <w:left w:val="nil"/>
              <w:bottom w:val="single" w:color="auto" w:sz="4" w:space="0"/>
              <w:right w:val="single" w:color="auto" w:sz="4" w:space="0"/>
            </w:tcBorders>
            <w:noWrap w:val="0"/>
            <w:vAlign w:val="center"/>
          </w:tcPr>
          <w:p w14:paraId="7134A329">
            <w:pPr>
              <w:keepLines w:val="0"/>
              <w:pageBreakBefore w:val="0"/>
              <w:kinsoku/>
              <w:wordWrap/>
              <w:overflowPunct/>
              <w:topLinePunct w:val="0"/>
              <w:autoSpaceDE/>
              <w:autoSpaceDN/>
              <w:bidi w:val="0"/>
              <w:adjustRightInd/>
              <w:snapToGrid/>
              <w:spacing w:line="380" w:lineRule="exact"/>
              <w:ind w:right="119" w:rightChars="0" w:firstLine="420" w:firstLineChars="200"/>
              <w:textAlignment w:val="auto"/>
              <w:rPr>
                <w:rFonts w:hint="eastAsia" w:ascii="宋体" w:hAnsi="宋体" w:eastAsia="宋体" w:cs="宋体"/>
                <w:color w:val="auto"/>
                <w:sz w:val="21"/>
                <w:szCs w:val="21"/>
                <w:highlight w:val="none"/>
              </w:rPr>
            </w:pPr>
          </w:p>
        </w:tc>
      </w:tr>
      <w:tr w14:paraId="46970A5A">
        <w:tblPrEx>
          <w:tblCellMar>
            <w:top w:w="0" w:type="dxa"/>
            <w:left w:w="108" w:type="dxa"/>
            <w:bottom w:w="0" w:type="dxa"/>
            <w:right w:w="108" w:type="dxa"/>
          </w:tblCellMar>
        </w:tblPrEx>
        <w:trPr>
          <w:trHeight w:val="570" w:hRule="atLeast"/>
        </w:trPr>
        <w:tc>
          <w:tcPr>
            <w:tcW w:w="1601" w:type="dxa"/>
            <w:vMerge w:val="continue"/>
            <w:tcBorders>
              <w:left w:val="single" w:color="auto" w:sz="4" w:space="0"/>
              <w:right w:val="single" w:color="auto" w:sz="4" w:space="0"/>
            </w:tcBorders>
            <w:noWrap w:val="0"/>
            <w:vAlign w:val="center"/>
          </w:tcPr>
          <w:p w14:paraId="001D56AC">
            <w:pPr>
              <w:keepLines w:val="0"/>
              <w:pageBreakBefore w:val="0"/>
              <w:kinsoku/>
              <w:wordWrap/>
              <w:overflowPunct/>
              <w:topLinePunct w:val="0"/>
              <w:autoSpaceDE/>
              <w:autoSpaceDN/>
              <w:bidi w:val="0"/>
              <w:adjustRightInd/>
              <w:snapToGrid/>
              <w:spacing w:line="360" w:lineRule="auto"/>
              <w:ind w:right="119" w:rightChars="0" w:firstLine="480" w:firstLineChars="200"/>
              <w:jc w:val="center"/>
              <w:textAlignment w:val="auto"/>
              <w:rPr>
                <w:rFonts w:hint="eastAsia" w:ascii="宋体" w:hAnsi="宋体" w:eastAsia="宋体" w:cs="宋体"/>
                <w:color w:val="auto"/>
                <w:sz w:val="24"/>
                <w:szCs w:val="24"/>
                <w:highlight w:val="none"/>
              </w:rPr>
            </w:pPr>
          </w:p>
        </w:tc>
        <w:tc>
          <w:tcPr>
            <w:tcW w:w="1260" w:type="dxa"/>
            <w:tcBorders>
              <w:top w:val="single" w:color="auto" w:sz="4" w:space="0"/>
              <w:left w:val="nil"/>
              <w:bottom w:val="single" w:color="auto" w:sz="4" w:space="0"/>
              <w:right w:val="single" w:color="auto" w:sz="4" w:space="0"/>
            </w:tcBorders>
            <w:noWrap w:val="0"/>
            <w:vAlign w:val="center"/>
          </w:tcPr>
          <w:p w14:paraId="33CC5513">
            <w:pPr>
              <w:spacing w:line="320" w:lineRule="exact"/>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lang w:eastAsia="zh-CN"/>
              </w:rPr>
              <w:t>分</w:t>
            </w:r>
          </w:p>
        </w:tc>
        <w:tc>
          <w:tcPr>
            <w:tcW w:w="6206" w:type="dxa"/>
            <w:tcBorders>
              <w:top w:val="single" w:color="auto" w:sz="4" w:space="0"/>
              <w:left w:val="nil"/>
              <w:bottom w:val="single" w:color="auto" w:sz="4" w:space="0"/>
              <w:right w:val="single" w:color="auto" w:sz="4" w:space="0"/>
            </w:tcBorders>
            <w:noWrap w:val="0"/>
            <w:vAlign w:val="top"/>
          </w:tcPr>
          <w:p w14:paraId="0B2B4E0C">
            <w:pPr>
              <w:spacing w:line="320" w:lineRule="exact"/>
              <w:ind w:firstLine="480" w:firstLineChars="200"/>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菜园围栏、各类棚架实用美观，无广告布缠绕，季节性枯枝及时清理；田间地头无废弃农药化肥包装物、废弃农膜；</w:t>
            </w:r>
            <w:r>
              <w:rPr>
                <w:rFonts w:hint="eastAsia" w:ascii="宋体" w:hAnsi="宋体" w:eastAsia="宋体" w:cs="宋体"/>
                <w:color w:val="auto"/>
                <w:sz w:val="24"/>
                <w:szCs w:val="24"/>
                <w:highlight w:val="none"/>
              </w:rPr>
              <w:t>每发现一处</w:t>
            </w:r>
            <w:r>
              <w:rPr>
                <w:rFonts w:hint="eastAsia" w:ascii="宋体" w:hAnsi="宋体" w:eastAsia="宋体" w:cs="宋体"/>
                <w:color w:val="auto"/>
                <w:sz w:val="24"/>
                <w:szCs w:val="24"/>
                <w:highlight w:val="none"/>
                <w:lang w:eastAsia="zh-CN"/>
              </w:rPr>
              <w:t>问题</w:t>
            </w:r>
            <w:r>
              <w:rPr>
                <w:rFonts w:hint="eastAsia" w:ascii="宋体" w:hAnsi="宋体" w:eastAsia="宋体" w:cs="宋体"/>
                <w:color w:val="auto"/>
                <w:sz w:val="24"/>
                <w:szCs w:val="24"/>
                <w:highlight w:val="none"/>
              </w:rPr>
              <w:t>扣1分</w:t>
            </w:r>
          </w:p>
        </w:tc>
        <w:tc>
          <w:tcPr>
            <w:tcW w:w="915" w:type="dxa"/>
            <w:tcBorders>
              <w:top w:val="single" w:color="auto" w:sz="4" w:space="0"/>
              <w:left w:val="nil"/>
              <w:bottom w:val="single" w:color="auto" w:sz="4" w:space="0"/>
              <w:right w:val="single" w:color="auto" w:sz="4" w:space="0"/>
            </w:tcBorders>
            <w:noWrap w:val="0"/>
            <w:vAlign w:val="center"/>
          </w:tcPr>
          <w:p w14:paraId="4BED5301">
            <w:pPr>
              <w:keepLines w:val="0"/>
              <w:pageBreakBefore w:val="0"/>
              <w:kinsoku/>
              <w:wordWrap/>
              <w:overflowPunct/>
              <w:topLinePunct w:val="0"/>
              <w:autoSpaceDE/>
              <w:autoSpaceDN/>
              <w:bidi w:val="0"/>
              <w:adjustRightInd/>
              <w:snapToGrid/>
              <w:spacing w:line="380" w:lineRule="exact"/>
              <w:ind w:right="119" w:rightChars="0" w:firstLine="420" w:firstLineChars="200"/>
              <w:textAlignment w:val="auto"/>
              <w:rPr>
                <w:rFonts w:hint="eastAsia" w:ascii="宋体" w:hAnsi="宋体" w:eastAsia="宋体" w:cs="宋体"/>
                <w:color w:val="auto"/>
                <w:sz w:val="21"/>
                <w:szCs w:val="21"/>
                <w:highlight w:val="none"/>
              </w:rPr>
            </w:pPr>
          </w:p>
        </w:tc>
      </w:tr>
      <w:tr w14:paraId="7A7FD6E7">
        <w:tblPrEx>
          <w:tblCellMar>
            <w:top w:w="0" w:type="dxa"/>
            <w:left w:w="108" w:type="dxa"/>
            <w:bottom w:w="0" w:type="dxa"/>
            <w:right w:w="108" w:type="dxa"/>
          </w:tblCellMar>
        </w:tblPrEx>
        <w:trPr>
          <w:trHeight w:val="570" w:hRule="atLeast"/>
        </w:trPr>
        <w:tc>
          <w:tcPr>
            <w:tcW w:w="1601" w:type="dxa"/>
            <w:vMerge w:val="continue"/>
            <w:tcBorders>
              <w:left w:val="single" w:color="auto" w:sz="4" w:space="0"/>
              <w:right w:val="single" w:color="auto" w:sz="4" w:space="0"/>
            </w:tcBorders>
            <w:noWrap w:val="0"/>
            <w:vAlign w:val="center"/>
          </w:tcPr>
          <w:p w14:paraId="469E7DBE">
            <w:pPr>
              <w:keepLines w:val="0"/>
              <w:pageBreakBefore w:val="0"/>
              <w:kinsoku/>
              <w:wordWrap/>
              <w:overflowPunct/>
              <w:topLinePunct w:val="0"/>
              <w:autoSpaceDE/>
              <w:autoSpaceDN/>
              <w:bidi w:val="0"/>
              <w:adjustRightInd/>
              <w:snapToGrid/>
              <w:spacing w:line="360" w:lineRule="auto"/>
              <w:ind w:right="119" w:rightChars="0" w:firstLine="480" w:firstLineChars="200"/>
              <w:jc w:val="center"/>
              <w:textAlignment w:val="auto"/>
              <w:rPr>
                <w:rFonts w:hint="eastAsia" w:ascii="宋体" w:hAnsi="宋体" w:eastAsia="宋体" w:cs="宋体"/>
                <w:color w:val="auto"/>
                <w:sz w:val="24"/>
                <w:szCs w:val="24"/>
                <w:highlight w:val="none"/>
              </w:rPr>
            </w:pPr>
          </w:p>
        </w:tc>
        <w:tc>
          <w:tcPr>
            <w:tcW w:w="1260" w:type="dxa"/>
            <w:tcBorders>
              <w:top w:val="single" w:color="auto" w:sz="4" w:space="0"/>
              <w:left w:val="nil"/>
              <w:bottom w:val="single" w:color="auto" w:sz="4" w:space="0"/>
              <w:right w:val="single" w:color="auto" w:sz="4" w:space="0"/>
            </w:tcBorders>
            <w:noWrap w:val="0"/>
            <w:vAlign w:val="center"/>
          </w:tcPr>
          <w:p w14:paraId="2EABBA07">
            <w:pPr>
              <w:spacing w:line="320" w:lineRule="exact"/>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分</w:t>
            </w:r>
          </w:p>
        </w:tc>
        <w:tc>
          <w:tcPr>
            <w:tcW w:w="6206" w:type="dxa"/>
            <w:tcBorders>
              <w:top w:val="single" w:color="auto" w:sz="4" w:space="0"/>
              <w:left w:val="nil"/>
              <w:bottom w:val="single" w:color="auto" w:sz="4" w:space="0"/>
              <w:right w:val="single" w:color="auto" w:sz="4" w:space="0"/>
            </w:tcBorders>
            <w:noWrap w:val="0"/>
            <w:vAlign w:val="top"/>
          </w:tcPr>
          <w:p w14:paraId="2832C6BE">
            <w:pPr>
              <w:spacing w:line="320" w:lineRule="exact"/>
              <w:ind w:firstLine="480" w:firstLineChars="200"/>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建筑垃圾、大件垃圾</w:t>
            </w:r>
            <w:r>
              <w:rPr>
                <w:rFonts w:hint="eastAsia" w:ascii="宋体" w:hAnsi="宋体" w:eastAsia="宋体" w:cs="宋体"/>
                <w:color w:val="auto"/>
                <w:sz w:val="24"/>
                <w:szCs w:val="24"/>
                <w:highlight w:val="none"/>
                <w:lang w:eastAsia="zh-CN"/>
              </w:rPr>
              <w:t>、园林垃圾临时堆放点</w:t>
            </w:r>
            <w:r>
              <w:rPr>
                <w:rFonts w:hint="eastAsia" w:ascii="宋体" w:hAnsi="宋体" w:eastAsia="宋体" w:cs="宋体"/>
                <w:color w:val="auto"/>
                <w:sz w:val="24"/>
                <w:szCs w:val="24"/>
                <w:highlight w:val="none"/>
              </w:rPr>
              <w:t>未规范堆放、及时清运。每发现一处</w:t>
            </w:r>
            <w:r>
              <w:rPr>
                <w:rFonts w:hint="eastAsia" w:ascii="宋体" w:hAnsi="宋体" w:eastAsia="宋体" w:cs="宋体"/>
                <w:color w:val="auto"/>
                <w:sz w:val="24"/>
                <w:szCs w:val="24"/>
                <w:highlight w:val="none"/>
                <w:lang w:eastAsia="zh-CN"/>
              </w:rPr>
              <w:t>问题</w:t>
            </w:r>
            <w:r>
              <w:rPr>
                <w:rFonts w:hint="eastAsia" w:ascii="宋体" w:hAnsi="宋体" w:eastAsia="宋体" w:cs="宋体"/>
                <w:color w:val="auto"/>
                <w:sz w:val="24"/>
                <w:szCs w:val="24"/>
                <w:highlight w:val="none"/>
              </w:rPr>
              <w:t>扣1分</w:t>
            </w:r>
          </w:p>
        </w:tc>
        <w:tc>
          <w:tcPr>
            <w:tcW w:w="915" w:type="dxa"/>
            <w:tcBorders>
              <w:top w:val="single" w:color="auto" w:sz="4" w:space="0"/>
              <w:left w:val="nil"/>
              <w:bottom w:val="single" w:color="auto" w:sz="4" w:space="0"/>
              <w:right w:val="single" w:color="auto" w:sz="4" w:space="0"/>
            </w:tcBorders>
            <w:noWrap w:val="0"/>
            <w:vAlign w:val="center"/>
          </w:tcPr>
          <w:p w14:paraId="18D66E62">
            <w:pPr>
              <w:keepLines w:val="0"/>
              <w:pageBreakBefore w:val="0"/>
              <w:kinsoku/>
              <w:wordWrap/>
              <w:overflowPunct/>
              <w:topLinePunct w:val="0"/>
              <w:autoSpaceDE/>
              <w:autoSpaceDN/>
              <w:bidi w:val="0"/>
              <w:adjustRightInd/>
              <w:snapToGrid/>
              <w:spacing w:line="380" w:lineRule="exact"/>
              <w:ind w:right="119" w:rightChars="0" w:firstLine="420" w:firstLineChars="200"/>
              <w:textAlignment w:val="auto"/>
              <w:rPr>
                <w:rFonts w:hint="eastAsia" w:ascii="宋体" w:hAnsi="宋体" w:eastAsia="宋体" w:cs="宋体"/>
                <w:color w:val="auto"/>
                <w:sz w:val="21"/>
                <w:szCs w:val="21"/>
                <w:highlight w:val="none"/>
              </w:rPr>
            </w:pPr>
          </w:p>
        </w:tc>
      </w:tr>
      <w:tr w14:paraId="37A7149B">
        <w:tblPrEx>
          <w:tblCellMar>
            <w:top w:w="0" w:type="dxa"/>
            <w:left w:w="108" w:type="dxa"/>
            <w:bottom w:w="0" w:type="dxa"/>
            <w:right w:w="108" w:type="dxa"/>
          </w:tblCellMar>
        </w:tblPrEx>
        <w:trPr>
          <w:trHeight w:val="570" w:hRule="atLeast"/>
        </w:trPr>
        <w:tc>
          <w:tcPr>
            <w:tcW w:w="1601" w:type="dxa"/>
            <w:vMerge w:val="continue"/>
            <w:tcBorders>
              <w:left w:val="single" w:color="auto" w:sz="4" w:space="0"/>
              <w:bottom w:val="single" w:color="auto" w:sz="4" w:space="0"/>
              <w:right w:val="single" w:color="auto" w:sz="4" w:space="0"/>
            </w:tcBorders>
            <w:noWrap w:val="0"/>
            <w:vAlign w:val="center"/>
          </w:tcPr>
          <w:p w14:paraId="58DD0714">
            <w:pPr>
              <w:keepLines w:val="0"/>
              <w:pageBreakBefore w:val="0"/>
              <w:kinsoku/>
              <w:wordWrap/>
              <w:overflowPunct/>
              <w:topLinePunct w:val="0"/>
              <w:autoSpaceDE/>
              <w:autoSpaceDN/>
              <w:bidi w:val="0"/>
              <w:adjustRightInd/>
              <w:snapToGrid/>
              <w:spacing w:line="360" w:lineRule="auto"/>
              <w:ind w:right="119" w:rightChars="0" w:firstLine="480" w:firstLineChars="200"/>
              <w:jc w:val="center"/>
              <w:textAlignment w:val="auto"/>
              <w:rPr>
                <w:rFonts w:hint="eastAsia" w:ascii="宋体" w:hAnsi="宋体" w:eastAsia="宋体" w:cs="宋体"/>
                <w:color w:val="auto"/>
                <w:sz w:val="24"/>
                <w:szCs w:val="24"/>
                <w:highlight w:val="none"/>
              </w:rPr>
            </w:pPr>
          </w:p>
        </w:tc>
        <w:tc>
          <w:tcPr>
            <w:tcW w:w="1260" w:type="dxa"/>
            <w:tcBorders>
              <w:top w:val="single" w:color="auto" w:sz="4" w:space="0"/>
              <w:left w:val="nil"/>
              <w:bottom w:val="single" w:color="auto" w:sz="4" w:space="0"/>
              <w:right w:val="single" w:color="auto" w:sz="4" w:space="0"/>
            </w:tcBorders>
            <w:noWrap w:val="0"/>
            <w:vAlign w:val="center"/>
          </w:tcPr>
          <w:p w14:paraId="0E299B2F">
            <w:pPr>
              <w:spacing w:line="320" w:lineRule="exact"/>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lang w:eastAsia="zh-CN"/>
              </w:rPr>
              <w:t>分</w:t>
            </w:r>
          </w:p>
        </w:tc>
        <w:tc>
          <w:tcPr>
            <w:tcW w:w="6206" w:type="dxa"/>
            <w:tcBorders>
              <w:top w:val="single" w:color="auto" w:sz="4" w:space="0"/>
              <w:left w:val="nil"/>
              <w:bottom w:val="single" w:color="auto" w:sz="4" w:space="0"/>
              <w:right w:val="single" w:color="auto" w:sz="4" w:space="0"/>
            </w:tcBorders>
            <w:noWrap w:val="0"/>
            <w:vAlign w:val="top"/>
          </w:tcPr>
          <w:p w14:paraId="2A1FA2D6">
            <w:pPr>
              <w:spacing w:line="320" w:lineRule="exact"/>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村内农贸市场、商铺周边环境整洁，物品摆放有序，无乱堆乱放、破棚散架和占道、跨门经营现象；</w:t>
            </w:r>
            <w:r>
              <w:rPr>
                <w:rFonts w:hint="eastAsia" w:ascii="宋体" w:hAnsi="宋体" w:eastAsia="宋体" w:cs="宋体"/>
                <w:color w:val="auto"/>
                <w:sz w:val="24"/>
                <w:szCs w:val="24"/>
                <w:highlight w:val="none"/>
              </w:rPr>
              <w:t>每发现一处问题扣1分</w:t>
            </w:r>
          </w:p>
        </w:tc>
        <w:tc>
          <w:tcPr>
            <w:tcW w:w="915" w:type="dxa"/>
            <w:tcBorders>
              <w:top w:val="single" w:color="auto" w:sz="4" w:space="0"/>
              <w:left w:val="nil"/>
              <w:bottom w:val="single" w:color="auto" w:sz="4" w:space="0"/>
              <w:right w:val="single" w:color="auto" w:sz="4" w:space="0"/>
            </w:tcBorders>
            <w:noWrap w:val="0"/>
            <w:vAlign w:val="center"/>
          </w:tcPr>
          <w:p w14:paraId="7A9FDE06">
            <w:pPr>
              <w:keepLines w:val="0"/>
              <w:pageBreakBefore w:val="0"/>
              <w:kinsoku/>
              <w:wordWrap/>
              <w:overflowPunct/>
              <w:topLinePunct w:val="0"/>
              <w:autoSpaceDE/>
              <w:autoSpaceDN/>
              <w:bidi w:val="0"/>
              <w:adjustRightInd/>
              <w:snapToGrid/>
              <w:spacing w:line="380" w:lineRule="exact"/>
              <w:ind w:right="119" w:rightChars="0" w:firstLine="420" w:firstLineChars="200"/>
              <w:textAlignment w:val="auto"/>
              <w:rPr>
                <w:rFonts w:hint="eastAsia" w:ascii="宋体" w:hAnsi="宋体" w:eastAsia="宋体" w:cs="宋体"/>
                <w:color w:val="auto"/>
                <w:sz w:val="21"/>
                <w:szCs w:val="21"/>
                <w:highlight w:val="none"/>
              </w:rPr>
            </w:pPr>
          </w:p>
        </w:tc>
      </w:tr>
      <w:tr w14:paraId="12D83EE9">
        <w:tblPrEx>
          <w:tblCellMar>
            <w:top w:w="0" w:type="dxa"/>
            <w:left w:w="108" w:type="dxa"/>
            <w:bottom w:w="0" w:type="dxa"/>
            <w:right w:w="108" w:type="dxa"/>
          </w:tblCellMar>
        </w:tblPrEx>
        <w:trPr>
          <w:trHeight w:val="570" w:hRule="atLeast"/>
        </w:trPr>
        <w:tc>
          <w:tcPr>
            <w:tcW w:w="1601" w:type="dxa"/>
            <w:tcBorders>
              <w:top w:val="single" w:color="auto" w:sz="4" w:space="0"/>
              <w:left w:val="single" w:color="auto" w:sz="4" w:space="0"/>
              <w:bottom w:val="single" w:color="auto" w:sz="4" w:space="0"/>
              <w:right w:val="single" w:color="auto" w:sz="4" w:space="0"/>
            </w:tcBorders>
            <w:noWrap w:val="0"/>
            <w:vAlign w:val="center"/>
          </w:tcPr>
          <w:p w14:paraId="7514CF44">
            <w:pPr>
              <w:keepLines w:val="0"/>
              <w:pageBreakBefore w:val="0"/>
              <w:kinsoku/>
              <w:wordWrap/>
              <w:overflowPunct/>
              <w:topLinePunct w:val="0"/>
              <w:autoSpaceDE/>
              <w:autoSpaceDN/>
              <w:bidi w:val="0"/>
              <w:adjustRightInd/>
              <w:snapToGrid/>
              <w:spacing w:line="360" w:lineRule="auto"/>
              <w:ind w:right="119" w:right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公厕</w:t>
            </w:r>
          </w:p>
          <w:p w14:paraId="7FBE541C">
            <w:pPr>
              <w:keepLines w:val="0"/>
              <w:pageBreakBefore w:val="0"/>
              <w:kinsoku/>
              <w:wordWrap/>
              <w:overflowPunct/>
              <w:topLinePunct w:val="0"/>
              <w:autoSpaceDE/>
              <w:autoSpaceDN/>
              <w:bidi w:val="0"/>
              <w:adjustRightInd/>
              <w:snapToGrid/>
              <w:spacing w:line="360" w:lineRule="auto"/>
              <w:ind w:right="119" w:right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lang w:eastAsia="zh-CN"/>
              </w:rPr>
              <w:t>分</w:t>
            </w:r>
            <w:r>
              <w:rPr>
                <w:rFonts w:hint="eastAsia" w:ascii="宋体" w:hAnsi="宋体" w:eastAsia="宋体" w:cs="宋体"/>
                <w:color w:val="auto"/>
                <w:sz w:val="24"/>
                <w:szCs w:val="24"/>
                <w:highlight w:val="none"/>
              </w:rPr>
              <w:t>）</w:t>
            </w:r>
          </w:p>
        </w:tc>
        <w:tc>
          <w:tcPr>
            <w:tcW w:w="1260" w:type="dxa"/>
            <w:tcBorders>
              <w:top w:val="single" w:color="auto" w:sz="4" w:space="0"/>
              <w:left w:val="nil"/>
              <w:bottom w:val="single" w:color="auto" w:sz="4" w:space="0"/>
              <w:right w:val="single" w:color="auto" w:sz="4" w:space="0"/>
            </w:tcBorders>
            <w:noWrap w:val="0"/>
            <w:vAlign w:val="center"/>
          </w:tcPr>
          <w:p w14:paraId="1F76B8FF">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lang w:eastAsia="zh-CN"/>
              </w:rPr>
              <w:t>分</w:t>
            </w:r>
          </w:p>
        </w:tc>
        <w:tc>
          <w:tcPr>
            <w:tcW w:w="6206" w:type="dxa"/>
            <w:tcBorders>
              <w:top w:val="single" w:color="auto" w:sz="4" w:space="0"/>
              <w:left w:val="nil"/>
              <w:bottom w:val="single" w:color="auto" w:sz="4" w:space="0"/>
              <w:right w:val="single" w:color="auto" w:sz="4" w:space="0"/>
            </w:tcBorders>
            <w:noWrap w:val="0"/>
            <w:vAlign w:val="top"/>
          </w:tcPr>
          <w:p w14:paraId="1F43CB77">
            <w:pPr>
              <w:spacing w:line="320" w:lineRule="exact"/>
              <w:ind w:firstLine="480" w:firstLineChars="20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男女标识、保洁制度等上墙；内部水、电、冲洗设施等完好，下水道通畅；公厕无异味，清扫及时，内外整洁；</w:t>
            </w:r>
            <w:r>
              <w:rPr>
                <w:rFonts w:hint="eastAsia" w:ascii="宋体" w:hAnsi="宋体" w:eastAsia="宋体" w:cs="宋体"/>
                <w:snapToGrid w:val="0"/>
                <w:color w:val="auto"/>
                <w:sz w:val="24"/>
                <w:szCs w:val="24"/>
                <w:highlight w:val="none"/>
              </w:rPr>
              <w:t>贮粪池不渗漏、密封有盖。</w:t>
            </w:r>
            <w:r>
              <w:rPr>
                <w:rFonts w:hint="eastAsia" w:ascii="宋体" w:hAnsi="宋体" w:eastAsia="宋体" w:cs="宋体"/>
                <w:color w:val="auto"/>
                <w:sz w:val="24"/>
                <w:szCs w:val="24"/>
                <w:highlight w:val="none"/>
              </w:rPr>
              <w:t>每发现一处问题扣1分</w:t>
            </w:r>
          </w:p>
          <w:p w14:paraId="131E5518">
            <w:pPr>
              <w:spacing w:line="320" w:lineRule="exact"/>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村域范围内无露天粪坑（缸）、旱厕，每发现一处问题扣5分</w:t>
            </w:r>
          </w:p>
        </w:tc>
        <w:tc>
          <w:tcPr>
            <w:tcW w:w="915" w:type="dxa"/>
            <w:tcBorders>
              <w:top w:val="single" w:color="auto" w:sz="4" w:space="0"/>
              <w:left w:val="nil"/>
              <w:bottom w:val="single" w:color="auto" w:sz="4" w:space="0"/>
              <w:right w:val="single" w:color="auto" w:sz="4" w:space="0"/>
            </w:tcBorders>
            <w:noWrap w:val="0"/>
            <w:vAlign w:val="center"/>
          </w:tcPr>
          <w:p w14:paraId="3DDA9D10">
            <w:pPr>
              <w:keepLines w:val="0"/>
              <w:pageBreakBefore w:val="0"/>
              <w:kinsoku/>
              <w:wordWrap/>
              <w:overflowPunct/>
              <w:topLinePunct w:val="0"/>
              <w:autoSpaceDE/>
              <w:autoSpaceDN/>
              <w:bidi w:val="0"/>
              <w:adjustRightInd/>
              <w:snapToGrid/>
              <w:spacing w:line="380" w:lineRule="exact"/>
              <w:ind w:right="119" w:rightChars="0" w:firstLine="420" w:firstLineChars="200"/>
              <w:textAlignment w:val="auto"/>
              <w:rPr>
                <w:rFonts w:hint="eastAsia" w:ascii="宋体" w:hAnsi="宋体" w:eastAsia="宋体" w:cs="宋体"/>
                <w:color w:val="auto"/>
                <w:sz w:val="21"/>
                <w:szCs w:val="21"/>
                <w:highlight w:val="none"/>
              </w:rPr>
            </w:pPr>
          </w:p>
        </w:tc>
      </w:tr>
      <w:tr w14:paraId="5AC8AC26">
        <w:tblPrEx>
          <w:tblCellMar>
            <w:top w:w="0" w:type="dxa"/>
            <w:left w:w="108" w:type="dxa"/>
            <w:bottom w:w="0" w:type="dxa"/>
            <w:right w:w="108" w:type="dxa"/>
          </w:tblCellMar>
        </w:tblPrEx>
        <w:trPr>
          <w:trHeight w:val="570" w:hRule="atLeast"/>
        </w:trPr>
        <w:tc>
          <w:tcPr>
            <w:tcW w:w="1601" w:type="dxa"/>
            <w:vMerge w:val="restart"/>
            <w:tcBorders>
              <w:top w:val="single" w:color="auto" w:sz="4" w:space="0"/>
              <w:left w:val="single" w:color="auto" w:sz="4" w:space="0"/>
              <w:right w:val="single" w:color="auto" w:sz="4" w:space="0"/>
            </w:tcBorders>
            <w:noWrap w:val="0"/>
            <w:vAlign w:val="center"/>
          </w:tcPr>
          <w:p w14:paraId="2CC56669">
            <w:pPr>
              <w:keepLines w:val="0"/>
              <w:pageBreakBefore w:val="0"/>
              <w:kinsoku/>
              <w:wordWrap/>
              <w:overflowPunct/>
              <w:topLinePunct w:val="0"/>
              <w:autoSpaceDE/>
              <w:autoSpaceDN/>
              <w:bidi w:val="0"/>
              <w:adjustRightInd/>
              <w:snapToGrid/>
              <w:spacing w:line="360" w:lineRule="auto"/>
              <w:ind w:left="240" w:leftChars="0" w:right="119" w:rightChars="0" w:hanging="240" w:hangingChars="10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河道及水体（15</w:t>
            </w:r>
            <w:r>
              <w:rPr>
                <w:rFonts w:hint="eastAsia" w:ascii="宋体" w:hAnsi="宋体" w:eastAsia="宋体" w:cs="宋体"/>
                <w:color w:val="auto"/>
                <w:sz w:val="24"/>
                <w:szCs w:val="24"/>
                <w:highlight w:val="none"/>
                <w:lang w:eastAsia="zh-CN"/>
              </w:rPr>
              <w:t>分</w:t>
            </w:r>
            <w:r>
              <w:rPr>
                <w:rFonts w:hint="eastAsia" w:ascii="宋体" w:hAnsi="宋体" w:eastAsia="宋体" w:cs="宋体"/>
                <w:color w:val="auto"/>
                <w:sz w:val="24"/>
                <w:szCs w:val="24"/>
                <w:highlight w:val="none"/>
              </w:rPr>
              <w:t>）</w:t>
            </w:r>
          </w:p>
        </w:tc>
        <w:tc>
          <w:tcPr>
            <w:tcW w:w="1260" w:type="dxa"/>
            <w:tcBorders>
              <w:top w:val="single" w:color="auto" w:sz="4" w:space="0"/>
              <w:left w:val="nil"/>
              <w:bottom w:val="single" w:color="auto" w:sz="4" w:space="0"/>
              <w:right w:val="single" w:color="auto" w:sz="4" w:space="0"/>
            </w:tcBorders>
            <w:noWrap w:val="0"/>
            <w:vAlign w:val="center"/>
          </w:tcPr>
          <w:p w14:paraId="1B4E417E">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10</w:t>
            </w:r>
            <w:r>
              <w:rPr>
                <w:rFonts w:hint="eastAsia" w:ascii="宋体" w:hAnsi="宋体" w:eastAsia="宋体" w:cs="宋体"/>
                <w:color w:val="auto"/>
                <w:sz w:val="24"/>
                <w:szCs w:val="24"/>
                <w:highlight w:val="none"/>
                <w:lang w:eastAsia="zh-CN"/>
              </w:rPr>
              <w:t>分</w:t>
            </w:r>
          </w:p>
        </w:tc>
        <w:tc>
          <w:tcPr>
            <w:tcW w:w="6206" w:type="dxa"/>
            <w:tcBorders>
              <w:top w:val="single" w:color="auto" w:sz="4" w:space="0"/>
              <w:left w:val="nil"/>
              <w:bottom w:val="single" w:color="auto" w:sz="4" w:space="0"/>
              <w:right w:val="single" w:color="auto" w:sz="4" w:space="0"/>
            </w:tcBorders>
            <w:noWrap w:val="0"/>
            <w:vAlign w:val="top"/>
          </w:tcPr>
          <w:p w14:paraId="3A32ED1D">
            <w:pPr>
              <w:spacing w:line="320" w:lineRule="exact"/>
              <w:ind w:firstLine="480" w:firstLineChars="200"/>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水面干净整洁，无塑料袋、浮萍、菜叶、水葫芦等漂浮物，无地笼或沉船；两岸环境整洁，岸边、桥墩边无垃圾或各类堆积物；河长牌、出水口牌管护到位，无缺失、破损；每发现一处问题扣1分，若浮萍、水草等大面积封江（塘）扣10分</w:t>
            </w:r>
          </w:p>
        </w:tc>
        <w:tc>
          <w:tcPr>
            <w:tcW w:w="915" w:type="dxa"/>
            <w:tcBorders>
              <w:top w:val="single" w:color="auto" w:sz="4" w:space="0"/>
              <w:left w:val="nil"/>
              <w:bottom w:val="single" w:color="auto" w:sz="4" w:space="0"/>
              <w:right w:val="single" w:color="auto" w:sz="4" w:space="0"/>
            </w:tcBorders>
            <w:noWrap w:val="0"/>
            <w:vAlign w:val="center"/>
          </w:tcPr>
          <w:p w14:paraId="37962CE6">
            <w:pPr>
              <w:keepLines w:val="0"/>
              <w:pageBreakBefore w:val="0"/>
              <w:kinsoku/>
              <w:wordWrap/>
              <w:overflowPunct/>
              <w:topLinePunct w:val="0"/>
              <w:autoSpaceDE/>
              <w:autoSpaceDN/>
              <w:bidi w:val="0"/>
              <w:adjustRightInd/>
              <w:snapToGrid/>
              <w:spacing w:line="380" w:lineRule="exact"/>
              <w:ind w:right="119" w:rightChars="0" w:firstLine="420" w:firstLineChars="200"/>
              <w:textAlignment w:val="auto"/>
              <w:rPr>
                <w:rFonts w:hint="eastAsia" w:ascii="宋体" w:hAnsi="宋体" w:eastAsia="宋体" w:cs="宋体"/>
                <w:color w:val="auto"/>
                <w:sz w:val="21"/>
                <w:szCs w:val="21"/>
                <w:highlight w:val="none"/>
              </w:rPr>
            </w:pPr>
          </w:p>
        </w:tc>
      </w:tr>
      <w:tr w14:paraId="6AF869AB">
        <w:tblPrEx>
          <w:tblCellMar>
            <w:top w:w="0" w:type="dxa"/>
            <w:left w:w="108" w:type="dxa"/>
            <w:bottom w:w="0" w:type="dxa"/>
            <w:right w:w="108" w:type="dxa"/>
          </w:tblCellMar>
        </w:tblPrEx>
        <w:trPr>
          <w:trHeight w:val="570" w:hRule="atLeast"/>
        </w:trPr>
        <w:tc>
          <w:tcPr>
            <w:tcW w:w="1601" w:type="dxa"/>
            <w:vMerge w:val="continue"/>
            <w:tcBorders>
              <w:left w:val="single" w:color="auto" w:sz="4" w:space="0"/>
              <w:bottom w:val="single" w:color="auto" w:sz="4" w:space="0"/>
              <w:right w:val="single" w:color="auto" w:sz="4" w:space="0"/>
            </w:tcBorders>
            <w:noWrap w:val="0"/>
            <w:vAlign w:val="center"/>
          </w:tcPr>
          <w:p w14:paraId="1C13F0F5">
            <w:pPr>
              <w:keepLines w:val="0"/>
              <w:pageBreakBefore w:val="0"/>
              <w:kinsoku/>
              <w:wordWrap/>
              <w:overflowPunct/>
              <w:topLinePunct w:val="0"/>
              <w:autoSpaceDE/>
              <w:autoSpaceDN/>
              <w:bidi w:val="0"/>
              <w:adjustRightInd/>
              <w:snapToGrid/>
              <w:spacing w:line="360" w:lineRule="auto"/>
              <w:ind w:right="119" w:rightChars="0" w:firstLine="480" w:firstLineChars="200"/>
              <w:jc w:val="center"/>
              <w:textAlignment w:val="auto"/>
              <w:rPr>
                <w:rFonts w:hint="eastAsia" w:ascii="宋体" w:hAnsi="宋体" w:eastAsia="宋体" w:cs="宋体"/>
                <w:color w:val="auto"/>
                <w:sz w:val="24"/>
                <w:szCs w:val="24"/>
                <w:highlight w:val="none"/>
              </w:rPr>
            </w:pPr>
          </w:p>
        </w:tc>
        <w:tc>
          <w:tcPr>
            <w:tcW w:w="1260" w:type="dxa"/>
            <w:tcBorders>
              <w:top w:val="single" w:color="auto" w:sz="4" w:space="0"/>
              <w:left w:val="nil"/>
              <w:bottom w:val="single" w:color="auto" w:sz="4" w:space="0"/>
              <w:right w:val="single" w:color="auto" w:sz="4" w:space="0"/>
            </w:tcBorders>
            <w:noWrap w:val="0"/>
            <w:vAlign w:val="center"/>
          </w:tcPr>
          <w:p w14:paraId="2F276AE7">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5</w:t>
            </w:r>
            <w:r>
              <w:rPr>
                <w:rFonts w:hint="eastAsia" w:ascii="宋体" w:hAnsi="宋体" w:eastAsia="宋体" w:cs="宋体"/>
                <w:color w:val="auto"/>
                <w:sz w:val="24"/>
                <w:szCs w:val="24"/>
                <w:highlight w:val="none"/>
                <w:lang w:eastAsia="zh-CN"/>
              </w:rPr>
              <w:t>分</w:t>
            </w:r>
          </w:p>
        </w:tc>
        <w:tc>
          <w:tcPr>
            <w:tcW w:w="6206" w:type="dxa"/>
            <w:tcBorders>
              <w:top w:val="single" w:color="auto" w:sz="4" w:space="0"/>
              <w:left w:val="nil"/>
              <w:bottom w:val="single" w:color="auto" w:sz="4" w:space="0"/>
              <w:right w:val="single" w:color="auto" w:sz="4" w:space="0"/>
            </w:tcBorders>
            <w:noWrap w:val="0"/>
            <w:vAlign w:val="top"/>
          </w:tcPr>
          <w:p w14:paraId="7A12CF23">
            <w:pPr>
              <w:spacing w:line="320" w:lineRule="exact"/>
              <w:ind w:firstLine="480" w:firstLineChars="200"/>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河道水质良好，无排污口或晴天出水情况，无劣五类水体，每发现一处问题扣1分</w:t>
            </w:r>
          </w:p>
        </w:tc>
        <w:tc>
          <w:tcPr>
            <w:tcW w:w="915" w:type="dxa"/>
            <w:tcBorders>
              <w:top w:val="single" w:color="auto" w:sz="4" w:space="0"/>
              <w:left w:val="nil"/>
              <w:bottom w:val="single" w:color="auto" w:sz="4" w:space="0"/>
              <w:right w:val="single" w:color="auto" w:sz="4" w:space="0"/>
            </w:tcBorders>
            <w:noWrap w:val="0"/>
            <w:vAlign w:val="center"/>
          </w:tcPr>
          <w:p w14:paraId="6B02130F">
            <w:pPr>
              <w:keepLines w:val="0"/>
              <w:pageBreakBefore w:val="0"/>
              <w:kinsoku/>
              <w:wordWrap/>
              <w:overflowPunct/>
              <w:topLinePunct w:val="0"/>
              <w:autoSpaceDE/>
              <w:autoSpaceDN/>
              <w:bidi w:val="0"/>
              <w:adjustRightInd/>
              <w:snapToGrid/>
              <w:spacing w:line="380" w:lineRule="exact"/>
              <w:ind w:right="119" w:rightChars="0" w:firstLine="420" w:firstLineChars="200"/>
              <w:textAlignment w:val="auto"/>
              <w:rPr>
                <w:rFonts w:hint="eastAsia" w:ascii="宋体" w:hAnsi="宋体" w:eastAsia="宋体" w:cs="宋体"/>
                <w:color w:val="auto"/>
                <w:sz w:val="21"/>
                <w:szCs w:val="21"/>
                <w:highlight w:val="none"/>
              </w:rPr>
            </w:pPr>
          </w:p>
        </w:tc>
      </w:tr>
      <w:tr w14:paraId="097AF749">
        <w:tblPrEx>
          <w:tblCellMar>
            <w:top w:w="0" w:type="dxa"/>
            <w:left w:w="108" w:type="dxa"/>
            <w:bottom w:w="0" w:type="dxa"/>
            <w:right w:w="108" w:type="dxa"/>
          </w:tblCellMar>
        </w:tblPrEx>
        <w:trPr>
          <w:trHeight w:val="570" w:hRule="atLeast"/>
        </w:trPr>
        <w:tc>
          <w:tcPr>
            <w:tcW w:w="1601" w:type="dxa"/>
            <w:tcBorders>
              <w:top w:val="single" w:color="auto" w:sz="4" w:space="0"/>
              <w:left w:val="single" w:color="auto" w:sz="4" w:space="0"/>
              <w:bottom w:val="single" w:color="auto" w:sz="4" w:space="0"/>
              <w:right w:val="single" w:color="auto" w:sz="4" w:space="0"/>
            </w:tcBorders>
            <w:noWrap w:val="0"/>
            <w:vAlign w:val="center"/>
          </w:tcPr>
          <w:p w14:paraId="01A92B76">
            <w:pPr>
              <w:keepLines w:val="0"/>
              <w:pageBreakBefore w:val="0"/>
              <w:kinsoku/>
              <w:wordWrap/>
              <w:overflowPunct/>
              <w:topLinePunct w:val="0"/>
              <w:autoSpaceDE/>
              <w:autoSpaceDN/>
              <w:bidi w:val="0"/>
              <w:adjustRightInd/>
              <w:snapToGrid/>
              <w:spacing w:line="360" w:lineRule="auto"/>
              <w:ind w:left="240" w:leftChars="0" w:right="119" w:rightChars="0" w:hanging="240" w:hangingChars="10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清理空倒房（5</w:t>
            </w:r>
            <w:r>
              <w:rPr>
                <w:rFonts w:hint="eastAsia" w:ascii="宋体" w:hAnsi="宋体" w:eastAsia="宋体" w:cs="宋体"/>
                <w:color w:val="auto"/>
                <w:sz w:val="24"/>
                <w:szCs w:val="24"/>
                <w:highlight w:val="none"/>
                <w:lang w:eastAsia="zh-CN"/>
              </w:rPr>
              <w:t>分</w:t>
            </w:r>
            <w:r>
              <w:rPr>
                <w:rFonts w:hint="eastAsia" w:ascii="宋体" w:hAnsi="宋体" w:eastAsia="宋体" w:cs="宋体"/>
                <w:color w:val="auto"/>
                <w:sz w:val="24"/>
                <w:szCs w:val="24"/>
                <w:highlight w:val="none"/>
              </w:rPr>
              <w:t>）</w:t>
            </w:r>
          </w:p>
        </w:tc>
        <w:tc>
          <w:tcPr>
            <w:tcW w:w="1260" w:type="dxa"/>
            <w:tcBorders>
              <w:top w:val="single" w:color="auto" w:sz="4" w:space="0"/>
              <w:left w:val="nil"/>
              <w:bottom w:val="single" w:color="auto" w:sz="4" w:space="0"/>
              <w:right w:val="single" w:color="auto" w:sz="4" w:space="0"/>
            </w:tcBorders>
            <w:noWrap w:val="0"/>
            <w:vAlign w:val="center"/>
          </w:tcPr>
          <w:p w14:paraId="60D17017">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lang w:eastAsia="zh-CN"/>
              </w:rPr>
              <w:t>分</w:t>
            </w:r>
          </w:p>
        </w:tc>
        <w:tc>
          <w:tcPr>
            <w:tcW w:w="6206" w:type="dxa"/>
            <w:tcBorders>
              <w:top w:val="single" w:color="auto" w:sz="4" w:space="0"/>
              <w:left w:val="nil"/>
              <w:bottom w:val="single" w:color="auto" w:sz="4" w:space="0"/>
              <w:right w:val="single" w:color="auto" w:sz="4" w:space="0"/>
            </w:tcBorders>
            <w:noWrap w:val="0"/>
            <w:vAlign w:val="top"/>
          </w:tcPr>
          <w:p w14:paraId="0E7693B7">
            <w:pPr>
              <w:spacing w:line="320" w:lineRule="exact"/>
              <w:ind w:firstLine="504" w:firstLineChars="200"/>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spacing w:val="6"/>
                <w:kern w:val="0"/>
                <w:sz w:val="24"/>
                <w:szCs w:val="24"/>
                <w:highlight w:val="none"/>
              </w:rPr>
              <w:t>村内无影响村容村貌、有碍观瞻及影响公共安全的残垣断壁、危房等空倒房，</w:t>
            </w:r>
            <w:r>
              <w:rPr>
                <w:rFonts w:hint="eastAsia" w:ascii="宋体" w:hAnsi="宋体" w:eastAsia="宋体" w:cs="宋体"/>
                <w:snapToGrid w:val="0"/>
                <w:color w:val="auto"/>
                <w:kern w:val="0"/>
                <w:sz w:val="24"/>
                <w:szCs w:val="24"/>
                <w:highlight w:val="none"/>
              </w:rPr>
              <w:t>无乱搭乱建、影响整体环境现象；建房、装修等材料规范堆放并挂牌施工。</w:t>
            </w:r>
            <w:r>
              <w:rPr>
                <w:rFonts w:hint="eastAsia" w:ascii="宋体" w:hAnsi="宋体" w:eastAsia="宋体" w:cs="宋体"/>
                <w:snapToGrid w:val="0"/>
                <w:color w:val="auto"/>
                <w:kern w:val="0"/>
                <w:sz w:val="24"/>
                <w:szCs w:val="24"/>
                <w:highlight w:val="none"/>
                <w:lang w:eastAsia="zh-CN"/>
              </w:rPr>
              <w:t>如有空倒房标志未上墙，空倒房、违章未上报，施工未挂牌等问题，</w:t>
            </w:r>
            <w:r>
              <w:rPr>
                <w:rFonts w:hint="eastAsia" w:ascii="宋体" w:hAnsi="宋体" w:eastAsia="宋体" w:cs="宋体"/>
                <w:color w:val="auto"/>
                <w:sz w:val="24"/>
                <w:szCs w:val="24"/>
                <w:highlight w:val="none"/>
              </w:rPr>
              <w:t>每</w:t>
            </w:r>
            <w:r>
              <w:rPr>
                <w:rFonts w:hint="eastAsia" w:ascii="宋体" w:hAnsi="宋体" w:eastAsia="宋体" w:cs="宋体"/>
                <w:color w:val="auto"/>
                <w:sz w:val="24"/>
                <w:szCs w:val="24"/>
                <w:highlight w:val="none"/>
                <w:lang w:eastAsia="zh-CN"/>
              </w:rPr>
              <w:t>起</w:t>
            </w:r>
            <w:r>
              <w:rPr>
                <w:rFonts w:hint="eastAsia" w:ascii="宋体" w:hAnsi="宋体" w:eastAsia="宋体" w:cs="宋体"/>
                <w:color w:val="auto"/>
                <w:sz w:val="24"/>
                <w:szCs w:val="24"/>
                <w:highlight w:val="none"/>
              </w:rPr>
              <w:t>扣1分</w:t>
            </w:r>
          </w:p>
        </w:tc>
        <w:tc>
          <w:tcPr>
            <w:tcW w:w="915" w:type="dxa"/>
            <w:tcBorders>
              <w:top w:val="single" w:color="auto" w:sz="4" w:space="0"/>
              <w:left w:val="nil"/>
              <w:bottom w:val="single" w:color="auto" w:sz="4" w:space="0"/>
              <w:right w:val="single" w:color="auto" w:sz="4" w:space="0"/>
            </w:tcBorders>
            <w:noWrap w:val="0"/>
            <w:vAlign w:val="center"/>
          </w:tcPr>
          <w:p w14:paraId="5A6D457F">
            <w:pPr>
              <w:keepLines w:val="0"/>
              <w:pageBreakBefore w:val="0"/>
              <w:kinsoku/>
              <w:wordWrap/>
              <w:overflowPunct/>
              <w:topLinePunct w:val="0"/>
              <w:autoSpaceDE/>
              <w:autoSpaceDN/>
              <w:bidi w:val="0"/>
              <w:adjustRightInd/>
              <w:snapToGrid/>
              <w:spacing w:line="380" w:lineRule="exact"/>
              <w:ind w:right="119" w:rightChars="0" w:firstLine="420" w:firstLineChars="200"/>
              <w:textAlignment w:val="auto"/>
              <w:rPr>
                <w:rFonts w:hint="eastAsia" w:ascii="宋体" w:hAnsi="宋体" w:eastAsia="宋体" w:cs="宋体"/>
                <w:color w:val="auto"/>
                <w:sz w:val="21"/>
                <w:szCs w:val="21"/>
                <w:highlight w:val="none"/>
              </w:rPr>
            </w:pPr>
          </w:p>
        </w:tc>
      </w:tr>
      <w:tr w14:paraId="1D9CDFD9">
        <w:tblPrEx>
          <w:tblCellMar>
            <w:top w:w="0" w:type="dxa"/>
            <w:left w:w="108" w:type="dxa"/>
            <w:bottom w:w="0" w:type="dxa"/>
            <w:right w:w="108" w:type="dxa"/>
          </w:tblCellMar>
        </w:tblPrEx>
        <w:trPr>
          <w:trHeight w:val="570" w:hRule="atLeast"/>
        </w:trPr>
        <w:tc>
          <w:tcPr>
            <w:tcW w:w="1601" w:type="dxa"/>
            <w:tcBorders>
              <w:top w:val="single" w:color="auto" w:sz="4" w:space="0"/>
              <w:left w:val="single" w:color="auto" w:sz="4" w:space="0"/>
              <w:bottom w:val="single" w:color="auto" w:sz="4" w:space="0"/>
              <w:right w:val="single" w:color="auto" w:sz="4" w:space="0"/>
            </w:tcBorders>
            <w:noWrap w:val="0"/>
            <w:vAlign w:val="center"/>
          </w:tcPr>
          <w:p w14:paraId="7D36B7C2">
            <w:pPr>
              <w:keepLines w:val="0"/>
              <w:pageBreakBefore w:val="0"/>
              <w:kinsoku/>
              <w:wordWrap/>
              <w:overflowPunct/>
              <w:topLinePunct w:val="0"/>
              <w:autoSpaceDE/>
              <w:autoSpaceDN/>
              <w:bidi w:val="0"/>
              <w:adjustRightInd/>
              <w:snapToGrid/>
              <w:spacing w:line="360" w:lineRule="auto"/>
              <w:ind w:right="119" w:right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三线序化</w:t>
            </w:r>
          </w:p>
          <w:p w14:paraId="30297271">
            <w:pPr>
              <w:keepLines w:val="0"/>
              <w:pageBreakBefore w:val="0"/>
              <w:kinsoku/>
              <w:wordWrap/>
              <w:overflowPunct/>
              <w:topLinePunct w:val="0"/>
              <w:autoSpaceDE/>
              <w:autoSpaceDN/>
              <w:bidi w:val="0"/>
              <w:adjustRightInd/>
              <w:snapToGrid/>
              <w:spacing w:line="360" w:lineRule="auto"/>
              <w:ind w:right="119" w:right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lang w:eastAsia="zh-CN"/>
              </w:rPr>
              <w:t>分</w:t>
            </w:r>
            <w:r>
              <w:rPr>
                <w:rFonts w:hint="eastAsia" w:ascii="宋体" w:hAnsi="宋体" w:eastAsia="宋体" w:cs="宋体"/>
                <w:color w:val="auto"/>
                <w:sz w:val="24"/>
                <w:szCs w:val="24"/>
                <w:highlight w:val="none"/>
              </w:rPr>
              <w:t>）</w:t>
            </w:r>
          </w:p>
        </w:tc>
        <w:tc>
          <w:tcPr>
            <w:tcW w:w="1260" w:type="dxa"/>
            <w:tcBorders>
              <w:top w:val="single" w:color="auto" w:sz="4" w:space="0"/>
              <w:left w:val="nil"/>
              <w:bottom w:val="single" w:color="auto" w:sz="4" w:space="0"/>
              <w:right w:val="single" w:color="auto" w:sz="4" w:space="0"/>
            </w:tcBorders>
            <w:noWrap w:val="0"/>
            <w:vAlign w:val="center"/>
          </w:tcPr>
          <w:p w14:paraId="273BBAD5">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lang w:eastAsia="zh-CN"/>
              </w:rPr>
              <w:t>分</w:t>
            </w:r>
          </w:p>
        </w:tc>
        <w:tc>
          <w:tcPr>
            <w:tcW w:w="6206" w:type="dxa"/>
            <w:tcBorders>
              <w:top w:val="single" w:color="auto" w:sz="4" w:space="0"/>
              <w:left w:val="nil"/>
              <w:bottom w:val="single" w:color="auto" w:sz="4" w:space="0"/>
              <w:right w:val="single" w:color="auto" w:sz="4" w:space="0"/>
            </w:tcBorders>
            <w:noWrap w:val="0"/>
            <w:vAlign w:val="top"/>
          </w:tcPr>
          <w:p w14:paraId="3F8B2693">
            <w:pPr>
              <w:spacing w:line="320" w:lineRule="exact"/>
              <w:ind w:firstLine="480" w:firstLineChars="200"/>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三线管护到位，无“蜘蛛网”、下垂废线，强弱电电箱加盖，每发现一处扣1分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凌乱、闲置杆线及时对接清理，</w:t>
            </w:r>
            <w:r>
              <w:rPr>
                <w:rFonts w:hint="eastAsia" w:ascii="宋体" w:hAnsi="宋体" w:eastAsia="宋体" w:cs="宋体"/>
                <w:color w:val="auto"/>
                <w:sz w:val="24"/>
                <w:szCs w:val="24"/>
                <w:highlight w:val="none"/>
                <w:lang w:eastAsia="zh-CN"/>
              </w:rPr>
              <w:t>未上报的每起扣</w:t>
            </w:r>
            <w:r>
              <w:rPr>
                <w:rFonts w:hint="eastAsia" w:ascii="宋体" w:hAnsi="宋体" w:eastAsia="宋体" w:cs="宋体"/>
                <w:color w:val="auto"/>
                <w:sz w:val="24"/>
                <w:szCs w:val="24"/>
                <w:highlight w:val="none"/>
                <w:lang w:val="en-US" w:eastAsia="zh-CN"/>
              </w:rPr>
              <w:t>1分</w:t>
            </w:r>
          </w:p>
        </w:tc>
        <w:tc>
          <w:tcPr>
            <w:tcW w:w="915" w:type="dxa"/>
            <w:tcBorders>
              <w:top w:val="single" w:color="auto" w:sz="4" w:space="0"/>
              <w:left w:val="nil"/>
              <w:bottom w:val="single" w:color="auto" w:sz="4" w:space="0"/>
              <w:right w:val="single" w:color="auto" w:sz="4" w:space="0"/>
            </w:tcBorders>
            <w:noWrap w:val="0"/>
            <w:vAlign w:val="center"/>
          </w:tcPr>
          <w:p w14:paraId="5D0E00E2">
            <w:pPr>
              <w:keepLines w:val="0"/>
              <w:pageBreakBefore w:val="0"/>
              <w:kinsoku/>
              <w:wordWrap/>
              <w:overflowPunct/>
              <w:topLinePunct w:val="0"/>
              <w:autoSpaceDE/>
              <w:autoSpaceDN/>
              <w:bidi w:val="0"/>
              <w:adjustRightInd/>
              <w:snapToGrid/>
              <w:spacing w:line="380" w:lineRule="exact"/>
              <w:ind w:right="119" w:rightChars="0" w:firstLine="420" w:firstLineChars="200"/>
              <w:textAlignment w:val="auto"/>
              <w:rPr>
                <w:rFonts w:hint="eastAsia" w:ascii="宋体" w:hAnsi="宋体" w:eastAsia="宋体" w:cs="宋体"/>
                <w:color w:val="auto"/>
                <w:sz w:val="21"/>
                <w:szCs w:val="21"/>
                <w:highlight w:val="none"/>
              </w:rPr>
            </w:pPr>
          </w:p>
        </w:tc>
      </w:tr>
      <w:tr w14:paraId="2E9D3AFF">
        <w:tblPrEx>
          <w:tblCellMar>
            <w:top w:w="0" w:type="dxa"/>
            <w:left w:w="108" w:type="dxa"/>
            <w:bottom w:w="0" w:type="dxa"/>
            <w:right w:w="108" w:type="dxa"/>
          </w:tblCellMar>
        </w:tblPrEx>
        <w:trPr>
          <w:trHeight w:val="570" w:hRule="atLeast"/>
        </w:trPr>
        <w:tc>
          <w:tcPr>
            <w:tcW w:w="1601" w:type="dxa"/>
            <w:tcBorders>
              <w:top w:val="single" w:color="auto" w:sz="4" w:space="0"/>
              <w:left w:val="single" w:color="auto" w:sz="4" w:space="0"/>
              <w:bottom w:val="single" w:color="auto" w:sz="4" w:space="0"/>
              <w:right w:val="single" w:color="auto" w:sz="4" w:space="0"/>
            </w:tcBorders>
            <w:noWrap w:val="0"/>
            <w:vAlign w:val="center"/>
          </w:tcPr>
          <w:p w14:paraId="067782DA">
            <w:pPr>
              <w:keepLines w:val="0"/>
              <w:pageBreakBefore w:val="0"/>
              <w:kinsoku/>
              <w:wordWrap/>
              <w:overflowPunct/>
              <w:topLinePunct w:val="0"/>
              <w:autoSpaceDE/>
              <w:autoSpaceDN/>
              <w:bidi w:val="0"/>
              <w:adjustRightInd/>
              <w:snapToGrid/>
              <w:spacing w:line="360" w:lineRule="auto"/>
              <w:ind w:right="119" w:rightChars="0" w:firstLine="240" w:firstLineChars="10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庭院美化</w:t>
            </w:r>
          </w:p>
          <w:p w14:paraId="1005C611">
            <w:pPr>
              <w:keepLines w:val="0"/>
              <w:pageBreakBefore w:val="0"/>
              <w:kinsoku/>
              <w:wordWrap/>
              <w:overflowPunct/>
              <w:topLinePunct w:val="0"/>
              <w:autoSpaceDE/>
              <w:autoSpaceDN/>
              <w:bidi w:val="0"/>
              <w:adjustRightInd/>
              <w:snapToGrid/>
              <w:spacing w:line="360" w:lineRule="auto"/>
              <w:ind w:right="119" w:rightChars="0" w:firstLine="240" w:firstLineChars="10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w:t>
            </w:r>
            <w:r>
              <w:rPr>
                <w:rFonts w:hint="eastAsia" w:ascii="宋体" w:hAnsi="宋体" w:eastAsia="宋体" w:cs="宋体"/>
                <w:color w:val="auto"/>
                <w:sz w:val="24"/>
                <w:szCs w:val="24"/>
                <w:highlight w:val="none"/>
                <w:lang w:eastAsia="zh-CN"/>
              </w:rPr>
              <w:t>分</w:t>
            </w:r>
            <w:r>
              <w:rPr>
                <w:rFonts w:hint="eastAsia" w:ascii="宋体" w:hAnsi="宋体" w:eastAsia="宋体" w:cs="宋体"/>
                <w:color w:val="auto"/>
                <w:sz w:val="24"/>
                <w:szCs w:val="24"/>
                <w:highlight w:val="none"/>
              </w:rPr>
              <w:t>）</w:t>
            </w:r>
          </w:p>
        </w:tc>
        <w:tc>
          <w:tcPr>
            <w:tcW w:w="1260" w:type="dxa"/>
            <w:tcBorders>
              <w:top w:val="single" w:color="auto" w:sz="4" w:space="0"/>
              <w:left w:val="nil"/>
              <w:bottom w:val="single" w:color="auto" w:sz="4" w:space="0"/>
              <w:right w:val="single" w:color="auto" w:sz="4" w:space="0"/>
            </w:tcBorders>
            <w:noWrap w:val="0"/>
            <w:vAlign w:val="center"/>
          </w:tcPr>
          <w:p w14:paraId="16C5F5DC">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lang w:eastAsia="zh-CN"/>
              </w:rPr>
              <w:t>分</w:t>
            </w:r>
          </w:p>
        </w:tc>
        <w:tc>
          <w:tcPr>
            <w:tcW w:w="6206" w:type="dxa"/>
            <w:tcBorders>
              <w:top w:val="single" w:color="auto" w:sz="4" w:space="0"/>
              <w:left w:val="nil"/>
              <w:bottom w:val="single" w:color="auto" w:sz="4" w:space="0"/>
              <w:right w:val="single" w:color="auto" w:sz="4" w:space="0"/>
            </w:tcBorders>
            <w:noWrap w:val="0"/>
            <w:vAlign w:val="top"/>
          </w:tcPr>
          <w:p w14:paraId="24090008">
            <w:pPr>
              <w:spacing w:line="320" w:lineRule="exact"/>
              <w:ind w:firstLine="480" w:firstLineChars="200"/>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院内整洁，房前屋后无乱堆乱放、乱搭乱建，随机抽查5户美丽庭院，每发现一处扣1分</w:t>
            </w:r>
          </w:p>
        </w:tc>
        <w:tc>
          <w:tcPr>
            <w:tcW w:w="915" w:type="dxa"/>
            <w:tcBorders>
              <w:top w:val="single" w:color="auto" w:sz="4" w:space="0"/>
              <w:left w:val="nil"/>
              <w:bottom w:val="single" w:color="auto" w:sz="4" w:space="0"/>
              <w:right w:val="single" w:color="auto" w:sz="4" w:space="0"/>
            </w:tcBorders>
            <w:noWrap w:val="0"/>
            <w:vAlign w:val="center"/>
          </w:tcPr>
          <w:p w14:paraId="668A2BC0">
            <w:pPr>
              <w:keepLines w:val="0"/>
              <w:pageBreakBefore w:val="0"/>
              <w:kinsoku/>
              <w:wordWrap/>
              <w:overflowPunct/>
              <w:topLinePunct w:val="0"/>
              <w:autoSpaceDE/>
              <w:autoSpaceDN/>
              <w:bidi w:val="0"/>
              <w:adjustRightInd/>
              <w:snapToGrid/>
              <w:spacing w:line="380" w:lineRule="exact"/>
              <w:ind w:right="119" w:rightChars="0" w:firstLine="420" w:firstLineChars="200"/>
              <w:textAlignment w:val="auto"/>
              <w:rPr>
                <w:rFonts w:hint="eastAsia" w:ascii="宋体" w:hAnsi="宋体" w:eastAsia="宋体" w:cs="宋体"/>
                <w:color w:val="auto"/>
                <w:sz w:val="21"/>
                <w:szCs w:val="21"/>
                <w:highlight w:val="none"/>
              </w:rPr>
            </w:pPr>
          </w:p>
        </w:tc>
      </w:tr>
      <w:tr w14:paraId="19040CAD">
        <w:tblPrEx>
          <w:tblCellMar>
            <w:top w:w="0" w:type="dxa"/>
            <w:left w:w="108" w:type="dxa"/>
            <w:bottom w:w="0" w:type="dxa"/>
            <w:right w:w="108" w:type="dxa"/>
          </w:tblCellMar>
        </w:tblPrEx>
        <w:trPr>
          <w:trHeight w:val="570" w:hRule="atLeast"/>
        </w:trPr>
        <w:tc>
          <w:tcPr>
            <w:tcW w:w="1601" w:type="dxa"/>
            <w:vMerge w:val="restart"/>
            <w:tcBorders>
              <w:top w:val="single" w:color="auto" w:sz="4" w:space="0"/>
              <w:left w:val="single" w:color="auto" w:sz="4" w:space="0"/>
              <w:right w:val="single" w:color="auto" w:sz="4" w:space="0"/>
            </w:tcBorders>
            <w:noWrap w:val="0"/>
            <w:vAlign w:val="center"/>
          </w:tcPr>
          <w:p w14:paraId="6B6568B4">
            <w:pPr>
              <w:keepLines w:val="0"/>
              <w:pageBreakBefore w:val="0"/>
              <w:kinsoku/>
              <w:wordWrap/>
              <w:overflowPunct/>
              <w:topLinePunct w:val="0"/>
              <w:autoSpaceDE/>
              <w:autoSpaceDN/>
              <w:bidi w:val="0"/>
              <w:adjustRightInd/>
              <w:snapToGrid/>
              <w:spacing w:line="360" w:lineRule="auto"/>
              <w:ind w:right="119" w:right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其他</w:t>
            </w:r>
          </w:p>
          <w:p w14:paraId="19429C89">
            <w:pPr>
              <w:keepLines w:val="0"/>
              <w:pageBreakBefore w:val="0"/>
              <w:kinsoku/>
              <w:wordWrap/>
              <w:overflowPunct/>
              <w:topLinePunct w:val="0"/>
              <w:autoSpaceDE/>
              <w:autoSpaceDN/>
              <w:bidi w:val="0"/>
              <w:adjustRightInd/>
              <w:snapToGrid/>
              <w:spacing w:line="360" w:lineRule="auto"/>
              <w:ind w:right="119" w:right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9</w:t>
            </w:r>
            <w:r>
              <w:rPr>
                <w:rFonts w:hint="eastAsia" w:ascii="宋体" w:hAnsi="宋体" w:eastAsia="宋体" w:cs="宋体"/>
                <w:color w:val="auto"/>
                <w:sz w:val="24"/>
                <w:szCs w:val="24"/>
                <w:highlight w:val="none"/>
                <w:lang w:eastAsia="zh-CN"/>
              </w:rPr>
              <w:t>分</w:t>
            </w:r>
            <w:r>
              <w:rPr>
                <w:rFonts w:hint="eastAsia" w:ascii="宋体" w:hAnsi="宋体" w:eastAsia="宋体" w:cs="宋体"/>
                <w:color w:val="auto"/>
                <w:sz w:val="24"/>
                <w:szCs w:val="24"/>
                <w:highlight w:val="none"/>
              </w:rPr>
              <w:t>）</w:t>
            </w:r>
          </w:p>
        </w:tc>
        <w:tc>
          <w:tcPr>
            <w:tcW w:w="1260" w:type="dxa"/>
            <w:tcBorders>
              <w:top w:val="single" w:color="auto" w:sz="4" w:space="0"/>
              <w:left w:val="nil"/>
              <w:bottom w:val="single" w:color="auto" w:sz="4" w:space="0"/>
              <w:right w:val="single" w:color="auto" w:sz="4" w:space="0"/>
            </w:tcBorders>
            <w:noWrap w:val="0"/>
            <w:vAlign w:val="center"/>
          </w:tcPr>
          <w:p w14:paraId="0D207D10">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分</w:t>
            </w:r>
          </w:p>
        </w:tc>
        <w:tc>
          <w:tcPr>
            <w:tcW w:w="6206" w:type="dxa"/>
            <w:tcBorders>
              <w:top w:val="single" w:color="auto" w:sz="4" w:space="0"/>
              <w:left w:val="nil"/>
              <w:bottom w:val="single" w:color="auto" w:sz="4" w:space="0"/>
              <w:right w:val="single" w:color="auto" w:sz="4" w:space="0"/>
            </w:tcBorders>
            <w:noWrap w:val="0"/>
            <w:vAlign w:val="top"/>
          </w:tcPr>
          <w:p w14:paraId="5CE9416F">
            <w:pPr>
              <w:spacing w:line="320" w:lineRule="exact"/>
              <w:ind w:firstLine="480" w:firstLineChars="200"/>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村内道路、健身器械、窨井盖、雨污水管道</w:t>
            </w:r>
            <w:r>
              <w:rPr>
                <w:rFonts w:hint="eastAsia" w:ascii="宋体" w:hAnsi="宋体" w:eastAsia="宋体" w:cs="宋体"/>
                <w:color w:val="auto"/>
                <w:sz w:val="24"/>
                <w:szCs w:val="24"/>
                <w:highlight w:val="none"/>
                <w:lang w:eastAsia="zh-CN"/>
              </w:rPr>
              <w:t>、路灯</w:t>
            </w:r>
            <w:r>
              <w:rPr>
                <w:rFonts w:hint="eastAsia" w:ascii="宋体" w:hAnsi="宋体" w:eastAsia="宋体" w:cs="宋体"/>
                <w:color w:val="auto"/>
                <w:sz w:val="24"/>
                <w:szCs w:val="24"/>
                <w:highlight w:val="none"/>
              </w:rPr>
              <w:t>等各类公共设施</w:t>
            </w:r>
            <w:r>
              <w:rPr>
                <w:rFonts w:hint="eastAsia" w:ascii="宋体" w:hAnsi="宋体" w:eastAsia="宋体" w:cs="宋体"/>
                <w:color w:val="auto"/>
                <w:sz w:val="24"/>
                <w:szCs w:val="24"/>
                <w:highlight w:val="none"/>
                <w:lang w:eastAsia="zh-CN"/>
              </w:rPr>
              <w:t>清洁、</w:t>
            </w:r>
            <w:r>
              <w:rPr>
                <w:rFonts w:hint="eastAsia" w:ascii="宋体" w:hAnsi="宋体" w:eastAsia="宋体" w:cs="宋体"/>
                <w:color w:val="auto"/>
                <w:sz w:val="24"/>
                <w:szCs w:val="24"/>
                <w:highlight w:val="none"/>
              </w:rPr>
              <w:t>管护到位；每发现一处</w:t>
            </w:r>
            <w:r>
              <w:rPr>
                <w:rFonts w:hint="eastAsia" w:ascii="宋体" w:hAnsi="宋体" w:eastAsia="宋体" w:cs="宋体"/>
                <w:color w:val="auto"/>
                <w:sz w:val="24"/>
                <w:szCs w:val="24"/>
                <w:highlight w:val="none"/>
                <w:lang w:eastAsia="zh-CN"/>
              </w:rPr>
              <w:t>问题</w:t>
            </w:r>
            <w:r>
              <w:rPr>
                <w:rFonts w:hint="eastAsia" w:ascii="宋体" w:hAnsi="宋体" w:eastAsia="宋体" w:cs="宋体"/>
                <w:color w:val="auto"/>
                <w:sz w:val="24"/>
                <w:szCs w:val="24"/>
                <w:highlight w:val="none"/>
              </w:rPr>
              <w:t>扣</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分</w:t>
            </w:r>
          </w:p>
        </w:tc>
        <w:tc>
          <w:tcPr>
            <w:tcW w:w="915" w:type="dxa"/>
            <w:tcBorders>
              <w:top w:val="single" w:color="auto" w:sz="4" w:space="0"/>
              <w:left w:val="nil"/>
              <w:bottom w:val="single" w:color="auto" w:sz="4" w:space="0"/>
              <w:right w:val="single" w:color="auto" w:sz="4" w:space="0"/>
            </w:tcBorders>
            <w:noWrap w:val="0"/>
            <w:vAlign w:val="center"/>
          </w:tcPr>
          <w:p w14:paraId="4D70929D">
            <w:pPr>
              <w:keepLines w:val="0"/>
              <w:pageBreakBefore w:val="0"/>
              <w:kinsoku/>
              <w:wordWrap/>
              <w:overflowPunct/>
              <w:topLinePunct w:val="0"/>
              <w:autoSpaceDE/>
              <w:autoSpaceDN/>
              <w:bidi w:val="0"/>
              <w:adjustRightInd/>
              <w:snapToGrid/>
              <w:spacing w:line="380" w:lineRule="exact"/>
              <w:ind w:right="119" w:rightChars="0" w:firstLine="420" w:firstLineChars="200"/>
              <w:textAlignment w:val="auto"/>
              <w:rPr>
                <w:rFonts w:hint="eastAsia" w:ascii="宋体" w:hAnsi="宋体" w:eastAsia="宋体" w:cs="宋体"/>
                <w:color w:val="auto"/>
                <w:sz w:val="21"/>
                <w:szCs w:val="21"/>
                <w:highlight w:val="none"/>
              </w:rPr>
            </w:pPr>
          </w:p>
        </w:tc>
      </w:tr>
      <w:tr w14:paraId="3BF32B92">
        <w:tblPrEx>
          <w:tblCellMar>
            <w:top w:w="0" w:type="dxa"/>
            <w:left w:w="108" w:type="dxa"/>
            <w:bottom w:w="0" w:type="dxa"/>
            <w:right w:w="108" w:type="dxa"/>
          </w:tblCellMar>
        </w:tblPrEx>
        <w:trPr>
          <w:trHeight w:val="375" w:hRule="atLeast"/>
        </w:trPr>
        <w:tc>
          <w:tcPr>
            <w:tcW w:w="1601" w:type="dxa"/>
            <w:vMerge w:val="continue"/>
            <w:tcBorders>
              <w:left w:val="single" w:color="auto" w:sz="4" w:space="0"/>
              <w:right w:val="single" w:color="auto" w:sz="4" w:space="0"/>
            </w:tcBorders>
            <w:noWrap w:val="0"/>
            <w:vAlign w:val="center"/>
          </w:tcPr>
          <w:p w14:paraId="39D5F105">
            <w:pPr>
              <w:keepLines w:val="0"/>
              <w:pageBreakBefore w:val="0"/>
              <w:kinsoku/>
              <w:wordWrap/>
              <w:overflowPunct/>
              <w:topLinePunct w:val="0"/>
              <w:autoSpaceDE/>
              <w:autoSpaceDN/>
              <w:bidi w:val="0"/>
              <w:adjustRightInd/>
              <w:snapToGrid/>
              <w:spacing w:line="360" w:lineRule="auto"/>
              <w:ind w:right="119" w:rightChars="0" w:firstLine="240" w:firstLineChars="100"/>
              <w:jc w:val="both"/>
              <w:textAlignment w:val="auto"/>
              <w:rPr>
                <w:rFonts w:hint="eastAsia" w:ascii="宋体" w:hAnsi="宋体" w:eastAsia="宋体" w:cs="宋体"/>
                <w:color w:val="auto"/>
                <w:sz w:val="24"/>
                <w:szCs w:val="24"/>
                <w:highlight w:val="none"/>
              </w:rPr>
            </w:pPr>
          </w:p>
        </w:tc>
        <w:tc>
          <w:tcPr>
            <w:tcW w:w="1260" w:type="dxa"/>
            <w:tcBorders>
              <w:top w:val="single" w:color="auto" w:sz="4" w:space="0"/>
              <w:left w:val="nil"/>
              <w:bottom w:val="single" w:color="auto" w:sz="4" w:space="0"/>
              <w:right w:val="single" w:color="auto" w:sz="4" w:space="0"/>
            </w:tcBorders>
            <w:noWrap w:val="0"/>
            <w:vAlign w:val="center"/>
          </w:tcPr>
          <w:p w14:paraId="79FDE1E4">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分</w:t>
            </w:r>
          </w:p>
        </w:tc>
        <w:tc>
          <w:tcPr>
            <w:tcW w:w="6206" w:type="dxa"/>
            <w:tcBorders>
              <w:top w:val="single" w:color="auto" w:sz="4" w:space="0"/>
              <w:left w:val="nil"/>
              <w:bottom w:val="single" w:color="auto" w:sz="4" w:space="0"/>
              <w:right w:val="single" w:color="auto" w:sz="4" w:space="0"/>
            </w:tcBorders>
            <w:noWrap w:val="0"/>
            <w:vAlign w:val="top"/>
          </w:tcPr>
          <w:p w14:paraId="5CE5914D">
            <w:pPr>
              <w:spacing w:line="320" w:lineRule="exact"/>
              <w:ind w:firstLine="480" w:firstLineChars="200"/>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无散养家禽、路边（河边）等醒目位置无圈养家禽</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无秸秆焚烧</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每发现一处</w:t>
            </w:r>
            <w:r>
              <w:rPr>
                <w:rFonts w:hint="eastAsia" w:ascii="宋体" w:hAnsi="宋体" w:eastAsia="宋体" w:cs="宋体"/>
                <w:color w:val="auto"/>
                <w:sz w:val="24"/>
                <w:szCs w:val="24"/>
                <w:highlight w:val="none"/>
                <w:lang w:eastAsia="zh-CN"/>
              </w:rPr>
              <w:t>问题</w:t>
            </w:r>
            <w:r>
              <w:rPr>
                <w:rFonts w:hint="eastAsia" w:ascii="宋体" w:hAnsi="宋体" w:eastAsia="宋体" w:cs="宋体"/>
                <w:color w:val="auto"/>
                <w:sz w:val="24"/>
                <w:szCs w:val="24"/>
                <w:highlight w:val="none"/>
              </w:rPr>
              <w:t>扣</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分</w:t>
            </w:r>
          </w:p>
        </w:tc>
        <w:tc>
          <w:tcPr>
            <w:tcW w:w="915" w:type="dxa"/>
            <w:tcBorders>
              <w:top w:val="single" w:color="auto" w:sz="4" w:space="0"/>
              <w:left w:val="nil"/>
              <w:bottom w:val="single" w:color="auto" w:sz="4" w:space="0"/>
              <w:right w:val="single" w:color="auto" w:sz="4" w:space="0"/>
            </w:tcBorders>
            <w:noWrap w:val="0"/>
            <w:vAlign w:val="center"/>
          </w:tcPr>
          <w:p w14:paraId="6304FF05">
            <w:pPr>
              <w:keepLines w:val="0"/>
              <w:pageBreakBefore w:val="0"/>
              <w:kinsoku/>
              <w:wordWrap/>
              <w:overflowPunct/>
              <w:topLinePunct w:val="0"/>
              <w:autoSpaceDE/>
              <w:autoSpaceDN/>
              <w:bidi w:val="0"/>
              <w:adjustRightInd/>
              <w:snapToGrid/>
              <w:spacing w:line="380" w:lineRule="exact"/>
              <w:ind w:right="119" w:rightChars="0" w:firstLine="420" w:firstLineChars="200"/>
              <w:textAlignment w:val="auto"/>
              <w:rPr>
                <w:rFonts w:hint="eastAsia" w:ascii="宋体" w:hAnsi="宋体" w:eastAsia="宋体" w:cs="宋体"/>
                <w:color w:val="auto"/>
                <w:sz w:val="21"/>
                <w:szCs w:val="21"/>
                <w:highlight w:val="none"/>
                <w:lang w:val="en-US" w:eastAsia="zh-CN"/>
              </w:rPr>
            </w:pPr>
          </w:p>
        </w:tc>
      </w:tr>
      <w:tr w14:paraId="3C30B3EE">
        <w:tblPrEx>
          <w:tblCellMar>
            <w:top w:w="0" w:type="dxa"/>
            <w:left w:w="108" w:type="dxa"/>
            <w:bottom w:w="0" w:type="dxa"/>
            <w:right w:w="108" w:type="dxa"/>
          </w:tblCellMar>
        </w:tblPrEx>
        <w:trPr>
          <w:trHeight w:val="375" w:hRule="atLeast"/>
        </w:trPr>
        <w:tc>
          <w:tcPr>
            <w:tcW w:w="1601" w:type="dxa"/>
            <w:vMerge w:val="continue"/>
            <w:tcBorders>
              <w:left w:val="single" w:color="auto" w:sz="4" w:space="0"/>
              <w:right w:val="single" w:color="auto" w:sz="4" w:space="0"/>
            </w:tcBorders>
            <w:noWrap w:val="0"/>
            <w:vAlign w:val="center"/>
          </w:tcPr>
          <w:p w14:paraId="3DBF62D7">
            <w:pPr>
              <w:keepLines w:val="0"/>
              <w:pageBreakBefore w:val="0"/>
              <w:kinsoku/>
              <w:wordWrap/>
              <w:overflowPunct/>
              <w:topLinePunct w:val="0"/>
              <w:autoSpaceDE/>
              <w:autoSpaceDN/>
              <w:bidi w:val="0"/>
              <w:adjustRightInd/>
              <w:snapToGrid/>
              <w:spacing w:line="360" w:lineRule="auto"/>
              <w:ind w:right="119" w:rightChars="0" w:firstLine="480" w:firstLineChars="200"/>
              <w:jc w:val="center"/>
              <w:textAlignment w:val="auto"/>
              <w:rPr>
                <w:rFonts w:hint="eastAsia" w:ascii="宋体" w:hAnsi="宋体" w:eastAsia="宋体" w:cs="宋体"/>
                <w:color w:val="auto"/>
                <w:sz w:val="24"/>
                <w:szCs w:val="24"/>
                <w:highlight w:val="none"/>
              </w:rPr>
            </w:pPr>
          </w:p>
        </w:tc>
        <w:tc>
          <w:tcPr>
            <w:tcW w:w="1260" w:type="dxa"/>
            <w:tcBorders>
              <w:top w:val="nil"/>
              <w:left w:val="nil"/>
              <w:bottom w:val="single" w:color="auto" w:sz="4" w:space="0"/>
              <w:right w:val="single" w:color="auto" w:sz="4" w:space="0"/>
            </w:tcBorders>
            <w:noWrap w:val="0"/>
            <w:vAlign w:val="center"/>
          </w:tcPr>
          <w:p w14:paraId="44A7552B">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lang w:eastAsia="zh-CN"/>
              </w:rPr>
              <w:t>分</w:t>
            </w:r>
          </w:p>
        </w:tc>
        <w:tc>
          <w:tcPr>
            <w:tcW w:w="6206" w:type="dxa"/>
            <w:tcBorders>
              <w:top w:val="nil"/>
              <w:left w:val="nil"/>
              <w:bottom w:val="single" w:color="auto" w:sz="4" w:space="0"/>
              <w:right w:val="single" w:color="auto" w:sz="4" w:space="0"/>
            </w:tcBorders>
            <w:noWrap w:val="0"/>
            <w:vAlign w:val="top"/>
          </w:tcPr>
          <w:p w14:paraId="12BB4244">
            <w:pPr>
              <w:spacing w:line="320" w:lineRule="exact"/>
              <w:ind w:firstLine="480" w:firstLineChars="20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电线杆、墙面、公厕等处无小广告、牛皮癣；每发现一处</w:t>
            </w:r>
            <w:r>
              <w:rPr>
                <w:rFonts w:hint="eastAsia" w:ascii="宋体" w:hAnsi="宋体" w:eastAsia="宋体" w:cs="宋体"/>
                <w:color w:val="auto"/>
                <w:sz w:val="24"/>
                <w:szCs w:val="24"/>
                <w:highlight w:val="none"/>
                <w:lang w:eastAsia="zh-CN"/>
              </w:rPr>
              <w:t>问题</w:t>
            </w:r>
            <w:r>
              <w:rPr>
                <w:rFonts w:hint="eastAsia" w:ascii="宋体" w:hAnsi="宋体" w:eastAsia="宋体" w:cs="宋体"/>
                <w:color w:val="auto"/>
                <w:sz w:val="24"/>
                <w:szCs w:val="24"/>
                <w:highlight w:val="none"/>
              </w:rPr>
              <w:t>扣</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分</w:t>
            </w:r>
          </w:p>
        </w:tc>
        <w:tc>
          <w:tcPr>
            <w:tcW w:w="915" w:type="dxa"/>
            <w:tcBorders>
              <w:top w:val="nil"/>
              <w:left w:val="nil"/>
              <w:bottom w:val="single" w:color="auto" w:sz="4" w:space="0"/>
              <w:right w:val="single" w:color="auto" w:sz="4" w:space="0"/>
            </w:tcBorders>
            <w:noWrap w:val="0"/>
            <w:vAlign w:val="center"/>
          </w:tcPr>
          <w:p w14:paraId="59481672">
            <w:pPr>
              <w:keepLines w:val="0"/>
              <w:pageBreakBefore w:val="0"/>
              <w:kinsoku/>
              <w:wordWrap/>
              <w:overflowPunct/>
              <w:topLinePunct w:val="0"/>
              <w:autoSpaceDE/>
              <w:autoSpaceDN/>
              <w:bidi w:val="0"/>
              <w:adjustRightInd/>
              <w:snapToGrid/>
              <w:spacing w:line="380" w:lineRule="exact"/>
              <w:ind w:right="119" w:rightChars="0" w:firstLine="420" w:firstLineChars="200"/>
              <w:textAlignment w:val="auto"/>
              <w:rPr>
                <w:rFonts w:hint="eastAsia" w:ascii="宋体" w:hAnsi="宋体" w:eastAsia="宋体" w:cs="宋体"/>
                <w:color w:val="auto"/>
                <w:sz w:val="21"/>
                <w:szCs w:val="21"/>
                <w:highlight w:val="none"/>
              </w:rPr>
            </w:pPr>
          </w:p>
        </w:tc>
      </w:tr>
      <w:tr w14:paraId="7BFE201B">
        <w:tblPrEx>
          <w:tblCellMar>
            <w:top w:w="0" w:type="dxa"/>
            <w:left w:w="108" w:type="dxa"/>
            <w:bottom w:w="0" w:type="dxa"/>
            <w:right w:w="108" w:type="dxa"/>
          </w:tblCellMar>
        </w:tblPrEx>
        <w:trPr>
          <w:trHeight w:val="570" w:hRule="atLeast"/>
        </w:trPr>
        <w:tc>
          <w:tcPr>
            <w:tcW w:w="1601" w:type="dxa"/>
            <w:vMerge w:val="continue"/>
            <w:tcBorders>
              <w:left w:val="single" w:color="auto" w:sz="4" w:space="0"/>
              <w:bottom w:val="single" w:color="auto" w:sz="4" w:space="0"/>
              <w:right w:val="single" w:color="auto" w:sz="4" w:space="0"/>
            </w:tcBorders>
            <w:noWrap w:val="0"/>
            <w:vAlign w:val="center"/>
          </w:tcPr>
          <w:p w14:paraId="0468B309">
            <w:pPr>
              <w:keepLines w:val="0"/>
              <w:pageBreakBefore w:val="0"/>
              <w:kinsoku/>
              <w:wordWrap/>
              <w:overflowPunct/>
              <w:topLinePunct w:val="0"/>
              <w:autoSpaceDE/>
              <w:autoSpaceDN/>
              <w:bidi w:val="0"/>
              <w:adjustRightInd/>
              <w:snapToGrid/>
              <w:spacing w:line="360" w:lineRule="auto"/>
              <w:ind w:right="119" w:rightChars="0" w:firstLine="480" w:firstLineChars="200"/>
              <w:jc w:val="center"/>
              <w:textAlignment w:val="auto"/>
              <w:rPr>
                <w:rFonts w:hint="eastAsia" w:ascii="宋体" w:hAnsi="宋体" w:eastAsia="宋体" w:cs="宋体"/>
                <w:color w:val="auto"/>
                <w:sz w:val="24"/>
                <w:szCs w:val="24"/>
                <w:highlight w:val="none"/>
              </w:rPr>
            </w:pPr>
          </w:p>
        </w:tc>
        <w:tc>
          <w:tcPr>
            <w:tcW w:w="1260" w:type="dxa"/>
            <w:tcBorders>
              <w:top w:val="nil"/>
              <w:left w:val="nil"/>
              <w:bottom w:val="single" w:color="auto" w:sz="4" w:space="0"/>
              <w:right w:val="single" w:color="auto" w:sz="4" w:space="0"/>
            </w:tcBorders>
            <w:noWrap w:val="0"/>
            <w:vAlign w:val="center"/>
          </w:tcPr>
          <w:p w14:paraId="099F5D88">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分</w:t>
            </w:r>
          </w:p>
        </w:tc>
        <w:tc>
          <w:tcPr>
            <w:tcW w:w="6206" w:type="dxa"/>
            <w:tcBorders>
              <w:top w:val="nil"/>
              <w:left w:val="nil"/>
              <w:bottom w:val="single" w:color="auto" w:sz="4" w:space="0"/>
              <w:right w:val="single" w:color="auto" w:sz="4" w:space="0"/>
            </w:tcBorders>
            <w:noWrap w:val="0"/>
            <w:vAlign w:val="top"/>
          </w:tcPr>
          <w:p w14:paraId="6E018497">
            <w:pPr>
              <w:spacing w:line="320" w:lineRule="exact"/>
              <w:ind w:firstLine="480" w:firstLineChars="20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绿化管护到位、花坛中无杂草横生、杂乱无章现象，枯树等及时清理；</w:t>
            </w:r>
            <w:r>
              <w:rPr>
                <w:rFonts w:hint="eastAsia" w:ascii="宋体" w:hAnsi="宋体" w:eastAsia="宋体" w:cs="宋体"/>
                <w:color w:val="auto"/>
                <w:sz w:val="24"/>
                <w:szCs w:val="24"/>
                <w:highlight w:val="none"/>
              </w:rPr>
              <w:t>每发现一处</w:t>
            </w:r>
            <w:r>
              <w:rPr>
                <w:rFonts w:hint="eastAsia" w:ascii="宋体" w:hAnsi="宋体" w:eastAsia="宋体" w:cs="宋体"/>
                <w:color w:val="auto"/>
                <w:sz w:val="24"/>
                <w:szCs w:val="24"/>
                <w:highlight w:val="none"/>
                <w:lang w:eastAsia="zh-CN"/>
              </w:rPr>
              <w:t>问题</w:t>
            </w:r>
            <w:r>
              <w:rPr>
                <w:rFonts w:hint="eastAsia" w:ascii="宋体" w:hAnsi="宋体" w:eastAsia="宋体" w:cs="宋体"/>
                <w:color w:val="auto"/>
                <w:sz w:val="24"/>
                <w:szCs w:val="24"/>
                <w:highlight w:val="none"/>
              </w:rPr>
              <w:t>扣</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分</w:t>
            </w:r>
          </w:p>
        </w:tc>
        <w:tc>
          <w:tcPr>
            <w:tcW w:w="915" w:type="dxa"/>
            <w:tcBorders>
              <w:top w:val="nil"/>
              <w:left w:val="nil"/>
              <w:bottom w:val="single" w:color="auto" w:sz="4" w:space="0"/>
              <w:right w:val="single" w:color="auto" w:sz="4" w:space="0"/>
            </w:tcBorders>
            <w:noWrap w:val="0"/>
            <w:vAlign w:val="center"/>
          </w:tcPr>
          <w:p w14:paraId="0F93AB18">
            <w:pPr>
              <w:keepLines w:val="0"/>
              <w:pageBreakBefore w:val="0"/>
              <w:kinsoku/>
              <w:wordWrap/>
              <w:overflowPunct/>
              <w:topLinePunct w:val="0"/>
              <w:autoSpaceDE/>
              <w:autoSpaceDN/>
              <w:bidi w:val="0"/>
              <w:adjustRightInd/>
              <w:snapToGrid/>
              <w:spacing w:line="380" w:lineRule="exact"/>
              <w:ind w:right="119" w:rightChars="0" w:firstLine="420" w:firstLineChars="200"/>
              <w:textAlignment w:val="auto"/>
              <w:rPr>
                <w:rFonts w:hint="eastAsia" w:ascii="宋体" w:hAnsi="宋体" w:eastAsia="宋体" w:cs="宋体"/>
                <w:color w:val="auto"/>
                <w:sz w:val="21"/>
                <w:szCs w:val="21"/>
                <w:highlight w:val="none"/>
              </w:rPr>
            </w:pPr>
          </w:p>
        </w:tc>
      </w:tr>
      <w:tr w14:paraId="0E1C9EF0">
        <w:tblPrEx>
          <w:tblCellMar>
            <w:top w:w="0" w:type="dxa"/>
            <w:left w:w="108" w:type="dxa"/>
            <w:bottom w:w="0" w:type="dxa"/>
            <w:right w:w="108" w:type="dxa"/>
          </w:tblCellMar>
        </w:tblPrEx>
        <w:trPr>
          <w:trHeight w:val="570" w:hRule="atLeast"/>
        </w:trPr>
        <w:tc>
          <w:tcPr>
            <w:tcW w:w="1601" w:type="dxa"/>
            <w:tcBorders>
              <w:top w:val="single" w:color="auto" w:sz="4" w:space="0"/>
              <w:left w:val="single" w:color="auto" w:sz="4" w:space="0"/>
              <w:bottom w:val="single" w:color="auto" w:sz="4" w:space="0"/>
              <w:right w:val="single" w:color="auto" w:sz="4" w:space="0"/>
            </w:tcBorders>
            <w:noWrap w:val="0"/>
            <w:vAlign w:val="center"/>
          </w:tcPr>
          <w:p w14:paraId="148F5D98">
            <w:pPr>
              <w:keepLines w:val="0"/>
              <w:pageBreakBefore w:val="0"/>
              <w:kinsoku/>
              <w:wordWrap/>
              <w:overflowPunct/>
              <w:topLinePunct w:val="0"/>
              <w:autoSpaceDE/>
              <w:autoSpaceDN/>
              <w:bidi w:val="0"/>
              <w:adjustRightInd/>
              <w:snapToGrid/>
              <w:spacing w:line="240" w:lineRule="auto"/>
              <w:ind w:right="119" w:rightChars="0" w:firstLine="480" w:firstLineChars="20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合计</w:t>
            </w:r>
          </w:p>
        </w:tc>
        <w:tc>
          <w:tcPr>
            <w:tcW w:w="1260" w:type="dxa"/>
            <w:tcBorders>
              <w:top w:val="single" w:color="auto" w:sz="4" w:space="0"/>
              <w:left w:val="single" w:color="auto" w:sz="4" w:space="0"/>
              <w:bottom w:val="single" w:color="auto" w:sz="4" w:space="0"/>
              <w:right w:val="single" w:color="auto" w:sz="4" w:space="0"/>
            </w:tcBorders>
            <w:noWrap w:val="0"/>
            <w:vAlign w:val="center"/>
          </w:tcPr>
          <w:p w14:paraId="7FB1BF24">
            <w:pPr>
              <w:keepLines w:val="0"/>
              <w:pageBreakBefore w:val="0"/>
              <w:kinsoku/>
              <w:wordWrap/>
              <w:overflowPunct/>
              <w:topLinePunct w:val="0"/>
              <w:autoSpaceDE/>
              <w:autoSpaceDN/>
              <w:bidi w:val="0"/>
              <w:adjustRightInd/>
              <w:snapToGrid/>
              <w:spacing w:line="380" w:lineRule="exact"/>
              <w:ind w:right="119" w:rightChars="0" w:firstLine="240" w:firstLineChars="100"/>
              <w:jc w:val="both"/>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100分</w:t>
            </w:r>
          </w:p>
        </w:tc>
        <w:tc>
          <w:tcPr>
            <w:tcW w:w="6206" w:type="dxa"/>
            <w:tcBorders>
              <w:top w:val="single" w:color="auto" w:sz="4" w:space="0"/>
              <w:left w:val="single" w:color="auto" w:sz="4" w:space="0"/>
              <w:bottom w:val="single" w:color="auto" w:sz="4" w:space="0"/>
              <w:right w:val="single" w:color="auto" w:sz="4" w:space="0"/>
            </w:tcBorders>
            <w:noWrap w:val="0"/>
            <w:vAlign w:val="center"/>
          </w:tcPr>
          <w:p w14:paraId="0D308D54">
            <w:pPr>
              <w:keepLines w:val="0"/>
              <w:pageBreakBefore w:val="0"/>
              <w:kinsoku/>
              <w:wordWrap/>
              <w:overflowPunct/>
              <w:topLinePunct w:val="0"/>
              <w:autoSpaceDE/>
              <w:autoSpaceDN/>
              <w:bidi w:val="0"/>
              <w:adjustRightInd/>
              <w:snapToGrid/>
              <w:spacing w:line="380" w:lineRule="exact"/>
              <w:ind w:right="119" w:rightChars="0" w:firstLine="420" w:firstLineChars="200"/>
              <w:textAlignment w:val="auto"/>
              <w:rPr>
                <w:rFonts w:hint="eastAsia" w:ascii="宋体" w:hAnsi="宋体" w:eastAsia="宋体" w:cs="宋体"/>
                <w:color w:val="auto"/>
                <w:sz w:val="21"/>
                <w:szCs w:val="21"/>
                <w:highlight w:val="none"/>
                <w:lang w:val="en-US" w:eastAsia="zh-CN"/>
              </w:rPr>
            </w:pPr>
          </w:p>
        </w:tc>
        <w:tc>
          <w:tcPr>
            <w:tcW w:w="915" w:type="dxa"/>
            <w:tcBorders>
              <w:top w:val="single" w:color="auto" w:sz="4" w:space="0"/>
              <w:left w:val="single" w:color="auto" w:sz="4" w:space="0"/>
              <w:bottom w:val="single" w:color="auto" w:sz="4" w:space="0"/>
              <w:right w:val="single" w:color="auto" w:sz="4" w:space="0"/>
            </w:tcBorders>
            <w:noWrap w:val="0"/>
            <w:vAlign w:val="center"/>
          </w:tcPr>
          <w:p w14:paraId="3AB3DCFD">
            <w:pPr>
              <w:keepLines w:val="0"/>
              <w:pageBreakBefore w:val="0"/>
              <w:kinsoku/>
              <w:wordWrap/>
              <w:overflowPunct/>
              <w:topLinePunct w:val="0"/>
              <w:autoSpaceDE/>
              <w:autoSpaceDN/>
              <w:bidi w:val="0"/>
              <w:adjustRightInd/>
              <w:snapToGrid/>
              <w:spacing w:line="380" w:lineRule="exact"/>
              <w:ind w:right="119" w:rightChars="0" w:firstLine="420" w:firstLineChars="200"/>
              <w:textAlignment w:val="auto"/>
              <w:rPr>
                <w:rFonts w:hint="eastAsia" w:ascii="宋体" w:hAnsi="宋体" w:eastAsia="宋体" w:cs="宋体"/>
                <w:color w:val="auto"/>
                <w:sz w:val="21"/>
                <w:szCs w:val="21"/>
                <w:highlight w:val="none"/>
                <w:lang w:val="en-US" w:eastAsia="zh-CN"/>
              </w:rPr>
            </w:pPr>
          </w:p>
        </w:tc>
      </w:tr>
    </w:tbl>
    <w:p w14:paraId="0F902B8F">
      <w:pPr>
        <w:tabs>
          <w:tab w:val="left" w:pos="772"/>
        </w:tabs>
        <w:spacing w:line="360" w:lineRule="auto"/>
        <w:ind w:firstLine="472" w:firstLineChars="196"/>
        <w:rPr>
          <w:rFonts w:hint="eastAsia" w:ascii="宋体" w:hAnsi="宋体"/>
          <w:b/>
          <w:bCs/>
          <w:color w:val="auto"/>
          <w:kern w:val="0"/>
          <w:sz w:val="24"/>
          <w:highlight w:val="none"/>
        </w:rPr>
      </w:pPr>
      <w:r>
        <w:rPr>
          <w:rFonts w:hint="eastAsia" w:ascii="宋体" w:hAnsi="宋体"/>
          <w:b/>
          <w:bCs/>
          <w:color w:val="auto"/>
          <w:kern w:val="0"/>
          <w:sz w:val="24"/>
          <w:highlight w:val="none"/>
          <w:lang w:eastAsia="zh-CN"/>
        </w:rPr>
        <w:t>八</w:t>
      </w:r>
      <w:r>
        <w:rPr>
          <w:rFonts w:hint="eastAsia" w:ascii="宋体" w:hAnsi="宋体"/>
          <w:b/>
          <w:bCs/>
          <w:color w:val="auto"/>
          <w:kern w:val="0"/>
          <w:sz w:val="24"/>
          <w:highlight w:val="none"/>
        </w:rPr>
        <w:t>、双方的权利和义务</w:t>
      </w:r>
    </w:p>
    <w:p w14:paraId="07C5F066">
      <w:pPr>
        <w:tabs>
          <w:tab w:val="left" w:pos="840"/>
          <w:tab w:val="left" w:pos="1020"/>
        </w:tabs>
        <w:spacing w:line="360" w:lineRule="auto"/>
        <w:ind w:left="482"/>
        <w:jc w:val="left"/>
        <w:rPr>
          <w:rFonts w:hint="eastAsia" w:ascii="宋体" w:hAnsi="宋体"/>
          <w:color w:val="auto"/>
          <w:kern w:val="0"/>
          <w:sz w:val="24"/>
          <w:highlight w:val="none"/>
        </w:rPr>
      </w:pPr>
      <w:r>
        <w:rPr>
          <w:rFonts w:hint="eastAsia" w:ascii="宋体" w:hAnsi="宋体"/>
          <w:color w:val="auto"/>
          <w:kern w:val="0"/>
          <w:sz w:val="24"/>
          <w:highlight w:val="none"/>
        </w:rPr>
        <w:t>甲方的权利义务</w:t>
      </w:r>
    </w:p>
    <w:p w14:paraId="48103C8B">
      <w:pPr>
        <w:pStyle w:val="13"/>
        <w:spacing w:after="0" w:line="360" w:lineRule="auto"/>
        <w:ind w:left="0" w:leftChars="0" w:firstLine="480" w:firstLineChars="200"/>
        <w:rPr>
          <w:rFonts w:hint="eastAsia" w:ascii="宋体" w:hAnsi="宋体"/>
          <w:bCs/>
          <w:color w:val="auto"/>
          <w:sz w:val="24"/>
          <w:highlight w:val="none"/>
        </w:rPr>
      </w:pPr>
      <w:r>
        <w:rPr>
          <w:rFonts w:hint="eastAsia" w:ascii="宋体" w:hAnsi="宋体"/>
          <w:bCs/>
          <w:color w:val="auto"/>
          <w:sz w:val="24"/>
          <w:highlight w:val="none"/>
        </w:rPr>
        <w:t>1、甲方按照考核办法对乙方工作情况定期或不定期的进行日常监督和管理。</w:t>
      </w:r>
    </w:p>
    <w:p w14:paraId="2E77F1B0">
      <w:pPr>
        <w:pStyle w:val="13"/>
        <w:spacing w:after="0" w:line="360" w:lineRule="auto"/>
        <w:ind w:left="0" w:leftChars="0" w:firstLine="480" w:firstLineChars="200"/>
        <w:rPr>
          <w:rFonts w:hint="eastAsia" w:ascii="宋体" w:hAnsi="宋体"/>
          <w:bCs/>
          <w:color w:val="auto"/>
          <w:sz w:val="24"/>
          <w:highlight w:val="none"/>
        </w:rPr>
      </w:pPr>
      <w:r>
        <w:rPr>
          <w:rFonts w:hint="eastAsia" w:ascii="宋体" w:hAnsi="宋体"/>
          <w:bCs/>
          <w:color w:val="auto"/>
          <w:sz w:val="24"/>
          <w:highlight w:val="none"/>
        </w:rPr>
        <w:t>2、如遇重要活动、重要节日需突击作业的，应提前通知乙方并负责做好业务指导工作。</w:t>
      </w:r>
    </w:p>
    <w:p w14:paraId="0FCE0FE7">
      <w:pPr>
        <w:pStyle w:val="13"/>
        <w:spacing w:after="0" w:line="360" w:lineRule="auto"/>
        <w:ind w:left="0" w:leftChars="0" w:firstLine="480" w:firstLineChars="200"/>
        <w:rPr>
          <w:rFonts w:hint="eastAsia" w:ascii="宋体" w:hAnsi="宋体"/>
          <w:bCs/>
          <w:color w:val="auto"/>
          <w:sz w:val="24"/>
          <w:highlight w:val="none"/>
        </w:rPr>
      </w:pPr>
      <w:r>
        <w:rPr>
          <w:rFonts w:hint="eastAsia" w:ascii="宋体" w:hAnsi="宋体"/>
          <w:bCs/>
          <w:color w:val="auto"/>
          <w:sz w:val="24"/>
          <w:highlight w:val="none"/>
        </w:rPr>
        <w:t>3、做好安全检査及宣传、教育、培训等工作，督促乙方做好安全生产工作。</w:t>
      </w:r>
    </w:p>
    <w:p w14:paraId="5A5CD5C6">
      <w:pPr>
        <w:pStyle w:val="13"/>
        <w:spacing w:after="0" w:line="360" w:lineRule="auto"/>
        <w:ind w:left="0" w:leftChars="0" w:firstLine="480" w:firstLineChars="200"/>
        <w:rPr>
          <w:rFonts w:hint="eastAsia" w:ascii="宋体" w:hAnsi="宋体"/>
          <w:bCs/>
          <w:color w:val="auto"/>
          <w:sz w:val="24"/>
          <w:highlight w:val="none"/>
        </w:rPr>
      </w:pPr>
      <w:r>
        <w:rPr>
          <w:rFonts w:hint="eastAsia" w:ascii="宋体" w:hAnsi="宋体"/>
          <w:bCs/>
          <w:color w:val="auto"/>
          <w:sz w:val="24"/>
          <w:highlight w:val="none"/>
        </w:rPr>
        <w:t>4、涉及承包外的环卫相关任务，乙方应按甲方的要求保质保量完成，服务费协商解决。</w:t>
      </w:r>
    </w:p>
    <w:p w14:paraId="4540FC4B">
      <w:pPr>
        <w:pStyle w:val="13"/>
        <w:spacing w:after="0" w:line="360" w:lineRule="auto"/>
        <w:ind w:left="0" w:leftChars="0" w:firstLine="480" w:firstLineChars="200"/>
        <w:rPr>
          <w:rFonts w:hint="eastAsia" w:ascii="宋体" w:hAnsi="宋体"/>
          <w:bCs/>
          <w:color w:val="auto"/>
          <w:sz w:val="24"/>
          <w:highlight w:val="none"/>
        </w:rPr>
      </w:pPr>
      <w:r>
        <w:rPr>
          <w:rFonts w:hint="eastAsia" w:ascii="宋体" w:hAnsi="宋体"/>
          <w:bCs/>
          <w:color w:val="auto"/>
          <w:sz w:val="24"/>
          <w:highlight w:val="none"/>
          <w:lang w:val="en-US" w:eastAsia="zh-CN"/>
        </w:rPr>
        <w:t>5</w:t>
      </w:r>
      <w:r>
        <w:rPr>
          <w:rFonts w:hint="eastAsia" w:ascii="宋体" w:hAnsi="宋体"/>
          <w:bCs/>
          <w:color w:val="auto"/>
          <w:sz w:val="24"/>
          <w:highlight w:val="none"/>
        </w:rPr>
        <w:t>、凡遇环卫体制改革或上级指示，甲方有权按实调整作业方式、道路面积及承包费用。如根据环卫体制改革或上级指示需要终止承包协议的，甲方根据乙方已履行合同实际情况，对月保洁服务费按已履行天数进行折算，并一次性支付给乙方，甲方不再额外补偿费用及其它损失。</w:t>
      </w:r>
    </w:p>
    <w:p w14:paraId="77E32A88">
      <w:pPr>
        <w:pStyle w:val="13"/>
        <w:spacing w:after="0" w:line="360" w:lineRule="auto"/>
        <w:ind w:left="0" w:leftChars="0" w:firstLine="480" w:firstLineChars="200"/>
        <w:rPr>
          <w:rFonts w:hint="eastAsia" w:ascii="宋体" w:hAnsi="宋体" w:eastAsia="宋体"/>
          <w:bCs/>
          <w:color w:val="auto"/>
          <w:sz w:val="24"/>
          <w:highlight w:val="none"/>
          <w:lang w:val="en-US" w:eastAsia="zh-CN"/>
        </w:rPr>
      </w:pPr>
      <w:r>
        <w:rPr>
          <w:rFonts w:hint="eastAsia" w:ascii="宋体" w:hAnsi="宋体"/>
          <w:bCs/>
          <w:color w:val="auto"/>
          <w:sz w:val="24"/>
          <w:highlight w:val="none"/>
          <w:lang w:val="en-US" w:eastAsia="zh-CN"/>
        </w:rPr>
        <w:t>6、在人居环境整治过程中，甲方须切实担负起主体责任和管理责任，做好群众思想工作，如有证据显示因甲方工作未到位，由于甲方责任导致的扣分，该分数不在乙方考核中扣分。</w:t>
      </w:r>
    </w:p>
    <w:p w14:paraId="561FA88D">
      <w:pPr>
        <w:tabs>
          <w:tab w:val="left" w:pos="840"/>
          <w:tab w:val="left" w:pos="1020"/>
        </w:tabs>
        <w:spacing w:line="360" w:lineRule="auto"/>
        <w:ind w:left="482"/>
        <w:jc w:val="left"/>
        <w:rPr>
          <w:rFonts w:hint="eastAsia" w:ascii="宋体" w:hAnsi="宋体"/>
          <w:color w:val="auto"/>
          <w:kern w:val="0"/>
          <w:sz w:val="24"/>
          <w:highlight w:val="none"/>
        </w:rPr>
      </w:pPr>
      <w:r>
        <w:rPr>
          <w:rFonts w:hint="eastAsia" w:ascii="宋体" w:hAnsi="宋体"/>
          <w:color w:val="auto"/>
          <w:kern w:val="0"/>
          <w:sz w:val="24"/>
          <w:highlight w:val="none"/>
        </w:rPr>
        <w:t>乙方的权利义务</w:t>
      </w:r>
    </w:p>
    <w:p w14:paraId="27D6B1F7">
      <w:pPr>
        <w:numPr>
          <w:ilvl w:val="0"/>
          <w:numId w:val="39"/>
        </w:numPr>
        <w:spacing w:line="360" w:lineRule="auto"/>
        <w:ind w:firstLine="480" w:firstLineChars="200"/>
        <w:rPr>
          <w:rFonts w:hint="eastAsia" w:ascii="宋体" w:hAnsi="等线"/>
          <w:color w:val="auto"/>
          <w:sz w:val="24"/>
          <w:highlight w:val="none"/>
        </w:rPr>
      </w:pPr>
      <w:r>
        <w:rPr>
          <w:rFonts w:hint="eastAsia" w:ascii="宋体" w:hAnsi="等线"/>
          <w:color w:val="auto"/>
          <w:sz w:val="24"/>
          <w:highlight w:val="none"/>
        </w:rPr>
        <w:t>乙方要加强对工作人员的培训和教育，爱护公共财物，确保安全工作，社绝各类事故。甲方如临时紧急工作任务，乙方必须无条件调动人员，保证完成工作。乙方要按时做好卫生工作台账资料及各种记录本，三方检查的整改及整改后的拍照，做好资料后由村委上报。</w:t>
      </w:r>
    </w:p>
    <w:p w14:paraId="2E4CE4FF">
      <w:pPr>
        <w:numPr>
          <w:ilvl w:val="0"/>
          <w:numId w:val="39"/>
        </w:numPr>
        <w:spacing w:line="360" w:lineRule="auto"/>
        <w:ind w:firstLine="480" w:firstLineChars="200"/>
        <w:rPr>
          <w:rFonts w:hint="eastAsia" w:ascii="宋体" w:hAnsi="等线"/>
          <w:color w:val="auto"/>
          <w:sz w:val="24"/>
          <w:highlight w:val="none"/>
        </w:rPr>
      </w:pPr>
      <w:r>
        <w:rPr>
          <w:rFonts w:hint="eastAsia" w:ascii="宋体" w:hAnsi="等线"/>
          <w:color w:val="auto"/>
          <w:sz w:val="24"/>
          <w:highlight w:val="none"/>
        </w:rPr>
        <w:t>按要求配</w:t>
      </w:r>
      <w:r>
        <w:rPr>
          <w:rFonts w:hint="eastAsia" w:ascii="宋体" w:hAnsi="等线"/>
          <w:color w:val="auto"/>
          <w:sz w:val="24"/>
          <w:highlight w:val="none"/>
          <w:lang w:eastAsia="zh-CN"/>
        </w:rPr>
        <w:t>合</w:t>
      </w:r>
      <w:r>
        <w:rPr>
          <w:rFonts w:hint="eastAsia" w:ascii="宋体" w:hAnsi="等线"/>
          <w:color w:val="auto"/>
          <w:sz w:val="24"/>
          <w:highlight w:val="none"/>
        </w:rPr>
        <w:t>好工作人员，确保工作质量，若甲方提出任何需要整改的意见，乙方应立即予以整改，乙方也可向甲方提出合理化意见和建议</w:t>
      </w:r>
      <w:r>
        <w:rPr>
          <w:rFonts w:hint="eastAsia" w:ascii="宋体" w:hAnsi="等线"/>
          <w:color w:val="auto"/>
          <w:sz w:val="24"/>
          <w:highlight w:val="none"/>
          <w:lang w:eastAsia="zh-CN"/>
        </w:rPr>
        <w:t>；</w:t>
      </w:r>
      <w:r>
        <w:rPr>
          <w:rFonts w:hint="eastAsia" w:ascii="宋体" w:hAnsi="等线"/>
          <w:color w:val="auto"/>
          <w:sz w:val="24"/>
          <w:highlight w:val="none"/>
        </w:rPr>
        <w:t>乙方在签约之日自行购齐必需的劳动用具，并自行落实好保洁人员每天到岗人数不得少于投标承诺人员数。</w:t>
      </w:r>
    </w:p>
    <w:p w14:paraId="68612C2E">
      <w:pPr>
        <w:numPr>
          <w:ilvl w:val="0"/>
          <w:numId w:val="39"/>
        </w:numPr>
        <w:spacing w:line="360" w:lineRule="auto"/>
        <w:ind w:firstLine="480" w:firstLineChars="200"/>
        <w:rPr>
          <w:rFonts w:hint="eastAsia" w:ascii="宋体" w:hAnsi="等线"/>
          <w:color w:val="auto"/>
          <w:sz w:val="24"/>
          <w:highlight w:val="none"/>
        </w:rPr>
      </w:pPr>
      <w:r>
        <w:rPr>
          <w:rFonts w:hint="eastAsia" w:ascii="宋体" w:hAnsi="等线"/>
          <w:color w:val="auto"/>
          <w:sz w:val="24"/>
          <w:highlight w:val="none"/>
        </w:rPr>
        <w:t>乙方工作人员要穿统一工作服装，以示上岗，接受公众监督遵守甲方各项内部规章制度:作业人员必须穿有安全标志的反光服，规范文明作业，不与路人发生争执。</w:t>
      </w:r>
    </w:p>
    <w:p w14:paraId="41145D5A">
      <w:pPr>
        <w:numPr>
          <w:ilvl w:val="0"/>
          <w:numId w:val="39"/>
        </w:numPr>
        <w:spacing w:line="360" w:lineRule="auto"/>
        <w:ind w:firstLine="480" w:firstLineChars="200"/>
        <w:rPr>
          <w:rFonts w:hint="eastAsia" w:ascii="宋体" w:hAnsi="等线"/>
          <w:color w:val="auto"/>
          <w:sz w:val="24"/>
          <w:highlight w:val="none"/>
        </w:rPr>
      </w:pPr>
      <w:r>
        <w:rPr>
          <w:rFonts w:hint="eastAsia" w:ascii="宋体" w:hAnsi="等线"/>
          <w:color w:val="auto"/>
          <w:sz w:val="24"/>
          <w:highlight w:val="none"/>
        </w:rPr>
        <w:t>乙方在被委托期间，发生人员伤亡由乙方承担一切费用，甲方概不承担任何责任。乙方用工应签订劳动协议，并办理各种用工手续，如因用工不当，给甲方造成损失由乙方承担一切责任。乙方要落实好安全防范措施，所有一线作业人员，必须参加意外伤害保险。在承包期内的各种伤亡、安全、赔偿事故，无论工伤、非工伤一律自负，甲方均不负任何责任。</w:t>
      </w:r>
    </w:p>
    <w:p w14:paraId="6B7194C1">
      <w:pPr>
        <w:numPr>
          <w:ilvl w:val="0"/>
          <w:numId w:val="39"/>
        </w:numPr>
        <w:spacing w:line="360" w:lineRule="auto"/>
        <w:ind w:firstLine="480" w:firstLineChars="200"/>
        <w:rPr>
          <w:rFonts w:hint="eastAsia" w:ascii="宋体" w:hAnsi="等线"/>
          <w:color w:val="auto"/>
          <w:sz w:val="24"/>
          <w:highlight w:val="none"/>
        </w:rPr>
      </w:pPr>
      <w:r>
        <w:rPr>
          <w:rFonts w:hint="eastAsia" w:ascii="宋体" w:hAnsi="等线"/>
          <w:color w:val="auto"/>
          <w:sz w:val="24"/>
          <w:highlight w:val="none"/>
        </w:rPr>
        <w:t>对某些需紧急处置的情况，在接到甲方通知后，乙方应无条件在规定时间内完成，乙方如处置不及时，甲方有权指派其他人员突击工作，费用在乙方承包款和履约保证金中扣除。</w:t>
      </w:r>
    </w:p>
    <w:p w14:paraId="6B522702">
      <w:pPr>
        <w:numPr>
          <w:ilvl w:val="0"/>
          <w:numId w:val="39"/>
        </w:numPr>
        <w:spacing w:line="360" w:lineRule="auto"/>
        <w:ind w:firstLine="480" w:firstLineChars="200"/>
        <w:rPr>
          <w:rFonts w:hint="eastAsia" w:ascii="宋体" w:hAnsi="等线"/>
          <w:color w:val="auto"/>
          <w:sz w:val="24"/>
          <w:highlight w:val="none"/>
        </w:rPr>
      </w:pPr>
      <w:r>
        <w:rPr>
          <w:rFonts w:hint="eastAsia" w:ascii="宋体" w:hAnsi="等线"/>
          <w:color w:val="auto"/>
          <w:sz w:val="24"/>
          <w:highlight w:val="none"/>
        </w:rPr>
        <w:t>乙方必须健全机构，完备制度，制订详细管理制度和监督考核办法，加强日常监督考核工作。</w:t>
      </w:r>
    </w:p>
    <w:p w14:paraId="5E347759">
      <w:pPr>
        <w:numPr>
          <w:ilvl w:val="0"/>
          <w:numId w:val="39"/>
        </w:numPr>
        <w:spacing w:line="360" w:lineRule="auto"/>
        <w:ind w:firstLine="480" w:firstLineChars="200"/>
        <w:rPr>
          <w:rFonts w:hint="eastAsia" w:ascii="宋体" w:hAnsi="等线"/>
          <w:color w:val="auto"/>
          <w:sz w:val="24"/>
          <w:highlight w:val="none"/>
        </w:rPr>
      </w:pPr>
      <w:r>
        <w:rPr>
          <w:rFonts w:hint="eastAsia" w:ascii="宋体" w:hAnsi="等线"/>
          <w:color w:val="auto"/>
          <w:sz w:val="24"/>
          <w:highlight w:val="none"/>
        </w:rPr>
        <w:t>乙方应自觉接受甲方的管理和指导，服从甲方的检查。</w:t>
      </w:r>
    </w:p>
    <w:p w14:paraId="765635DC">
      <w:pPr>
        <w:numPr>
          <w:ilvl w:val="0"/>
          <w:numId w:val="39"/>
        </w:numPr>
        <w:spacing w:line="360" w:lineRule="auto"/>
        <w:ind w:firstLine="480" w:firstLineChars="200"/>
        <w:rPr>
          <w:rFonts w:hint="eastAsia" w:ascii="宋体" w:hAnsi="等线"/>
          <w:color w:val="auto"/>
          <w:sz w:val="24"/>
          <w:highlight w:val="none"/>
        </w:rPr>
      </w:pPr>
      <w:r>
        <w:rPr>
          <w:rFonts w:hint="eastAsia" w:ascii="宋体" w:hAnsi="等线"/>
          <w:color w:val="auto"/>
          <w:sz w:val="24"/>
          <w:highlight w:val="none"/>
        </w:rPr>
        <w:t>乙方必须有固定的办公场所、值班电话和工具停放场所，必须落实专职管理人员进行日常管理。</w:t>
      </w:r>
      <w:r>
        <w:rPr>
          <w:rFonts w:hint="eastAsia" w:ascii="宋体" w:hAnsi="等线"/>
          <w:color w:val="auto"/>
          <w:sz w:val="24"/>
          <w:highlight w:val="none"/>
          <w:lang w:val="en-US" w:eastAsia="zh-CN"/>
        </w:rPr>
        <w:t>10</w:t>
      </w:r>
      <w:r>
        <w:rPr>
          <w:rFonts w:hint="eastAsia" w:ascii="宋体" w:hAnsi="等线"/>
          <w:color w:val="auto"/>
          <w:sz w:val="24"/>
          <w:highlight w:val="none"/>
        </w:rPr>
        <w:t>小时保洁清扫人员在路段内不得出现有空档现象，特殊情况根据甲方要求可延长工作时间。</w:t>
      </w:r>
    </w:p>
    <w:p w14:paraId="1CCBDCCA">
      <w:pPr>
        <w:numPr>
          <w:ilvl w:val="0"/>
          <w:numId w:val="39"/>
        </w:numPr>
        <w:spacing w:line="360" w:lineRule="auto"/>
        <w:ind w:firstLine="480" w:firstLineChars="200"/>
        <w:rPr>
          <w:rFonts w:hint="eastAsia" w:ascii="宋体" w:hAnsi="等线"/>
          <w:color w:val="auto"/>
          <w:sz w:val="24"/>
          <w:highlight w:val="none"/>
        </w:rPr>
      </w:pPr>
      <w:r>
        <w:rPr>
          <w:rFonts w:hint="eastAsia" w:ascii="宋体" w:hAnsi="等线"/>
          <w:color w:val="auto"/>
          <w:sz w:val="24"/>
          <w:highlight w:val="none"/>
        </w:rPr>
        <w:t>乙方承包期间，如有保洁面积、垃圾桶、公则保洁数量的增减，</w:t>
      </w:r>
      <w:r>
        <w:rPr>
          <w:rFonts w:hint="eastAsia" w:ascii="宋体" w:hAnsi="等线"/>
          <w:color w:val="auto"/>
          <w:sz w:val="24"/>
          <w:highlight w:val="none"/>
          <w:lang w:eastAsia="zh-CN"/>
        </w:rPr>
        <w:t>承包费用</w:t>
      </w:r>
      <w:r>
        <w:rPr>
          <w:rFonts w:hint="eastAsia" w:ascii="宋体" w:hAnsi="等线"/>
          <w:color w:val="auto"/>
          <w:sz w:val="24"/>
          <w:highlight w:val="none"/>
        </w:rPr>
        <w:t>将不再进行调整。</w:t>
      </w:r>
    </w:p>
    <w:p w14:paraId="311198F0">
      <w:pPr>
        <w:numPr>
          <w:ilvl w:val="0"/>
          <w:numId w:val="39"/>
        </w:numPr>
        <w:spacing w:line="360" w:lineRule="auto"/>
        <w:ind w:firstLine="480" w:firstLineChars="200"/>
        <w:rPr>
          <w:rFonts w:hint="eastAsia" w:ascii="宋体" w:hAnsi="等线"/>
          <w:color w:val="auto"/>
          <w:sz w:val="24"/>
          <w:highlight w:val="none"/>
        </w:rPr>
      </w:pPr>
      <w:r>
        <w:rPr>
          <w:rFonts w:hint="eastAsia" w:ascii="宋体" w:hAnsi="等线"/>
          <w:color w:val="auto"/>
          <w:sz w:val="24"/>
          <w:highlight w:val="none"/>
        </w:rPr>
        <w:t>乙方必须按时支付作业人员工资，所支付的工资不低于</w:t>
      </w:r>
      <w:r>
        <w:rPr>
          <w:rFonts w:hint="eastAsia" w:ascii="宋体" w:hAnsi="等线"/>
          <w:color w:val="auto"/>
          <w:sz w:val="24"/>
          <w:highlight w:val="none"/>
          <w:lang w:val="en-US" w:eastAsia="zh-CN"/>
        </w:rPr>
        <w:t>绍兴市</w:t>
      </w:r>
      <w:r>
        <w:rPr>
          <w:rFonts w:hint="eastAsia" w:ascii="宋体" w:hAnsi="等线"/>
          <w:color w:val="auto"/>
          <w:sz w:val="24"/>
          <w:highlight w:val="none"/>
        </w:rPr>
        <w:t>劳动部门发布的最低工资标准，不得克扣或者无故拖欠一线作业人员的工资，如不按时支付工资，甲方有权履约保证金或承包款中</w:t>
      </w:r>
      <w:r>
        <w:rPr>
          <w:rFonts w:hint="eastAsia" w:ascii="宋体" w:hAnsi="等线"/>
          <w:color w:val="auto"/>
          <w:sz w:val="24"/>
          <w:highlight w:val="none"/>
          <w:lang w:eastAsia="zh-CN"/>
        </w:rPr>
        <w:t>扣除相应费用，</w:t>
      </w:r>
      <w:r>
        <w:rPr>
          <w:rFonts w:hint="eastAsia" w:ascii="宋体" w:hAnsi="等线"/>
          <w:color w:val="auto"/>
          <w:sz w:val="24"/>
          <w:highlight w:val="none"/>
        </w:rPr>
        <w:t>向作业人员直接支付工资。</w:t>
      </w:r>
    </w:p>
    <w:p w14:paraId="0BE88BD1">
      <w:pPr>
        <w:numPr>
          <w:ilvl w:val="0"/>
          <w:numId w:val="39"/>
        </w:numPr>
        <w:spacing w:line="360" w:lineRule="auto"/>
        <w:ind w:firstLine="480" w:firstLineChars="200"/>
        <w:rPr>
          <w:rFonts w:hint="eastAsia" w:ascii="宋体" w:hAnsi="等线"/>
          <w:color w:val="auto"/>
          <w:sz w:val="24"/>
          <w:highlight w:val="none"/>
        </w:rPr>
      </w:pPr>
      <w:r>
        <w:rPr>
          <w:rFonts w:hint="eastAsia" w:ascii="宋体" w:hAnsi="等线"/>
          <w:color w:val="auto"/>
          <w:sz w:val="24"/>
          <w:highlight w:val="none"/>
        </w:rPr>
        <w:t>乙方有合理化的建议，经甲方认可后方可执行。</w:t>
      </w:r>
    </w:p>
    <w:p w14:paraId="5D6AE47A">
      <w:pPr>
        <w:tabs>
          <w:tab w:val="left" w:pos="840"/>
          <w:tab w:val="left" w:pos="1020"/>
        </w:tabs>
        <w:spacing w:line="360" w:lineRule="auto"/>
        <w:ind w:left="482"/>
        <w:jc w:val="left"/>
        <w:rPr>
          <w:rFonts w:hint="eastAsia" w:ascii="宋体" w:hAnsi="宋体"/>
          <w:color w:val="auto"/>
          <w:kern w:val="0"/>
          <w:sz w:val="24"/>
          <w:highlight w:val="none"/>
        </w:rPr>
      </w:pPr>
      <w:r>
        <w:rPr>
          <w:rFonts w:hint="eastAsia" w:ascii="宋体" w:hAnsi="等线"/>
          <w:color w:val="auto"/>
          <w:sz w:val="24"/>
          <w:highlight w:val="none"/>
          <w:lang w:val="en-US" w:eastAsia="zh-CN"/>
        </w:rPr>
        <w:t>12、</w:t>
      </w:r>
      <w:r>
        <w:rPr>
          <w:rFonts w:hint="eastAsia" w:ascii="宋体" w:hAnsi="等线"/>
          <w:color w:val="auto"/>
          <w:sz w:val="24"/>
          <w:highlight w:val="none"/>
        </w:rPr>
        <w:t>合同中涉及的所有垃圾乙方必须处置到位，处置费用全部由乙方负责。</w:t>
      </w:r>
    </w:p>
    <w:p w14:paraId="56FF2C7C">
      <w:pPr>
        <w:tabs>
          <w:tab w:val="left" w:pos="840"/>
          <w:tab w:val="left" w:pos="1020"/>
        </w:tabs>
        <w:spacing w:line="360" w:lineRule="auto"/>
        <w:ind w:left="482"/>
        <w:jc w:val="left"/>
        <w:rPr>
          <w:rFonts w:hint="eastAsia" w:ascii="宋体" w:hAnsi="宋体"/>
          <w:color w:val="auto"/>
          <w:kern w:val="0"/>
          <w:sz w:val="24"/>
          <w:highlight w:val="none"/>
        </w:rPr>
      </w:pPr>
      <w:r>
        <w:rPr>
          <w:rFonts w:hint="eastAsia" w:ascii="宋体" w:hAnsi="宋体"/>
          <w:b/>
          <w:bCs/>
          <w:color w:val="auto"/>
          <w:kern w:val="0"/>
          <w:sz w:val="24"/>
          <w:highlight w:val="none"/>
          <w:lang w:eastAsia="zh-CN"/>
        </w:rPr>
        <w:t>九</w:t>
      </w:r>
      <w:r>
        <w:rPr>
          <w:rFonts w:hint="eastAsia" w:ascii="宋体" w:hAnsi="宋体"/>
          <w:b/>
          <w:bCs/>
          <w:color w:val="auto"/>
          <w:kern w:val="0"/>
          <w:sz w:val="24"/>
          <w:highlight w:val="none"/>
        </w:rPr>
        <w:t>、违约责任</w:t>
      </w:r>
    </w:p>
    <w:p w14:paraId="5C543178">
      <w:pPr>
        <w:spacing w:line="360" w:lineRule="auto"/>
        <w:ind w:firstLine="600" w:firstLineChars="250"/>
        <w:jc w:val="left"/>
        <w:rPr>
          <w:rFonts w:hint="eastAsia" w:ascii="宋体" w:hAnsi="宋体"/>
          <w:color w:val="auto"/>
          <w:kern w:val="0"/>
          <w:sz w:val="24"/>
          <w:highlight w:val="none"/>
        </w:rPr>
      </w:pPr>
      <w:r>
        <w:rPr>
          <w:rFonts w:hint="eastAsia" w:ascii="宋体" w:hAnsi="宋体"/>
          <w:color w:val="auto"/>
          <w:kern w:val="0"/>
          <w:sz w:val="24"/>
          <w:highlight w:val="none"/>
          <w:lang w:val="en-US" w:eastAsia="zh-CN"/>
        </w:rPr>
        <w:t>1</w:t>
      </w:r>
      <w:r>
        <w:rPr>
          <w:rFonts w:hint="eastAsia" w:ascii="宋体" w:hAnsi="宋体"/>
          <w:color w:val="auto"/>
          <w:kern w:val="0"/>
          <w:sz w:val="24"/>
          <w:highlight w:val="none"/>
        </w:rPr>
        <w:t>、如乙方未能按合同要求（考核标准）进行服务，给甲方造成恶劣影响和损失时，甲方有权扣除</w:t>
      </w:r>
      <w:r>
        <w:rPr>
          <w:rFonts w:hint="eastAsia" w:ascii="宋体" w:hAnsi="宋体"/>
          <w:color w:val="auto"/>
          <w:sz w:val="24"/>
          <w:highlight w:val="none"/>
        </w:rPr>
        <w:t>履约保证金</w:t>
      </w:r>
      <w:r>
        <w:rPr>
          <w:rFonts w:hint="eastAsia" w:ascii="宋体" w:hAnsi="宋体"/>
          <w:color w:val="auto"/>
          <w:kern w:val="0"/>
          <w:sz w:val="24"/>
          <w:highlight w:val="none"/>
        </w:rPr>
        <w:t>。</w:t>
      </w:r>
    </w:p>
    <w:p w14:paraId="7EF29F3B">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textAlignment w:val="auto"/>
        <w:rPr>
          <w:rFonts w:hint="eastAsia" w:ascii="宋体" w:hAnsi="等线"/>
          <w:color w:val="auto"/>
          <w:sz w:val="24"/>
          <w:highlight w:val="none"/>
        </w:rPr>
      </w:pPr>
      <w:r>
        <w:rPr>
          <w:rFonts w:hint="eastAsia" w:ascii="宋体" w:hAnsi="等线"/>
          <w:color w:val="auto"/>
          <w:sz w:val="24"/>
          <w:highlight w:val="none"/>
          <w:lang w:val="en-US" w:eastAsia="zh-CN"/>
        </w:rPr>
        <w:t>2</w:t>
      </w:r>
      <w:r>
        <w:rPr>
          <w:rFonts w:hint="eastAsia" w:ascii="宋体" w:hAnsi="等线"/>
          <w:color w:val="auto"/>
          <w:sz w:val="24"/>
          <w:highlight w:val="none"/>
        </w:rPr>
        <w:t>、在承包期内，乙方无充分理由终止承包或到岗少于规定人数造成不良社会影响，甲方有权终止承包协议，同时履约保证金不予退还。</w:t>
      </w:r>
    </w:p>
    <w:p w14:paraId="1D447B5A">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textAlignment w:val="auto"/>
        <w:rPr>
          <w:rFonts w:hint="eastAsia" w:ascii="宋体" w:hAnsi="等线"/>
          <w:color w:val="auto"/>
          <w:sz w:val="24"/>
          <w:highlight w:val="none"/>
        </w:rPr>
      </w:pPr>
      <w:r>
        <w:rPr>
          <w:rFonts w:hint="eastAsia" w:ascii="宋体" w:hAnsi="等线"/>
          <w:color w:val="auto"/>
          <w:sz w:val="24"/>
          <w:highlight w:val="none"/>
          <w:lang w:val="en-US" w:eastAsia="zh-CN"/>
        </w:rPr>
        <w:t>3</w:t>
      </w:r>
      <w:r>
        <w:rPr>
          <w:rFonts w:hint="eastAsia" w:ascii="宋体" w:hAnsi="等线"/>
          <w:color w:val="auto"/>
          <w:sz w:val="24"/>
          <w:highlight w:val="none"/>
        </w:rPr>
        <w:t>、</w:t>
      </w:r>
      <w:r>
        <w:rPr>
          <w:rFonts w:hint="eastAsia" w:ascii="宋体" w:hAnsi="等线"/>
          <w:color w:val="auto"/>
          <w:sz w:val="24"/>
          <w:highlight w:val="none"/>
          <w:lang w:val="en-US" w:eastAsia="zh-CN"/>
        </w:rPr>
        <w:t>乙方不得转包或分包，如发现转包或分包，甲方有权解除合同，没收履约保证金并追究乙方的违约责任。</w:t>
      </w:r>
    </w:p>
    <w:p w14:paraId="34973571">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cs="宋体"/>
          <w:color w:val="auto"/>
          <w:sz w:val="24"/>
          <w:szCs w:val="32"/>
          <w:highlight w:val="none"/>
        </w:rPr>
      </w:pPr>
      <w:r>
        <w:rPr>
          <w:rFonts w:hint="eastAsia" w:ascii="宋体" w:hAnsi="等线"/>
          <w:color w:val="auto"/>
          <w:sz w:val="24"/>
          <w:highlight w:val="none"/>
          <w:lang w:val="en-US" w:eastAsia="zh-CN"/>
        </w:rPr>
        <w:t>4</w:t>
      </w:r>
      <w:r>
        <w:rPr>
          <w:rFonts w:hint="eastAsia" w:ascii="宋体" w:hAnsi="等线"/>
          <w:color w:val="auto"/>
          <w:sz w:val="24"/>
          <w:highlight w:val="none"/>
        </w:rPr>
        <w:t>、由于政策或不可抗力等因素引起承包中断，甲方终止承包合同应提前15天通知乙方。经主管部门同意后，履约保证金予以退还。</w:t>
      </w:r>
    </w:p>
    <w:p w14:paraId="00FAFC9D">
      <w:pPr>
        <w:spacing w:line="360" w:lineRule="auto"/>
        <w:ind w:firstLine="602" w:firstLineChars="250"/>
        <w:jc w:val="left"/>
        <w:rPr>
          <w:rFonts w:hint="eastAsia" w:ascii="宋体" w:hAnsi="宋体"/>
          <w:b/>
          <w:color w:val="auto"/>
          <w:kern w:val="0"/>
          <w:sz w:val="24"/>
          <w:highlight w:val="none"/>
        </w:rPr>
      </w:pPr>
      <w:r>
        <w:rPr>
          <w:rFonts w:hint="eastAsia" w:ascii="宋体" w:hAnsi="宋体"/>
          <w:b/>
          <w:color w:val="auto"/>
          <w:kern w:val="0"/>
          <w:sz w:val="24"/>
          <w:highlight w:val="none"/>
        </w:rPr>
        <w:t>十、其他事项</w:t>
      </w:r>
    </w:p>
    <w:p w14:paraId="5D85C73C">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textAlignment w:val="auto"/>
        <w:rPr>
          <w:rFonts w:hint="eastAsia" w:ascii="宋体" w:hAnsi="等线" w:eastAsia="宋体" w:cs="Times New Roman"/>
          <w:color w:val="auto"/>
          <w:sz w:val="24"/>
          <w:highlight w:val="none"/>
        </w:rPr>
      </w:pPr>
      <w:r>
        <w:rPr>
          <w:rFonts w:hint="eastAsia" w:ascii="宋体" w:hAnsi="等线" w:eastAsia="宋体" w:cs="Times New Roman"/>
          <w:color w:val="auto"/>
          <w:sz w:val="24"/>
          <w:highlight w:val="none"/>
        </w:rPr>
        <w:t>1、本合同有效时间为一年。</w:t>
      </w:r>
    </w:p>
    <w:p w14:paraId="6E201F40">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textAlignment w:val="auto"/>
        <w:rPr>
          <w:rFonts w:hint="default" w:ascii="宋体" w:hAnsi="等线" w:eastAsia="宋体" w:cs="Times New Roman"/>
          <w:color w:val="auto"/>
          <w:sz w:val="24"/>
          <w:highlight w:val="none"/>
          <w:lang w:val="en-US" w:eastAsia="zh-CN"/>
        </w:rPr>
      </w:pPr>
      <w:r>
        <w:rPr>
          <w:rFonts w:hint="eastAsia" w:ascii="宋体" w:hAnsi="等线" w:eastAsia="宋体" w:cs="Times New Roman"/>
          <w:color w:val="auto"/>
          <w:sz w:val="24"/>
          <w:highlight w:val="none"/>
          <w:lang w:val="en-US" w:eastAsia="zh-CN"/>
        </w:rPr>
        <w:t>2、村范围内的国家机关及企事业单位环境卫生保洁不包括在内，按相关政策执行</w:t>
      </w:r>
      <w:r>
        <w:rPr>
          <w:rFonts w:hint="eastAsia" w:ascii="宋体" w:hAnsi="等线" w:eastAsia="宋体" w:cs="Times New Roman"/>
          <w:color w:val="auto"/>
          <w:sz w:val="24"/>
          <w:highlight w:val="none"/>
        </w:rPr>
        <w:t>。</w:t>
      </w:r>
    </w:p>
    <w:p w14:paraId="15348EAB">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textAlignment w:val="auto"/>
        <w:rPr>
          <w:rFonts w:ascii="宋体" w:hAnsi="等线"/>
          <w:color w:val="auto"/>
          <w:sz w:val="24"/>
          <w:highlight w:val="none"/>
        </w:rPr>
      </w:pPr>
      <w:r>
        <w:rPr>
          <w:rFonts w:hint="eastAsia" w:ascii="宋体" w:hAnsi="等线" w:eastAsia="宋体" w:cs="Times New Roman"/>
          <w:color w:val="auto"/>
          <w:sz w:val="24"/>
          <w:highlight w:val="none"/>
          <w:lang w:val="en-US" w:eastAsia="zh-CN"/>
        </w:rPr>
        <w:t>3</w:t>
      </w:r>
      <w:r>
        <w:rPr>
          <w:rFonts w:hint="eastAsia" w:ascii="宋体" w:hAnsi="等线" w:eastAsia="宋体" w:cs="Times New Roman"/>
          <w:color w:val="auto"/>
          <w:sz w:val="24"/>
          <w:highlight w:val="none"/>
        </w:rPr>
        <w:t>、乙方必须按规</w:t>
      </w:r>
      <w:r>
        <w:rPr>
          <w:rFonts w:hint="eastAsia" w:ascii="宋体" w:hAnsi="等线"/>
          <w:color w:val="auto"/>
          <w:sz w:val="24"/>
          <w:highlight w:val="none"/>
        </w:rPr>
        <w:t>定落实在册人员的人身意外保险，保险合同及相关资料需报甲方备案；同时乙方必须加强安全教育及采取安全作业措施，如有伤害事故发生均有乙方承担，与甲方无涉。</w:t>
      </w:r>
    </w:p>
    <w:p w14:paraId="41983B30">
      <w:pPr>
        <w:spacing w:line="360" w:lineRule="auto"/>
        <w:ind w:firstLine="480" w:firstLineChars="200"/>
        <w:rPr>
          <w:rFonts w:ascii="宋体" w:hAnsi="等线"/>
          <w:color w:val="auto"/>
          <w:sz w:val="24"/>
          <w:highlight w:val="none"/>
        </w:rPr>
      </w:pPr>
      <w:r>
        <w:rPr>
          <w:rFonts w:hint="eastAsia" w:ascii="宋体" w:hAnsi="等线"/>
          <w:color w:val="auto"/>
          <w:sz w:val="24"/>
          <w:highlight w:val="none"/>
          <w:lang w:val="en-US" w:eastAsia="zh-CN"/>
        </w:rPr>
        <w:t>4</w:t>
      </w:r>
      <w:r>
        <w:rPr>
          <w:rFonts w:hint="eastAsia" w:ascii="宋体" w:hAnsi="等线"/>
          <w:color w:val="auto"/>
          <w:sz w:val="24"/>
          <w:highlight w:val="none"/>
        </w:rPr>
        <w:t>、乙方应保证作业车辆符合上路运输条件，并按相关规定投保（甲方提供的垃圾分类所需车辆由甲方负责投保）。乙方应配备合格、合法的车辆驾驶人员，并加强安全教育及采取安全作业措施，规范用车，禁止利用车辆从事与本职工作无关的事项，发生交通及意外事故均有乙方负责，与甲方无涉。</w:t>
      </w:r>
    </w:p>
    <w:p w14:paraId="64F31A8B">
      <w:pPr>
        <w:spacing w:line="360" w:lineRule="auto"/>
        <w:ind w:firstLine="480" w:firstLineChars="200"/>
        <w:rPr>
          <w:rFonts w:ascii="宋体" w:hAnsi="等线"/>
          <w:color w:val="auto"/>
          <w:sz w:val="24"/>
          <w:highlight w:val="none"/>
        </w:rPr>
      </w:pPr>
      <w:r>
        <w:rPr>
          <w:rFonts w:hint="eastAsia" w:ascii="宋体" w:hAnsi="等线"/>
          <w:color w:val="auto"/>
          <w:sz w:val="24"/>
          <w:highlight w:val="none"/>
          <w:lang w:val="en-US" w:eastAsia="zh-CN"/>
        </w:rPr>
        <w:t>5</w:t>
      </w:r>
      <w:r>
        <w:rPr>
          <w:rFonts w:hint="eastAsia" w:ascii="宋体" w:hAnsi="等线"/>
          <w:color w:val="auto"/>
          <w:sz w:val="24"/>
          <w:highlight w:val="none"/>
        </w:rPr>
        <w:t>、本合同附件属于本合同不可分割部分，具有同等效力。</w:t>
      </w:r>
    </w:p>
    <w:p w14:paraId="3FCEB794">
      <w:pPr>
        <w:spacing w:line="360" w:lineRule="auto"/>
        <w:ind w:firstLine="480" w:firstLineChars="200"/>
        <w:rPr>
          <w:rFonts w:ascii="宋体" w:hAnsi="等线"/>
          <w:color w:val="auto"/>
          <w:sz w:val="24"/>
          <w:highlight w:val="none"/>
        </w:rPr>
      </w:pPr>
      <w:r>
        <w:rPr>
          <w:rFonts w:hint="eastAsia" w:ascii="宋体" w:hAnsi="等线"/>
          <w:color w:val="auto"/>
          <w:sz w:val="24"/>
          <w:highlight w:val="none"/>
          <w:lang w:val="en-US" w:eastAsia="zh-CN"/>
        </w:rPr>
        <w:t>6</w:t>
      </w:r>
      <w:r>
        <w:rPr>
          <w:rFonts w:hint="eastAsia" w:ascii="宋体" w:hAnsi="等线"/>
          <w:color w:val="auto"/>
          <w:sz w:val="24"/>
          <w:highlight w:val="none"/>
        </w:rPr>
        <w:t>、甲乙双方经协商后，可对本合同的条款进行修订、补充，并以书面形式签订补充协议，补充协议与本合同具有同等法律效力。</w:t>
      </w:r>
    </w:p>
    <w:p w14:paraId="70DD6B34">
      <w:pPr>
        <w:spacing w:line="360" w:lineRule="auto"/>
        <w:ind w:firstLine="480" w:firstLineChars="200"/>
        <w:rPr>
          <w:rFonts w:ascii="宋体" w:hAnsi="等线"/>
          <w:color w:val="auto"/>
          <w:sz w:val="24"/>
          <w:highlight w:val="none"/>
        </w:rPr>
      </w:pPr>
      <w:r>
        <w:rPr>
          <w:rFonts w:hint="eastAsia" w:ascii="宋体" w:hAnsi="等线"/>
          <w:color w:val="auto"/>
          <w:sz w:val="24"/>
          <w:highlight w:val="none"/>
          <w:lang w:val="en-US" w:eastAsia="zh-CN"/>
        </w:rPr>
        <w:t>7</w:t>
      </w:r>
      <w:r>
        <w:rPr>
          <w:rFonts w:hint="eastAsia" w:ascii="宋体" w:hAnsi="等线"/>
          <w:color w:val="auto"/>
          <w:sz w:val="24"/>
          <w:highlight w:val="none"/>
        </w:rPr>
        <w:t>、本合同未尽事宜，甲乙双方友好协商解决，协商不成提交上虞区人民法院裁决。</w:t>
      </w:r>
    </w:p>
    <w:p w14:paraId="20A4BFCE">
      <w:pPr>
        <w:spacing w:line="360" w:lineRule="auto"/>
        <w:ind w:firstLine="480" w:firstLineChars="200"/>
        <w:jc w:val="left"/>
        <w:rPr>
          <w:rFonts w:hint="eastAsia" w:ascii="宋体" w:hAnsi="宋体"/>
          <w:color w:val="auto"/>
          <w:kern w:val="0"/>
          <w:sz w:val="24"/>
          <w:highlight w:val="none"/>
        </w:rPr>
      </w:pPr>
      <w:r>
        <w:rPr>
          <w:rFonts w:hint="eastAsia" w:ascii="宋体" w:hAnsi="等线"/>
          <w:color w:val="auto"/>
          <w:sz w:val="24"/>
          <w:highlight w:val="none"/>
          <w:lang w:val="en-US" w:eastAsia="zh-CN"/>
        </w:rPr>
        <w:t>8</w:t>
      </w:r>
      <w:r>
        <w:rPr>
          <w:rFonts w:hint="eastAsia" w:ascii="宋体" w:hAnsi="等线"/>
          <w:color w:val="auto"/>
          <w:sz w:val="24"/>
          <w:highlight w:val="none"/>
        </w:rPr>
        <w:t>、本合同一式肆份，甲、乙方执贰份，经双方签字盖章后生效。</w:t>
      </w:r>
    </w:p>
    <w:p w14:paraId="5B2BF6A2">
      <w:pPr>
        <w:spacing w:line="500" w:lineRule="exact"/>
        <w:jc w:val="left"/>
        <w:rPr>
          <w:rFonts w:hint="eastAsia" w:ascii="宋体" w:hAnsi="宋体"/>
          <w:color w:val="auto"/>
          <w:kern w:val="0"/>
          <w:sz w:val="24"/>
          <w:highlight w:val="none"/>
        </w:rPr>
      </w:pPr>
    </w:p>
    <w:tbl>
      <w:tblPr>
        <w:tblStyle w:val="30"/>
        <w:tblW w:w="0" w:type="auto"/>
        <w:tblInd w:w="28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76"/>
        <w:gridCol w:w="2397"/>
        <w:gridCol w:w="1661"/>
        <w:gridCol w:w="2767"/>
      </w:tblGrid>
      <w:tr w14:paraId="23B184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1476" w:type="dxa"/>
            <w:tcBorders>
              <w:top w:val="single" w:color="auto" w:sz="4" w:space="0"/>
              <w:left w:val="single" w:color="auto" w:sz="4" w:space="0"/>
              <w:bottom w:val="single" w:color="auto" w:sz="4" w:space="0"/>
              <w:right w:val="single" w:color="auto" w:sz="4" w:space="0"/>
            </w:tcBorders>
            <w:noWrap w:val="0"/>
            <w:vAlign w:val="center"/>
          </w:tcPr>
          <w:p w14:paraId="6671EBD5">
            <w:pPr>
              <w:spacing w:line="460" w:lineRule="exact"/>
              <w:jc w:val="center"/>
              <w:rPr>
                <w:rFonts w:ascii="宋体" w:hAnsi="宋体"/>
                <w:color w:val="auto"/>
                <w:kern w:val="0"/>
                <w:sz w:val="24"/>
                <w:highlight w:val="none"/>
              </w:rPr>
            </w:pPr>
            <w:r>
              <w:rPr>
                <w:rFonts w:hint="eastAsia" w:ascii="宋体" w:hAnsi="宋体"/>
                <w:color w:val="auto"/>
                <w:kern w:val="0"/>
                <w:sz w:val="24"/>
                <w:highlight w:val="none"/>
              </w:rPr>
              <w:t>甲方单位</w:t>
            </w:r>
          </w:p>
        </w:tc>
        <w:tc>
          <w:tcPr>
            <w:tcW w:w="2397" w:type="dxa"/>
            <w:tcBorders>
              <w:top w:val="single" w:color="auto" w:sz="4" w:space="0"/>
              <w:left w:val="single" w:color="auto" w:sz="4" w:space="0"/>
              <w:bottom w:val="single" w:color="auto" w:sz="4" w:space="0"/>
              <w:right w:val="single" w:color="auto" w:sz="4" w:space="0"/>
            </w:tcBorders>
            <w:noWrap w:val="0"/>
            <w:vAlign w:val="center"/>
          </w:tcPr>
          <w:p w14:paraId="038EEDC8">
            <w:pPr>
              <w:spacing w:line="460" w:lineRule="exact"/>
              <w:jc w:val="center"/>
              <w:rPr>
                <w:rFonts w:ascii="宋体" w:hAnsi="宋体"/>
                <w:color w:val="auto"/>
                <w:kern w:val="0"/>
                <w:sz w:val="24"/>
                <w:highlight w:val="none"/>
              </w:rPr>
            </w:pPr>
            <w:r>
              <w:rPr>
                <w:rFonts w:hint="eastAsia" w:ascii="宋体" w:hAnsi="宋体"/>
                <w:color w:val="auto"/>
                <w:kern w:val="0"/>
                <w:sz w:val="24"/>
                <w:highlight w:val="none"/>
              </w:rPr>
              <w:t>（盖章）</w:t>
            </w:r>
          </w:p>
        </w:tc>
        <w:tc>
          <w:tcPr>
            <w:tcW w:w="1661" w:type="dxa"/>
            <w:tcBorders>
              <w:top w:val="single" w:color="auto" w:sz="4" w:space="0"/>
              <w:left w:val="single" w:color="auto" w:sz="4" w:space="0"/>
              <w:bottom w:val="single" w:color="auto" w:sz="4" w:space="0"/>
              <w:right w:val="single" w:color="auto" w:sz="4" w:space="0"/>
            </w:tcBorders>
            <w:noWrap w:val="0"/>
            <w:vAlign w:val="center"/>
          </w:tcPr>
          <w:p w14:paraId="3E6EA52D">
            <w:pPr>
              <w:spacing w:line="460" w:lineRule="exact"/>
              <w:jc w:val="center"/>
              <w:rPr>
                <w:rFonts w:ascii="宋体" w:hAnsi="宋体"/>
                <w:color w:val="auto"/>
                <w:kern w:val="0"/>
                <w:sz w:val="24"/>
                <w:highlight w:val="none"/>
              </w:rPr>
            </w:pPr>
            <w:r>
              <w:rPr>
                <w:rFonts w:hint="eastAsia" w:ascii="宋体" w:hAnsi="宋体"/>
                <w:color w:val="auto"/>
                <w:kern w:val="0"/>
                <w:sz w:val="24"/>
                <w:highlight w:val="none"/>
              </w:rPr>
              <w:t>乙方单位</w:t>
            </w:r>
          </w:p>
        </w:tc>
        <w:tc>
          <w:tcPr>
            <w:tcW w:w="2767" w:type="dxa"/>
            <w:tcBorders>
              <w:top w:val="single" w:color="auto" w:sz="4" w:space="0"/>
              <w:left w:val="single" w:color="auto" w:sz="4" w:space="0"/>
              <w:bottom w:val="single" w:color="auto" w:sz="4" w:space="0"/>
              <w:right w:val="single" w:color="auto" w:sz="4" w:space="0"/>
            </w:tcBorders>
            <w:noWrap w:val="0"/>
            <w:vAlign w:val="center"/>
          </w:tcPr>
          <w:p w14:paraId="2AE9A020">
            <w:pPr>
              <w:spacing w:line="460" w:lineRule="exact"/>
              <w:jc w:val="center"/>
              <w:rPr>
                <w:rFonts w:ascii="宋体" w:hAnsi="宋体"/>
                <w:color w:val="auto"/>
                <w:kern w:val="0"/>
                <w:sz w:val="24"/>
                <w:highlight w:val="none"/>
              </w:rPr>
            </w:pPr>
            <w:r>
              <w:rPr>
                <w:rFonts w:hint="eastAsia" w:ascii="宋体" w:hAnsi="宋体"/>
                <w:color w:val="auto"/>
                <w:kern w:val="0"/>
                <w:sz w:val="24"/>
                <w:highlight w:val="none"/>
              </w:rPr>
              <w:t>（盖章）</w:t>
            </w:r>
          </w:p>
        </w:tc>
      </w:tr>
      <w:tr w14:paraId="32E68C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1476" w:type="dxa"/>
            <w:tcBorders>
              <w:top w:val="single" w:color="auto" w:sz="4" w:space="0"/>
              <w:left w:val="single" w:color="auto" w:sz="4" w:space="0"/>
              <w:bottom w:val="single" w:color="auto" w:sz="4" w:space="0"/>
              <w:right w:val="single" w:color="auto" w:sz="4" w:space="0"/>
            </w:tcBorders>
            <w:noWrap w:val="0"/>
            <w:vAlign w:val="center"/>
          </w:tcPr>
          <w:p w14:paraId="52E5F431">
            <w:pPr>
              <w:spacing w:line="460" w:lineRule="exact"/>
              <w:jc w:val="center"/>
              <w:rPr>
                <w:rFonts w:ascii="宋体" w:hAnsi="宋体"/>
                <w:color w:val="auto"/>
                <w:kern w:val="0"/>
                <w:sz w:val="24"/>
                <w:highlight w:val="none"/>
              </w:rPr>
            </w:pPr>
            <w:r>
              <w:rPr>
                <w:rFonts w:hint="eastAsia" w:ascii="宋体" w:hAnsi="宋体"/>
                <w:color w:val="auto"/>
                <w:kern w:val="0"/>
                <w:sz w:val="24"/>
                <w:highlight w:val="none"/>
              </w:rPr>
              <w:t>代表签名</w:t>
            </w:r>
          </w:p>
        </w:tc>
        <w:tc>
          <w:tcPr>
            <w:tcW w:w="2397" w:type="dxa"/>
            <w:tcBorders>
              <w:top w:val="single" w:color="auto" w:sz="4" w:space="0"/>
              <w:left w:val="single" w:color="auto" w:sz="4" w:space="0"/>
              <w:bottom w:val="single" w:color="auto" w:sz="4" w:space="0"/>
              <w:right w:val="single" w:color="auto" w:sz="4" w:space="0"/>
            </w:tcBorders>
            <w:noWrap w:val="0"/>
            <w:vAlign w:val="center"/>
          </w:tcPr>
          <w:p w14:paraId="3DD580B0">
            <w:pPr>
              <w:spacing w:line="460" w:lineRule="exact"/>
              <w:jc w:val="center"/>
              <w:rPr>
                <w:rFonts w:ascii="宋体" w:hAnsi="宋体"/>
                <w:color w:val="auto"/>
                <w:kern w:val="0"/>
                <w:sz w:val="24"/>
                <w:highlight w:val="none"/>
              </w:rPr>
            </w:pPr>
          </w:p>
        </w:tc>
        <w:tc>
          <w:tcPr>
            <w:tcW w:w="1661" w:type="dxa"/>
            <w:tcBorders>
              <w:top w:val="single" w:color="auto" w:sz="4" w:space="0"/>
              <w:left w:val="single" w:color="auto" w:sz="4" w:space="0"/>
              <w:bottom w:val="single" w:color="auto" w:sz="4" w:space="0"/>
              <w:right w:val="single" w:color="auto" w:sz="4" w:space="0"/>
            </w:tcBorders>
            <w:noWrap w:val="0"/>
            <w:vAlign w:val="center"/>
          </w:tcPr>
          <w:p w14:paraId="53391334">
            <w:pPr>
              <w:spacing w:line="460" w:lineRule="exact"/>
              <w:jc w:val="center"/>
              <w:rPr>
                <w:rFonts w:ascii="宋体" w:hAnsi="宋体"/>
                <w:color w:val="auto"/>
                <w:kern w:val="0"/>
                <w:sz w:val="24"/>
                <w:highlight w:val="none"/>
              </w:rPr>
            </w:pPr>
            <w:r>
              <w:rPr>
                <w:rFonts w:hint="eastAsia" w:ascii="宋体" w:hAnsi="宋体"/>
                <w:color w:val="auto"/>
                <w:kern w:val="0"/>
                <w:sz w:val="24"/>
                <w:highlight w:val="none"/>
              </w:rPr>
              <w:t>代表签名</w:t>
            </w:r>
          </w:p>
        </w:tc>
        <w:tc>
          <w:tcPr>
            <w:tcW w:w="2767" w:type="dxa"/>
            <w:tcBorders>
              <w:top w:val="single" w:color="auto" w:sz="4" w:space="0"/>
              <w:left w:val="single" w:color="auto" w:sz="4" w:space="0"/>
              <w:bottom w:val="single" w:color="auto" w:sz="4" w:space="0"/>
              <w:right w:val="single" w:color="auto" w:sz="4" w:space="0"/>
            </w:tcBorders>
            <w:noWrap w:val="0"/>
            <w:vAlign w:val="center"/>
          </w:tcPr>
          <w:p w14:paraId="638EDCF5">
            <w:pPr>
              <w:spacing w:line="460" w:lineRule="exact"/>
              <w:jc w:val="center"/>
              <w:rPr>
                <w:rFonts w:ascii="宋体" w:hAnsi="宋体"/>
                <w:color w:val="auto"/>
                <w:kern w:val="0"/>
                <w:sz w:val="24"/>
                <w:highlight w:val="none"/>
              </w:rPr>
            </w:pPr>
          </w:p>
        </w:tc>
      </w:tr>
      <w:tr w14:paraId="194CF6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1476" w:type="dxa"/>
            <w:tcBorders>
              <w:top w:val="single" w:color="auto" w:sz="4" w:space="0"/>
              <w:left w:val="single" w:color="auto" w:sz="4" w:space="0"/>
              <w:bottom w:val="single" w:color="auto" w:sz="4" w:space="0"/>
              <w:right w:val="single" w:color="auto" w:sz="4" w:space="0"/>
            </w:tcBorders>
            <w:noWrap w:val="0"/>
            <w:vAlign w:val="center"/>
          </w:tcPr>
          <w:p w14:paraId="13AB0C2C">
            <w:pPr>
              <w:spacing w:line="460" w:lineRule="exact"/>
              <w:jc w:val="center"/>
              <w:rPr>
                <w:rFonts w:ascii="宋体" w:hAnsi="宋体"/>
                <w:color w:val="auto"/>
                <w:kern w:val="0"/>
                <w:sz w:val="24"/>
                <w:highlight w:val="none"/>
              </w:rPr>
            </w:pPr>
            <w:r>
              <w:rPr>
                <w:rFonts w:hint="eastAsia" w:ascii="宋体" w:hAnsi="宋体"/>
                <w:color w:val="auto"/>
                <w:kern w:val="0"/>
                <w:sz w:val="24"/>
                <w:highlight w:val="none"/>
              </w:rPr>
              <w:t>地址</w:t>
            </w:r>
          </w:p>
        </w:tc>
        <w:tc>
          <w:tcPr>
            <w:tcW w:w="2397" w:type="dxa"/>
            <w:tcBorders>
              <w:top w:val="single" w:color="auto" w:sz="4" w:space="0"/>
              <w:left w:val="single" w:color="auto" w:sz="4" w:space="0"/>
              <w:bottom w:val="single" w:color="auto" w:sz="4" w:space="0"/>
              <w:right w:val="single" w:color="auto" w:sz="4" w:space="0"/>
            </w:tcBorders>
            <w:noWrap w:val="0"/>
            <w:vAlign w:val="center"/>
          </w:tcPr>
          <w:p w14:paraId="1465051D">
            <w:pPr>
              <w:spacing w:line="460" w:lineRule="exact"/>
              <w:jc w:val="center"/>
              <w:rPr>
                <w:rFonts w:ascii="宋体" w:hAnsi="宋体"/>
                <w:color w:val="auto"/>
                <w:kern w:val="0"/>
                <w:sz w:val="24"/>
                <w:highlight w:val="none"/>
              </w:rPr>
            </w:pPr>
          </w:p>
        </w:tc>
        <w:tc>
          <w:tcPr>
            <w:tcW w:w="1661" w:type="dxa"/>
            <w:tcBorders>
              <w:top w:val="single" w:color="auto" w:sz="4" w:space="0"/>
              <w:left w:val="single" w:color="auto" w:sz="4" w:space="0"/>
              <w:bottom w:val="single" w:color="auto" w:sz="4" w:space="0"/>
              <w:right w:val="single" w:color="auto" w:sz="4" w:space="0"/>
            </w:tcBorders>
            <w:noWrap w:val="0"/>
            <w:vAlign w:val="center"/>
          </w:tcPr>
          <w:p w14:paraId="69D6A6AA">
            <w:pPr>
              <w:spacing w:line="460" w:lineRule="exact"/>
              <w:jc w:val="center"/>
              <w:rPr>
                <w:rFonts w:ascii="宋体" w:hAnsi="宋体"/>
                <w:color w:val="auto"/>
                <w:kern w:val="0"/>
                <w:sz w:val="24"/>
                <w:highlight w:val="none"/>
              </w:rPr>
            </w:pPr>
            <w:r>
              <w:rPr>
                <w:rFonts w:hint="eastAsia" w:ascii="宋体" w:hAnsi="宋体"/>
                <w:color w:val="auto"/>
                <w:kern w:val="0"/>
                <w:sz w:val="24"/>
                <w:highlight w:val="none"/>
              </w:rPr>
              <w:t>地址</w:t>
            </w:r>
          </w:p>
        </w:tc>
        <w:tc>
          <w:tcPr>
            <w:tcW w:w="2767" w:type="dxa"/>
            <w:tcBorders>
              <w:top w:val="single" w:color="auto" w:sz="4" w:space="0"/>
              <w:left w:val="single" w:color="auto" w:sz="4" w:space="0"/>
              <w:bottom w:val="single" w:color="auto" w:sz="4" w:space="0"/>
              <w:right w:val="single" w:color="auto" w:sz="4" w:space="0"/>
            </w:tcBorders>
            <w:noWrap w:val="0"/>
            <w:vAlign w:val="center"/>
          </w:tcPr>
          <w:p w14:paraId="4718E7BE">
            <w:pPr>
              <w:spacing w:line="460" w:lineRule="exact"/>
              <w:jc w:val="center"/>
              <w:rPr>
                <w:rFonts w:ascii="宋体" w:hAnsi="宋体"/>
                <w:color w:val="auto"/>
                <w:kern w:val="0"/>
                <w:sz w:val="24"/>
                <w:highlight w:val="none"/>
              </w:rPr>
            </w:pPr>
          </w:p>
        </w:tc>
      </w:tr>
      <w:tr w14:paraId="137CD8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1476" w:type="dxa"/>
            <w:tcBorders>
              <w:top w:val="single" w:color="auto" w:sz="4" w:space="0"/>
              <w:left w:val="single" w:color="auto" w:sz="4" w:space="0"/>
              <w:bottom w:val="single" w:color="auto" w:sz="4" w:space="0"/>
              <w:right w:val="single" w:color="auto" w:sz="4" w:space="0"/>
            </w:tcBorders>
            <w:noWrap w:val="0"/>
            <w:vAlign w:val="center"/>
          </w:tcPr>
          <w:p w14:paraId="1D36FD0E">
            <w:pPr>
              <w:spacing w:line="460" w:lineRule="exact"/>
              <w:jc w:val="center"/>
              <w:rPr>
                <w:rFonts w:ascii="宋体" w:hAnsi="宋体"/>
                <w:color w:val="auto"/>
                <w:kern w:val="0"/>
                <w:sz w:val="24"/>
                <w:highlight w:val="none"/>
              </w:rPr>
            </w:pPr>
            <w:r>
              <w:rPr>
                <w:rFonts w:hint="eastAsia" w:ascii="宋体" w:hAnsi="宋体"/>
                <w:color w:val="auto"/>
                <w:kern w:val="0"/>
                <w:sz w:val="24"/>
                <w:highlight w:val="none"/>
              </w:rPr>
              <w:t>电话</w:t>
            </w:r>
          </w:p>
        </w:tc>
        <w:tc>
          <w:tcPr>
            <w:tcW w:w="2397" w:type="dxa"/>
            <w:tcBorders>
              <w:top w:val="single" w:color="auto" w:sz="4" w:space="0"/>
              <w:left w:val="single" w:color="auto" w:sz="4" w:space="0"/>
              <w:bottom w:val="single" w:color="auto" w:sz="4" w:space="0"/>
              <w:right w:val="single" w:color="auto" w:sz="4" w:space="0"/>
            </w:tcBorders>
            <w:noWrap w:val="0"/>
            <w:vAlign w:val="center"/>
          </w:tcPr>
          <w:p w14:paraId="0437DCC2">
            <w:pPr>
              <w:spacing w:line="460" w:lineRule="exact"/>
              <w:jc w:val="center"/>
              <w:rPr>
                <w:rFonts w:ascii="宋体" w:hAnsi="宋体"/>
                <w:color w:val="auto"/>
                <w:kern w:val="0"/>
                <w:sz w:val="24"/>
                <w:highlight w:val="none"/>
              </w:rPr>
            </w:pPr>
          </w:p>
        </w:tc>
        <w:tc>
          <w:tcPr>
            <w:tcW w:w="1661" w:type="dxa"/>
            <w:tcBorders>
              <w:top w:val="single" w:color="auto" w:sz="4" w:space="0"/>
              <w:left w:val="single" w:color="auto" w:sz="4" w:space="0"/>
              <w:bottom w:val="single" w:color="auto" w:sz="4" w:space="0"/>
              <w:right w:val="single" w:color="auto" w:sz="4" w:space="0"/>
            </w:tcBorders>
            <w:noWrap w:val="0"/>
            <w:vAlign w:val="center"/>
          </w:tcPr>
          <w:p w14:paraId="1BAC4744">
            <w:pPr>
              <w:spacing w:line="460" w:lineRule="exact"/>
              <w:jc w:val="center"/>
              <w:rPr>
                <w:rFonts w:ascii="宋体" w:hAnsi="宋体"/>
                <w:color w:val="auto"/>
                <w:kern w:val="0"/>
                <w:sz w:val="24"/>
                <w:highlight w:val="none"/>
              </w:rPr>
            </w:pPr>
            <w:r>
              <w:rPr>
                <w:rFonts w:hint="eastAsia" w:ascii="宋体" w:hAnsi="宋体"/>
                <w:color w:val="auto"/>
                <w:kern w:val="0"/>
                <w:sz w:val="24"/>
                <w:highlight w:val="none"/>
              </w:rPr>
              <w:t>电话</w:t>
            </w:r>
          </w:p>
        </w:tc>
        <w:tc>
          <w:tcPr>
            <w:tcW w:w="2767" w:type="dxa"/>
            <w:tcBorders>
              <w:top w:val="single" w:color="auto" w:sz="4" w:space="0"/>
              <w:left w:val="single" w:color="auto" w:sz="4" w:space="0"/>
              <w:bottom w:val="single" w:color="auto" w:sz="4" w:space="0"/>
              <w:right w:val="single" w:color="auto" w:sz="4" w:space="0"/>
            </w:tcBorders>
            <w:noWrap w:val="0"/>
            <w:vAlign w:val="center"/>
          </w:tcPr>
          <w:p w14:paraId="539407CC">
            <w:pPr>
              <w:spacing w:line="460" w:lineRule="exact"/>
              <w:jc w:val="center"/>
              <w:rPr>
                <w:rFonts w:ascii="宋体" w:hAnsi="宋体"/>
                <w:color w:val="auto"/>
                <w:kern w:val="0"/>
                <w:sz w:val="24"/>
                <w:highlight w:val="none"/>
              </w:rPr>
            </w:pPr>
          </w:p>
        </w:tc>
      </w:tr>
      <w:tr w14:paraId="38AA65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1476" w:type="dxa"/>
            <w:tcBorders>
              <w:top w:val="single" w:color="auto" w:sz="4" w:space="0"/>
              <w:left w:val="single" w:color="auto" w:sz="4" w:space="0"/>
              <w:bottom w:val="single" w:color="auto" w:sz="4" w:space="0"/>
              <w:right w:val="single" w:color="auto" w:sz="4" w:space="0"/>
            </w:tcBorders>
            <w:noWrap w:val="0"/>
            <w:vAlign w:val="center"/>
          </w:tcPr>
          <w:p w14:paraId="168C92B9">
            <w:pPr>
              <w:spacing w:line="460" w:lineRule="exact"/>
              <w:jc w:val="center"/>
              <w:rPr>
                <w:rFonts w:ascii="宋体" w:hAnsi="宋体"/>
                <w:color w:val="auto"/>
                <w:kern w:val="0"/>
                <w:sz w:val="24"/>
                <w:highlight w:val="none"/>
              </w:rPr>
            </w:pPr>
            <w:r>
              <w:rPr>
                <w:rFonts w:hint="eastAsia" w:ascii="宋体" w:hAnsi="宋体"/>
                <w:color w:val="auto"/>
                <w:kern w:val="0"/>
                <w:sz w:val="24"/>
                <w:highlight w:val="none"/>
              </w:rPr>
              <w:t>开户银行</w:t>
            </w:r>
          </w:p>
        </w:tc>
        <w:tc>
          <w:tcPr>
            <w:tcW w:w="2397" w:type="dxa"/>
            <w:tcBorders>
              <w:top w:val="single" w:color="auto" w:sz="4" w:space="0"/>
              <w:left w:val="single" w:color="auto" w:sz="4" w:space="0"/>
              <w:bottom w:val="single" w:color="auto" w:sz="4" w:space="0"/>
              <w:right w:val="single" w:color="auto" w:sz="4" w:space="0"/>
            </w:tcBorders>
            <w:noWrap w:val="0"/>
            <w:vAlign w:val="center"/>
          </w:tcPr>
          <w:p w14:paraId="6D39783A">
            <w:pPr>
              <w:spacing w:line="460" w:lineRule="exact"/>
              <w:jc w:val="center"/>
              <w:rPr>
                <w:rFonts w:ascii="宋体" w:hAnsi="宋体"/>
                <w:color w:val="auto"/>
                <w:kern w:val="0"/>
                <w:sz w:val="24"/>
                <w:highlight w:val="none"/>
              </w:rPr>
            </w:pPr>
          </w:p>
        </w:tc>
        <w:tc>
          <w:tcPr>
            <w:tcW w:w="1661" w:type="dxa"/>
            <w:tcBorders>
              <w:top w:val="single" w:color="auto" w:sz="4" w:space="0"/>
              <w:left w:val="single" w:color="auto" w:sz="4" w:space="0"/>
              <w:bottom w:val="single" w:color="auto" w:sz="4" w:space="0"/>
              <w:right w:val="single" w:color="auto" w:sz="4" w:space="0"/>
            </w:tcBorders>
            <w:noWrap w:val="0"/>
            <w:vAlign w:val="center"/>
          </w:tcPr>
          <w:p w14:paraId="54A8A6F0">
            <w:pPr>
              <w:spacing w:line="460" w:lineRule="exact"/>
              <w:jc w:val="center"/>
              <w:rPr>
                <w:rFonts w:ascii="宋体" w:hAnsi="宋体"/>
                <w:color w:val="auto"/>
                <w:kern w:val="0"/>
                <w:sz w:val="24"/>
                <w:highlight w:val="none"/>
              </w:rPr>
            </w:pPr>
            <w:r>
              <w:rPr>
                <w:rFonts w:hint="eastAsia" w:ascii="宋体" w:hAnsi="宋体"/>
                <w:color w:val="auto"/>
                <w:kern w:val="0"/>
                <w:sz w:val="24"/>
                <w:highlight w:val="none"/>
              </w:rPr>
              <w:t>开户银行</w:t>
            </w:r>
          </w:p>
        </w:tc>
        <w:tc>
          <w:tcPr>
            <w:tcW w:w="2767" w:type="dxa"/>
            <w:tcBorders>
              <w:top w:val="single" w:color="auto" w:sz="4" w:space="0"/>
              <w:left w:val="single" w:color="auto" w:sz="4" w:space="0"/>
              <w:bottom w:val="single" w:color="auto" w:sz="4" w:space="0"/>
              <w:right w:val="single" w:color="auto" w:sz="4" w:space="0"/>
            </w:tcBorders>
            <w:noWrap w:val="0"/>
            <w:vAlign w:val="center"/>
          </w:tcPr>
          <w:p w14:paraId="3E765ECE">
            <w:pPr>
              <w:spacing w:line="460" w:lineRule="exact"/>
              <w:jc w:val="center"/>
              <w:rPr>
                <w:rFonts w:ascii="宋体" w:hAnsi="宋体"/>
                <w:color w:val="auto"/>
                <w:kern w:val="0"/>
                <w:sz w:val="24"/>
                <w:highlight w:val="none"/>
              </w:rPr>
            </w:pPr>
          </w:p>
        </w:tc>
      </w:tr>
      <w:tr w14:paraId="6251B3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1476" w:type="dxa"/>
            <w:tcBorders>
              <w:top w:val="single" w:color="auto" w:sz="4" w:space="0"/>
              <w:left w:val="single" w:color="auto" w:sz="4" w:space="0"/>
              <w:bottom w:val="single" w:color="auto" w:sz="4" w:space="0"/>
              <w:right w:val="single" w:color="auto" w:sz="4" w:space="0"/>
            </w:tcBorders>
            <w:noWrap w:val="0"/>
            <w:vAlign w:val="center"/>
          </w:tcPr>
          <w:p w14:paraId="13C807F3">
            <w:pPr>
              <w:spacing w:line="460" w:lineRule="exact"/>
              <w:jc w:val="center"/>
              <w:rPr>
                <w:rFonts w:hint="eastAsia" w:ascii="宋体" w:hAnsi="宋体" w:eastAsia="宋体"/>
                <w:color w:val="auto"/>
                <w:kern w:val="0"/>
                <w:sz w:val="24"/>
                <w:highlight w:val="none"/>
                <w:lang w:eastAsia="zh-CN"/>
              </w:rPr>
            </w:pPr>
            <w:r>
              <w:rPr>
                <w:rFonts w:hint="eastAsia" w:ascii="宋体" w:hAnsi="宋体"/>
                <w:color w:val="auto"/>
                <w:kern w:val="0"/>
                <w:sz w:val="24"/>
                <w:highlight w:val="none"/>
                <w:lang w:eastAsia="zh-CN"/>
              </w:rPr>
              <w:t>账户</w:t>
            </w:r>
          </w:p>
        </w:tc>
        <w:tc>
          <w:tcPr>
            <w:tcW w:w="2397" w:type="dxa"/>
            <w:tcBorders>
              <w:top w:val="single" w:color="auto" w:sz="4" w:space="0"/>
              <w:left w:val="single" w:color="auto" w:sz="4" w:space="0"/>
              <w:bottom w:val="single" w:color="auto" w:sz="4" w:space="0"/>
              <w:right w:val="single" w:color="auto" w:sz="4" w:space="0"/>
            </w:tcBorders>
            <w:noWrap w:val="0"/>
            <w:vAlign w:val="center"/>
          </w:tcPr>
          <w:p w14:paraId="21714CEB">
            <w:pPr>
              <w:spacing w:line="460" w:lineRule="exact"/>
              <w:jc w:val="center"/>
              <w:rPr>
                <w:rFonts w:ascii="宋体" w:hAnsi="宋体"/>
                <w:color w:val="auto"/>
                <w:kern w:val="0"/>
                <w:sz w:val="24"/>
                <w:highlight w:val="none"/>
              </w:rPr>
            </w:pPr>
          </w:p>
        </w:tc>
        <w:tc>
          <w:tcPr>
            <w:tcW w:w="1661" w:type="dxa"/>
            <w:tcBorders>
              <w:top w:val="single" w:color="auto" w:sz="4" w:space="0"/>
              <w:left w:val="single" w:color="auto" w:sz="4" w:space="0"/>
              <w:bottom w:val="single" w:color="auto" w:sz="4" w:space="0"/>
              <w:right w:val="single" w:color="auto" w:sz="4" w:space="0"/>
            </w:tcBorders>
            <w:noWrap w:val="0"/>
            <w:vAlign w:val="center"/>
          </w:tcPr>
          <w:p w14:paraId="55C306E3">
            <w:pPr>
              <w:spacing w:line="460" w:lineRule="exact"/>
              <w:jc w:val="center"/>
              <w:rPr>
                <w:rFonts w:hint="default" w:ascii="宋体" w:hAnsi="宋体" w:eastAsia="宋体"/>
                <w:color w:val="auto"/>
                <w:kern w:val="0"/>
                <w:sz w:val="24"/>
                <w:highlight w:val="none"/>
                <w:lang w:val="en-US" w:eastAsia="zh-CN"/>
              </w:rPr>
            </w:pPr>
            <w:r>
              <w:rPr>
                <w:rFonts w:hint="eastAsia" w:ascii="宋体" w:hAnsi="宋体"/>
                <w:color w:val="auto"/>
                <w:kern w:val="0"/>
                <w:sz w:val="24"/>
                <w:highlight w:val="none"/>
                <w:lang w:val="en-US" w:eastAsia="zh-CN"/>
              </w:rPr>
              <w:t>账户</w:t>
            </w:r>
          </w:p>
        </w:tc>
        <w:tc>
          <w:tcPr>
            <w:tcW w:w="2767" w:type="dxa"/>
            <w:tcBorders>
              <w:top w:val="single" w:color="auto" w:sz="4" w:space="0"/>
              <w:left w:val="single" w:color="auto" w:sz="4" w:space="0"/>
              <w:bottom w:val="single" w:color="auto" w:sz="4" w:space="0"/>
              <w:right w:val="single" w:color="auto" w:sz="4" w:space="0"/>
            </w:tcBorders>
            <w:noWrap w:val="0"/>
            <w:vAlign w:val="center"/>
          </w:tcPr>
          <w:p w14:paraId="0F690D89">
            <w:pPr>
              <w:spacing w:line="460" w:lineRule="exact"/>
              <w:jc w:val="center"/>
              <w:rPr>
                <w:rFonts w:ascii="宋体" w:hAnsi="宋体"/>
                <w:color w:val="auto"/>
                <w:kern w:val="0"/>
                <w:sz w:val="24"/>
                <w:highlight w:val="none"/>
              </w:rPr>
            </w:pPr>
          </w:p>
        </w:tc>
      </w:tr>
    </w:tbl>
    <w:p w14:paraId="577E0569">
      <w:pPr>
        <w:pStyle w:val="3"/>
        <w:spacing w:line="360" w:lineRule="auto"/>
        <w:jc w:val="both"/>
        <w:outlineLvl w:val="9"/>
        <w:rPr>
          <w:rFonts w:hint="eastAsia" w:ascii="宋体" w:hAnsi="宋体" w:eastAsia="宋体" w:cs="宋体"/>
          <w:color w:val="auto"/>
          <w:sz w:val="36"/>
          <w:szCs w:val="21"/>
          <w:highlight w:val="none"/>
        </w:rPr>
      </w:pPr>
    </w:p>
    <w:bookmarkEnd w:id="499"/>
    <w:bookmarkEnd w:id="500"/>
    <w:p w14:paraId="54E2B2B8">
      <w:pPr>
        <w:spacing w:line="360" w:lineRule="auto"/>
        <w:jc w:val="both"/>
        <w:outlineLvl w:val="9"/>
        <w:rPr>
          <w:rFonts w:hint="eastAsia" w:ascii="宋体" w:hAnsi="宋体" w:eastAsia="宋体" w:cs="宋体"/>
          <w:b/>
          <w:sz w:val="36"/>
          <w:szCs w:val="36"/>
          <w:highlight w:val="none"/>
        </w:rPr>
      </w:pPr>
    </w:p>
    <w:p w14:paraId="455DF934">
      <w:pPr>
        <w:spacing w:line="360" w:lineRule="auto"/>
        <w:jc w:val="center"/>
        <w:outlineLvl w:val="0"/>
        <w:rPr>
          <w:rFonts w:hint="eastAsia" w:ascii="宋体" w:hAnsi="宋体" w:eastAsia="宋体" w:cs="宋体"/>
          <w:b/>
          <w:sz w:val="36"/>
          <w:szCs w:val="36"/>
          <w:highlight w:val="none"/>
        </w:rPr>
      </w:pPr>
      <w:bookmarkStart w:id="527" w:name="_Toc21890"/>
      <w:bookmarkStart w:id="528" w:name="_Toc621"/>
      <w:bookmarkStart w:id="529" w:name="_Toc13109"/>
    </w:p>
    <w:p w14:paraId="750380FC">
      <w:pPr>
        <w:spacing w:line="360" w:lineRule="auto"/>
        <w:jc w:val="center"/>
        <w:outlineLvl w:val="0"/>
        <w:rPr>
          <w:rFonts w:hint="eastAsia" w:ascii="宋体" w:hAnsi="宋体" w:eastAsia="宋体" w:cs="宋体"/>
          <w:b/>
          <w:sz w:val="36"/>
          <w:szCs w:val="36"/>
          <w:highlight w:val="none"/>
        </w:rPr>
      </w:pPr>
    </w:p>
    <w:p w14:paraId="2E052F3F">
      <w:pPr>
        <w:spacing w:line="360" w:lineRule="auto"/>
        <w:jc w:val="center"/>
        <w:outlineLvl w:val="0"/>
        <w:rPr>
          <w:rFonts w:hint="eastAsia" w:ascii="宋体" w:hAnsi="宋体" w:eastAsia="宋体" w:cs="宋体"/>
          <w:b/>
          <w:sz w:val="36"/>
          <w:szCs w:val="36"/>
          <w:highlight w:val="none"/>
        </w:rPr>
      </w:pPr>
    </w:p>
    <w:p w14:paraId="5329E710">
      <w:pPr>
        <w:spacing w:line="360" w:lineRule="auto"/>
        <w:jc w:val="center"/>
        <w:outlineLvl w:val="0"/>
        <w:rPr>
          <w:rFonts w:hint="eastAsia" w:ascii="宋体" w:hAnsi="宋体" w:eastAsia="宋体" w:cs="宋体"/>
          <w:b/>
          <w:sz w:val="36"/>
          <w:szCs w:val="36"/>
          <w:highlight w:val="none"/>
        </w:rPr>
      </w:pPr>
    </w:p>
    <w:p w14:paraId="0D8D2C7E">
      <w:pPr>
        <w:spacing w:line="360" w:lineRule="auto"/>
        <w:jc w:val="center"/>
        <w:outlineLvl w:val="0"/>
        <w:rPr>
          <w:rFonts w:hint="eastAsia" w:ascii="宋体" w:hAnsi="宋体" w:eastAsia="宋体" w:cs="宋体"/>
          <w:b/>
          <w:sz w:val="36"/>
          <w:szCs w:val="36"/>
          <w:highlight w:val="none"/>
        </w:rPr>
      </w:pPr>
    </w:p>
    <w:p w14:paraId="1A40BF64">
      <w:pPr>
        <w:spacing w:line="360" w:lineRule="auto"/>
        <w:jc w:val="center"/>
        <w:outlineLvl w:val="0"/>
        <w:rPr>
          <w:rFonts w:hint="eastAsia" w:ascii="宋体" w:hAnsi="宋体" w:eastAsia="宋体" w:cs="宋体"/>
          <w:b/>
          <w:sz w:val="36"/>
          <w:szCs w:val="36"/>
          <w:highlight w:val="none"/>
        </w:rPr>
      </w:pPr>
    </w:p>
    <w:p w14:paraId="4EB76D95">
      <w:pPr>
        <w:spacing w:line="360" w:lineRule="auto"/>
        <w:jc w:val="center"/>
        <w:outlineLvl w:val="0"/>
        <w:rPr>
          <w:rFonts w:hint="eastAsia" w:ascii="宋体" w:hAnsi="宋体" w:eastAsia="宋体" w:cs="宋体"/>
          <w:b/>
          <w:sz w:val="36"/>
          <w:szCs w:val="36"/>
          <w:highlight w:val="none"/>
        </w:rPr>
      </w:pPr>
    </w:p>
    <w:p w14:paraId="138733BB">
      <w:pPr>
        <w:spacing w:line="360" w:lineRule="auto"/>
        <w:jc w:val="center"/>
        <w:outlineLvl w:val="0"/>
        <w:rPr>
          <w:rFonts w:hint="eastAsia" w:ascii="宋体" w:hAnsi="宋体" w:eastAsia="宋体" w:cs="宋体"/>
          <w:b/>
          <w:sz w:val="36"/>
          <w:szCs w:val="36"/>
          <w:highlight w:val="none"/>
        </w:rPr>
      </w:pPr>
    </w:p>
    <w:p w14:paraId="2AAF5040">
      <w:pPr>
        <w:spacing w:line="360" w:lineRule="auto"/>
        <w:jc w:val="center"/>
        <w:outlineLvl w:val="0"/>
        <w:rPr>
          <w:rFonts w:hint="eastAsia" w:ascii="宋体" w:hAnsi="宋体" w:eastAsia="宋体" w:cs="宋体"/>
          <w:b/>
          <w:sz w:val="36"/>
          <w:szCs w:val="36"/>
          <w:highlight w:val="none"/>
        </w:rPr>
      </w:pPr>
    </w:p>
    <w:p w14:paraId="18B95DEE">
      <w:pPr>
        <w:spacing w:line="360" w:lineRule="auto"/>
        <w:jc w:val="center"/>
        <w:outlineLvl w:val="0"/>
        <w:rPr>
          <w:rFonts w:hint="eastAsia" w:ascii="宋体" w:hAnsi="宋体" w:eastAsia="宋体" w:cs="宋体"/>
          <w:b/>
          <w:sz w:val="36"/>
          <w:szCs w:val="36"/>
          <w:highlight w:val="none"/>
        </w:rPr>
      </w:pPr>
      <w:r>
        <w:rPr>
          <w:rFonts w:hint="eastAsia" w:ascii="宋体" w:hAnsi="宋体" w:eastAsia="宋体" w:cs="宋体"/>
          <w:b/>
          <w:sz w:val="36"/>
          <w:szCs w:val="36"/>
          <w:highlight w:val="none"/>
        </w:rPr>
        <w:t>第六部分 应提交的有关格式范例</w:t>
      </w:r>
      <w:bookmarkEnd w:id="527"/>
      <w:bookmarkEnd w:id="528"/>
      <w:bookmarkEnd w:id="529"/>
    </w:p>
    <w:p w14:paraId="6073FB86">
      <w:pPr>
        <w:spacing w:line="360" w:lineRule="auto"/>
        <w:ind w:firstLine="480" w:firstLineChars="200"/>
        <w:outlineLvl w:val="9"/>
        <w:rPr>
          <w:rFonts w:hint="eastAsia" w:ascii="宋体" w:hAnsi="宋体" w:eastAsia="宋体" w:cs="宋体"/>
          <w:sz w:val="24"/>
          <w:highlight w:val="none"/>
        </w:rPr>
      </w:pPr>
    </w:p>
    <w:p w14:paraId="07D36998">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投标人按照以下格式编制投标文件，并将资格文件、商务技术文件</w:t>
      </w:r>
      <w:r>
        <w:rPr>
          <w:rFonts w:hint="eastAsia" w:ascii="宋体" w:hAnsi="宋体" w:eastAsia="宋体" w:cs="宋体"/>
          <w:sz w:val="24"/>
          <w:highlight w:val="none"/>
          <w:lang w:eastAsia="zh-CN"/>
        </w:rPr>
        <w:t>、</w:t>
      </w:r>
      <w:r>
        <w:rPr>
          <w:rFonts w:hint="eastAsia" w:ascii="宋体" w:hAnsi="宋体" w:eastAsia="宋体" w:cs="宋体"/>
          <w:sz w:val="24"/>
          <w:highlight w:val="none"/>
        </w:rPr>
        <w:t>报价文件分别</w:t>
      </w:r>
      <w:r>
        <w:rPr>
          <w:rFonts w:hint="eastAsia" w:ascii="宋体" w:hAnsi="宋体" w:eastAsia="宋体" w:cs="宋体"/>
          <w:sz w:val="24"/>
          <w:highlight w:val="none"/>
          <w:lang w:eastAsia="zh-CN"/>
        </w:rPr>
        <w:t>上传，并</w:t>
      </w:r>
      <w:r>
        <w:rPr>
          <w:rFonts w:hint="eastAsia" w:ascii="宋体" w:hAnsi="宋体" w:eastAsia="宋体" w:cs="宋体"/>
          <w:sz w:val="24"/>
          <w:highlight w:val="none"/>
        </w:rPr>
        <w:t>与招标文件的评分要点准确设置关联点。</w:t>
      </w:r>
    </w:p>
    <w:p w14:paraId="30DCDF03">
      <w:pPr>
        <w:spacing w:line="360" w:lineRule="auto"/>
        <w:ind w:firstLine="482" w:firstLineChars="200"/>
        <w:rPr>
          <w:rFonts w:hint="eastAsia" w:ascii="宋体" w:hAnsi="宋体" w:eastAsia="宋体" w:cs="宋体"/>
          <w:b/>
          <w:sz w:val="24"/>
          <w:highlight w:val="none"/>
        </w:rPr>
      </w:pPr>
      <w:r>
        <w:rPr>
          <w:rFonts w:hint="eastAsia" w:ascii="宋体" w:hAnsi="宋体" w:eastAsia="宋体" w:cs="宋体"/>
          <w:b/>
          <w:sz w:val="24"/>
          <w:highlight w:val="none"/>
        </w:rPr>
        <w:t>此格式内容仅为参考模板，具体内容投标人应根据招标文件要求进行调整。未按以下格式编制投标文件或因格式不规范、页码不清等原因引发的一切后果由投标人自行承担。</w:t>
      </w:r>
    </w:p>
    <w:p w14:paraId="15F3E24F">
      <w:pPr>
        <w:spacing w:line="360" w:lineRule="auto"/>
        <w:jc w:val="center"/>
        <w:outlineLvl w:val="0"/>
        <w:rPr>
          <w:rFonts w:hint="eastAsia" w:ascii="宋体" w:hAnsi="宋体" w:eastAsia="宋体" w:cs="宋体"/>
          <w:b/>
          <w:kern w:val="0"/>
          <w:sz w:val="36"/>
          <w:szCs w:val="36"/>
          <w:highlight w:val="none"/>
        </w:rPr>
      </w:pPr>
      <w:r>
        <w:rPr>
          <w:rFonts w:hint="eastAsia" w:ascii="宋体" w:hAnsi="宋体" w:eastAsia="宋体" w:cs="宋体"/>
          <w:b/>
          <w:sz w:val="24"/>
          <w:highlight w:val="none"/>
        </w:rPr>
        <w:br w:type="page"/>
      </w:r>
      <w:bookmarkStart w:id="530" w:name="_Toc17890"/>
      <w:bookmarkStart w:id="531" w:name="_Toc11902"/>
      <w:r>
        <w:rPr>
          <w:rFonts w:hint="eastAsia" w:ascii="宋体" w:hAnsi="宋体" w:eastAsia="宋体" w:cs="宋体"/>
          <w:b/>
          <w:kern w:val="0"/>
          <w:sz w:val="36"/>
          <w:szCs w:val="36"/>
          <w:highlight w:val="none"/>
        </w:rPr>
        <w:t>资格文件部分</w:t>
      </w:r>
      <w:bookmarkEnd w:id="530"/>
      <w:bookmarkEnd w:id="531"/>
    </w:p>
    <w:p w14:paraId="1B1C1BBA">
      <w:pPr>
        <w:spacing w:line="360" w:lineRule="auto"/>
        <w:jc w:val="center"/>
        <w:rPr>
          <w:rFonts w:hint="eastAsia" w:ascii="宋体" w:hAnsi="宋体" w:eastAsia="宋体" w:cs="宋体"/>
          <w:b/>
          <w:kern w:val="0"/>
          <w:sz w:val="36"/>
          <w:szCs w:val="36"/>
          <w:highlight w:val="none"/>
        </w:rPr>
      </w:pPr>
    </w:p>
    <w:p w14:paraId="4CB64BFA">
      <w:pPr>
        <w:spacing w:line="360" w:lineRule="auto"/>
        <w:jc w:val="center"/>
        <w:outlineLvl w:val="0"/>
        <w:rPr>
          <w:rFonts w:hint="eastAsia" w:ascii="宋体" w:hAnsi="宋体" w:eastAsia="宋体" w:cs="宋体"/>
          <w:b/>
          <w:kern w:val="0"/>
          <w:sz w:val="36"/>
          <w:szCs w:val="36"/>
          <w:highlight w:val="none"/>
        </w:rPr>
      </w:pPr>
      <w:bookmarkStart w:id="532" w:name="_Toc15304"/>
      <w:bookmarkStart w:id="533" w:name="_Toc7182"/>
      <w:r>
        <w:rPr>
          <w:rFonts w:hint="eastAsia" w:ascii="宋体" w:hAnsi="宋体" w:eastAsia="宋体" w:cs="宋体"/>
          <w:b/>
          <w:kern w:val="0"/>
          <w:sz w:val="36"/>
          <w:szCs w:val="36"/>
          <w:highlight w:val="none"/>
        </w:rPr>
        <w:t>目录</w:t>
      </w:r>
      <w:bookmarkEnd w:id="532"/>
      <w:bookmarkEnd w:id="533"/>
    </w:p>
    <w:p w14:paraId="3F12A0CC">
      <w:pPr>
        <w:pStyle w:val="43"/>
        <w:numPr>
          <w:ilvl w:val="0"/>
          <w:numId w:val="40"/>
        </w:numPr>
        <w:spacing w:before="0"/>
        <w:ind w:left="0" w:leftChars="0" w:firstLine="400" w:firstLineChars="0"/>
        <w:rPr>
          <w:rFonts w:hint="eastAsia" w:ascii="宋体" w:hAnsi="宋体" w:eastAsia="宋体" w:cs="宋体"/>
          <w:szCs w:val="24"/>
          <w:highlight w:val="none"/>
        </w:rPr>
      </w:pPr>
      <w:r>
        <w:rPr>
          <w:rFonts w:hint="eastAsia" w:ascii="宋体" w:hAnsi="宋体" w:eastAsia="宋体" w:cs="宋体"/>
          <w:szCs w:val="24"/>
          <w:highlight w:val="none"/>
        </w:rPr>
        <w:t>法定代表人授权书（格式见附件）；如法定代表人直接参加投标并对相应文件签字的（签字是指线下签字扫描后上传或者线上进行电子签章），只需提供其身份证</w:t>
      </w:r>
      <w:r>
        <w:rPr>
          <w:rFonts w:hint="eastAsia" w:ascii="宋体" w:hAnsi="宋体" w:cs="宋体"/>
          <w:szCs w:val="24"/>
          <w:highlight w:val="none"/>
          <w:lang w:eastAsia="zh-CN"/>
        </w:rPr>
        <w:t>扫描件</w:t>
      </w:r>
      <w:r>
        <w:rPr>
          <w:rFonts w:hint="eastAsia" w:ascii="宋体" w:hAnsi="宋体" w:eastAsia="宋体" w:cs="宋体"/>
          <w:szCs w:val="24"/>
          <w:highlight w:val="none"/>
        </w:rPr>
        <w:t>，否则则应提供授权代表身份证</w:t>
      </w:r>
      <w:r>
        <w:rPr>
          <w:rFonts w:hint="eastAsia" w:ascii="宋体" w:hAnsi="宋体" w:cs="宋体"/>
          <w:szCs w:val="24"/>
          <w:highlight w:val="none"/>
          <w:lang w:eastAsia="zh-CN"/>
        </w:rPr>
        <w:t>扫描件</w:t>
      </w:r>
      <w:r>
        <w:rPr>
          <w:rFonts w:hint="eastAsia" w:ascii="宋体" w:hAnsi="宋体" w:eastAsia="宋体" w:cs="宋体"/>
          <w:szCs w:val="24"/>
          <w:highlight w:val="none"/>
        </w:rPr>
        <w:t>；</w:t>
      </w:r>
    </w:p>
    <w:p w14:paraId="0DC667B3">
      <w:pPr>
        <w:pStyle w:val="43"/>
        <w:numPr>
          <w:ilvl w:val="0"/>
          <w:numId w:val="40"/>
        </w:numPr>
        <w:spacing w:before="0"/>
        <w:ind w:left="0" w:leftChars="0" w:firstLine="400" w:firstLineChars="0"/>
        <w:rPr>
          <w:rFonts w:hint="eastAsia" w:ascii="宋体" w:hAnsi="宋体" w:eastAsia="宋体" w:cs="宋体"/>
          <w:szCs w:val="24"/>
          <w:highlight w:val="none"/>
        </w:rPr>
      </w:pPr>
      <w:r>
        <w:rPr>
          <w:rFonts w:hint="eastAsia" w:ascii="宋体" w:hAnsi="宋体" w:eastAsia="宋体" w:cs="宋体"/>
          <w:szCs w:val="24"/>
          <w:highlight w:val="none"/>
        </w:rPr>
        <w:t>营业执照(或事业法人登记证或其他工商等登记证明材料)</w:t>
      </w:r>
      <w:r>
        <w:rPr>
          <w:rFonts w:hint="eastAsia" w:ascii="宋体" w:hAnsi="宋体" w:cs="宋体"/>
          <w:szCs w:val="24"/>
          <w:highlight w:val="none"/>
          <w:lang w:eastAsia="zh-CN"/>
        </w:rPr>
        <w:t>扫描件</w:t>
      </w:r>
      <w:r>
        <w:rPr>
          <w:rFonts w:hint="eastAsia" w:ascii="宋体" w:hAnsi="宋体" w:eastAsia="宋体" w:cs="宋体"/>
          <w:szCs w:val="24"/>
          <w:highlight w:val="none"/>
        </w:rPr>
        <w:t>、税务登记证(或其它缴纳证明材料)</w:t>
      </w:r>
      <w:r>
        <w:rPr>
          <w:rFonts w:hint="eastAsia" w:ascii="宋体" w:hAnsi="宋体" w:cs="宋体"/>
          <w:szCs w:val="24"/>
          <w:highlight w:val="none"/>
          <w:lang w:eastAsia="zh-CN"/>
        </w:rPr>
        <w:t>扫描件</w:t>
      </w:r>
      <w:r>
        <w:rPr>
          <w:rFonts w:hint="eastAsia" w:ascii="宋体" w:hAnsi="宋体" w:eastAsia="宋体" w:cs="宋体"/>
          <w:szCs w:val="24"/>
          <w:highlight w:val="none"/>
        </w:rPr>
        <w:t>、社保登记证（或其它缴纳证明材料）</w:t>
      </w:r>
      <w:r>
        <w:rPr>
          <w:rFonts w:hint="eastAsia" w:ascii="宋体" w:hAnsi="宋体" w:cs="宋体"/>
          <w:szCs w:val="24"/>
          <w:highlight w:val="none"/>
          <w:lang w:eastAsia="zh-CN"/>
        </w:rPr>
        <w:t>扫描件</w:t>
      </w:r>
      <w:r>
        <w:rPr>
          <w:rFonts w:hint="eastAsia" w:ascii="宋体" w:hAnsi="宋体" w:eastAsia="宋体" w:cs="宋体"/>
          <w:szCs w:val="24"/>
          <w:highlight w:val="none"/>
        </w:rPr>
        <w:t>；实施“五证合一、一照一码”登记制度改革的，只需提供改革后取得的营业执照</w:t>
      </w:r>
      <w:r>
        <w:rPr>
          <w:rFonts w:hint="eastAsia" w:ascii="宋体" w:hAnsi="宋体" w:cs="宋体"/>
          <w:szCs w:val="24"/>
          <w:highlight w:val="none"/>
          <w:lang w:eastAsia="zh-CN"/>
        </w:rPr>
        <w:t>扫描件</w:t>
      </w:r>
      <w:r>
        <w:rPr>
          <w:rFonts w:hint="eastAsia" w:ascii="宋体" w:hAnsi="宋体" w:eastAsia="宋体" w:cs="宋体"/>
          <w:szCs w:val="24"/>
          <w:highlight w:val="none"/>
        </w:rPr>
        <w:t>；事业单位的，则提供有效的《事业单位法人证书》副本</w:t>
      </w:r>
      <w:r>
        <w:rPr>
          <w:rFonts w:hint="eastAsia" w:ascii="宋体" w:hAnsi="宋体" w:cs="宋体"/>
          <w:szCs w:val="24"/>
          <w:highlight w:val="none"/>
          <w:lang w:eastAsia="zh-CN"/>
        </w:rPr>
        <w:t>扫描件</w:t>
      </w:r>
      <w:r>
        <w:rPr>
          <w:rFonts w:hint="eastAsia" w:ascii="宋体" w:hAnsi="宋体" w:eastAsia="宋体" w:cs="宋体"/>
          <w:szCs w:val="24"/>
          <w:highlight w:val="none"/>
        </w:rPr>
        <w:t>并加盖单位公章；</w:t>
      </w:r>
    </w:p>
    <w:p w14:paraId="20CC5270">
      <w:pPr>
        <w:pStyle w:val="43"/>
        <w:numPr>
          <w:ilvl w:val="0"/>
          <w:numId w:val="0"/>
        </w:numPr>
        <w:spacing w:before="0"/>
        <w:ind w:left="400" w:leftChars="0"/>
        <w:rPr>
          <w:rFonts w:hint="eastAsia" w:ascii="宋体" w:hAnsi="宋体" w:eastAsia="宋体" w:cs="宋体"/>
          <w:szCs w:val="24"/>
          <w:highlight w:val="none"/>
        </w:rPr>
      </w:pPr>
      <w:r>
        <w:rPr>
          <w:rFonts w:hint="eastAsia" w:ascii="宋体" w:hAnsi="宋体" w:eastAsia="宋体" w:cs="宋体"/>
          <w:szCs w:val="24"/>
          <w:highlight w:val="none"/>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投标文件中提供相关材料），证明其具备实际承担责任的能力和法定的缔结合同能力，可以独立参加</w:t>
      </w:r>
      <w:r>
        <w:rPr>
          <w:rFonts w:hint="eastAsia" w:ascii="宋体" w:hAnsi="宋体" w:cs="宋体"/>
          <w:szCs w:val="24"/>
          <w:highlight w:val="none"/>
          <w:lang w:val="en-US" w:eastAsia="zh-CN"/>
        </w:rPr>
        <w:t>村级</w:t>
      </w:r>
      <w:r>
        <w:rPr>
          <w:rFonts w:hint="eastAsia" w:ascii="宋体" w:hAnsi="宋体" w:eastAsia="宋体" w:cs="宋体"/>
          <w:szCs w:val="24"/>
          <w:highlight w:val="none"/>
        </w:rPr>
        <w:t>采购活动，由单位负责人签署相关文件材料；</w:t>
      </w:r>
    </w:p>
    <w:p w14:paraId="1397BD30">
      <w:pPr>
        <w:pStyle w:val="43"/>
        <w:numPr>
          <w:ilvl w:val="0"/>
          <w:numId w:val="40"/>
        </w:numPr>
        <w:spacing w:before="0"/>
        <w:ind w:left="0" w:leftChars="0" w:firstLine="400" w:firstLineChars="0"/>
        <w:rPr>
          <w:rFonts w:hint="eastAsia" w:ascii="宋体" w:hAnsi="宋体" w:eastAsia="宋体" w:cs="宋体"/>
          <w:szCs w:val="24"/>
          <w:highlight w:val="none"/>
        </w:rPr>
      </w:pPr>
      <w:r>
        <w:rPr>
          <w:rFonts w:hint="eastAsia" w:ascii="宋体" w:hAnsi="宋体" w:eastAsia="宋体" w:cs="宋体"/>
          <w:szCs w:val="24"/>
          <w:highlight w:val="none"/>
        </w:rPr>
        <w:t>具有履行合同所必需的产品和专业技术能力的承诺函</w:t>
      </w:r>
      <w:r>
        <w:rPr>
          <w:rFonts w:hint="eastAsia" w:ascii="宋体" w:hAnsi="宋体" w:cs="宋体"/>
          <w:szCs w:val="24"/>
          <w:highlight w:val="none"/>
          <w:lang w:eastAsia="zh-CN"/>
        </w:rPr>
        <w:t>（格式自拟）</w:t>
      </w:r>
      <w:r>
        <w:rPr>
          <w:rFonts w:hint="eastAsia" w:ascii="宋体" w:hAnsi="宋体" w:eastAsia="宋体" w:cs="宋体"/>
          <w:szCs w:val="24"/>
          <w:highlight w:val="none"/>
        </w:rPr>
        <w:t>；</w:t>
      </w:r>
    </w:p>
    <w:p w14:paraId="5A6EB82E">
      <w:pPr>
        <w:pStyle w:val="43"/>
        <w:numPr>
          <w:ilvl w:val="0"/>
          <w:numId w:val="40"/>
        </w:numPr>
        <w:spacing w:before="0"/>
        <w:ind w:left="0" w:leftChars="0" w:firstLine="400" w:firstLineChars="0"/>
        <w:rPr>
          <w:rFonts w:hint="eastAsia" w:ascii="宋体" w:hAnsi="宋体" w:eastAsia="宋体" w:cs="宋体"/>
          <w:szCs w:val="24"/>
          <w:highlight w:val="none"/>
        </w:rPr>
      </w:pPr>
      <w:r>
        <w:rPr>
          <w:rFonts w:hint="eastAsia" w:ascii="宋体" w:hAnsi="宋体" w:cs="宋体"/>
          <w:szCs w:val="24"/>
          <w:highlight w:val="none"/>
          <w:lang w:eastAsia="zh-CN"/>
        </w:rPr>
        <w:t>投标人承诺函（格式见附件)；</w:t>
      </w:r>
    </w:p>
    <w:p w14:paraId="1D7DDCD7">
      <w:pPr>
        <w:pStyle w:val="43"/>
        <w:numPr>
          <w:ilvl w:val="0"/>
          <w:numId w:val="40"/>
        </w:numPr>
        <w:spacing w:before="0"/>
        <w:ind w:left="0" w:leftChars="0" w:firstLine="400" w:firstLineChars="0"/>
        <w:rPr>
          <w:rFonts w:hint="eastAsia" w:ascii="宋体" w:hAnsi="宋体" w:eastAsia="宋体" w:cs="宋体"/>
          <w:b/>
          <w:bCs/>
          <w:szCs w:val="24"/>
          <w:highlight w:val="none"/>
        </w:rPr>
      </w:pPr>
      <w:r>
        <w:rPr>
          <w:rFonts w:hint="eastAsia" w:ascii="宋体" w:hAnsi="宋体" w:cs="宋体"/>
          <w:b/>
          <w:bCs/>
          <w:szCs w:val="24"/>
          <w:highlight w:val="none"/>
          <w:lang w:eastAsia="zh-CN"/>
        </w:rPr>
        <w:t>投标保证金交纳凭证。</w:t>
      </w:r>
    </w:p>
    <w:p w14:paraId="6B662434">
      <w:pPr>
        <w:pStyle w:val="13"/>
        <w:ind w:firstLine="486"/>
        <w:rPr>
          <w:rFonts w:hint="eastAsia" w:ascii="宋体" w:hAnsi="宋体" w:eastAsia="宋体" w:cs="宋体"/>
          <w:highlight w:val="none"/>
        </w:rPr>
      </w:pPr>
    </w:p>
    <w:p w14:paraId="045C3174">
      <w:pPr>
        <w:pStyle w:val="13"/>
        <w:ind w:firstLine="486"/>
        <w:rPr>
          <w:rFonts w:hint="eastAsia" w:ascii="宋体" w:hAnsi="宋体" w:eastAsia="宋体" w:cs="宋体"/>
          <w:highlight w:val="none"/>
        </w:rPr>
      </w:pPr>
    </w:p>
    <w:p w14:paraId="0760BDB4">
      <w:pPr>
        <w:pStyle w:val="13"/>
        <w:ind w:firstLine="486"/>
        <w:rPr>
          <w:rFonts w:hint="eastAsia" w:ascii="宋体" w:hAnsi="宋体" w:eastAsia="宋体" w:cs="宋体"/>
          <w:highlight w:val="none"/>
        </w:rPr>
      </w:pPr>
    </w:p>
    <w:p w14:paraId="7DC575E1">
      <w:pPr>
        <w:pStyle w:val="13"/>
        <w:ind w:firstLine="486"/>
        <w:rPr>
          <w:rFonts w:hint="eastAsia" w:ascii="宋体" w:hAnsi="宋体" w:eastAsia="宋体" w:cs="宋体"/>
          <w:highlight w:val="none"/>
        </w:rPr>
      </w:pPr>
    </w:p>
    <w:p w14:paraId="24FC659A">
      <w:pPr>
        <w:pStyle w:val="13"/>
        <w:ind w:firstLine="486"/>
        <w:rPr>
          <w:rFonts w:hint="eastAsia" w:ascii="宋体" w:hAnsi="宋体" w:eastAsia="宋体" w:cs="宋体"/>
          <w:highlight w:val="none"/>
        </w:rPr>
      </w:pPr>
    </w:p>
    <w:p w14:paraId="50C0428C">
      <w:pPr>
        <w:rPr>
          <w:rFonts w:hint="eastAsia" w:ascii="宋体" w:hAnsi="宋体" w:eastAsia="宋体" w:cs="宋体"/>
          <w:highlight w:val="none"/>
        </w:rPr>
      </w:pPr>
    </w:p>
    <w:p w14:paraId="144A10D5">
      <w:pPr>
        <w:pStyle w:val="4"/>
        <w:rPr>
          <w:rFonts w:hint="eastAsia" w:ascii="宋体" w:hAnsi="宋体" w:eastAsia="宋体" w:cs="宋体"/>
          <w:highlight w:val="none"/>
        </w:rPr>
      </w:pPr>
    </w:p>
    <w:p w14:paraId="699365ED">
      <w:pPr>
        <w:pStyle w:val="5"/>
        <w:rPr>
          <w:rFonts w:hint="eastAsia" w:ascii="宋体" w:hAnsi="宋体" w:eastAsia="宋体" w:cs="宋体"/>
          <w:highlight w:val="none"/>
        </w:rPr>
      </w:pPr>
    </w:p>
    <w:p w14:paraId="3B54CCDE">
      <w:pPr>
        <w:pStyle w:val="23"/>
        <w:rPr>
          <w:rFonts w:hint="eastAsia" w:ascii="宋体" w:hAnsi="宋体" w:eastAsia="宋体" w:cs="宋体"/>
          <w:highlight w:val="none"/>
        </w:rPr>
      </w:pPr>
    </w:p>
    <w:p w14:paraId="2227FBAB">
      <w:pPr>
        <w:rPr>
          <w:rFonts w:hint="eastAsia" w:ascii="宋体" w:hAnsi="宋体" w:eastAsia="宋体" w:cs="宋体"/>
          <w:highlight w:val="none"/>
        </w:rPr>
      </w:pPr>
    </w:p>
    <w:p w14:paraId="12D33726">
      <w:pPr>
        <w:pStyle w:val="4"/>
        <w:rPr>
          <w:rFonts w:hint="eastAsia" w:ascii="宋体" w:hAnsi="宋体" w:eastAsia="宋体" w:cs="宋体"/>
          <w:highlight w:val="none"/>
        </w:rPr>
      </w:pPr>
    </w:p>
    <w:p w14:paraId="564896F7">
      <w:pPr>
        <w:pStyle w:val="5"/>
        <w:rPr>
          <w:rFonts w:hint="eastAsia"/>
          <w:highlight w:val="none"/>
        </w:rPr>
      </w:pPr>
    </w:p>
    <w:p w14:paraId="0AB776F5">
      <w:pPr>
        <w:pStyle w:val="4"/>
        <w:numPr>
          <w:ilvl w:val="0"/>
          <w:numId w:val="0"/>
        </w:numPr>
        <w:ind w:leftChars="0"/>
        <w:outlineLvl w:val="0"/>
        <w:rPr>
          <w:rFonts w:hint="eastAsia" w:ascii="宋体" w:hAnsi="宋体" w:eastAsia="宋体" w:cs="宋体"/>
          <w:b w:val="0"/>
          <w:color w:val="000000"/>
          <w:sz w:val="24"/>
          <w:szCs w:val="24"/>
          <w:highlight w:val="none"/>
        </w:rPr>
      </w:pPr>
      <w:bookmarkStart w:id="534" w:name="_Toc258"/>
      <w:bookmarkStart w:id="535" w:name="_Toc26807"/>
      <w:r>
        <w:rPr>
          <w:rFonts w:hint="eastAsia" w:ascii="宋体" w:hAnsi="宋体" w:eastAsia="宋体" w:cs="宋体"/>
          <w:color w:val="000000"/>
          <w:sz w:val="24"/>
          <w:szCs w:val="24"/>
          <w:highlight w:val="none"/>
        </w:rPr>
        <w:t>附件</w:t>
      </w:r>
      <w:r>
        <w:rPr>
          <w:rFonts w:hint="eastAsia" w:ascii="宋体" w:hAnsi="宋体" w:eastAsia="宋体" w:cs="宋体"/>
          <w:color w:val="000000"/>
          <w:sz w:val="24"/>
          <w:szCs w:val="24"/>
          <w:highlight w:val="none"/>
          <w:lang w:val="en-US"/>
        </w:rPr>
        <w:t>一：</w:t>
      </w:r>
      <w:bookmarkEnd w:id="534"/>
      <w:bookmarkEnd w:id="535"/>
    </w:p>
    <w:p w14:paraId="069601F2">
      <w:pPr>
        <w:spacing w:line="360" w:lineRule="auto"/>
        <w:jc w:val="center"/>
        <w:rPr>
          <w:rFonts w:hint="eastAsia" w:ascii="宋体" w:hAnsi="宋体" w:eastAsia="宋体" w:cs="宋体"/>
          <w:b/>
          <w:bCs/>
          <w:color w:val="auto"/>
          <w:sz w:val="32"/>
          <w:szCs w:val="32"/>
          <w:highlight w:val="none"/>
          <w:u w:val="none"/>
        </w:rPr>
      </w:pPr>
      <w:r>
        <w:rPr>
          <w:rFonts w:hint="eastAsia" w:ascii="宋体" w:hAnsi="宋体" w:eastAsia="宋体" w:cs="宋体"/>
          <w:b/>
          <w:bCs/>
          <w:color w:val="auto"/>
          <w:sz w:val="32"/>
          <w:szCs w:val="32"/>
          <w:highlight w:val="none"/>
          <w:u w:val="none"/>
        </w:rPr>
        <w:t>法定代表人授权书</w:t>
      </w:r>
    </w:p>
    <w:p w14:paraId="39578799">
      <w:pPr>
        <w:pStyle w:val="5"/>
        <w:spacing w:line="360" w:lineRule="auto"/>
        <w:rPr>
          <w:rFonts w:hint="eastAsia" w:ascii="宋体" w:hAnsi="宋体" w:eastAsia="宋体" w:cs="宋体"/>
          <w:highlight w:val="none"/>
        </w:rPr>
      </w:pPr>
    </w:p>
    <w:p w14:paraId="14315F88">
      <w:pPr>
        <w:spacing w:line="360" w:lineRule="auto"/>
        <w:ind w:firstLine="480" w:firstLineChars="200"/>
        <w:rPr>
          <w:rFonts w:hint="eastAsia" w:ascii="宋体" w:hAnsi="宋体" w:eastAsia="宋体" w:cs="宋体"/>
          <w:sz w:val="24"/>
          <w:highlight w:val="none"/>
        </w:rPr>
      </w:pPr>
      <w:r>
        <w:rPr>
          <w:rFonts w:hint="eastAsia" w:ascii="宋体" w:hAnsi="宋体" w:cs="宋体"/>
          <w:sz w:val="24"/>
          <w:highlight w:val="none"/>
          <w:u w:val="single"/>
          <w:lang w:eastAsia="zh-CN"/>
        </w:rPr>
        <w:t>绍兴市上虞区曹娥街道蒿东村股份经济合作社</w:t>
      </w:r>
      <w:r>
        <w:rPr>
          <w:rFonts w:hint="eastAsia" w:ascii="宋体" w:hAnsi="宋体" w:eastAsia="宋体" w:cs="宋体"/>
          <w:sz w:val="24"/>
          <w:highlight w:val="none"/>
        </w:rPr>
        <w:t>：</w:t>
      </w:r>
    </w:p>
    <w:p w14:paraId="1C366E32">
      <w:pPr>
        <w:spacing w:line="360" w:lineRule="auto"/>
        <w:ind w:firstLine="480" w:firstLineChars="200"/>
        <w:rPr>
          <w:rFonts w:hint="eastAsia" w:ascii="宋体" w:hAnsi="宋体" w:eastAsia="宋体" w:cs="宋体"/>
          <w:sz w:val="24"/>
          <w:highlight w:val="none"/>
          <w:u w:val="single"/>
          <w:lang w:eastAsia="zh-CN"/>
        </w:rPr>
      </w:pPr>
      <w:r>
        <w:rPr>
          <w:rFonts w:hint="eastAsia" w:ascii="宋体" w:hAnsi="宋体" w:eastAsia="宋体" w:cs="宋体"/>
          <w:sz w:val="24"/>
          <w:highlight w:val="none"/>
          <w:u w:val="single"/>
          <w:lang w:eastAsia="zh-CN"/>
        </w:rPr>
        <w:t>浙江广正建设项目管理有限公司</w:t>
      </w:r>
      <w:r>
        <w:rPr>
          <w:rFonts w:hint="eastAsia" w:ascii="宋体" w:hAnsi="宋体" w:eastAsia="宋体" w:cs="宋体"/>
          <w:sz w:val="24"/>
          <w:highlight w:val="none"/>
          <w:u w:val="single"/>
          <w:lang w:val="en-US" w:eastAsia="zh-CN"/>
        </w:rPr>
        <w:t xml:space="preserve"> </w:t>
      </w:r>
      <w:r>
        <w:rPr>
          <w:rFonts w:hint="eastAsia" w:ascii="宋体" w:hAnsi="宋体" w:eastAsia="宋体" w:cs="宋体"/>
          <w:sz w:val="24"/>
          <w:highlight w:val="none"/>
          <w:u w:val="single"/>
          <w:lang w:eastAsia="zh-CN"/>
        </w:rPr>
        <w:t>：</w:t>
      </w:r>
    </w:p>
    <w:p w14:paraId="69BCC843">
      <w:pPr>
        <w:spacing w:line="360" w:lineRule="auto"/>
        <w:ind w:firstLine="480" w:firstLineChars="200"/>
        <w:rPr>
          <w:rFonts w:hint="eastAsia" w:ascii="宋体" w:hAnsi="宋体" w:eastAsia="宋体" w:cs="宋体"/>
          <w:sz w:val="24"/>
          <w:highlight w:val="none"/>
        </w:rPr>
      </w:pPr>
      <w:r>
        <w:rPr>
          <w:rFonts w:hint="eastAsia" w:ascii="宋体" w:hAnsi="宋体" w:eastAsia="宋体" w:cs="宋体"/>
          <w:color w:val="auto"/>
          <w:sz w:val="24"/>
          <w:highlight w:val="none"/>
          <w:u w:val="single"/>
        </w:rPr>
        <w:t xml:space="preserve">  （投标人全称）</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rPr>
        <w:t>法定代表人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授权</w:t>
      </w:r>
      <w:r>
        <w:rPr>
          <w:rFonts w:hint="eastAsia" w:ascii="宋体" w:hAnsi="宋体" w:eastAsia="宋体" w:cs="宋体"/>
          <w:color w:val="auto"/>
          <w:sz w:val="24"/>
          <w:highlight w:val="none"/>
          <w:u w:val="single"/>
        </w:rPr>
        <w:t>（授权代表名称）</w:t>
      </w:r>
      <w:r>
        <w:rPr>
          <w:rFonts w:hint="eastAsia" w:ascii="宋体" w:hAnsi="宋体" w:eastAsia="宋体" w:cs="宋体"/>
          <w:color w:val="auto"/>
          <w:sz w:val="24"/>
          <w:highlight w:val="none"/>
        </w:rPr>
        <w:t>为授权代表，参加贵处组织的</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项目</w:t>
      </w:r>
      <w:r>
        <w:rPr>
          <w:rFonts w:hint="eastAsia" w:ascii="宋体" w:hAnsi="宋体" w:eastAsia="宋体" w:cs="宋体"/>
          <w:color w:val="auto"/>
          <w:sz w:val="24"/>
          <w:highlight w:val="none"/>
          <w:u w:val="single"/>
        </w:rPr>
        <w:t>（括号内填写招标编号）</w:t>
      </w:r>
      <w:r>
        <w:rPr>
          <w:rFonts w:hint="eastAsia" w:ascii="宋体" w:hAnsi="宋体" w:eastAsia="宋体" w:cs="宋体"/>
          <w:color w:val="auto"/>
          <w:sz w:val="24"/>
          <w:highlight w:val="none"/>
        </w:rPr>
        <w:t>，授权处理招投</w:t>
      </w:r>
      <w:r>
        <w:rPr>
          <w:rFonts w:hint="eastAsia" w:ascii="宋体" w:hAnsi="宋体" w:eastAsia="宋体" w:cs="宋体"/>
          <w:sz w:val="24"/>
          <w:highlight w:val="none"/>
        </w:rPr>
        <w:t>标活动中的一切事宜。</w:t>
      </w:r>
    </w:p>
    <w:p w14:paraId="5FB0F185">
      <w:pPr>
        <w:spacing w:line="360" w:lineRule="auto"/>
        <w:ind w:firstLine="480" w:firstLineChars="200"/>
        <w:rPr>
          <w:rFonts w:hint="eastAsia" w:ascii="宋体" w:hAnsi="宋体" w:eastAsia="宋体" w:cs="宋体"/>
          <w:sz w:val="24"/>
          <w:highlight w:val="none"/>
        </w:rPr>
      </w:pPr>
    </w:p>
    <w:p w14:paraId="58D0BBE5">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法定代表人签字：</w:t>
      </w:r>
    </w:p>
    <w:p w14:paraId="31BE9C44">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投标人全称：（盖章）</w:t>
      </w:r>
    </w:p>
    <w:p w14:paraId="59DC2C6C">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日期：</w:t>
      </w:r>
    </w:p>
    <w:p w14:paraId="471E7BCF">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附：</w:t>
      </w:r>
    </w:p>
    <w:p w14:paraId="7BB0B6FB">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授权代表姓名：</w:t>
      </w:r>
    </w:p>
    <w:p w14:paraId="6EE23E16">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职务：</w:t>
      </w:r>
    </w:p>
    <w:p w14:paraId="24F27E55">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详细通讯地址：</w:t>
      </w:r>
    </w:p>
    <w:p w14:paraId="6F77AD1C">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传真：</w:t>
      </w:r>
    </w:p>
    <w:p w14:paraId="45ACFC7C">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电话：</w:t>
      </w:r>
    </w:p>
    <w:p w14:paraId="6BD3C972">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邮政编码：</w:t>
      </w:r>
    </w:p>
    <w:p w14:paraId="10ED5609">
      <w:pPr>
        <w:pStyle w:val="16"/>
        <w:snapToGrid w:val="0"/>
        <w:spacing w:line="360" w:lineRule="auto"/>
        <w:rPr>
          <w:rFonts w:hint="eastAsia" w:ascii="宋体" w:hAnsi="宋体" w:eastAsia="宋体" w:cs="宋体"/>
          <w:color w:val="000000"/>
          <w:sz w:val="24"/>
          <w:highlight w:val="none"/>
        </w:rPr>
      </w:pPr>
    </w:p>
    <w:p w14:paraId="2A610D61">
      <w:pPr>
        <w:pStyle w:val="16"/>
        <w:snapToGrid w:val="0"/>
        <w:spacing w:line="360" w:lineRule="auto"/>
        <w:rPr>
          <w:rFonts w:hint="eastAsia" w:ascii="宋体" w:hAnsi="宋体" w:eastAsia="宋体" w:cs="宋体"/>
          <w:color w:val="000000"/>
          <w:sz w:val="24"/>
          <w:highlight w:val="none"/>
        </w:rPr>
      </w:pPr>
    </w:p>
    <w:p w14:paraId="537D34EA">
      <w:pPr>
        <w:pStyle w:val="16"/>
        <w:snapToGrid w:val="0"/>
        <w:spacing w:line="360" w:lineRule="auto"/>
        <w:rPr>
          <w:rFonts w:hint="eastAsia" w:ascii="宋体" w:hAnsi="宋体" w:eastAsia="宋体" w:cs="宋体"/>
          <w:color w:val="000000"/>
          <w:sz w:val="24"/>
          <w:highlight w:val="none"/>
        </w:rPr>
      </w:pPr>
    </w:p>
    <w:p w14:paraId="342E845B">
      <w:pPr>
        <w:spacing w:line="360" w:lineRule="auto"/>
        <w:rPr>
          <w:rFonts w:hint="eastAsia" w:ascii="宋体" w:hAnsi="宋体" w:eastAsia="宋体" w:cs="宋体"/>
          <w:b/>
          <w:sz w:val="24"/>
          <w:highlight w:val="none"/>
        </w:rPr>
      </w:pPr>
      <w:r>
        <w:rPr>
          <w:rFonts w:hint="eastAsia" w:ascii="宋体" w:hAnsi="宋体" w:eastAsia="宋体" w:cs="宋体"/>
          <w:b/>
          <w:sz w:val="24"/>
          <w:highlight w:val="none"/>
        </w:rPr>
        <w:t>附：授权代表身份证</w:t>
      </w:r>
      <w:r>
        <w:rPr>
          <w:rFonts w:hint="eastAsia" w:ascii="宋体" w:hAnsi="宋体" w:cs="宋体"/>
          <w:b/>
          <w:sz w:val="24"/>
          <w:highlight w:val="none"/>
          <w:lang w:eastAsia="zh-CN"/>
        </w:rPr>
        <w:t>扫描件</w:t>
      </w:r>
      <w:r>
        <w:rPr>
          <w:rFonts w:hint="eastAsia" w:ascii="宋体" w:hAnsi="宋体" w:eastAsia="宋体" w:cs="宋体"/>
          <w:b/>
          <w:sz w:val="24"/>
          <w:highlight w:val="none"/>
        </w:rPr>
        <w:t>（正反面）</w:t>
      </w:r>
    </w:p>
    <w:p w14:paraId="4FC9B126">
      <w:pPr>
        <w:spacing w:line="360" w:lineRule="auto"/>
        <w:rPr>
          <w:rFonts w:hint="eastAsia" w:ascii="宋体" w:hAnsi="宋体" w:eastAsia="宋体" w:cs="宋体"/>
          <w:b/>
          <w:sz w:val="24"/>
          <w:highlight w:val="none"/>
        </w:rPr>
      </w:pPr>
    </w:p>
    <w:p w14:paraId="574EE674">
      <w:pPr>
        <w:pStyle w:val="13"/>
        <w:ind w:firstLine="486"/>
        <w:rPr>
          <w:rFonts w:hint="eastAsia" w:ascii="宋体" w:hAnsi="宋体" w:eastAsia="宋体" w:cs="宋体"/>
          <w:highlight w:val="none"/>
        </w:rPr>
      </w:pPr>
    </w:p>
    <w:p w14:paraId="0E60D27D">
      <w:pPr>
        <w:snapToGrid w:val="0"/>
        <w:spacing w:before="50" w:after="167" w:afterLines="50"/>
        <w:jc w:val="left"/>
        <w:outlineLvl w:val="0"/>
        <w:rPr>
          <w:rFonts w:hint="eastAsia" w:ascii="宋体" w:hAnsi="宋体" w:eastAsia="宋体" w:cs="宋体"/>
          <w:b/>
          <w:bCs/>
          <w:color w:val="000000"/>
          <w:kern w:val="2"/>
          <w:sz w:val="24"/>
          <w:szCs w:val="24"/>
          <w:highlight w:val="none"/>
          <w:lang w:val="zh-CN" w:eastAsia="zh-CN" w:bidi="ar-SA"/>
        </w:rPr>
      </w:pPr>
      <w:r>
        <w:rPr>
          <w:rFonts w:hint="eastAsia" w:ascii="宋体" w:hAnsi="宋体" w:eastAsia="宋体" w:cs="宋体"/>
          <w:b/>
          <w:bCs/>
          <w:sz w:val="24"/>
          <w:highlight w:val="none"/>
        </w:rPr>
        <w:br w:type="page"/>
      </w:r>
      <w:bookmarkStart w:id="536" w:name="_Toc19192"/>
      <w:bookmarkStart w:id="537" w:name="_Toc107"/>
      <w:r>
        <w:rPr>
          <w:rFonts w:hint="eastAsia" w:ascii="宋体" w:hAnsi="宋体" w:eastAsia="宋体" w:cs="宋体"/>
          <w:b/>
          <w:bCs/>
          <w:color w:val="000000"/>
          <w:kern w:val="2"/>
          <w:sz w:val="24"/>
          <w:szCs w:val="24"/>
          <w:highlight w:val="none"/>
          <w:lang w:val="zh-CN" w:eastAsia="zh-CN" w:bidi="ar-SA"/>
        </w:rPr>
        <w:t>附件二：</w:t>
      </w:r>
      <w:bookmarkEnd w:id="536"/>
      <w:bookmarkEnd w:id="537"/>
    </w:p>
    <w:p w14:paraId="7FE5262E">
      <w:pPr>
        <w:spacing w:line="360" w:lineRule="auto"/>
        <w:ind w:firstLine="643" w:firstLineChars="200"/>
        <w:jc w:val="center"/>
        <w:rPr>
          <w:rFonts w:hint="eastAsia" w:ascii="宋体" w:hAnsi="宋体" w:eastAsia="宋体" w:cs="宋体"/>
          <w:highlight w:val="none"/>
        </w:rPr>
      </w:pPr>
      <w:r>
        <w:rPr>
          <w:rFonts w:hint="eastAsia" w:ascii="宋体" w:hAnsi="宋体" w:cs="宋体"/>
          <w:b/>
          <w:bCs/>
          <w:color w:val="auto"/>
          <w:sz w:val="32"/>
          <w:szCs w:val="32"/>
          <w:highlight w:val="none"/>
          <w:u w:val="none"/>
          <w:lang w:eastAsia="zh-CN"/>
        </w:rPr>
        <w:t>投标人承诺函</w:t>
      </w:r>
    </w:p>
    <w:p w14:paraId="1131AE54">
      <w:pPr>
        <w:spacing w:line="360" w:lineRule="auto"/>
        <w:ind w:firstLine="480" w:firstLineChars="200"/>
        <w:rPr>
          <w:rFonts w:hint="eastAsia" w:ascii="宋体" w:hAnsi="宋体" w:eastAsia="宋体" w:cs="宋体"/>
          <w:sz w:val="24"/>
          <w:highlight w:val="none"/>
        </w:rPr>
      </w:pPr>
      <w:r>
        <w:rPr>
          <w:rFonts w:hint="eastAsia" w:ascii="宋体" w:hAnsi="宋体" w:cs="宋体"/>
          <w:sz w:val="24"/>
          <w:highlight w:val="none"/>
          <w:u w:val="single"/>
          <w:lang w:eastAsia="zh-CN"/>
        </w:rPr>
        <w:t>绍兴市上虞区曹娥街道蒿东村股份经济合作社</w:t>
      </w:r>
      <w:r>
        <w:rPr>
          <w:rFonts w:hint="eastAsia" w:ascii="宋体" w:hAnsi="宋体" w:eastAsia="宋体" w:cs="宋体"/>
          <w:sz w:val="24"/>
          <w:highlight w:val="none"/>
        </w:rPr>
        <w:t>：</w:t>
      </w:r>
    </w:p>
    <w:p w14:paraId="0AC71DAD">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u w:val="single"/>
          <w:lang w:eastAsia="zh-CN"/>
        </w:rPr>
        <w:t>浙江广正建设项目管理有限公司</w:t>
      </w:r>
      <w:r>
        <w:rPr>
          <w:rFonts w:hint="eastAsia" w:ascii="宋体" w:hAnsi="宋体" w:eastAsia="宋体" w:cs="宋体"/>
          <w:sz w:val="24"/>
          <w:highlight w:val="none"/>
        </w:rPr>
        <w:t>：</w:t>
      </w:r>
    </w:p>
    <w:p w14:paraId="5AB8F80E">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rPr>
        <w:t>（投标人名称）</w:t>
      </w:r>
      <w:r>
        <w:rPr>
          <w:rFonts w:hint="eastAsia" w:ascii="宋体" w:hAnsi="宋体" w:eastAsia="宋体" w:cs="宋体"/>
          <w:color w:val="auto"/>
          <w:sz w:val="24"/>
          <w:highlight w:val="none"/>
        </w:rPr>
        <w:t>系中华人民共和国合法企业，经营地址</w:t>
      </w:r>
      <w:r>
        <w:rPr>
          <w:rFonts w:hint="eastAsia" w:ascii="宋体" w:hAnsi="宋体" w:cs="宋体"/>
          <w:color w:val="auto"/>
          <w:sz w:val="24"/>
          <w:highlight w:val="none"/>
          <w:u w:val="single"/>
          <w:lang w:val="en-US" w:eastAsia="zh-CN"/>
        </w:rPr>
        <w:t xml:space="preserve">             </w:t>
      </w:r>
      <w:r>
        <w:rPr>
          <w:rFonts w:hint="eastAsia" w:ascii="宋体" w:hAnsi="宋体" w:eastAsia="宋体" w:cs="宋体"/>
          <w:color w:val="auto"/>
          <w:sz w:val="24"/>
          <w:highlight w:val="none"/>
        </w:rPr>
        <w:t>。</w:t>
      </w:r>
    </w:p>
    <w:p w14:paraId="71486AB8">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我</w:t>
      </w:r>
      <w:r>
        <w:rPr>
          <w:rFonts w:hint="eastAsia" w:ascii="宋体" w:hAnsi="宋体" w:eastAsia="宋体" w:cs="宋体"/>
          <w:color w:val="auto"/>
          <w:sz w:val="24"/>
          <w:highlight w:val="none"/>
          <w:u w:val="single"/>
        </w:rPr>
        <w:t>（姓名）</w:t>
      </w:r>
      <w:r>
        <w:rPr>
          <w:rFonts w:hint="eastAsia" w:ascii="宋体" w:hAnsi="宋体" w:eastAsia="宋体" w:cs="宋体"/>
          <w:color w:val="auto"/>
          <w:sz w:val="24"/>
          <w:highlight w:val="none"/>
        </w:rPr>
        <w:t>系</w:t>
      </w:r>
      <w:r>
        <w:rPr>
          <w:rFonts w:hint="eastAsia" w:ascii="宋体" w:hAnsi="宋体" w:eastAsia="宋体" w:cs="宋体"/>
          <w:color w:val="auto"/>
          <w:sz w:val="24"/>
          <w:highlight w:val="none"/>
          <w:u w:val="single"/>
        </w:rPr>
        <w:t>（投标人名称）</w:t>
      </w:r>
      <w:r>
        <w:rPr>
          <w:rFonts w:hint="eastAsia" w:ascii="宋体" w:hAnsi="宋体" w:eastAsia="宋体" w:cs="宋体"/>
          <w:color w:val="auto"/>
          <w:sz w:val="24"/>
          <w:highlight w:val="none"/>
        </w:rPr>
        <w:t>的法定代表人，我方愿意参加贵方组织的</w:t>
      </w:r>
      <w:r>
        <w:rPr>
          <w:rFonts w:hint="eastAsia" w:ascii="宋体" w:hAnsi="宋体" w:eastAsia="宋体" w:cs="宋体"/>
          <w:color w:val="auto"/>
          <w:sz w:val="24"/>
          <w:highlight w:val="none"/>
          <w:u w:val="single"/>
        </w:rPr>
        <w:t>（招标项目名称）（编号为）</w:t>
      </w:r>
      <w:r>
        <w:rPr>
          <w:rFonts w:hint="eastAsia" w:ascii="宋体" w:hAnsi="宋体" w:eastAsia="宋体" w:cs="宋体"/>
          <w:color w:val="auto"/>
          <w:sz w:val="24"/>
          <w:highlight w:val="none"/>
        </w:rPr>
        <w:t>的投标，为此，我方就本次投标有关事项郑重声明如下：</w:t>
      </w:r>
    </w:p>
    <w:p w14:paraId="017E1072">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1、我方已详细审查全部招标文件，同意招标文件的各项要求。</w:t>
      </w:r>
    </w:p>
    <w:p w14:paraId="5C976084">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2、我方向贵方提交的所有投标文件、资料都是准确的和真实的。</w:t>
      </w:r>
    </w:p>
    <w:p w14:paraId="4AC17A4C">
      <w:pPr>
        <w:spacing w:line="360" w:lineRule="auto"/>
        <w:ind w:firstLine="480" w:firstLineChars="200"/>
        <w:rPr>
          <w:rFonts w:hint="eastAsia" w:ascii="宋体" w:hAnsi="宋体" w:eastAsia="宋体" w:cs="宋体"/>
          <w:sz w:val="24"/>
          <w:highlight w:val="none"/>
        </w:rPr>
      </w:pPr>
      <w:r>
        <w:rPr>
          <w:rFonts w:hint="eastAsia" w:ascii="宋体" w:hAnsi="宋体" w:eastAsia="宋体" w:cs="宋体"/>
          <w:color w:val="auto"/>
          <w:sz w:val="24"/>
          <w:highlight w:val="none"/>
        </w:rPr>
        <w:t>3、若中标，我方将按招标文件规定履行合同</w:t>
      </w:r>
      <w:r>
        <w:rPr>
          <w:rFonts w:hint="eastAsia" w:ascii="宋体" w:hAnsi="宋体" w:eastAsia="宋体" w:cs="宋体"/>
          <w:sz w:val="24"/>
          <w:highlight w:val="none"/>
        </w:rPr>
        <w:t>责任和义务。</w:t>
      </w:r>
    </w:p>
    <w:p w14:paraId="312179C2">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4、我方不是采购人的附属机构；在获知本项目采购信息后，与采购人聘请的为此项目提供咨询服务的公司及其附属机构没有任何联系。</w:t>
      </w:r>
    </w:p>
    <w:p w14:paraId="778EFB52">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5、投标文件自开标日起有效期为90天。</w:t>
      </w:r>
    </w:p>
    <w:p w14:paraId="4BFEB67F">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6、我方参与本项目前3年内的经营活动中没有重大违法记录；</w:t>
      </w:r>
    </w:p>
    <w:p w14:paraId="70E969EE">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7、我方通过“信用中国”网站（www.creditchina.gov.cn）、中国政府采购网（www.ccgp.gov.cn）查询，未被列入失信被执行人、重大税收违法案件当事人名单、政府采购严重违法失信行为记录名单。</w:t>
      </w:r>
    </w:p>
    <w:p w14:paraId="74FB5541">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8、以上事项如有虚假或隐瞒，我方愿意承担一切后果，并不再寻求任何旨在减轻或免除法律责任的辩解。</w:t>
      </w:r>
    </w:p>
    <w:p w14:paraId="273F4321">
      <w:pPr>
        <w:pStyle w:val="13"/>
        <w:rPr>
          <w:rFonts w:hint="eastAsia" w:ascii="宋体" w:hAnsi="宋体" w:eastAsia="宋体" w:cs="宋体"/>
          <w:highlight w:val="none"/>
        </w:rPr>
      </w:pPr>
    </w:p>
    <w:p w14:paraId="279D2B81">
      <w:pPr>
        <w:pStyle w:val="13"/>
        <w:rPr>
          <w:rFonts w:hint="eastAsia" w:ascii="宋体" w:hAnsi="宋体" w:eastAsia="宋体" w:cs="宋体"/>
          <w:highlight w:val="none"/>
        </w:rPr>
      </w:pPr>
    </w:p>
    <w:p w14:paraId="404C1F9D">
      <w:pPr>
        <w:spacing w:line="360" w:lineRule="auto"/>
        <w:ind w:leftChars="1800" w:firstLine="480" w:firstLineChars="200"/>
        <w:rPr>
          <w:rFonts w:hint="eastAsia" w:ascii="宋体" w:hAnsi="宋体" w:eastAsia="宋体" w:cs="宋体"/>
          <w:sz w:val="24"/>
          <w:highlight w:val="none"/>
        </w:rPr>
      </w:pPr>
      <w:r>
        <w:rPr>
          <w:rFonts w:hint="eastAsia" w:ascii="宋体" w:hAnsi="宋体" w:eastAsia="宋体" w:cs="宋体"/>
          <w:sz w:val="24"/>
          <w:highlight w:val="none"/>
        </w:rPr>
        <w:t xml:space="preserve">法定代表人签名（或签名章）：                       </w:t>
      </w:r>
    </w:p>
    <w:p w14:paraId="32138978">
      <w:pPr>
        <w:spacing w:line="360" w:lineRule="auto"/>
        <w:ind w:leftChars="1800" w:firstLine="480" w:firstLineChars="200"/>
        <w:rPr>
          <w:rFonts w:hint="eastAsia" w:ascii="宋体" w:hAnsi="宋体" w:eastAsia="宋体" w:cs="宋体"/>
          <w:sz w:val="24"/>
          <w:highlight w:val="none"/>
        </w:rPr>
      </w:pPr>
      <w:r>
        <w:rPr>
          <w:rFonts w:hint="eastAsia" w:ascii="宋体" w:hAnsi="宋体" w:eastAsia="宋体" w:cs="宋体"/>
          <w:sz w:val="24"/>
          <w:highlight w:val="none"/>
        </w:rPr>
        <w:t>日 期：</w:t>
      </w:r>
    </w:p>
    <w:p w14:paraId="2F3A3CC0">
      <w:pPr>
        <w:spacing w:line="360" w:lineRule="auto"/>
        <w:ind w:leftChars="1800" w:firstLine="480" w:firstLineChars="200"/>
        <w:rPr>
          <w:rFonts w:hint="eastAsia" w:ascii="宋体" w:hAnsi="宋体" w:eastAsia="宋体" w:cs="宋体"/>
          <w:sz w:val="24"/>
          <w:highlight w:val="none"/>
        </w:rPr>
      </w:pPr>
      <w:r>
        <w:rPr>
          <w:rFonts w:hint="eastAsia" w:ascii="宋体" w:hAnsi="宋体" w:eastAsia="宋体" w:cs="宋体"/>
          <w:sz w:val="24"/>
          <w:highlight w:val="none"/>
        </w:rPr>
        <w:t>投标人全称（公章）：</w:t>
      </w:r>
    </w:p>
    <w:p w14:paraId="7EC4347B">
      <w:pPr>
        <w:rPr>
          <w:rFonts w:hint="eastAsia"/>
          <w:highlight w:val="none"/>
        </w:rPr>
      </w:pPr>
      <w:r>
        <w:rPr>
          <w:rFonts w:hint="eastAsia" w:ascii="宋体" w:hAnsi="宋体" w:eastAsia="宋体" w:cs="宋体"/>
          <w:sz w:val="24"/>
          <w:highlight w:val="none"/>
        </w:rPr>
        <w:br w:type="page"/>
      </w:r>
    </w:p>
    <w:p w14:paraId="2268E133">
      <w:pPr>
        <w:keepNext w:val="0"/>
        <w:keepLines w:val="0"/>
        <w:widowControl/>
        <w:suppressLineNumbers w:val="0"/>
        <w:jc w:val="left"/>
        <w:rPr>
          <w:rFonts w:hint="eastAsia" w:ascii="宋体" w:hAnsi="宋体" w:eastAsia="宋体" w:cs="宋体"/>
          <w:b/>
          <w:bCs/>
          <w:color w:val="000000"/>
          <w:kern w:val="2"/>
          <w:sz w:val="24"/>
          <w:szCs w:val="24"/>
          <w:highlight w:val="none"/>
          <w:lang w:val="zh-CN" w:eastAsia="zh-CN" w:bidi="ar-SA"/>
        </w:rPr>
      </w:pPr>
    </w:p>
    <w:p w14:paraId="17ED0B08">
      <w:pPr>
        <w:spacing w:line="360" w:lineRule="auto"/>
        <w:jc w:val="center"/>
        <w:rPr>
          <w:rFonts w:hint="eastAsia" w:ascii="宋体" w:hAnsi="宋体" w:eastAsia="宋体" w:cs="宋体"/>
          <w:b/>
          <w:kern w:val="0"/>
          <w:sz w:val="36"/>
          <w:szCs w:val="36"/>
          <w:highlight w:val="none"/>
        </w:rPr>
      </w:pPr>
      <w:r>
        <w:rPr>
          <w:rFonts w:hint="eastAsia" w:ascii="宋体" w:hAnsi="宋体" w:eastAsia="宋体" w:cs="宋体"/>
          <w:b/>
          <w:kern w:val="0"/>
          <w:sz w:val="36"/>
          <w:szCs w:val="36"/>
          <w:highlight w:val="none"/>
          <w:lang w:eastAsia="zh-CN"/>
        </w:rPr>
        <w:t>商务技术</w:t>
      </w:r>
      <w:r>
        <w:rPr>
          <w:rFonts w:hint="eastAsia" w:ascii="宋体" w:hAnsi="宋体" w:eastAsia="宋体" w:cs="宋体"/>
          <w:b/>
          <w:kern w:val="0"/>
          <w:sz w:val="36"/>
          <w:szCs w:val="36"/>
          <w:highlight w:val="none"/>
        </w:rPr>
        <w:t>文件</w:t>
      </w:r>
    </w:p>
    <w:p w14:paraId="73BBD2FD">
      <w:pPr>
        <w:spacing w:line="360" w:lineRule="auto"/>
        <w:jc w:val="center"/>
        <w:rPr>
          <w:rFonts w:hint="eastAsia" w:ascii="宋体" w:hAnsi="宋体" w:eastAsia="宋体" w:cs="宋体"/>
          <w:b/>
          <w:kern w:val="0"/>
          <w:sz w:val="36"/>
          <w:szCs w:val="36"/>
          <w:highlight w:val="none"/>
        </w:rPr>
      </w:pPr>
    </w:p>
    <w:p w14:paraId="28FDF1D3">
      <w:pPr>
        <w:spacing w:line="360" w:lineRule="auto"/>
        <w:jc w:val="center"/>
        <w:rPr>
          <w:rFonts w:hint="eastAsia" w:ascii="宋体" w:hAnsi="宋体" w:eastAsia="宋体" w:cs="宋体"/>
          <w:color w:val="auto"/>
          <w:szCs w:val="24"/>
          <w:highlight w:val="yellow"/>
        </w:rPr>
      </w:pPr>
      <w:r>
        <w:rPr>
          <w:rFonts w:hint="eastAsia" w:ascii="宋体" w:hAnsi="宋体" w:eastAsia="宋体" w:cs="宋体"/>
          <w:b/>
          <w:kern w:val="0"/>
          <w:sz w:val="36"/>
          <w:szCs w:val="36"/>
          <w:highlight w:val="none"/>
        </w:rPr>
        <w:t>目录</w:t>
      </w:r>
    </w:p>
    <w:p w14:paraId="3A98298E">
      <w:pPr>
        <w:pStyle w:val="13"/>
        <w:keepNext w:val="0"/>
        <w:keepLines w:val="0"/>
        <w:pageBreakBefore w:val="0"/>
        <w:widowControl w:val="0"/>
        <w:kinsoku/>
        <w:wordWrap/>
        <w:overflowPunct/>
        <w:topLinePunct w:val="0"/>
        <w:autoSpaceDE/>
        <w:autoSpaceDN/>
        <w:bidi w:val="0"/>
        <w:snapToGrid/>
        <w:spacing w:line="500" w:lineRule="exact"/>
        <w:ind w:left="426" w:firstLine="486"/>
        <w:textAlignment w:val="auto"/>
        <w:rPr>
          <w:rFonts w:hint="eastAsia" w:ascii="宋体" w:hAnsi="宋体" w:eastAsia="宋体" w:cs="宋体"/>
          <w:highlight w:val="none"/>
        </w:rPr>
      </w:pPr>
    </w:p>
    <w:p w14:paraId="667934A1">
      <w:pPr>
        <w:pStyle w:val="43"/>
        <w:numPr>
          <w:ilvl w:val="0"/>
          <w:numId w:val="41"/>
        </w:numPr>
        <w:spacing w:before="0"/>
        <w:ind w:firstLine="480"/>
        <w:rPr>
          <w:rFonts w:hint="eastAsia" w:ascii="宋体" w:hAnsi="宋体" w:cs="宋体"/>
          <w:color w:val="auto"/>
          <w:szCs w:val="24"/>
          <w:highlight w:val="none"/>
        </w:rPr>
      </w:pPr>
      <w:r>
        <w:rPr>
          <w:rFonts w:hint="eastAsia" w:ascii="宋体" w:hAnsi="宋体" w:cs="宋体"/>
          <w:color w:val="auto"/>
          <w:szCs w:val="24"/>
          <w:highlight w:val="none"/>
        </w:rPr>
        <w:t>评分对应表（格式见附件，主要用于评委对应评分内容）</w:t>
      </w:r>
      <w:r>
        <w:rPr>
          <w:rFonts w:hint="eastAsia" w:ascii="宋体" w:hAnsi="宋体" w:cs="宋体"/>
          <w:color w:val="auto"/>
          <w:szCs w:val="24"/>
          <w:highlight w:val="none"/>
          <w:lang w:eastAsia="zh-CN"/>
        </w:rPr>
        <w:t>；</w:t>
      </w:r>
    </w:p>
    <w:p w14:paraId="0E5B4CFC">
      <w:pPr>
        <w:pStyle w:val="43"/>
        <w:numPr>
          <w:ilvl w:val="0"/>
          <w:numId w:val="41"/>
        </w:numPr>
        <w:spacing w:before="0"/>
        <w:ind w:firstLine="480"/>
        <w:rPr>
          <w:rFonts w:hint="eastAsia" w:ascii="宋体" w:hAnsi="宋体" w:cs="宋体"/>
          <w:color w:val="auto"/>
          <w:szCs w:val="24"/>
          <w:highlight w:val="none"/>
        </w:rPr>
      </w:pPr>
      <w:r>
        <w:rPr>
          <w:rFonts w:hint="eastAsia" w:ascii="宋体" w:hAnsi="宋体" w:eastAsia="宋体" w:cs="宋体"/>
          <w:color w:val="auto"/>
          <w:szCs w:val="24"/>
          <w:highlight w:val="none"/>
        </w:rPr>
        <w:t>投标人</w:t>
      </w:r>
      <w:r>
        <w:rPr>
          <w:rFonts w:hint="eastAsia" w:ascii="宋体" w:hAnsi="宋体" w:eastAsia="宋体" w:cs="宋体"/>
          <w:color w:val="auto"/>
          <w:szCs w:val="24"/>
          <w:highlight w:val="none"/>
          <w:lang w:eastAsia="zh-CN"/>
        </w:rPr>
        <w:t>商务技术</w:t>
      </w:r>
      <w:r>
        <w:rPr>
          <w:rFonts w:hint="eastAsia" w:ascii="宋体" w:hAnsi="宋体" w:eastAsia="宋体" w:cs="宋体"/>
          <w:color w:val="auto"/>
          <w:szCs w:val="24"/>
          <w:highlight w:val="none"/>
        </w:rPr>
        <w:t>文件中资信分自评表（格式见附件）</w:t>
      </w:r>
      <w:r>
        <w:rPr>
          <w:rFonts w:hint="eastAsia" w:ascii="宋体" w:hAnsi="宋体" w:cs="宋体"/>
          <w:color w:val="auto"/>
          <w:szCs w:val="24"/>
          <w:highlight w:val="none"/>
        </w:rPr>
        <w:t>；</w:t>
      </w:r>
    </w:p>
    <w:p w14:paraId="19EAE031">
      <w:pPr>
        <w:pStyle w:val="43"/>
        <w:numPr>
          <w:ilvl w:val="0"/>
          <w:numId w:val="41"/>
        </w:numPr>
        <w:spacing w:before="0"/>
        <w:ind w:firstLine="480"/>
        <w:rPr>
          <w:rFonts w:hint="eastAsia" w:ascii="宋体" w:hAnsi="宋体" w:cs="宋体"/>
          <w:color w:val="auto"/>
          <w:szCs w:val="24"/>
          <w:highlight w:val="none"/>
        </w:rPr>
      </w:pPr>
      <w:r>
        <w:rPr>
          <w:rFonts w:hint="eastAsia" w:ascii="宋体" w:hAnsi="宋体" w:cs="宋体"/>
          <w:color w:val="auto"/>
          <w:szCs w:val="24"/>
          <w:highlight w:val="none"/>
        </w:rPr>
        <w:t>投标项目明细清单（格式见附件）；</w:t>
      </w:r>
    </w:p>
    <w:p w14:paraId="06D99F2B">
      <w:pPr>
        <w:pStyle w:val="43"/>
        <w:numPr>
          <w:ilvl w:val="0"/>
          <w:numId w:val="41"/>
        </w:numPr>
        <w:spacing w:before="0"/>
        <w:ind w:firstLine="480"/>
        <w:rPr>
          <w:rFonts w:hint="eastAsia" w:ascii="宋体" w:hAnsi="宋体" w:cs="宋体"/>
          <w:color w:val="auto"/>
          <w:szCs w:val="24"/>
          <w:highlight w:val="none"/>
        </w:rPr>
      </w:pPr>
      <w:r>
        <w:rPr>
          <w:rFonts w:hint="eastAsia" w:ascii="宋体" w:hAnsi="宋体" w:cs="宋体"/>
          <w:color w:val="auto"/>
          <w:szCs w:val="24"/>
          <w:highlight w:val="none"/>
          <w:lang w:eastAsia="zh-CN"/>
        </w:rPr>
        <w:t>技术</w:t>
      </w:r>
      <w:r>
        <w:rPr>
          <w:rFonts w:hint="eastAsia" w:ascii="宋体" w:hAnsi="宋体" w:cs="宋体"/>
          <w:color w:val="auto"/>
          <w:sz w:val="24"/>
          <w:highlight w:val="none"/>
        </w:rPr>
        <w:t>响应及建议表（格式见附件）；</w:t>
      </w:r>
    </w:p>
    <w:p w14:paraId="3455AD3E">
      <w:pPr>
        <w:pStyle w:val="43"/>
        <w:numPr>
          <w:ilvl w:val="0"/>
          <w:numId w:val="41"/>
        </w:numPr>
        <w:spacing w:before="0"/>
        <w:ind w:firstLine="480"/>
        <w:rPr>
          <w:rFonts w:hint="eastAsia" w:ascii="宋体" w:hAnsi="宋体" w:cs="宋体"/>
          <w:color w:val="auto"/>
          <w:szCs w:val="24"/>
          <w:highlight w:val="none"/>
        </w:rPr>
      </w:pPr>
      <w:r>
        <w:rPr>
          <w:rFonts w:hint="eastAsia" w:ascii="宋体" w:hAnsi="宋体" w:cs="宋体"/>
          <w:color w:val="auto"/>
          <w:szCs w:val="24"/>
          <w:highlight w:val="none"/>
          <w:lang w:eastAsia="zh-CN"/>
        </w:rPr>
        <w:t>商务响应表</w:t>
      </w:r>
      <w:r>
        <w:rPr>
          <w:rFonts w:hint="eastAsia" w:ascii="宋体" w:hAnsi="宋体" w:cs="宋体"/>
          <w:color w:val="auto"/>
          <w:sz w:val="24"/>
          <w:highlight w:val="none"/>
        </w:rPr>
        <w:t>（格式见附件）；</w:t>
      </w:r>
    </w:p>
    <w:p w14:paraId="1C0FBA4E">
      <w:pPr>
        <w:pStyle w:val="43"/>
        <w:numPr>
          <w:ilvl w:val="0"/>
          <w:numId w:val="41"/>
        </w:numPr>
        <w:spacing w:before="0"/>
        <w:ind w:firstLine="480"/>
        <w:rPr>
          <w:rFonts w:hint="eastAsia" w:ascii="宋体" w:hAnsi="宋体" w:cs="宋体"/>
          <w:color w:val="auto"/>
          <w:szCs w:val="24"/>
          <w:highlight w:val="none"/>
        </w:rPr>
      </w:pPr>
      <w:r>
        <w:rPr>
          <w:rFonts w:hint="eastAsia" w:ascii="宋体" w:hAnsi="宋体" w:cs="宋体"/>
          <w:color w:val="auto"/>
          <w:szCs w:val="24"/>
          <w:highlight w:val="none"/>
          <w:lang w:eastAsia="zh-CN"/>
        </w:rPr>
        <w:t>项目组人员清单</w:t>
      </w:r>
      <w:r>
        <w:rPr>
          <w:rFonts w:hint="eastAsia" w:ascii="宋体" w:hAnsi="宋体" w:cs="宋体"/>
          <w:color w:val="auto"/>
          <w:sz w:val="24"/>
          <w:highlight w:val="none"/>
        </w:rPr>
        <w:t>（格式见附件）；</w:t>
      </w:r>
    </w:p>
    <w:p w14:paraId="3CD3067C">
      <w:pPr>
        <w:pStyle w:val="43"/>
        <w:numPr>
          <w:ilvl w:val="0"/>
          <w:numId w:val="41"/>
        </w:numPr>
        <w:spacing w:before="0"/>
        <w:ind w:firstLine="480"/>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服务方案；</w:t>
      </w:r>
    </w:p>
    <w:p w14:paraId="54F13B92">
      <w:pPr>
        <w:pStyle w:val="43"/>
        <w:numPr>
          <w:ilvl w:val="0"/>
          <w:numId w:val="41"/>
        </w:numPr>
        <w:spacing w:before="0"/>
        <w:ind w:firstLine="480"/>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重点、难点及解决措施；</w:t>
      </w:r>
    </w:p>
    <w:p w14:paraId="2643BB9B">
      <w:pPr>
        <w:pStyle w:val="43"/>
        <w:numPr>
          <w:ilvl w:val="0"/>
          <w:numId w:val="41"/>
        </w:numPr>
        <w:spacing w:before="0"/>
        <w:ind w:firstLine="480"/>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设备投入；</w:t>
      </w:r>
    </w:p>
    <w:p w14:paraId="53329ACC">
      <w:pPr>
        <w:pStyle w:val="43"/>
        <w:numPr>
          <w:ilvl w:val="0"/>
          <w:numId w:val="41"/>
        </w:numPr>
        <w:spacing w:before="0"/>
        <w:ind w:firstLine="480"/>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人员配备；</w:t>
      </w:r>
    </w:p>
    <w:p w14:paraId="2BC47FBA">
      <w:pPr>
        <w:pStyle w:val="43"/>
        <w:numPr>
          <w:ilvl w:val="0"/>
          <w:numId w:val="41"/>
        </w:numPr>
        <w:spacing w:before="0"/>
        <w:ind w:firstLine="480"/>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管理制度；</w:t>
      </w:r>
    </w:p>
    <w:p w14:paraId="054166C0">
      <w:pPr>
        <w:pStyle w:val="43"/>
        <w:numPr>
          <w:ilvl w:val="0"/>
          <w:numId w:val="41"/>
        </w:numPr>
        <w:spacing w:before="0"/>
        <w:ind w:firstLine="480"/>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保证措施；</w:t>
      </w:r>
    </w:p>
    <w:p w14:paraId="27D0FB1D">
      <w:pPr>
        <w:pStyle w:val="43"/>
        <w:numPr>
          <w:ilvl w:val="0"/>
          <w:numId w:val="41"/>
        </w:numPr>
        <w:spacing w:before="0"/>
        <w:ind w:firstLine="480"/>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特殊时期的应急保障措施；</w:t>
      </w:r>
    </w:p>
    <w:p w14:paraId="419EF767">
      <w:pPr>
        <w:pStyle w:val="43"/>
        <w:numPr>
          <w:ilvl w:val="0"/>
          <w:numId w:val="41"/>
        </w:numPr>
        <w:spacing w:before="0"/>
        <w:ind w:firstLine="480"/>
        <w:rPr>
          <w:rFonts w:ascii="宋体" w:hAnsi="宋体" w:cs="宋体"/>
          <w:color w:val="auto"/>
          <w:szCs w:val="24"/>
          <w:highlight w:val="none"/>
        </w:rPr>
      </w:pPr>
      <w:r>
        <w:rPr>
          <w:rFonts w:hint="eastAsia" w:ascii="宋体" w:hAnsi="宋体" w:eastAsia="宋体" w:cs="宋体"/>
          <w:color w:val="auto"/>
          <w:sz w:val="24"/>
          <w:highlight w:val="none"/>
          <w:lang w:val="en-US" w:eastAsia="zh-CN"/>
        </w:rPr>
        <w:t>本地化服务</w:t>
      </w:r>
      <w:r>
        <w:rPr>
          <w:rFonts w:hint="eastAsia" w:ascii="宋体" w:hAnsi="宋体" w:cs="宋体"/>
          <w:color w:val="auto"/>
          <w:sz w:val="24"/>
          <w:highlight w:val="none"/>
          <w:lang w:val="en-US" w:eastAsia="zh-CN"/>
        </w:rPr>
        <w:t>；</w:t>
      </w:r>
    </w:p>
    <w:p w14:paraId="0450EDAB">
      <w:pPr>
        <w:pStyle w:val="43"/>
        <w:numPr>
          <w:ilvl w:val="0"/>
          <w:numId w:val="41"/>
        </w:numPr>
        <w:spacing w:before="0"/>
        <w:ind w:firstLine="480"/>
        <w:rPr>
          <w:rFonts w:ascii="宋体" w:hAnsi="宋体" w:cs="宋体"/>
          <w:color w:val="auto"/>
          <w:szCs w:val="24"/>
          <w:highlight w:val="none"/>
        </w:rPr>
      </w:pPr>
      <w:r>
        <w:rPr>
          <w:rFonts w:hint="eastAsia" w:ascii="宋体" w:hAnsi="宋体" w:cs="宋体"/>
          <w:color w:val="auto"/>
          <w:sz w:val="24"/>
          <w:highlight w:val="none"/>
          <w:lang w:val="en-US" w:eastAsia="zh-CN"/>
        </w:rPr>
        <w:t>企业业绩；</w:t>
      </w:r>
    </w:p>
    <w:p w14:paraId="44A5B5C5">
      <w:pPr>
        <w:pStyle w:val="43"/>
        <w:numPr>
          <w:ilvl w:val="0"/>
          <w:numId w:val="41"/>
        </w:numPr>
        <w:spacing w:before="0"/>
        <w:ind w:firstLine="480"/>
        <w:rPr>
          <w:rFonts w:hint="eastAsia" w:ascii="宋体" w:hAnsi="宋体" w:cs="宋体"/>
          <w:color w:val="auto"/>
          <w:szCs w:val="24"/>
          <w:highlight w:val="none"/>
        </w:rPr>
      </w:pPr>
      <w:r>
        <w:rPr>
          <w:rFonts w:hint="eastAsia" w:ascii="宋体" w:hAnsi="宋体" w:cs="宋体"/>
          <w:color w:val="auto"/>
          <w:szCs w:val="24"/>
          <w:highlight w:val="none"/>
        </w:rPr>
        <w:t>企业认证</w:t>
      </w:r>
      <w:r>
        <w:rPr>
          <w:rFonts w:hint="eastAsia" w:ascii="宋体" w:hAnsi="宋体" w:cs="宋体"/>
          <w:color w:val="auto"/>
          <w:szCs w:val="24"/>
          <w:highlight w:val="none"/>
          <w:lang w:eastAsia="zh-CN"/>
        </w:rPr>
        <w:t>；</w:t>
      </w:r>
    </w:p>
    <w:p w14:paraId="32D8E4AD">
      <w:pPr>
        <w:pStyle w:val="43"/>
        <w:numPr>
          <w:ilvl w:val="0"/>
          <w:numId w:val="41"/>
        </w:numPr>
        <w:spacing w:before="0"/>
        <w:ind w:firstLine="480"/>
        <w:rPr>
          <w:rFonts w:ascii="宋体" w:hAnsi="宋体" w:cs="宋体"/>
          <w:color w:val="auto"/>
          <w:szCs w:val="24"/>
          <w:highlight w:val="none"/>
        </w:rPr>
      </w:pPr>
      <w:r>
        <w:rPr>
          <w:rFonts w:hint="eastAsia" w:ascii="宋体" w:hAnsi="宋体" w:cs="宋体"/>
          <w:color w:val="auto"/>
          <w:szCs w:val="24"/>
          <w:highlight w:val="none"/>
        </w:rPr>
        <w:t>项目负责人</w:t>
      </w:r>
      <w:r>
        <w:rPr>
          <w:rFonts w:hint="eastAsia" w:ascii="宋体" w:hAnsi="宋体" w:cs="宋体"/>
          <w:color w:val="auto"/>
          <w:szCs w:val="24"/>
          <w:highlight w:val="none"/>
          <w:lang w:eastAsia="zh-CN"/>
        </w:rPr>
        <w:t>；</w:t>
      </w:r>
    </w:p>
    <w:p w14:paraId="5B3F6D5B">
      <w:pPr>
        <w:pStyle w:val="43"/>
        <w:numPr>
          <w:ilvl w:val="0"/>
          <w:numId w:val="41"/>
        </w:numPr>
        <w:spacing w:before="0"/>
        <w:ind w:firstLine="480"/>
        <w:rPr>
          <w:rFonts w:ascii="宋体" w:hAnsi="宋体" w:cs="宋体"/>
          <w:color w:val="auto"/>
          <w:szCs w:val="24"/>
          <w:highlight w:val="none"/>
        </w:rPr>
      </w:pPr>
      <w:r>
        <w:rPr>
          <w:rFonts w:hint="eastAsia" w:ascii="宋体" w:hAnsi="宋体" w:cs="宋体"/>
          <w:color w:val="auto"/>
          <w:szCs w:val="24"/>
          <w:highlight w:val="none"/>
          <w:lang w:eastAsia="zh-CN"/>
        </w:rPr>
        <w:t>商务技术文件中要求递交的其他相关文件</w:t>
      </w:r>
      <w:r>
        <w:rPr>
          <w:rFonts w:hint="eastAsia" w:ascii="宋体" w:hAnsi="宋体" w:cs="宋体"/>
          <w:color w:val="auto"/>
          <w:szCs w:val="24"/>
          <w:highlight w:val="none"/>
        </w:rPr>
        <w:t>。</w:t>
      </w:r>
    </w:p>
    <w:p w14:paraId="5A8D9976">
      <w:pPr>
        <w:pStyle w:val="13"/>
        <w:ind w:firstLine="566"/>
        <w:rPr>
          <w:rFonts w:hint="eastAsia" w:ascii="宋体" w:hAnsi="宋体" w:eastAsia="宋体" w:cs="宋体"/>
          <w:sz w:val="28"/>
          <w:szCs w:val="28"/>
          <w:highlight w:val="none"/>
        </w:rPr>
      </w:pPr>
    </w:p>
    <w:p w14:paraId="2296D557">
      <w:pPr>
        <w:pStyle w:val="13"/>
        <w:ind w:left="0" w:leftChars="0" w:firstLine="0" w:firstLineChars="0"/>
        <w:rPr>
          <w:rFonts w:hint="eastAsia" w:ascii="宋体" w:hAnsi="宋体" w:eastAsia="宋体" w:cs="宋体"/>
          <w:sz w:val="28"/>
          <w:szCs w:val="28"/>
          <w:highlight w:val="none"/>
        </w:rPr>
      </w:pPr>
    </w:p>
    <w:p w14:paraId="5BA11D06">
      <w:pPr>
        <w:rPr>
          <w:rFonts w:hint="eastAsia" w:ascii="宋体" w:hAnsi="宋体" w:eastAsia="宋体" w:cs="宋体"/>
          <w:sz w:val="28"/>
          <w:szCs w:val="28"/>
          <w:highlight w:val="none"/>
        </w:rPr>
      </w:pPr>
    </w:p>
    <w:p w14:paraId="66DC4C12">
      <w:pPr>
        <w:pStyle w:val="2"/>
        <w:numPr>
          <w:ilvl w:val="0"/>
          <w:numId w:val="0"/>
        </w:numPr>
        <w:ind w:left="615" w:leftChars="0"/>
        <w:rPr>
          <w:rFonts w:hint="eastAsia"/>
        </w:rPr>
      </w:pPr>
    </w:p>
    <w:p w14:paraId="64DDC438">
      <w:pPr>
        <w:snapToGrid w:val="0"/>
        <w:spacing w:before="50" w:after="50"/>
        <w:jc w:val="left"/>
        <w:rPr>
          <w:rFonts w:hint="eastAsia" w:ascii="宋体" w:hAnsi="宋体" w:eastAsia="宋体" w:cs="宋体"/>
          <w:b/>
          <w:bCs/>
          <w:color w:val="000000"/>
          <w:kern w:val="2"/>
          <w:sz w:val="24"/>
          <w:szCs w:val="24"/>
          <w:highlight w:val="none"/>
          <w:lang w:val="zh-CN" w:eastAsia="zh-CN" w:bidi="ar-SA"/>
        </w:rPr>
      </w:pPr>
      <w:bookmarkStart w:id="538" w:name="_Toc10131"/>
    </w:p>
    <w:p w14:paraId="3D80168A">
      <w:pPr>
        <w:snapToGrid w:val="0"/>
        <w:spacing w:before="50" w:after="50"/>
        <w:jc w:val="left"/>
        <w:outlineLvl w:val="0"/>
        <w:rPr>
          <w:rFonts w:hint="eastAsia" w:ascii="宋体" w:hAnsi="宋体" w:eastAsia="宋体" w:cs="宋体"/>
          <w:b/>
          <w:bCs/>
          <w:color w:val="000000"/>
          <w:kern w:val="2"/>
          <w:sz w:val="24"/>
          <w:szCs w:val="24"/>
          <w:highlight w:val="none"/>
          <w:lang w:val="zh-CN" w:eastAsia="zh-CN" w:bidi="ar-SA"/>
        </w:rPr>
      </w:pPr>
      <w:bookmarkStart w:id="539" w:name="_Toc8049"/>
      <w:bookmarkStart w:id="540" w:name="_Toc7286"/>
      <w:r>
        <w:rPr>
          <w:rFonts w:hint="eastAsia" w:ascii="宋体" w:hAnsi="宋体" w:eastAsia="宋体" w:cs="宋体"/>
          <w:b/>
          <w:bCs/>
          <w:color w:val="000000"/>
          <w:kern w:val="2"/>
          <w:sz w:val="24"/>
          <w:szCs w:val="24"/>
          <w:highlight w:val="none"/>
          <w:lang w:val="zh-CN" w:eastAsia="zh-CN" w:bidi="ar-SA"/>
        </w:rPr>
        <w:t>附件</w:t>
      </w:r>
      <w:r>
        <w:rPr>
          <w:rFonts w:hint="eastAsia" w:ascii="宋体" w:hAnsi="宋体" w:cs="宋体"/>
          <w:b/>
          <w:bCs/>
          <w:color w:val="000000"/>
          <w:kern w:val="2"/>
          <w:sz w:val="24"/>
          <w:szCs w:val="24"/>
          <w:highlight w:val="none"/>
          <w:lang w:val="en-US" w:eastAsia="zh-CN" w:bidi="ar-SA"/>
        </w:rPr>
        <w:t>三</w:t>
      </w:r>
      <w:r>
        <w:rPr>
          <w:rFonts w:hint="eastAsia" w:ascii="宋体" w:hAnsi="宋体" w:eastAsia="宋体" w:cs="宋体"/>
          <w:b/>
          <w:bCs/>
          <w:color w:val="000000"/>
          <w:kern w:val="2"/>
          <w:sz w:val="24"/>
          <w:szCs w:val="24"/>
          <w:highlight w:val="none"/>
          <w:lang w:val="zh-CN" w:eastAsia="zh-CN" w:bidi="ar-SA"/>
        </w:rPr>
        <w:t>：</w:t>
      </w:r>
      <w:bookmarkEnd w:id="539"/>
      <w:bookmarkEnd w:id="540"/>
    </w:p>
    <w:p w14:paraId="727E8366">
      <w:pPr>
        <w:spacing w:line="360" w:lineRule="auto"/>
        <w:jc w:val="center"/>
        <w:rPr>
          <w:rFonts w:hint="eastAsia" w:ascii="宋体" w:hAnsi="宋体" w:eastAsia="宋体" w:cs="宋体"/>
          <w:b/>
          <w:bCs/>
          <w:color w:val="auto"/>
          <w:sz w:val="32"/>
          <w:szCs w:val="32"/>
          <w:highlight w:val="none"/>
          <w:u w:val="none"/>
        </w:rPr>
      </w:pPr>
      <w:r>
        <w:rPr>
          <w:rFonts w:hint="eastAsia" w:ascii="宋体" w:hAnsi="宋体" w:eastAsia="宋体" w:cs="宋体"/>
          <w:b/>
          <w:bCs/>
          <w:color w:val="auto"/>
          <w:sz w:val="32"/>
          <w:szCs w:val="32"/>
          <w:highlight w:val="none"/>
          <w:u w:val="none"/>
        </w:rPr>
        <w:t>评分对应表</w:t>
      </w:r>
    </w:p>
    <w:p w14:paraId="7AF222D0">
      <w:pPr>
        <w:snapToGrid w:val="0"/>
        <w:spacing w:before="50"/>
        <w:jc w:val="center"/>
        <w:rPr>
          <w:rFonts w:hint="eastAsia" w:ascii="宋体" w:hAnsi="宋体" w:eastAsia="宋体" w:cs="宋体"/>
          <w:b/>
          <w:sz w:val="32"/>
          <w:szCs w:val="32"/>
          <w:highlight w:val="none"/>
        </w:rPr>
      </w:pPr>
    </w:p>
    <w:p w14:paraId="35F04315">
      <w:pPr>
        <w:spacing w:line="360" w:lineRule="auto"/>
        <w:ind w:firstLine="480" w:firstLineChars="200"/>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项目名称：</w:t>
      </w:r>
    </w:p>
    <w:p w14:paraId="61D0AD23">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lang w:eastAsia="zh-CN"/>
        </w:rPr>
        <w:t>采购编号</w:t>
      </w:r>
      <w:r>
        <w:rPr>
          <w:rFonts w:hint="eastAsia" w:ascii="宋体" w:hAnsi="宋体" w:eastAsia="宋体" w:cs="宋体"/>
          <w:sz w:val="24"/>
          <w:highlight w:val="none"/>
        </w:rPr>
        <w:t>：</w:t>
      </w:r>
    </w:p>
    <w:tbl>
      <w:tblPr>
        <w:tblStyle w:val="30"/>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3888"/>
        <w:gridCol w:w="3060"/>
        <w:gridCol w:w="1977"/>
      </w:tblGrid>
      <w:tr w14:paraId="2C24282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3888" w:type="dxa"/>
            <w:tcBorders>
              <w:top w:val="single" w:color="auto" w:sz="4" w:space="0"/>
              <w:left w:val="single" w:color="auto" w:sz="4" w:space="0"/>
              <w:bottom w:val="single" w:color="auto" w:sz="4" w:space="0"/>
              <w:right w:val="single" w:color="auto" w:sz="4" w:space="0"/>
            </w:tcBorders>
            <w:noWrap w:val="0"/>
            <w:vAlign w:val="center"/>
          </w:tcPr>
          <w:p w14:paraId="52537ED8">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评分项目</w:t>
            </w:r>
          </w:p>
        </w:tc>
        <w:tc>
          <w:tcPr>
            <w:tcW w:w="3060" w:type="dxa"/>
            <w:tcBorders>
              <w:top w:val="single" w:color="auto" w:sz="4" w:space="0"/>
              <w:left w:val="single" w:color="auto" w:sz="4" w:space="0"/>
              <w:bottom w:val="single" w:color="auto" w:sz="4" w:space="0"/>
              <w:right w:val="single" w:color="auto" w:sz="4" w:space="0"/>
            </w:tcBorders>
            <w:noWrap w:val="0"/>
            <w:vAlign w:val="center"/>
          </w:tcPr>
          <w:p w14:paraId="2DD98C99">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投标文件对应资料</w:t>
            </w:r>
          </w:p>
        </w:tc>
        <w:tc>
          <w:tcPr>
            <w:tcW w:w="1977" w:type="dxa"/>
            <w:tcBorders>
              <w:top w:val="single" w:color="auto" w:sz="4" w:space="0"/>
              <w:left w:val="single" w:color="auto" w:sz="4" w:space="0"/>
              <w:bottom w:val="single" w:color="auto" w:sz="4" w:space="0"/>
              <w:right w:val="single" w:color="auto" w:sz="4" w:space="0"/>
            </w:tcBorders>
            <w:noWrap w:val="0"/>
            <w:vAlign w:val="center"/>
          </w:tcPr>
          <w:p w14:paraId="4E33030C">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投标文件页码</w:t>
            </w:r>
          </w:p>
        </w:tc>
      </w:tr>
      <w:tr w14:paraId="7FFA38E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3888" w:type="dxa"/>
            <w:tcBorders>
              <w:top w:val="single" w:color="auto" w:sz="4" w:space="0"/>
              <w:left w:val="single" w:color="auto" w:sz="4" w:space="0"/>
              <w:bottom w:val="single" w:color="auto" w:sz="4" w:space="0"/>
              <w:right w:val="single" w:color="auto" w:sz="4" w:space="0"/>
            </w:tcBorders>
            <w:noWrap w:val="0"/>
            <w:vAlign w:val="center"/>
          </w:tcPr>
          <w:p w14:paraId="3E560720">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对应评分办法及评分标准</w:t>
            </w:r>
          </w:p>
          <w:p w14:paraId="543C9ADC">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（报价除外）</w:t>
            </w:r>
          </w:p>
        </w:tc>
        <w:tc>
          <w:tcPr>
            <w:tcW w:w="3060" w:type="dxa"/>
            <w:tcBorders>
              <w:top w:val="single" w:color="auto" w:sz="4" w:space="0"/>
              <w:left w:val="single" w:color="auto" w:sz="4" w:space="0"/>
              <w:bottom w:val="single" w:color="auto" w:sz="4" w:space="0"/>
              <w:right w:val="single" w:color="auto" w:sz="4" w:space="0"/>
            </w:tcBorders>
            <w:noWrap w:val="0"/>
            <w:vAlign w:val="center"/>
          </w:tcPr>
          <w:p w14:paraId="227B58E6">
            <w:pPr>
              <w:jc w:val="center"/>
              <w:rPr>
                <w:rFonts w:hint="eastAsia" w:ascii="宋体" w:hAnsi="宋体" w:eastAsia="宋体" w:cs="宋体"/>
                <w:sz w:val="24"/>
                <w:szCs w:val="24"/>
                <w:highlight w:val="none"/>
              </w:rPr>
            </w:pPr>
          </w:p>
        </w:tc>
        <w:tc>
          <w:tcPr>
            <w:tcW w:w="1977" w:type="dxa"/>
            <w:tcBorders>
              <w:top w:val="single" w:color="auto" w:sz="4" w:space="0"/>
              <w:left w:val="single" w:color="auto" w:sz="4" w:space="0"/>
              <w:bottom w:val="single" w:color="auto" w:sz="4" w:space="0"/>
              <w:right w:val="single" w:color="auto" w:sz="4" w:space="0"/>
            </w:tcBorders>
            <w:noWrap w:val="0"/>
            <w:vAlign w:val="center"/>
          </w:tcPr>
          <w:p w14:paraId="50459436">
            <w:pPr>
              <w:jc w:val="center"/>
              <w:rPr>
                <w:rFonts w:hint="eastAsia" w:ascii="宋体" w:hAnsi="宋体" w:eastAsia="宋体" w:cs="宋体"/>
                <w:sz w:val="24"/>
                <w:szCs w:val="24"/>
                <w:highlight w:val="none"/>
              </w:rPr>
            </w:pPr>
          </w:p>
        </w:tc>
      </w:tr>
      <w:tr w14:paraId="266B442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3888" w:type="dxa"/>
            <w:tcBorders>
              <w:top w:val="single" w:color="auto" w:sz="4" w:space="0"/>
              <w:left w:val="single" w:color="auto" w:sz="4" w:space="0"/>
              <w:bottom w:val="single" w:color="auto" w:sz="4" w:space="0"/>
              <w:right w:val="single" w:color="auto" w:sz="4" w:space="0"/>
            </w:tcBorders>
            <w:noWrap w:val="0"/>
            <w:vAlign w:val="center"/>
          </w:tcPr>
          <w:p w14:paraId="4A45FE8B">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w:t>
            </w:r>
          </w:p>
        </w:tc>
        <w:tc>
          <w:tcPr>
            <w:tcW w:w="3060" w:type="dxa"/>
            <w:tcBorders>
              <w:top w:val="single" w:color="auto" w:sz="4" w:space="0"/>
              <w:left w:val="single" w:color="auto" w:sz="4" w:space="0"/>
              <w:bottom w:val="single" w:color="auto" w:sz="4" w:space="0"/>
              <w:right w:val="single" w:color="auto" w:sz="4" w:space="0"/>
            </w:tcBorders>
            <w:noWrap w:val="0"/>
            <w:vAlign w:val="center"/>
          </w:tcPr>
          <w:p w14:paraId="566EEA28">
            <w:pPr>
              <w:jc w:val="center"/>
              <w:rPr>
                <w:rFonts w:hint="eastAsia" w:ascii="宋体" w:hAnsi="宋体" w:eastAsia="宋体" w:cs="宋体"/>
                <w:sz w:val="24"/>
                <w:szCs w:val="24"/>
                <w:highlight w:val="none"/>
              </w:rPr>
            </w:pPr>
          </w:p>
        </w:tc>
        <w:tc>
          <w:tcPr>
            <w:tcW w:w="1977" w:type="dxa"/>
            <w:tcBorders>
              <w:top w:val="single" w:color="auto" w:sz="4" w:space="0"/>
              <w:left w:val="single" w:color="auto" w:sz="4" w:space="0"/>
              <w:bottom w:val="single" w:color="auto" w:sz="4" w:space="0"/>
              <w:right w:val="single" w:color="auto" w:sz="4" w:space="0"/>
            </w:tcBorders>
            <w:noWrap w:val="0"/>
            <w:vAlign w:val="center"/>
          </w:tcPr>
          <w:p w14:paraId="1A4F296C">
            <w:pPr>
              <w:jc w:val="center"/>
              <w:rPr>
                <w:rFonts w:hint="eastAsia" w:ascii="宋体" w:hAnsi="宋体" w:eastAsia="宋体" w:cs="宋体"/>
                <w:sz w:val="24"/>
                <w:szCs w:val="24"/>
                <w:highlight w:val="none"/>
              </w:rPr>
            </w:pPr>
          </w:p>
        </w:tc>
      </w:tr>
      <w:tr w14:paraId="4B5282C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3888" w:type="dxa"/>
            <w:tcBorders>
              <w:top w:val="single" w:color="auto" w:sz="4" w:space="0"/>
              <w:left w:val="single" w:color="auto" w:sz="4" w:space="0"/>
              <w:bottom w:val="single" w:color="auto" w:sz="4" w:space="0"/>
              <w:right w:val="single" w:color="auto" w:sz="4" w:space="0"/>
            </w:tcBorders>
            <w:noWrap w:val="0"/>
            <w:vAlign w:val="center"/>
          </w:tcPr>
          <w:p w14:paraId="5FCE8D49">
            <w:pPr>
              <w:jc w:val="center"/>
              <w:rPr>
                <w:rFonts w:hint="eastAsia" w:ascii="宋体" w:hAnsi="宋体" w:eastAsia="宋体" w:cs="宋体"/>
                <w:sz w:val="24"/>
                <w:szCs w:val="24"/>
                <w:highlight w:val="none"/>
              </w:rPr>
            </w:pPr>
          </w:p>
        </w:tc>
        <w:tc>
          <w:tcPr>
            <w:tcW w:w="3060" w:type="dxa"/>
            <w:tcBorders>
              <w:top w:val="single" w:color="auto" w:sz="4" w:space="0"/>
              <w:left w:val="single" w:color="auto" w:sz="4" w:space="0"/>
              <w:bottom w:val="single" w:color="auto" w:sz="4" w:space="0"/>
              <w:right w:val="single" w:color="auto" w:sz="4" w:space="0"/>
            </w:tcBorders>
            <w:noWrap w:val="0"/>
            <w:vAlign w:val="center"/>
          </w:tcPr>
          <w:p w14:paraId="03A55C31">
            <w:pPr>
              <w:jc w:val="center"/>
              <w:rPr>
                <w:rFonts w:hint="eastAsia" w:ascii="宋体" w:hAnsi="宋体" w:eastAsia="宋体" w:cs="宋体"/>
                <w:sz w:val="24"/>
                <w:szCs w:val="24"/>
                <w:highlight w:val="none"/>
              </w:rPr>
            </w:pPr>
          </w:p>
        </w:tc>
        <w:tc>
          <w:tcPr>
            <w:tcW w:w="1977" w:type="dxa"/>
            <w:tcBorders>
              <w:top w:val="single" w:color="auto" w:sz="4" w:space="0"/>
              <w:left w:val="single" w:color="auto" w:sz="4" w:space="0"/>
              <w:bottom w:val="single" w:color="auto" w:sz="4" w:space="0"/>
              <w:right w:val="single" w:color="auto" w:sz="4" w:space="0"/>
            </w:tcBorders>
            <w:noWrap w:val="0"/>
            <w:vAlign w:val="center"/>
          </w:tcPr>
          <w:p w14:paraId="43F86DED">
            <w:pPr>
              <w:jc w:val="center"/>
              <w:rPr>
                <w:rFonts w:hint="eastAsia" w:ascii="宋体" w:hAnsi="宋体" w:eastAsia="宋体" w:cs="宋体"/>
                <w:sz w:val="24"/>
                <w:szCs w:val="24"/>
                <w:highlight w:val="none"/>
              </w:rPr>
            </w:pPr>
          </w:p>
        </w:tc>
      </w:tr>
      <w:tr w14:paraId="37963DF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3888" w:type="dxa"/>
            <w:tcBorders>
              <w:top w:val="single" w:color="auto" w:sz="4" w:space="0"/>
              <w:left w:val="single" w:color="auto" w:sz="4" w:space="0"/>
              <w:bottom w:val="single" w:color="auto" w:sz="4" w:space="0"/>
              <w:right w:val="single" w:color="auto" w:sz="4" w:space="0"/>
            </w:tcBorders>
            <w:noWrap w:val="0"/>
            <w:vAlign w:val="center"/>
          </w:tcPr>
          <w:p w14:paraId="3B1D446B">
            <w:pPr>
              <w:spacing w:line="360" w:lineRule="auto"/>
              <w:ind w:firstLine="480" w:firstLineChars="200"/>
              <w:jc w:val="center"/>
              <w:rPr>
                <w:rFonts w:hint="eastAsia" w:ascii="宋体" w:hAnsi="宋体" w:eastAsia="宋体" w:cs="宋体"/>
                <w:sz w:val="24"/>
                <w:highlight w:val="none"/>
              </w:rPr>
            </w:pPr>
          </w:p>
        </w:tc>
        <w:tc>
          <w:tcPr>
            <w:tcW w:w="3060" w:type="dxa"/>
            <w:tcBorders>
              <w:top w:val="single" w:color="auto" w:sz="4" w:space="0"/>
              <w:left w:val="single" w:color="auto" w:sz="4" w:space="0"/>
              <w:bottom w:val="single" w:color="auto" w:sz="4" w:space="0"/>
              <w:right w:val="single" w:color="auto" w:sz="4" w:space="0"/>
            </w:tcBorders>
            <w:noWrap w:val="0"/>
            <w:vAlign w:val="center"/>
          </w:tcPr>
          <w:p w14:paraId="5A30E4C1">
            <w:pPr>
              <w:spacing w:line="360" w:lineRule="auto"/>
              <w:ind w:firstLine="480" w:firstLineChars="200"/>
              <w:jc w:val="center"/>
              <w:rPr>
                <w:rFonts w:hint="eastAsia" w:ascii="宋体" w:hAnsi="宋体" w:eastAsia="宋体" w:cs="宋体"/>
                <w:sz w:val="24"/>
                <w:highlight w:val="none"/>
              </w:rPr>
            </w:pPr>
          </w:p>
        </w:tc>
        <w:tc>
          <w:tcPr>
            <w:tcW w:w="1977" w:type="dxa"/>
            <w:tcBorders>
              <w:top w:val="single" w:color="auto" w:sz="4" w:space="0"/>
              <w:left w:val="single" w:color="auto" w:sz="4" w:space="0"/>
              <w:bottom w:val="single" w:color="auto" w:sz="4" w:space="0"/>
              <w:right w:val="single" w:color="auto" w:sz="4" w:space="0"/>
            </w:tcBorders>
            <w:noWrap w:val="0"/>
            <w:vAlign w:val="center"/>
          </w:tcPr>
          <w:p w14:paraId="34A8BC6B">
            <w:pPr>
              <w:spacing w:line="360" w:lineRule="auto"/>
              <w:ind w:firstLine="480" w:firstLineChars="200"/>
              <w:jc w:val="center"/>
              <w:rPr>
                <w:rFonts w:hint="eastAsia" w:ascii="宋体" w:hAnsi="宋体" w:eastAsia="宋体" w:cs="宋体"/>
                <w:sz w:val="24"/>
                <w:highlight w:val="none"/>
              </w:rPr>
            </w:pPr>
          </w:p>
        </w:tc>
      </w:tr>
      <w:tr w14:paraId="5D559BB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3888" w:type="dxa"/>
            <w:tcBorders>
              <w:top w:val="single" w:color="auto" w:sz="4" w:space="0"/>
              <w:left w:val="single" w:color="auto" w:sz="4" w:space="0"/>
              <w:bottom w:val="single" w:color="auto" w:sz="4" w:space="0"/>
              <w:right w:val="single" w:color="auto" w:sz="4" w:space="0"/>
            </w:tcBorders>
            <w:noWrap w:val="0"/>
            <w:vAlign w:val="center"/>
          </w:tcPr>
          <w:p w14:paraId="7EA03577">
            <w:pPr>
              <w:spacing w:line="360" w:lineRule="auto"/>
              <w:ind w:firstLine="480" w:firstLineChars="200"/>
              <w:jc w:val="center"/>
              <w:rPr>
                <w:rFonts w:hint="eastAsia" w:ascii="宋体" w:hAnsi="宋体" w:eastAsia="宋体" w:cs="宋体"/>
                <w:sz w:val="24"/>
                <w:highlight w:val="none"/>
              </w:rPr>
            </w:pPr>
          </w:p>
        </w:tc>
        <w:tc>
          <w:tcPr>
            <w:tcW w:w="3060" w:type="dxa"/>
            <w:tcBorders>
              <w:top w:val="single" w:color="auto" w:sz="4" w:space="0"/>
              <w:left w:val="single" w:color="auto" w:sz="4" w:space="0"/>
              <w:bottom w:val="single" w:color="auto" w:sz="4" w:space="0"/>
              <w:right w:val="single" w:color="auto" w:sz="4" w:space="0"/>
            </w:tcBorders>
            <w:noWrap w:val="0"/>
            <w:vAlign w:val="center"/>
          </w:tcPr>
          <w:p w14:paraId="69DB41A5">
            <w:pPr>
              <w:spacing w:line="360" w:lineRule="auto"/>
              <w:ind w:firstLine="480" w:firstLineChars="200"/>
              <w:jc w:val="center"/>
              <w:rPr>
                <w:rFonts w:hint="eastAsia" w:ascii="宋体" w:hAnsi="宋体" w:eastAsia="宋体" w:cs="宋体"/>
                <w:sz w:val="24"/>
                <w:highlight w:val="none"/>
              </w:rPr>
            </w:pPr>
          </w:p>
        </w:tc>
        <w:tc>
          <w:tcPr>
            <w:tcW w:w="1977" w:type="dxa"/>
            <w:tcBorders>
              <w:top w:val="single" w:color="auto" w:sz="4" w:space="0"/>
              <w:left w:val="single" w:color="auto" w:sz="4" w:space="0"/>
              <w:bottom w:val="single" w:color="auto" w:sz="4" w:space="0"/>
              <w:right w:val="single" w:color="auto" w:sz="4" w:space="0"/>
            </w:tcBorders>
            <w:noWrap w:val="0"/>
            <w:vAlign w:val="center"/>
          </w:tcPr>
          <w:p w14:paraId="71C2456C">
            <w:pPr>
              <w:spacing w:line="360" w:lineRule="auto"/>
              <w:ind w:firstLine="480" w:firstLineChars="200"/>
              <w:jc w:val="center"/>
              <w:rPr>
                <w:rFonts w:hint="eastAsia" w:ascii="宋体" w:hAnsi="宋体" w:eastAsia="宋体" w:cs="宋体"/>
                <w:sz w:val="24"/>
                <w:highlight w:val="none"/>
              </w:rPr>
            </w:pPr>
          </w:p>
        </w:tc>
      </w:tr>
      <w:tr w14:paraId="2F6F81D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3888" w:type="dxa"/>
            <w:tcBorders>
              <w:top w:val="single" w:color="auto" w:sz="4" w:space="0"/>
              <w:left w:val="single" w:color="auto" w:sz="4" w:space="0"/>
              <w:bottom w:val="single" w:color="auto" w:sz="4" w:space="0"/>
              <w:right w:val="single" w:color="auto" w:sz="4" w:space="0"/>
            </w:tcBorders>
            <w:noWrap w:val="0"/>
            <w:vAlign w:val="center"/>
          </w:tcPr>
          <w:p w14:paraId="0C4E9907">
            <w:pPr>
              <w:spacing w:line="360" w:lineRule="auto"/>
              <w:ind w:firstLine="480" w:firstLineChars="200"/>
              <w:jc w:val="center"/>
              <w:rPr>
                <w:rFonts w:hint="eastAsia" w:ascii="宋体" w:hAnsi="宋体" w:eastAsia="宋体" w:cs="宋体"/>
                <w:sz w:val="24"/>
                <w:highlight w:val="none"/>
              </w:rPr>
            </w:pPr>
          </w:p>
        </w:tc>
        <w:tc>
          <w:tcPr>
            <w:tcW w:w="3060" w:type="dxa"/>
            <w:tcBorders>
              <w:top w:val="single" w:color="auto" w:sz="4" w:space="0"/>
              <w:left w:val="single" w:color="auto" w:sz="4" w:space="0"/>
              <w:bottom w:val="single" w:color="auto" w:sz="4" w:space="0"/>
              <w:right w:val="single" w:color="auto" w:sz="4" w:space="0"/>
            </w:tcBorders>
            <w:noWrap w:val="0"/>
            <w:vAlign w:val="center"/>
          </w:tcPr>
          <w:p w14:paraId="0B63D5D1">
            <w:pPr>
              <w:spacing w:line="360" w:lineRule="auto"/>
              <w:ind w:firstLine="480" w:firstLineChars="200"/>
              <w:jc w:val="center"/>
              <w:rPr>
                <w:rFonts w:hint="eastAsia" w:ascii="宋体" w:hAnsi="宋体" w:eastAsia="宋体" w:cs="宋体"/>
                <w:sz w:val="24"/>
                <w:highlight w:val="none"/>
              </w:rPr>
            </w:pPr>
          </w:p>
        </w:tc>
        <w:tc>
          <w:tcPr>
            <w:tcW w:w="1977" w:type="dxa"/>
            <w:tcBorders>
              <w:top w:val="single" w:color="auto" w:sz="4" w:space="0"/>
              <w:left w:val="single" w:color="auto" w:sz="4" w:space="0"/>
              <w:bottom w:val="single" w:color="auto" w:sz="4" w:space="0"/>
              <w:right w:val="single" w:color="auto" w:sz="4" w:space="0"/>
            </w:tcBorders>
            <w:noWrap w:val="0"/>
            <w:vAlign w:val="center"/>
          </w:tcPr>
          <w:p w14:paraId="39F8E73B">
            <w:pPr>
              <w:spacing w:line="360" w:lineRule="auto"/>
              <w:ind w:firstLine="480" w:firstLineChars="200"/>
              <w:jc w:val="center"/>
              <w:rPr>
                <w:rFonts w:hint="eastAsia" w:ascii="宋体" w:hAnsi="宋体" w:eastAsia="宋体" w:cs="宋体"/>
                <w:sz w:val="24"/>
                <w:highlight w:val="none"/>
              </w:rPr>
            </w:pPr>
          </w:p>
        </w:tc>
      </w:tr>
      <w:tr w14:paraId="248298E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3888" w:type="dxa"/>
            <w:tcBorders>
              <w:top w:val="single" w:color="auto" w:sz="4" w:space="0"/>
              <w:left w:val="single" w:color="auto" w:sz="4" w:space="0"/>
              <w:bottom w:val="single" w:color="auto" w:sz="4" w:space="0"/>
              <w:right w:val="single" w:color="auto" w:sz="4" w:space="0"/>
            </w:tcBorders>
            <w:noWrap w:val="0"/>
            <w:vAlign w:val="center"/>
          </w:tcPr>
          <w:p w14:paraId="539D3476">
            <w:pPr>
              <w:spacing w:line="360" w:lineRule="auto"/>
              <w:ind w:firstLine="480" w:firstLineChars="200"/>
              <w:jc w:val="center"/>
              <w:rPr>
                <w:rFonts w:hint="eastAsia" w:ascii="宋体" w:hAnsi="宋体" w:eastAsia="宋体" w:cs="宋体"/>
                <w:sz w:val="24"/>
                <w:highlight w:val="none"/>
              </w:rPr>
            </w:pPr>
          </w:p>
        </w:tc>
        <w:tc>
          <w:tcPr>
            <w:tcW w:w="3060" w:type="dxa"/>
            <w:tcBorders>
              <w:top w:val="single" w:color="auto" w:sz="4" w:space="0"/>
              <w:left w:val="single" w:color="auto" w:sz="4" w:space="0"/>
              <w:bottom w:val="single" w:color="auto" w:sz="4" w:space="0"/>
              <w:right w:val="single" w:color="auto" w:sz="4" w:space="0"/>
            </w:tcBorders>
            <w:noWrap w:val="0"/>
            <w:vAlign w:val="center"/>
          </w:tcPr>
          <w:p w14:paraId="3B35D9A1">
            <w:pPr>
              <w:spacing w:line="360" w:lineRule="auto"/>
              <w:ind w:firstLine="480" w:firstLineChars="200"/>
              <w:jc w:val="center"/>
              <w:rPr>
                <w:rFonts w:hint="eastAsia" w:ascii="宋体" w:hAnsi="宋体" w:eastAsia="宋体" w:cs="宋体"/>
                <w:sz w:val="24"/>
                <w:highlight w:val="none"/>
              </w:rPr>
            </w:pPr>
          </w:p>
        </w:tc>
        <w:tc>
          <w:tcPr>
            <w:tcW w:w="1977" w:type="dxa"/>
            <w:tcBorders>
              <w:top w:val="single" w:color="auto" w:sz="4" w:space="0"/>
              <w:left w:val="single" w:color="auto" w:sz="4" w:space="0"/>
              <w:bottom w:val="single" w:color="auto" w:sz="4" w:space="0"/>
              <w:right w:val="single" w:color="auto" w:sz="4" w:space="0"/>
            </w:tcBorders>
            <w:noWrap w:val="0"/>
            <w:vAlign w:val="center"/>
          </w:tcPr>
          <w:p w14:paraId="2DF50040">
            <w:pPr>
              <w:spacing w:line="360" w:lineRule="auto"/>
              <w:ind w:firstLine="480" w:firstLineChars="200"/>
              <w:jc w:val="center"/>
              <w:rPr>
                <w:rFonts w:hint="eastAsia" w:ascii="宋体" w:hAnsi="宋体" w:eastAsia="宋体" w:cs="宋体"/>
                <w:sz w:val="24"/>
                <w:highlight w:val="none"/>
              </w:rPr>
            </w:pPr>
          </w:p>
        </w:tc>
      </w:tr>
      <w:tr w14:paraId="3FB477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3888" w:type="dxa"/>
            <w:tcBorders>
              <w:top w:val="single" w:color="auto" w:sz="4" w:space="0"/>
              <w:left w:val="single" w:color="auto" w:sz="4" w:space="0"/>
              <w:bottom w:val="single" w:color="auto" w:sz="4" w:space="0"/>
              <w:right w:val="single" w:color="auto" w:sz="4" w:space="0"/>
            </w:tcBorders>
            <w:noWrap w:val="0"/>
            <w:vAlign w:val="center"/>
          </w:tcPr>
          <w:p w14:paraId="2F4836F3">
            <w:pPr>
              <w:spacing w:line="360" w:lineRule="auto"/>
              <w:ind w:firstLine="480" w:firstLineChars="200"/>
              <w:jc w:val="center"/>
              <w:rPr>
                <w:rFonts w:hint="eastAsia" w:ascii="宋体" w:hAnsi="宋体" w:eastAsia="宋体" w:cs="宋体"/>
                <w:sz w:val="24"/>
                <w:highlight w:val="none"/>
              </w:rPr>
            </w:pPr>
          </w:p>
        </w:tc>
        <w:tc>
          <w:tcPr>
            <w:tcW w:w="3060" w:type="dxa"/>
            <w:tcBorders>
              <w:top w:val="single" w:color="auto" w:sz="4" w:space="0"/>
              <w:left w:val="single" w:color="auto" w:sz="4" w:space="0"/>
              <w:bottom w:val="single" w:color="auto" w:sz="4" w:space="0"/>
              <w:right w:val="single" w:color="auto" w:sz="4" w:space="0"/>
            </w:tcBorders>
            <w:noWrap w:val="0"/>
            <w:vAlign w:val="center"/>
          </w:tcPr>
          <w:p w14:paraId="71529750">
            <w:pPr>
              <w:spacing w:line="360" w:lineRule="auto"/>
              <w:ind w:firstLine="480" w:firstLineChars="200"/>
              <w:jc w:val="center"/>
              <w:rPr>
                <w:rFonts w:hint="eastAsia" w:ascii="宋体" w:hAnsi="宋体" w:eastAsia="宋体" w:cs="宋体"/>
                <w:sz w:val="24"/>
                <w:highlight w:val="none"/>
              </w:rPr>
            </w:pPr>
          </w:p>
        </w:tc>
        <w:tc>
          <w:tcPr>
            <w:tcW w:w="1977" w:type="dxa"/>
            <w:tcBorders>
              <w:top w:val="single" w:color="auto" w:sz="4" w:space="0"/>
              <w:left w:val="single" w:color="auto" w:sz="4" w:space="0"/>
              <w:bottom w:val="single" w:color="auto" w:sz="4" w:space="0"/>
              <w:right w:val="single" w:color="auto" w:sz="4" w:space="0"/>
            </w:tcBorders>
            <w:noWrap w:val="0"/>
            <w:vAlign w:val="center"/>
          </w:tcPr>
          <w:p w14:paraId="3983180A">
            <w:pPr>
              <w:spacing w:line="360" w:lineRule="auto"/>
              <w:ind w:firstLine="480" w:firstLineChars="200"/>
              <w:jc w:val="center"/>
              <w:rPr>
                <w:rFonts w:hint="eastAsia" w:ascii="宋体" w:hAnsi="宋体" w:eastAsia="宋体" w:cs="宋体"/>
                <w:sz w:val="24"/>
                <w:highlight w:val="none"/>
              </w:rPr>
            </w:pPr>
          </w:p>
        </w:tc>
      </w:tr>
      <w:tr w14:paraId="7F4D527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3888" w:type="dxa"/>
            <w:tcBorders>
              <w:top w:val="single" w:color="auto" w:sz="4" w:space="0"/>
              <w:left w:val="single" w:color="auto" w:sz="4" w:space="0"/>
              <w:bottom w:val="single" w:color="auto" w:sz="4" w:space="0"/>
              <w:right w:val="single" w:color="auto" w:sz="4" w:space="0"/>
            </w:tcBorders>
            <w:noWrap w:val="0"/>
            <w:vAlign w:val="center"/>
          </w:tcPr>
          <w:p w14:paraId="20F461B6">
            <w:pPr>
              <w:spacing w:line="360" w:lineRule="auto"/>
              <w:ind w:firstLine="480" w:firstLineChars="200"/>
              <w:jc w:val="center"/>
              <w:rPr>
                <w:rFonts w:hint="eastAsia" w:ascii="宋体" w:hAnsi="宋体" w:eastAsia="宋体" w:cs="宋体"/>
                <w:sz w:val="24"/>
                <w:highlight w:val="none"/>
              </w:rPr>
            </w:pPr>
          </w:p>
        </w:tc>
        <w:tc>
          <w:tcPr>
            <w:tcW w:w="3060" w:type="dxa"/>
            <w:tcBorders>
              <w:top w:val="single" w:color="auto" w:sz="4" w:space="0"/>
              <w:left w:val="single" w:color="auto" w:sz="4" w:space="0"/>
              <w:bottom w:val="single" w:color="auto" w:sz="4" w:space="0"/>
              <w:right w:val="single" w:color="auto" w:sz="4" w:space="0"/>
            </w:tcBorders>
            <w:noWrap w:val="0"/>
            <w:vAlign w:val="center"/>
          </w:tcPr>
          <w:p w14:paraId="26045873">
            <w:pPr>
              <w:spacing w:line="360" w:lineRule="auto"/>
              <w:ind w:firstLine="480" w:firstLineChars="200"/>
              <w:jc w:val="center"/>
              <w:rPr>
                <w:rFonts w:hint="eastAsia" w:ascii="宋体" w:hAnsi="宋体" w:eastAsia="宋体" w:cs="宋体"/>
                <w:sz w:val="24"/>
                <w:highlight w:val="none"/>
              </w:rPr>
            </w:pPr>
          </w:p>
        </w:tc>
        <w:tc>
          <w:tcPr>
            <w:tcW w:w="1977" w:type="dxa"/>
            <w:tcBorders>
              <w:top w:val="single" w:color="auto" w:sz="4" w:space="0"/>
              <w:left w:val="single" w:color="auto" w:sz="4" w:space="0"/>
              <w:bottom w:val="single" w:color="auto" w:sz="4" w:space="0"/>
              <w:right w:val="single" w:color="auto" w:sz="4" w:space="0"/>
            </w:tcBorders>
            <w:noWrap w:val="0"/>
            <w:vAlign w:val="center"/>
          </w:tcPr>
          <w:p w14:paraId="0D6ABC44">
            <w:pPr>
              <w:spacing w:line="360" w:lineRule="auto"/>
              <w:ind w:firstLine="480" w:firstLineChars="200"/>
              <w:jc w:val="center"/>
              <w:rPr>
                <w:rFonts w:hint="eastAsia" w:ascii="宋体" w:hAnsi="宋体" w:eastAsia="宋体" w:cs="宋体"/>
                <w:sz w:val="24"/>
                <w:highlight w:val="none"/>
              </w:rPr>
            </w:pPr>
          </w:p>
        </w:tc>
      </w:tr>
    </w:tbl>
    <w:p w14:paraId="040AB944">
      <w:pPr>
        <w:spacing w:line="360" w:lineRule="auto"/>
        <w:rPr>
          <w:rFonts w:hint="eastAsia" w:ascii="宋体" w:hAnsi="宋体" w:eastAsia="宋体" w:cs="宋体"/>
          <w:sz w:val="24"/>
          <w:highlight w:val="none"/>
        </w:rPr>
      </w:pPr>
    </w:p>
    <w:p w14:paraId="2809FCCA">
      <w:pPr>
        <w:spacing w:line="360" w:lineRule="auto"/>
        <w:ind w:leftChars="1800" w:firstLine="480" w:firstLineChars="200"/>
        <w:rPr>
          <w:rFonts w:hint="eastAsia" w:ascii="宋体" w:hAnsi="宋体" w:eastAsia="宋体" w:cs="宋体"/>
          <w:sz w:val="24"/>
          <w:highlight w:val="none"/>
        </w:rPr>
      </w:pPr>
      <w:r>
        <w:rPr>
          <w:rFonts w:hint="eastAsia" w:ascii="宋体" w:hAnsi="宋体" w:eastAsia="宋体" w:cs="宋体"/>
          <w:sz w:val="24"/>
          <w:highlight w:val="none"/>
        </w:rPr>
        <w:t xml:space="preserve">法定代表人签名（或签名章）：                       </w:t>
      </w:r>
    </w:p>
    <w:p w14:paraId="14902AF8">
      <w:pPr>
        <w:spacing w:line="360" w:lineRule="auto"/>
        <w:ind w:leftChars="1800" w:firstLine="480" w:firstLineChars="200"/>
        <w:rPr>
          <w:rFonts w:hint="eastAsia" w:ascii="宋体" w:hAnsi="宋体" w:eastAsia="宋体" w:cs="宋体"/>
          <w:sz w:val="24"/>
          <w:highlight w:val="none"/>
        </w:rPr>
      </w:pPr>
      <w:r>
        <w:rPr>
          <w:rFonts w:hint="eastAsia" w:ascii="宋体" w:hAnsi="宋体" w:eastAsia="宋体" w:cs="宋体"/>
          <w:sz w:val="24"/>
          <w:highlight w:val="none"/>
        </w:rPr>
        <w:t>日 期：</w:t>
      </w:r>
    </w:p>
    <w:p w14:paraId="2EC966F5">
      <w:pPr>
        <w:spacing w:line="360" w:lineRule="auto"/>
        <w:ind w:leftChars="1800" w:firstLine="480" w:firstLineChars="200"/>
        <w:rPr>
          <w:rFonts w:hint="eastAsia" w:ascii="宋体" w:hAnsi="宋体" w:eastAsia="宋体" w:cs="宋体"/>
          <w:sz w:val="24"/>
          <w:highlight w:val="none"/>
        </w:rPr>
      </w:pPr>
      <w:r>
        <w:rPr>
          <w:rFonts w:hint="eastAsia" w:ascii="宋体" w:hAnsi="宋体" w:eastAsia="宋体" w:cs="宋体"/>
          <w:sz w:val="24"/>
          <w:highlight w:val="none"/>
        </w:rPr>
        <w:t>投标人全称（公章）：</w:t>
      </w:r>
    </w:p>
    <w:p w14:paraId="7441FA77">
      <w:pPr>
        <w:pStyle w:val="4"/>
        <w:numPr>
          <w:ilvl w:val="0"/>
          <w:numId w:val="0"/>
        </w:numPr>
        <w:outlineLvl w:val="0"/>
        <w:rPr>
          <w:rFonts w:hint="eastAsia" w:ascii="宋体" w:hAnsi="宋体" w:eastAsia="宋体" w:cs="宋体"/>
          <w:b/>
          <w:bCs/>
          <w:color w:val="000000"/>
          <w:sz w:val="24"/>
          <w:szCs w:val="24"/>
          <w:highlight w:val="none"/>
        </w:rPr>
      </w:pPr>
      <w:r>
        <w:rPr>
          <w:rFonts w:hint="eastAsia" w:ascii="宋体" w:hAnsi="宋体" w:eastAsia="宋体" w:cs="宋体"/>
          <w:sz w:val="30"/>
          <w:szCs w:val="30"/>
          <w:highlight w:val="none"/>
        </w:rPr>
        <w:br w:type="page"/>
      </w:r>
      <w:bookmarkStart w:id="541" w:name="_Toc7013"/>
      <w:bookmarkStart w:id="542" w:name="_Toc26882"/>
      <w:r>
        <w:rPr>
          <w:rFonts w:hint="eastAsia" w:ascii="宋体" w:hAnsi="宋体" w:eastAsia="宋体" w:cs="宋体"/>
          <w:b/>
          <w:bCs/>
          <w:color w:val="000000"/>
          <w:sz w:val="24"/>
          <w:szCs w:val="24"/>
          <w:highlight w:val="none"/>
        </w:rPr>
        <w:t>附件</w:t>
      </w:r>
      <w:r>
        <w:rPr>
          <w:rFonts w:hint="eastAsia" w:hAnsi="宋体" w:cs="宋体"/>
          <w:b/>
          <w:bCs/>
          <w:color w:val="000000"/>
          <w:sz w:val="24"/>
          <w:szCs w:val="24"/>
          <w:highlight w:val="none"/>
          <w:lang w:val="en-US" w:eastAsia="zh-CN"/>
        </w:rPr>
        <w:t>四</w:t>
      </w:r>
      <w:r>
        <w:rPr>
          <w:rFonts w:hint="eastAsia" w:ascii="宋体" w:hAnsi="宋体" w:eastAsia="宋体" w:cs="宋体"/>
          <w:b/>
          <w:bCs/>
          <w:color w:val="000000"/>
          <w:sz w:val="24"/>
          <w:szCs w:val="24"/>
          <w:highlight w:val="none"/>
          <w:lang w:val="en-US"/>
        </w:rPr>
        <w:t>：</w:t>
      </w:r>
      <w:bookmarkEnd w:id="541"/>
      <w:bookmarkEnd w:id="542"/>
    </w:p>
    <w:p w14:paraId="466CB3FA">
      <w:pPr>
        <w:spacing w:line="360" w:lineRule="auto"/>
        <w:jc w:val="center"/>
        <w:rPr>
          <w:rFonts w:hint="eastAsia" w:ascii="宋体" w:hAnsi="宋体" w:eastAsia="宋体" w:cs="宋体"/>
          <w:b/>
          <w:bCs/>
          <w:color w:val="auto"/>
          <w:sz w:val="32"/>
          <w:szCs w:val="32"/>
          <w:highlight w:val="none"/>
          <w:u w:val="none"/>
        </w:rPr>
      </w:pPr>
      <w:r>
        <w:rPr>
          <w:rFonts w:hint="eastAsia" w:ascii="宋体" w:hAnsi="宋体" w:eastAsia="宋体" w:cs="宋体"/>
          <w:b/>
          <w:bCs/>
          <w:color w:val="auto"/>
          <w:sz w:val="32"/>
          <w:szCs w:val="32"/>
          <w:highlight w:val="none"/>
          <w:u w:val="none"/>
        </w:rPr>
        <w:t>投标人</w:t>
      </w:r>
      <w:r>
        <w:rPr>
          <w:rFonts w:hint="eastAsia" w:ascii="宋体" w:hAnsi="宋体" w:eastAsia="宋体" w:cs="宋体"/>
          <w:b/>
          <w:bCs/>
          <w:color w:val="auto"/>
          <w:sz w:val="32"/>
          <w:szCs w:val="32"/>
          <w:highlight w:val="none"/>
          <w:u w:val="none"/>
          <w:lang w:eastAsia="zh-CN"/>
        </w:rPr>
        <w:t>商务技术</w:t>
      </w:r>
      <w:r>
        <w:rPr>
          <w:rFonts w:hint="eastAsia" w:ascii="宋体" w:hAnsi="宋体" w:eastAsia="宋体" w:cs="宋体"/>
          <w:b/>
          <w:bCs/>
          <w:color w:val="auto"/>
          <w:sz w:val="32"/>
          <w:szCs w:val="32"/>
          <w:highlight w:val="none"/>
          <w:u w:val="none"/>
        </w:rPr>
        <w:t>文件中资信</w:t>
      </w:r>
      <w:r>
        <w:rPr>
          <w:rFonts w:hint="eastAsia" w:ascii="宋体" w:hAnsi="宋体" w:eastAsia="宋体" w:cs="宋体"/>
          <w:b/>
          <w:bCs/>
          <w:color w:val="auto"/>
          <w:sz w:val="32"/>
          <w:szCs w:val="32"/>
          <w:highlight w:val="none"/>
          <w:u w:val="none"/>
          <w:lang w:val="en-US"/>
        </w:rPr>
        <w:t>分</w:t>
      </w:r>
      <w:r>
        <w:rPr>
          <w:rFonts w:hint="eastAsia" w:ascii="宋体" w:hAnsi="宋体" w:eastAsia="宋体" w:cs="宋体"/>
          <w:b/>
          <w:bCs/>
          <w:color w:val="auto"/>
          <w:sz w:val="32"/>
          <w:szCs w:val="32"/>
          <w:highlight w:val="none"/>
          <w:u w:val="none"/>
        </w:rPr>
        <w:t>自评表</w:t>
      </w:r>
      <w:bookmarkEnd w:id="538"/>
    </w:p>
    <w:p w14:paraId="367B9C9A">
      <w:pPr>
        <w:snapToGrid w:val="0"/>
        <w:spacing w:before="50"/>
        <w:jc w:val="center"/>
        <w:rPr>
          <w:rFonts w:hint="eastAsia" w:ascii="宋体" w:hAnsi="宋体" w:eastAsia="宋体" w:cs="宋体"/>
          <w:b/>
          <w:sz w:val="32"/>
          <w:szCs w:val="32"/>
          <w:highlight w:val="none"/>
        </w:rPr>
      </w:pPr>
    </w:p>
    <w:p w14:paraId="65CC6538">
      <w:pPr>
        <w:spacing w:line="360" w:lineRule="auto"/>
        <w:ind w:firstLine="480" w:firstLineChars="200"/>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项目名称：</w:t>
      </w:r>
    </w:p>
    <w:p w14:paraId="45F3187C">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lang w:eastAsia="zh-CN"/>
        </w:rPr>
        <w:t>采购编号</w:t>
      </w:r>
      <w:r>
        <w:rPr>
          <w:rFonts w:hint="eastAsia" w:ascii="宋体" w:hAnsi="宋体" w:eastAsia="宋体" w:cs="宋体"/>
          <w:sz w:val="24"/>
          <w:highlight w:val="none"/>
        </w:rPr>
        <w:t>：</w:t>
      </w:r>
    </w:p>
    <w:tbl>
      <w:tblPr>
        <w:tblStyle w:val="30"/>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82"/>
        <w:gridCol w:w="2387"/>
        <w:gridCol w:w="1462"/>
        <w:gridCol w:w="2415"/>
        <w:gridCol w:w="1746"/>
      </w:tblGrid>
      <w:tr w14:paraId="797A546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noWrap w:val="0"/>
            <w:vAlign w:val="center"/>
          </w:tcPr>
          <w:p w14:paraId="0CA00734">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序号</w:t>
            </w:r>
          </w:p>
        </w:tc>
        <w:tc>
          <w:tcPr>
            <w:tcW w:w="2387" w:type="dxa"/>
            <w:noWrap w:val="0"/>
            <w:vAlign w:val="center"/>
          </w:tcPr>
          <w:p w14:paraId="2C6BB08E">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资信分内容</w:t>
            </w:r>
          </w:p>
        </w:tc>
        <w:tc>
          <w:tcPr>
            <w:tcW w:w="1462" w:type="dxa"/>
            <w:noWrap w:val="0"/>
            <w:vAlign w:val="center"/>
          </w:tcPr>
          <w:p w14:paraId="2222F35C">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自评得分</w:t>
            </w:r>
          </w:p>
        </w:tc>
        <w:tc>
          <w:tcPr>
            <w:tcW w:w="2415" w:type="dxa"/>
            <w:tcBorders>
              <w:right w:val="single" w:color="auto" w:sz="4" w:space="0"/>
            </w:tcBorders>
            <w:noWrap w:val="0"/>
            <w:vAlign w:val="center"/>
          </w:tcPr>
          <w:p w14:paraId="0E8D179B">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投标文件对应资料</w:t>
            </w:r>
          </w:p>
        </w:tc>
        <w:tc>
          <w:tcPr>
            <w:tcW w:w="1746" w:type="dxa"/>
            <w:tcBorders>
              <w:left w:val="single" w:color="auto" w:sz="4" w:space="0"/>
            </w:tcBorders>
            <w:noWrap w:val="0"/>
            <w:vAlign w:val="center"/>
          </w:tcPr>
          <w:p w14:paraId="26F232BB">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投标文件页码</w:t>
            </w:r>
          </w:p>
        </w:tc>
      </w:tr>
      <w:tr w14:paraId="76879C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noWrap w:val="0"/>
            <w:vAlign w:val="center"/>
          </w:tcPr>
          <w:p w14:paraId="48B793A3">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1</w:t>
            </w:r>
          </w:p>
        </w:tc>
        <w:tc>
          <w:tcPr>
            <w:tcW w:w="2387" w:type="dxa"/>
            <w:noWrap w:val="0"/>
            <w:vAlign w:val="top"/>
          </w:tcPr>
          <w:p w14:paraId="3BEA9F85">
            <w:pPr>
              <w:jc w:val="center"/>
              <w:rPr>
                <w:rFonts w:hint="eastAsia" w:ascii="宋体" w:hAnsi="宋体" w:eastAsia="宋体" w:cs="宋体"/>
                <w:sz w:val="24"/>
                <w:szCs w:val="24"/>
                <w:highlight w:val="none"/>
              </w:rPr>
            </w:pPr>
          </w:p>
        </w:tc>
        <w:tc>
          <w:tcPr>
            <w:tcW w:w="1462" w:type="dxa"/>
            <w:noWrap w:val="0"/>
            <w:vAlign w:val="top"/>
          </w:tcPr>
          <w:p w14:paraId="1F75273E">
            <w:pPr>
              <w:jc w:val="center"/>
              <w:rPr>
                <w:rFonts w:hint="eastAsia" w:ascii="宋体" w:hAnsi="宋体" w:eastAsia="宋体" w:cs="宋体"/>
                <w:sz w:val="24"/>
                <w:szCs w:val="24"/>
                <w:highlight w:val="none"/>
              </w:rPr>
            </w:pPr>
          </w:p>
        </w:tc>
        <w:tc>
          <w:tcPr>
            <w:tcW w:w="2415" w:type="dxa"/>
            <w:tcBorders>
              <w:right w:val="single" w:color="auto" w:sz="4" w:space="0"/>
            </w:tcBorders>
            <w:noWrap w:val="0"/>
            <w:vAlign w:val="top"/>
          </w:tcPr>
          <w:p w14:paraId="5E3719DA">
            <w:pPr>
              <w:jc w:val="center"/>
              <w:rPr>
                <w:rFonts w:hint="eastAsia" w:ascii="宋体" w:hAnsi="宋体" w:eastAsia="宋体" w:cs="宋体"/>
                <w:sz w:val="24"/>
                <w:szCs w:val="24"/>
                <w:highlight w:val="none"/>
              </w:rPr>
            </w:pPr>
          </w:p>
        </w:tc>
        <w:tc>
          <w:tcPr>
            <w:tcW w:w="1746" w:type="dxa"/>
            <w:tcBorders>
              <w:left w:val="single" w:color="auto" w:sz="4" w:space="0"/>
            </w:tcBorders>
            <w:noWrap w:val="0"/>
            <w:vAlign w:val="top"/>
          </w:tcPr>
          <w:p w14:paraId="1FA4FF5E">
            <w:pPr>
              <w:jc w:val="center"/>
              <w:rPr>
                <w:rFonts w:hint="eastAsia" w:ascii="宋体" w:hAnsi="宋体" w:eastAsia="宋体" w:cs="宋体"/>
                <w:sz w:val="24"/>
                <w:szCs w:val="24"/>
                <w:highlight w:val="none"/>
              </w:rPr>
            </w:pPr>
          </w:p>
        </w:tc>
      </w:tr>
      <w:tr w14:paraId="311F67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noWrap w:val="0"/>
            <w:vAlign w:val="center"/>
          </w:tcPr>
          <w:p w14:paraId="7AA0FB02">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2</w:t>
            </w:r>
          </w:p>
        </w:tc>
        <w:tc>
          <w:tcPr>
            <w:tcW w:w="2387" w:type="dxa"/>
            <w:noWrap w:val="0"/>
            <w:vAlign w:val="top"/>
          </w:tcPr>
          <w:p w14:paraId="61A41EF6">
            <w:pPr>
              <w:jc w:val="center"/>
              <w:rPr>
                <w:rFonts w:hint="eastAsia" w:ascii="宋体" w:hAnsi="宋体" w:eastAsia="宋体" w:cs="宋体"/>
                <w:sz w:val="24"/>
                <w:szCs w:val="24"/>
                <w:highlight w:val="none"/>
              </w:rPr>
            </w:pPr>
          </w:p>
        </w:tc>
        <w:tc>
          <w:tcPr>
            <w:tcW w:w="1462" w:type="dxa"/>
            <w:noWrap w:val="0"/>
            <w:vAlign w:val="top"/>
          </w:tcPr>
          <w:p w14:paraId="00812891">
            <w:pPr>
              <w:jc w:val="center"/>
              <w:rPr>
                <w:rFonts w:hint="eastAsia" w:ascii="宋体" w:hAnsi="宋体" w:eastAsia="宋体" w:cs="宋体"/>
                <w:sz w:val="24"/>
                <w:szCs w:val="24"/>
                <w:highlight w:val="none"/>
              </w:rPr>
            </w:pPr>
          </w:p>
        </w:tc>
        <w:tc>
          <w:tcPr>
            <w:tcW w:w="2415" w:type="dxa"/>
            <w:tcBorders>
              <w:right w:val="single" w:color="auto" w:sz="4" w:space="0"/>
            </w:tcBorders>
            <w:noWrap w:val="0"/>
            <w:vAlign w:val="top"/>
          </w:tcPr>
          <w:p w14:paraId="6438F903">
            <w:pPr>
              <w:jc w:val="center"/>
              <w:rPr>
                <w:rFonts w:hint="eastAsia" w:ascii="宋体" w:hAnsi="宋体" w:eastAsia="宋体" w:cs="宋体"/>
                <w:sz w:val="24"/>
                <w:szCs w:val="24"/>
                <w:highlight w:val="none"/>
              </w:rPr>
            </w:pPr>
          </w:p>
        </w:tc>
        <w:tc>
          <w:tcPr>
            <w:tcW w:w="1746" w:type="dxa"/>
            <w:tcBorders>
              <w:left w:val="single" w:color="auto" w:sz="4" w:space="0"/>
            </w:tcBorders>
            <w:noWrap w:val="0"/>
            <w:vAlign w:val="top"/>
          </w:tcPr>
          <w:p w14:paraId="1D88513D">
            <w:pPr>
              <w:jc w:val="center"/>
              <w:rPr>
                <w:rFonts w:hint="eastAsia" w:ascii="宋体" w:hAnsi="宋体" w:eastAsia="宋体" w:cs="宋体"/>
                <w:sz w:val="24"/>
                <w:szCs w:val="24"/>
                <w:highlight w:val="none"/>
              </w:rPr>
            </w:pPr>
          </w:p>
        </w:tc>
      </w:tr>
      <w:tr w14:paraId="34D99E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noWrap w:val="0"/>
            <w:vAlign w:val="center"/>
          </w:tcPr>
          <w:p w14:paraId="1BCC9B1B">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3</w:t>
            </w:r>
          </w:p>
        </w:tc>
        <w:tc>
          <w:tcPr>
            <w:tcW w:w="2387" w:type="dxa"/>
            <w:noWrap w:val="0"/>
            <w:vAlign w:val="top"/>
          </w:tcPr>
          <w:p w14:paraId="646D92D1">
            <w:pPr>
              <w:jc w:val="center"/>
              <w:rPr>
                <w:rFonts w:hint="eastAsia" w:ascii="宋体" w:hAnsi="宋体" w:eastAsia="宋体" w:cs="宋体"/>
                <w:sz w:val="24"/>
                <w:szCs w:val="24"/>
                <w:highlight w:val="none"/>
              </w:rPr>
            </w:pPr>
          </w:p>
        </w:tc>
        <w:tc>
          <w:tcPr>
            <w:tcW w:w="1462" w:type="dxa"/>
            <w:noWrap w:val="0"/>
            <w:vAlign w:val="top"/>
          </w:tcPr>
          <w:p w14:paraId="3A9DFD65">
            <w:pPr>
              <w:jc w:val="center"/>
              <w:rPr>
                <w:rFonts w:hint="eastAsia" w:ascii="宋体" w:hAnsi="宋体" w:eastAsia="宋体" w:cs="宋体"/>
                <w:sz w:val="24"/>
                <w:szCs w:val="24"/>
                <w:highlight w:val="none"/>
              </w:rPr>
            </w:pPr>
          </w:p>
        </w:tc>
        <w:tc>
          <w:tcPr>
            <w:tcW w:w="2415" w:type="dxa"/>
            <w:tcBorders>
              <w:right w:val="single" w:color="auto" w:sz="4" w:space="0"/>
            </w:tcBorders>
            <w:noWrap w:val="0"/>
            <w:vAlign w:val="top"/>
          </w:tcPr>
          <w:p w14:paraId="779A47C9">
            <w:pPr>
              <w:jc w:val="center"/>
              <w:rPr>
                <w:rFonts w:hint="eastAsia" w:ascii="宋体" w:hAnsi="宋体" w:eastAsia="宋体" w:cs="宋体"/>
                <w:sz w:val="24"/>
                <w:szCs w:val="24"/>
                <w:highlight w:val="none"/>
              </w:rPr>
            </w:pPr>
          </w:p>
        </w:tc>
        <w:tc>
          <w:tcPr>
            <w:tcW w:w="1746" w:type="dxa"/>
            <w:tcBorders>
              <w:left w:val="single" w:color="auto" w:sz="4" w:space="0"/>
            </w:tcBorders>
            <w:noWrap w:val="0"/>
            <w:vAlign w:val="top"/>
          </w:tcPr>
          <w:p w14:paraId="5D39B147">
            <w:pPr>
              <w:jc w:val="center"/>
              <w:rPr>
                <w:rFonts w:hint="eastAsia" w:ascii="宋体" w:hAnsi="宋体" w:eastAsia="宋体" w:cs="宋体"/>
                <w:sz w:val="24"/>
                <w:szCs w:val="24"/>
                <w:highlight w:val="none"/>
              </w:rPr>
            </w:pPr>
          </w:p>
        </w:tc>
      </w:tr>
      <w:tr w14:paraId="54D38F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noWrap w:val="0"/>
            <w:vAlign w:val="center"/>
          </w:tcPr>
          <w:p w14:paraId="5F8D8FBD">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4</w:t>
            </w:r>
          </w:p>
        </w:tc>
        <w:tc>
          <w:tcPr>
            <w:tcW w:w="2387" w:type="dxa"/>
            <w:noWrap w:val="0"/>
            <w:vAlign w:val="top"/>
          </w:tcPr>
          <w:p w14:paraId="7458977B">
            <w:pPr>
              <w:jc w:val="center"/>
              <w:rPr>
                <w:rFonts w:hint="eastAsia" w:ascii="宋体" w:hAnsi="宋体" w:eastAsia="宋体" w:cs="宋体"/>
                <w:sz w:val="24"/>
                <w:szCs w:val="24"/>
                <w:highlight w:val="none"/>
              </w:rPr>
            </w:pPr>
          </w:p>
        </w:tc>
        <w:tc>
          <w:tcPr>
            <w:tcW w:w="1462" w:type="dxa"/>
            <w:noWrap w:val="0"/>
            <w:vAlign w:val="top"/>
          </w:tcPr>
          <w:p w14:paraId="45152B44">
            <w:pPr>
              <w:jc w:val="center"/>
              <w:rPr>
                <w:rFonts w:hint="eastAsia" w:ascii="宋体" w:hAnsi="宋体" w:eastAsia="宋体" w:cs="宋体"/>
                <w:sz w:val="24"/>
                <w:szCs w:val="24"/>
                <w:highlight w:val="none"/>
              </w:rPr>
            </w:pPr>
          </w:p>
        </w:tc>
        <w:tc>
          <w:tcPr>
            <w:tcW w:w="2415" w:type="dxa"/>
            <w:tcBorders>
              <w:right w:val="single" w:color="auto" w:sz="4" w:space="0"/>
            </w:tcBorders>
            <w:noWrap w:val="0"/>
            <w:vAlign w:val="top"/>
          </w:tcPr>
          <w:p w14:paraId="0309B1D6">
            <w:pPr>
              <w:jc w:val="center"/>
              <w:rPr>
                <w:rFonts w:hint="eastAsia" w:ascii="宋体" w:hAnsi="宋体" w:eastAsia="宋体" w:cs="宋体"/>
                <w:sz w:val="24"/>
                <w:szCs w:val="24"/>
                <w:highlight w:val="none"/>
              </w:rPr>
            </w:pPr>
          </w:p>
        </w:tc>
        <w:tc>
          <w:tcPr>
            <w:tcW w:w="1746" w:type="dxa"/>
            <w:tcBorders>
              <w:left w:val="single" w:color="auto" w:sz="4" w:space="0"/>
            </w:tcBorders>
            <w:noWrap w:val="0"/>
            <w:vAlign w:val="top"/>
          </w:tcPr>
          <w:p w14:paraId="5C532B90">
            <w:pPr>
              <w:jc w:val="center"/>
              <w:rPr>
                <w:rFonts w:hint="eastAsia" w:ascii="宋体" w:hAnsi="宋体" w:eastAsia="宋体" w:cs="宋体"/>
                <w:sz w:val="24"/>
                <w:szCs w:val="24"/>
                <w:highlight w:val="none"/>
              </w:rPr>
            </w:pPr>
          </w:p>
        </w:tc>
      </w:tr>
      <w:tr w14:paraId="3C3BB4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noWrap w:val="0"/>
            <w:vAlign w:val="center"/>
          </w:tcPr>
          <w:p w14:paraId="46AE79B0">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5</w:t>
            </w:r>
          </w:p>
        </w:tc>
        <w:tc>
          <w:tcPr>
            <w:tcW w:w="2387" w:type="dxa"/>
            <w:noWrap w:val="0"/>
            <w:vAlign w:val="top"/>
          </w:tcPr>
          <w:p w14:paraId="0C2DBE64">
            <w:pPr>
              <w:jc w:val="center"/>
              <w:rPr>
                <w:rFonts w:hint="eastAsia" w:ascii="宋体" w:hAnsi="宋体" w:eastAsia="宋体" w:cs="宋体"/>
                <w:sz w:val="24"/>
                <w:szCs w:val="24"/>
                <w:highlight w:val="none"/>
              </w:rPr>
            </w:pPr>
          </w:p>
        </w:tc>
        <w:tc>
          <w:tcPr>
            <w:tcW w:w="1462" w:type="dxa"/>
            <w:noWrap w:val="0"/>
            <w:vAlign w:val="top"/>
          </w:tcPr>
          <w:p w14:paraId="5B60F06A">
            <w:pPr>
              <w:jc w:val="center"/>
              <w:rPr>
                <w:rFonts w:hint="eastAsia" w:ascii="宋体" w:hAnsi="宋体" w:eastAsia="宋体" w:cs="宋体"/>
                <w:sz w:val="24"/>
                <w:szCs w:val="24"/>
                <w:highlight w:val="none"/>
              </w:rPr>
            </w:pPr>
          </w:p>
        </w:tc>
        <w:tc>
          <w:tcPr>
            <w:tcW w:w="2415" w:type="dxa"/>
            <w:tcBorders>
              <w:right w:val="single" w:color="auto" w:sz="4" w:space="0"/>
            </w:tcBorders>
            <w:noWrap w:val="0"/>
            <w:vAlign w:val="top"/>
          </w:tcPr>
          <w:p w14:paraId="007A9AFF">
            <w:pPr>
              <w:jc w:val="center"/>
              <w:rPr>
                <w:rFonts w:hint="eastAsia" w:ascii="宋体" w:hAnsi="宋体" w:eastAsia="宋体" w:cs="宋体"/>
                <w:sz w:val="24"/>
                <w:szCs w:val="24"/>
                <w:highlight w:val="none"/>
              </w:rPr>
            </w:pPr>
          </w:p>
        </w:tc>
        <w:tc>
          <w:tcPr>
            <w:tcW w:w="1746" w:type="dxa"/>
            <w:tcBorders>
              <w:left w:val="single" w:color="auto" w:sz="4" w:space="0"/>
            </w:tcBorders>
            <w:noWrap w:val="0"/>
            <w:vAlign w:val="top"/>
          </w:tcPr>
          <w:p w14:paraId="5D550643">
            <w:pPr>
              <w:jc w:val="center"/>
              <w:rPr>
                <w:rFonts w:hint="eastAsia" w:ascii="宋体" w:hAnsi="宋体" w:eastAsia="宋体" w:cs="宋体"/>
                <w:sz w:val="24"/>
                <w:szCs w:val="24"/>
                <w:highlight w:val="none"/>
              </w:rPr>
            </w:pPr>
          </w:p>
        </w:tc>
      </w:tr>
      <w:tr w14:paraId="091D77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noWrap w:val="0"/>
            <w:vAlign w:val="center"/>
          </w:tcPr>
          <w:p w14:paraId="5C8AF44F">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6</w:t>
            </w:r>
          </w:p>
        </w:tc>
        <w:tc>
          <w:tcPr>
            <w:tcW w:w="2387" w:type="dxa"/>
            <w:noWrap w:val="0"/>
            <w:vAlign w:val="top"/>
          </w:tcPr>
          <w:p w14:paraId="6B53D283">
            <w:pPr>
              <w:jc w:val="center"/>
              <w:rPr>
                <w:rFonts w:hint="eastAsia" w:ascii="宋体" w:hAnsi="宋体" w:eastAsia="宋体" w:cs="宋体"/>
                <w:sz w:val="24"/>
                <w:szCs w:val="24"/>
                <w:highlight w:val="none"/>
              </w:rPr>
            </w:pPr>
          </w:p>
        </w:tc>
        <w:tc>
          <w:tcPr>
            <w:tcW w:w="1462" w:type="dxa"/>
            <w:noWrap w:val="0"/>
            <w:vAlign w:val="top"/>
          </w:tcPr>
          <w:p w14:paraId="1F9C1456">
            <w:pPr>
              <w:jc w:val="center"/>
              <w:rPr>
                <w:rFonts w:hint="eastAsia" w:ascii="宋体" w:hAnsi="宋体" w:eastAsia="宋体" w:cs="宋体"/>
                <w:sz w:val="24"/>
                <w:szCs w:val="24"/>
                <w:highlight w:val="none"/>
              </w:rPr>
            </w:pPr>
          </w:p>
        </w:tc>
        <w:tc>
          <w:tcPr>
            <w:tcW w:w="2415" w:type="dxa"/>
            <w:tcBorders>
              <w:right w:val="single" w:color="auto" w:sz="4" w:space="0"/>
            </w:tcBorders>
            <w:noWrap w:val="0"/>
            <w:vAlign w:val="top"/>
          </w:tcPr>
          <w:p w14:paraId="3AD8085F">
            <w:pPr>
              <w:jc w:val="center"/>
              <w:rPr>
                <w:rFonts w:hint="eastAsia" w:ascii="宋体" w:hAnsi="宋体" w:eastAsia="宋体" w:cs="宋体"/>
                <w:sz w:val="24"/>
                <w:szCs w:val="24"/>
                <w:highlight w:val="none"/>
              </w:rPr>
            </w:pPr>
          </w:p>
        </w:tc>
        <w:tc>
          <w:tcPr>
            <w:tcW w:w="1746" w:type="dxa"/>
            <w:tcBorders>
              <w:left w:val="single" w:color="auto" w:sz="4" w:space="0"/>
            </w:tcBorders>
            <w:noWrap w:val="0"/>
            <w:vAlign w:val="top"/>
          </w:tcPr>
          <w:p w14:paraId="486C3A6C">
            <w:pPr>
              <w:jc w:val="center"/>
              <w:rPr>
                <w:rFonts w:hint="eastAsia" w:ascii="宋体" w:hAnsi="宋体" w:eastAsia="宋体" w:cs="宋体"/>
                <w:sz w:val="24"/>
                <w:szCs w:val="24"/>
                <w:highlight w:val="none"/>
              </w:rPr>
            </w:pPr>
          </w:p>
        </w:tc>
      </w:tr>
      <w:tr w14:paraId="4C0C971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noWrap w:val="0"/>
            <w:vAlign w:val="center"/>
          </w:tcPr>
          <w:p w14:paraId="605C4228">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7</w:t>
            </w:r>
          </w:p>
        </w:tc>
        <w:tc>
          <w:tcPr>
            <w:tcW w:w="2387" w:type="dxa"/>
            <w:noWrap w:val="0"/>
            <w:vAlign w:val="top"/>
          </w:tcPr>
          <w:p w14:paraId="427B8815">
            <w:pPr>
              <w:jc w:val="center"/>
              <w:rPr>
                <w:rFonts w:hint="eastAsia" w:ascii="宋体" w:hAnsi="宋体" w:eastAsia="宋体" w:cs="宋体"/>
                <w:sz w:val="24"/>
                <w:szCs w:val="24"/>
                <w:highlight w:val="none"/>
              </w:rPr>
            </w:pPr>
          </w:p>
        </w:tc>
        <w:tc>
          <w:tcPr>
            <w:tcW w:w="1462" w:type="dxa"/>
            <w:noWrap w:val="0"/>
            <w:vAlign w:val="top"/>
          </w:tcPr>
          <w:p w14:paraId="567F3C85">
            <w:pPr>
              <w:jc w:val="center"/>
              <w:rPr>
                <w:rFonts w:hint="eastAsia" w:ascii="宋体" w:hAnsi="宋体" w:eastAsia="宋体" w:cs="宋体"/>
                <w:sz w:val="24"/>
                <w:szCs w:val="24"/>
                <w:highlight w:val="none"/>
              </w:rPr>
            </w:pPr>
          </w:p>
        </w:tc>
        <w:tc>
          <w:tcPr>
            <w:tcW w:w="2415" w:type="dxa"/>
            <w:tcBorders>
              <w:right w:val="single" w:color="auto" w:sz="4" w:space="0"/>
            </w:tcBorders>
            <w:noWrap w:val="0"/>
            <w:vAlign w:val="top"/>
          </w:tcPr>
          <w:p w14:paraId="2AD5507B">
            <w:pPr>
              <w:jc w:val="center"/>
              <w:rPr>
                <w:rFonts w:hint="eastAsia" w:ascii="宋体" w:hAnsi="宋体" w:eastAsia="宋体" w:cs="宋体"/>
                <w:sz w:val="24"/>
                <w:szCs w:val="24"/>
                <w:highlight w:val="none"/>
              </w:rPr>
            </w:pPr>
          </w:p>
        </w:tc>
        <w:tc>
          <w:tcPr>
            <w:tcW w:w="1746" w:type="dxa"/>
            <w:tcBorders>
              <w:left w:val="single" w:color="auto" w:sz="4" w:space="0"/>
            </w:tcBorders>
            <w:noWrap w:val="0"/>
            <w:vAlign w:val="top"/>
          </w:tcPr>
          <w:p w14:paraId="0F13BDDC">
            <w:pPr>
              <w:jc w:val="center"/>
              <w:rPr>
                <w:rFonts w:hint="eastAsia" w:ascii="宋体" w:hAnsi="宋体" w:eastAsia="宋体" w:cs="宋体"/>
                <w:sz w:val="24"/>
                <w:szCs w:val="24"/>
                <w:highlight w:val="none"/>
              </w:rPr>
            </w:pPr>
          </w:p>
        </w:tc>
      </w:tr>
      <w:tr w14:paraId="38EEEF7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noWrap w:val="0"/>
            <w:vAlign w:val="center"/>
          </w:tcPr>
          <w:p w14:paraId="362661E7">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8</w:t>
            </w:r>
          </w:p>
        </w:tc>
        <w:tc>
          <w:tcPr>
            <w:tcW w:w="2387" w:type="dxa"/>
            <w:noWrap w:val="0"/>
            <w:vAlign w:val="top"/>
          </w:tcPr>
          <w:p w14:paraId="775583AE">
            <w:pPr>
              <w:jc w:val="center"/>
              <w:rPr>
                <w:rFonts w:hint="eastAsia" w:ascii="宋体" w:hAnsi="宋体" w:eastAsia="宋体" w:cs="宋体"/>
                <w:sz w:val="24"/>
                <w:szCs w:val="24"/>
                <w:highlight w:val="none"/>
              </w:rPr>
            </w:pPr>
          </w:p>
        </w:tc>
        <w:tc>
          <w:tcPr>
            <w:tcW w:w="1462" w:type="dxa"/>
            <w:noWrap w:val="0"/>
            <w:vAlign w:val="top"/>
          </w:tcPr>
          <w:p w14:paraId="04D93104">
            <w:pPr>
              <w:jc w:val="center"/>
              <w:rPr>
                <w:rFonts w:hint="eastAsia" w:ascii="宋体" w:hAnsi="宋体" w:eastAsia="宋体" w:cs="宋体"/>
                <w:sz w:val="24"/>
                <w:szCs w:val="24"/>
                <w:highlight w:val="none"/>
              </w:rPr>
            </w:pPr>
          </w:p>
        </w:tc>
        <w:tc>
          <w:tcPr>
            <w:tcW w:w="2415" w:type="dxa"/>
            <w:tcBorders>
              <w:right w:val="single" w:color="auto" w:sz="4" w:space="0"/>
            </w:tcBorders>
            <w:noWrap w:val="0"/>
            <w:vAlign w:val="top"/>
          </w:tcPr>
          <w:p w14:paraId="4935DB3A">
            <w:pPr>
              <w:jc w:val="center"/>
              <w:rPr>
                <w:rFonts w:hint="eastAsia" w:ascii="宋体" w:hAnsi="宋体" w:eastAsia="宋体" w:cs="宋体"/>
                <w:sz w:val="24"/>
                <w:szCs w:val="24"/>
                <w:highlight w:val="none"/>
              </w:rPr>
            </w:pPr>
          </w:p>
        </w:tc>
        <w:tc>
          <w:tcPr>
            <w:tcW w:w="1746" w:type="dxa"/>
            <w:tcBorders>
              <w:left w:val="single" w:color="auto" w:sz="4" w:space="0"/>
            </w:tcBorders>
            <w:noWrap w:val="0"/>
            <w:vAlign w:val="top"/>
          </w:tcPr>
          <w:p w14:paraId="433134AC">
            <w:pPr>
              <w:jc w:val="center"/>
              <w:rPr>
                <w:rFonts w:hint="eastAsia" w:ascii="宋体" w:hAnsi="宋体" w:eastAsia="宋体" w:cs="宋体"/>
                <w:sz w:val="24"/>
                <w:szCs w:val="24"/>
                <w:highlight w:val="none"/>
              </w:rPr>
            </w:pPr>
          </w:p>
        </w:tc>
      </w:tr>
      <w:tr w14:paraId="32BD8C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noWrap w:val="0"/>
            <w:vAlign w:val="center"/>
          </w:tcPr>
          <w:p w14:paraId="66E2270F">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合计</w:t>
            </w:r>
          </w:p>
        </w:tc>
        <w:tc>
          <w:tcPr>
            <w:tcW w:w="2387" w:type="dxa"/>
            <w:noWrap w:val="0"/>
            <w:vAlign w:val="top"/>
          </w:tcPr>
          <w:p w14:paraId="34AB679D">
            <w:pPr>
              <w:jc w:val="center"/>
              <w:rPr>
                <w:rFonts w:hint="eastAsia" w:ascii="宋体" w:hAnsi="宋体" w:eastAsia="宋体" w:cs="宋体"/>
                <w:sz w:val="24"/>
                <w:szCs w:val="24"/>
                <w:highlight w:val="none"/>
              </w:rPr>
            </w:pPr>
          </w:p>
        </w:tc>
        <w:tc>
          <w:tcPr>
            <w:tcW w:w="1462" w:type="dxa"/>
            <w:noWrap w:val="0"/>
            <w:vAlign w:val="top"/>
          </w:tcPr>
          <w:p w14:paraId="6DC5DE3A">
            <w:pPr>
              <w:jc w:val="center"/>
              <w:rPr>
                <w:rFonts w:hint="eastAsia" w:ascii="宋体" w:hAnsi="宋体" w:eastAsia="宋体" w:cs="宋体"/>
                <w:sz w:val="24"/>
                <w:szCs w:val="24"/>
                <w:highlight w:val="none"/>
              </w:rPr>
            </w:pPr>
          </w:p>
        </w:tc>
        <w:tc>
          <w:tcPr>
            <w:tcW w:w="2415" w:type="dxa"/>
            <w:tcBorders>
              <w:right w:val="single" w:color="auto" w:sz="4" w:space="0"/>
            </w:tcBorders>
            <w:noWrap w:val="0"/>
            <w:vAlign w:val="top"/>
          </w:tcPr>
          <w:p w14:paraId="2D1AA08E">
            <w:pPr>
              <w:jc w:val="center"/>
              <w:rPr>
                <w:rFonts w:hint="eastAsia" w:ascii="宋体" w:hAnsi="宋体" w:eastAsia="宋体" w:cs="宋体"/>
                <w:sz w:val="24"/>
                <w:szCs w:val="24"/>
                <w:highlight w:val="none"/>
              </w:rPr>
            </w:pPr>
          </w:p>
        </w:tc>
        <w:tc>
          <w:tcPr>
            <w:tcW w:w="1746" w:type="dxa"/>
            <w:tcBorders>
              <w:left w:val="single" w:color="auto" w:sz="4" w:space="0"/>
            </w:tcBorders>
            <w:noWrap w:val="0"/>
            <w:vAlign w:val="top"/>
          </w:tcPr>
          <w:p w14:paraId="451A34CC">
            <w:pPr>
              <w:jc w:val="center"/>
              <w:rPr>
                <w:rFonts w:hint="eastAsia" w:ascii="宋体" w:hAnsi="宋体" w:eastAsia="宋体" w:cs="宋体"/>
                <w:sz w:val="24"/>
                <w:szCs w:val="24"/>
                <w:highlight w:val="none"/>
              </w:rPr>
            </w:pPr>
          </w:p>
        </w:tc>
      </w:tr>
    </w:tbl>
    <w:p w14:paraId="4C7EC213">
      <w:pPr>
        <w:spacing w:line="360" w:lineRule="auto"/>
        <w:ind w:firstLine="480" w:firstLineChars="200"/>
        <w:rPr>
          <w:rFonts w:hint="eastAsia" w:ascii="宋体" w:hAnsi="宋体" w:eastAsia="宋体" w:cs="宋体"/>
          <w:sz w:val="24"/>
          <w:highlight w:val="none"/>
          <w:lang w:val="en-US" w:eastAsia="zh-CN"/>
        </w:rPr>
      </w:pPr>
    </w:p>
    <w:p w14:paraId="5CDF6A8B">
      <w:pPr>
        <w:spacing w:line="360" w:lineRule="auto"/>
        <w:ind w:leftChars="1800" w:firstLine="480" w:firstLineChars="200"/>
        <w:rPr>
          <w:rFonts w:hint="eastAsia" w:ascii="宋体" w:hAnsi="宋体" w:eastAsia="宋体" w:cs="宋体"/>
          <w:sz w:val="24"/>
          <w:highlight w:val="none"/>
        </w:rPr>
      </w:pPr>
    </w:p>
    <w:p w14:paraId="05989A9C">
      <w:pPr>
        <w:spacing w:line="360" w:lineRule="auto"/>
        <w:ind w:leftChars="1800" w:firstLine="480" w:firstLineChars="200"/>
        <w:rPr>
          <w:rFonts w:hint="eastAsia" w:ascii="宋体" w:hAnsi="宋体" w:eastAsia="宋体" w:cs="宋体"/>
          <w:sz w:val="24"/>
          <w:highlight w:val="none"/>
        </w:rPr>
      </w:pPr>
      <w:r>
        <w:rPr>
          <w:rFonts w:hint="eastAsia" w:ascii="宋体" w:hAnsi="宋体" w:eastAsia="宋体" w:cs="宋体"/>
          <w:sz w:val="24"/>
          <w:highlight w:val="none"/>
        </w:rPr>
        <w:t xml:space="preserve">法定代表人签名（或签名章）：                       </w:t>
      </w:r>
    </w:p>
    <w:p w14:paraId="0A163077">
      <w:pPr>
        <w:spacing w:line="360" w:lineRule="auto"/>
        <w:ind w:leftChars="1800" w:firstLine="480" w:firstLineChars="200"/>
        <w:rPr>
          <w:rFonts w:hint="eastAsia" w:ascii="宋体" w:hAnsi="宋体" w:eastAsia="宋体" w:cs="宋体"/>
          <w:sz w:val="24"/>
          <w:highlight w:val="none"/>
        </w:rPr>
      </w:pPr>
      <w:r>
        <w:rPr>
          <w:rFonts w:hint="eastAsia" w:ascii="宋体" w:hAnsi="宋体" w:eastAsia="宋体" w:cs="宋体"/>
          <w:sz w:val="24"/>
          <w:highlight w:val="none"/>
        </w:rPr>
        <w:t>日 期：</w:t>
      </w:r>
    </w:p>
    <w:p w14:paraId="5E3566C0">
      <w:pPr>
        <w:spacing w:line="360" w:lineRule="auto"/>
        <w:ind w:leftChars="1800" w:firstLine="480" w:firstLineChars="200"/>
        <w:rPr>
          <w:rFonts w:hint="eastAsia" w:ascii="宋体" w:hAnsi="宋体" w:eastAsia="宋体" w:cs="宋体"/>
          <w:sz w:val="24"/>
          <w:highlight w:val="none"/>
        </w:rPr>
      </w:pPr>
      <w:r>
        <w:rPr>
          <w:rFonts w:hint="eastAsia" w:ascii="宋体" w:hAnsi="宋体" w:eastAsia="宋体" w:cs="宋体"/>
          <w:sz w:val="24"/>
          <w:highlight w:val="none"/>
        </w:rPr>
        <w:t>投标人全称（公章）：</w:t>
      </w:r>
    </w:p>
    <w:p w14:paraId="6E95842A">
      <w:pPr>
        <w:pStyle w:val="13"/>
        <w:ind w:firstLine="566"/>
        <w:rPr>
          <w:rFonts w:hint="eastAsia" w:ascii="宋体" w:hAnsi="宋体" w:eastAsia="宋体" w:cs="宋体"/>
          <w:sz w:val="28"/>
          <w:szCs w:val="28"/>
          <w:highlight w:val="none"/>
        </w:rPr>
      </w:pPr>
    </w:p>
    <w:p w14:paraId="54B99B02">
      <w:pPr>
        <w:snapToGrid w:val="0"/>
        <w:spacing w:before="50" w:after="167" w:afterLines="50"/>
        <w:jc w:val="left"/>
        <w:outlineLvl w:val="0"/>
        <w:rPr>
          <w:rFonts w:hint="eastAsia" w:ascii="宋体" w:hAnsi="宋体" w:eastAsia="宋体" w:cs="宋体"/>
          <w:b/>
          <w:bCs/>
          <w:color w:val="000000"/>
          <w:kern w:val="2"/>
          <w:sz w:val="24"/>
          <w:szCs w:val="24"/>
          <w:highlight w:val="none"/>
          <w:lang w:val="zh-CN" w:eastAsia="zh-CN" w:bidi="ar-SA"/>
        </w:rPr>
      </w:pPr>
      <w:r>
        <w:rPr>
          <w:rFonts w:hint="eastAsia" w:ascii="宋体" w:hAnsi="宋体" w:eastAsia="宋体" w:cs="宋体"/>
          <w:b/>
          <w:bCs/>
          <w:sz w:val="30"/>
          <w:szCs w:val="30"/>
          <w:highlight w:val="none"/>
        </w:rPr>
        <w:br w:type="page"/>
      </w:r>
      <w:bookmarkStart w:id="543" w:name="_Toc11136"/>
      <w:bookmarkStart w:id="544" w:name="_Toc4177"/>
      <w:r>
        <w:rPr>
          <w:rFonts w:hint="eastAsia" w:ascii="宋体" w:hAnsi="宋体" w:eastAsia="宋体" w:cs="宋体"/>
          <w:b/>
          <w:bCs/>
          <w:color w:val="000000"/>
          <w:kern w:val="2"/>
          <w:sz w:val="24"/>
          <w:szCs w:val="24"/>
          <w:highlight w:val="none"/>
          <w:lang w:val="zh-CN" w:eastAsia="zh-CN" w:bidi="ar-SA"/>
        </w:rPr>
        <w:t>附件</w:t>
      </w:r>
      <w:r>
        <w:rPr>
          <w:rFonts w:hint="eastAsia" w:ascii="宋体" w:hAnsi="宋体" w:cs="宋体"/>
          <w:b/>
          <w:bCs/>
          <w:color w:val="000000"/>
          <w:kern w:val="2"/>
          <w:sz w:val="24"/>
          <w:szCs w:val="24"/>
          <w:highlight w:val="none"/>
          <w:lang w:val="en-US" w:eastAsia="zh-CN" w:bidi="ar-SA"/>
        </w:rPr>
        <w:t>五</w:t>
      </w:r>
      <w:r>
        <w:rPr>
          <w:rFonts w:hint="eastAsia" w:ascii="宋体" w:hAnsi="宋体" w:eastAsia="宋体" w:cs="宋体"/>
          <w:b/>
          <w:bCs/>
          <w:color w:val="000000"/>
          <w:kern w:val="2"/>
          <w:sz w:val="24"/>
          <w:szCs w:val="24"/>
          <w:highlight w:val="none"/>
          <w:lang w:val="zh-CN" w:eastAsia="zh-CN" w:bidi="ar-SA"/>
        </w:rPr>
        <w:t>：</w:t>
      </w:r>
      <w:bookmarkEnd w:id="543"/>
      <w:bookmarkEnd w:id="544"/>
    </w:p>
    <w:p w14:paraId="65D9C1D4">
      <w:pPr>
        <w:spacing w:line="360" w:lineRule="auto"/>
        <w:jc w:val="center"/>
        <w:rPr>
          <w:rFonts w:hint="eastAsia" w:ascii="宋体" w:hAnsi="宋体" w:eastAsia="宋体" w:cs="宋体"/>
          <w:b/>
          <w:bCs/>
          <w:color w:val="auto"/>
          <w:sz w:val="32"/>
          <w:szCs w:val="32"/>
          <w:highlight w:val="none"/>
          <w:u w:val="none"/>
        </w:rPr>
      </w:pPr>
      <w:r>
        <w:rPr>
          <w:rFonts w:hint="eastAsia" w:ascii="宋体" w:hAnsi="宋体" w:eastAsia="宋体" w:cs="宋体"/>
          <w:b/>
          <w:bCs/>
          <w:color w:val="auto"/>
          <w:sz w:val="32"/>
          <w:szCs w:val="32"/>
          <w:highlight w:val="none"/>
          <w:u w:val="none"/>
        </w:rPr>
        <w:t>投标项目明细清单</w:t>
      </w:r>
    </w:p>
    <w:p w14:paraId="0B1DCD24">
      <w:pPr>
        <w:spacing w:line="360" w:lineRule="auto"/>
        <w:ind w:firstLine="480" w:firstLineChars="200"/>
        <w:rPr>
          <w:rFonts w:hint="eastAsia" w:ascii="宋体" w:hAnsi="宋体" w:eastAsia="宋体" w:cs="宋体"/>
          <w:sz w:val="24"/>
          <w:highlight w:val="none"/>
        </w:rPr>
      </w:pPr>
    </w:p>
    <w:p w14:paraId="31D9A202">
      <w:pPr>
        <w:spacing w:line="360" w:lineRule="auto"/>
        <w:ind w:firstLine="480" w:firstLineChars="200"/>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项目名称：</w:t>
      </w:r>
    </w:p>
    <w:p w14:paraId="0BE76896">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lang w:eastAsia="zh-CN"/>
        </w:rPr>
        <w:t>采购编号</w:t>
      </w:r>
      <w:r>
        <w:rPr>
          <w:rFonts w:hint="eastAsia" w:ascii="宋体" w:hAnsi="宋体" w:eastAsia="宋体" w:cs="宋体"/>
          <w:sz w:val="24"/>
          <w:highlight w:val="none"/>
        </w:rPr>
        <w:t>：</w:t>
      </w:r>
    </w:p>
    <w:tbl>
      <w:tblPr>
        <w:tblStyle w:val="30"/>
        <w:tblW w:w="9895"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95"/>
        <w:gridCol w:w="1456"/>
        <w:gridCol w:w="2877"/>
        <w:gridCol w:w="2370"/>
        <w:gridCol w:w="843"/>
        <w:gridCol w:w="1554"/>
      </w:tblGrid>
      <w:tr w14:paraId="152FC6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795" w:type="dxa"/>
            <w:tcBorders>
              <w:top w:val="single" w:color="auto" w:sz="4" w:space="0"/>
              <w:left w:val="single" w:color="auto" w:sz="4" w:space="0"/>
              <w:bottom w:val="single" w:color="auto" w:sz="4" w:space="0"/>
              <w:right w:val="single" w:color="auto" w:sz="4" w:space="0"/>
            </w:tcBorders>
            <w:noWrap w:val="0"/>
            <w:vAlign w:val="center"/>
          </w:tcPr>
          <w:p w14:paraId="6A587270">
            <w:pPr>
              <w:snapToGrid w:val="0"/>
              <w:spacing w:before="50" w:after="50"/>
              <w:jc w:val="center"/>
              <w:rPr>
                <w:rFonts w:hint="eastAsia" w:ascii="宋体" w:hAnsi="宋体" w:cs="宋体"/>
                <w:sz w:val="24"/>
                <w:highlight w:val="none"/>
              </w:rPr>
            </w:pPr>
            <w:r>
              <w:rPr>
                <w:rFonts w:hint="eastAsia" w:ascii="宋体" w:hAnsi="宋体" w:cs="宋体"/>
                <w:sz w:val="24"/>
                <w:highlight w:val="none"/>
              </w:rPr>
              <w:t>序号</w:t>
            </w:r>
          </w:p>
        </w:tc>
        <w:tc>
          <w:tcPr>
            <w:tcW w:w="1456" w:type="dxa"/>
            <w:tcBorders>
              <w:top w:val="single" w:color="auto" w:sz="4" w:space="0"/>
              <w:left w:val="single" w:color="auto" w:sz="4" w:space="0"/>
              <w:bottom w:val="single" w:color="auto" w:sz="4" w:space="0"/>
              <w:right w:val="single" w:color="auto" w:sz="4" w:space="0"/>
            </w:tcBorders>
            <w:noWrap w:val="0"/>
            <w:vAlign w:val="center"/>
          </w:tcPr>
          <w:p w14:paraId="498F2771">
            <w:pPr>
              <w:snapToGrid w:val="0"/>
              <w:spacing w:before="50" w:after="50"/>
              <w:jc w:val="center"/>
              <w:rPr>
                <w:rFonts w:ascii="宋体" w:hAnsi="宋体" w:cs="宋体"/>
                <w:sz w:val="24"/>
                <w:highlight w:val="none"/>
              </w:rPr>
            </w:pPr>
            <w:r>
              <w:rPr>
                <w:rFonts w:hint="eastAsia" w:ascii="宋体" w:hAnsi="宋体" w:cs="宋体"/>
                <w:sz w:val="24"/>
                <w:highlight w:val="none"/>
              </w:rPr>
              <w:t>项目名称</w:t>
            </w:r>
          </w:p>
        </w:tc>
        <w:tc>
          <w:tcPr>
            <w:tcW w:w="2877" w:type="dxa"/>
            <w:tcBorders>
              <w:top w:val="single" w:color="auto" w:sz="4" w:space="0"/>
              <w:left w:val="single" w:color="auto" w:sz="4" w:space="0"/>
              <w:bottom w:val="single" w:color="auto" w:sz="4" w:space="0"/>
              <w:right w:val="single" w:color="auto" w:sz="4" w:space="0"/>
            </w:tcBorders>
            <w:noWrap w:val="0"/>
            <w:vAlign w:val="center"/>
          </w:tcPr>
          <w:p w14:paraId="1A6FD861">
            <w:pPr>
              <w:snapToGrid w:val="0"/>
              <w:spacing w:before="50" w:after="50"/>
              <w:jc w:val="center"/>
              <w:rPr>
                <w:rFonts w:ascii="宋体" w:hAnsi="宋体" w:cs="宋体"/>
                <w:sz w:val="24"/>
                <w:highlight w:val="none"/>
              </w:rPr>
            </w:pPr>
            <w:r>
              <w:rPr>
                <w:rFonts w:hint="eastAsia" w:ascii="宋体" w:hAnsi="宋体" w:cs="宋体"/>
                <w:sz w:val="24"/>
                <w:highlight w:val="none"/>
              </w:rPr>
              <w:t>服务内容</w:t>
            </w:r>
          </w:p>
        </w:tc>
        <w:tc>
          <w:tcPr>
            <w:tcW w:w="2370" w:type="dxa"/>
            <w:tcBorders>
              <w:top w:val="single" w:color="auto" w:sz="4" w:space="0"/>
              <w:left w:val="single" w:color="auto" w:sz="4" w:space="0"/>
              <w:bottom w:val="single" w:color="auto" w:sz="4" w:space="0"/>
              <w:right w:val="single" w:color="auto" w:sz="4" w:space="0"/>
            </w:tcBorders>
            <w:noWrap w:val="0"/>
            <w:vAlign w:val="center"/>
          </w:tcPr>
          <w:p w14:paraId="48A1E220">
            <w:pPr>
              <w:snapToGrid w:val="0"/>
              <w:spacing w:before="50" w:after="50"/>
              <w:jc w:val="center"/>
              <w:rPr>
                <w:rFonts w:hint="eastAsia" w:ascii="宋体" w:hAnsi="宋体" w:cs="宋体"/>
                <w:sz w:val="24"/>
                <w:highlight w:val="none"/>
              </w:rPr>
            </w:pPr>
            <w:r>
              <w:rPr>
                <w:rFonts w:hint="eastAsia" w:ascii="宋体" w:hAnsi="宋体" w:cs="宋体"/>
                <w:sz w:val="24"/>
                <w:highlight w:val="none"/>
              </w:rPr>
              <w:t>数量</w:t>
            </w:r>
          </w:p>
        </w:tc>
        <w:tc>
          <w:tcPr>
            <w:tcW w:w="843" w:type="dxa"/>
            <w:tcBorders>
              <w:top w:val="single" w:color="auto" w:sz="4" w:space="0"/>
              <w:left w:val="single" w:color="auto" w:sz="4" w:space="0"/>
              <w:bottom w:val="single" w:color="auto" w:sz="4" w:space="0"/>
              <w:right w:val="single" w:color="auto" w:sz="4" w:space="0"/>
            </w:tcBorders>
            <w:noWrap w:val="0"/>
            <w:vAlign w:val="center"/>
          </w:tcPr>
          <w:p w14:paraId="6689F8E1">
            <w:pPr>
              <w:snapToGrid w:val="0"/>
              <w:spacing w:before="50" w:after="50"/>
              <w:jc w:val="center"/>
              <w:rPr>
                <w:rFonts w:hint="eastAsia" w:ascii="宋体" w:hAnsi="宋体" w:cs="宋体"/>
                <w:sz w:val="24"/>
                <w:highlight w:val="none"/>
              </w:rPr>
            </w:pPr>
            <w:r>
              <w:rPr>
                <w:rFonts w:hint="eastAsia" w:ascii="宋体" w:hAnsi="宋体" w:cs="宋体"/>
                <w:sz w:val="24"/>
                <w:highlight w:val="none"/>
              </w:rPr>
              <w:t>单位</w:t>
            </w:r>
          </w:p>
        </w:tc>
        <w:tc>
          <w:tcPr>
            <w:tcW w:w="1554" w:type="dxa"/>
            <w:tcBorders>
              <w:top w:val="single" w:color="auto" w:sz="4" w:space="0"/>
              <w:left w:val="single" w:color="auto" w:sz="4" w:space="0"/>
              <w:bottom w:val="single" w:color="auto" w:sz="4" w:space="0"/>
              <w:right w:val="single" w:color="auto" w:sz="4" w:space="0"/>
            </w:tcBorders>
            <w:noWrap w:val="0"/>
            <w:vAlign w:val="center"/>
          </w:tcPr>
          <w:p w14:paraId="28F21AC0">
            <w:pPr>
              <w:snapToGrid w:val="0"/>
              <w:spacing w:before="50" w:after="50"/>
              <w:jc w:val="center"/>
              <w:rPr>
                <w:rFonts w:ascii="宋体" w:hAnsi="宋体" w:cs="宋体"/>
                <w:sz w:val="24"/>
                <w:highlight w:val="none"/>
              </w:rPr>
            </w:pPr>
            <w:r>
              <w:rPr>
                <w:rFonts w:hint="eastAsia" w:ascii="宋体" w:hAnsi="宋体" w:cs="宋体"/>
                <w:sz w:val="24"/>
                <w:highlight w:val="none"/>
              </w:rPr>
              <w:t>备注</w:t>
            </w:r>
          </w:p>
        </w:tc>
      </w:tr>
      <w:tr w14:paraId="7B8E2F6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795" w:type="dxa"/>
            <w:tcBorders>
              <w:top w:val="single" w:color="auto" w:sz="4" w:space="0"/>
              <w:left w:val="single" w:color="auto" w:sz="4" w:space="0"/>
              <w:bottom w:val="single" w:color="auto" w:sz="4" w:space="0"/>
              <w:right w:val="single" w:color="auto" w:sz="4" w:space="0"/>
            </w:tcBorders>
            <w:noWrap w:val="0"/>
            <w:vAlign w:val="center"/>
          </w:tcPr>
          <w:p w14:paraId="03500E6A">
            <w:pPr>
              <w:snapToGrid w:val="0"/>
              <w:spacing w:before="50" w:after="50"/>
              <w:jc w:val="center"/>
              <w:rPr>
                <w:rFonts w:hint="eastAsia" w:ascii="宋体" w:hAnsi="宋体" w:cs="宋体"/>
                <w:sz w:val="24"/>
                <w:highlight w:val="none"/>
              </w:rPr>
            </w:pPr>
          </w:p>
        </w:tc>
        <w:tc>
          <w:tcPr>
            <w:tcW w:w="1456" w:type="dxa"/>
            <w:tcBorders>
              <w:top w:val="single" w:color="auto" w:sz="4" w:space="0"/>
              <w:left w:val="single" w:color="auto" w:sz="4" w:space="0"/>
              <w:bottom w:val="single" w:color="auto" w:sz="4" w:space="0"/>
              <w:right w:val="single" w:color="auto" w:sz="4" w:space="0"/>
            </w:tcBorders>
            <w:noWrap w:val="0"/>
            <w:vAlign w:val="center"/>
          </w:tcPr>
          <w:p w14:paraId="3ED6C09A">
            <w:pPr>
              <w:snapToGrid w:val="0"/>
              <w:spacing w:before="50" w:after="50"/>
              <w:jc w:val="center"/>
              <w:rPr>
                <w:rFonts w:hint="eastAsia" w:ascii="宋体" w:hAnsi="宋体" w:cs="宋体"/>
                <w:sz w:val="24"/>
                <w:highlight w:val="none"/>
              </w:rPr>
            </w:pPr>
          </w:p>
        </w:tc>
        <w:tc>
          <w:tcPr>
            <w:tcW w:w="2877" w:type="dxa"/>
            <w:tcBorders>
              <w:top w:val="single" w:color="auto" w:sz="4" w:space="0"/>
              <w:left w:val="single" w:color="auto" w:sz="4" w:space="0"/>
              <w:bottom w:val="single" w:color="auto" w:sz="4" w:space="0"/>
              <w:right w:val="single" w:color="auto" w:sz="4" w:space="0"/>
            </w:tcBorders>
            <w:noWrap w:val="0"/>
            <w:vAlign w:val="center"/>
          </w:tcPr>
          <w:p w14:paraId="28DAAAFA">
            <w:pPr>
              <w:snapToGrid w:val="0"/>
              <w:spacing w:before="50" w:after="50"/>
              <w:jc w:val="center"/>
              <w:rPr>
                <w:rFonts w:hint="eastAsia" w:ascii="宋体" w:hAnsi="宋体" w:cs="宋体"/>
                <w:sz w:val="24"/>
                <w:highlight w:val="none"/>
              </w:rPr>
            </w:pPr>
          </w:p>
        </w:tc>
        <w:tc>
          <w:tcPr>
            <w:tcW w:w="2370" w:type="dxa"/>
            <w:tcBorders>
              <w:top w:val="single" w:color="auto" w:sz="4" w:space="0"/>
              <w:left w:val="single" w:color="auto" w:sz="4" w:space="0"/>
              <w:bottom w:val="single" w:color="auto" w:sz="4" w:space="0"/>
              <w:right w:val="single" w:color="auto" w:sz="4" w:space="0"/>
            </w:tcBorders>
            <w:noWrap w:val="0"/>
            <w:vAlign w:val="center"/>
          </w:tcPr>
          <w:p w14:paraId="3B9A000A">
            <w:pPr>
              <w:snapToGrid w:val="0"/>
              <w:spacing w:before="50" w:after="50"/>
              <w:rPr>
                <w:rFonts w:hint="eastAsia" w:ascii="宋体" w:hAnsi="宋体" w:cs="宋体"/>
                <w:sz w:val="24"/>
                <w:highlight w:val="none"/>
              </w:rPr>
            </w:pPr>
            <w:r>
              <w:rPr>
                <w:rFonts w:hint="eastAsia" w:ascii="宋体" w:hAnsi="宋体" w:cs="宋体"/>
                <w:sz w:val="24"/>
                <w:highlight w:val="none"/>
              </w:rPr>
              <w:t>（人员或设备）</w:t>
            </w:r>
          </w:p>
        </w:tc>
        <w:tc>
          <w:tcPr>
            <w:tcW w:w="843" w:type="dxa"/>
            <w:tcBorders>
              <w:top w:val="single" w:color="auto" w:sz="4" w:space="0"/>
              <w:left w:val="single" w:color="auto" w:sz="4" w:space="0"/>
              <w:bottom w:val="single" w:color="auto" w:sz="4" w:space="0"/>
              <w:right w:val="single" w:color="auto" w:sz="4" w:space="0"/>
            </w:tcBorders>
            <w:noWrap w:val="0"/>
            <w:vAlign w:val="center"/>
          </w:tcPr>
          <w:p w14:paraId="34D79AF8">
            <w:pPr>
              <w:snapToGrid w:val="0"/>
              <w:spacing w:before="50" w:after="50"/>
              <w:jc w:val="center"/>
              <w:rPr>
                <w:rFonts w:hint="eastAsia" w:ascii="宋体" w:hAnsi="宋体" w:cs="宋体"/>
                <w:sz w:val="24"/>
                <w:highlight w:val="none"/>
              </w:rPr>
            </w:pPr>
          </w:p>
        </w:tc>
        <w:tc>
          <w:tcPr>
            <w:tcW w:w="1554" w:type="dxa"/>
            <w:tcBorders>
              <w:top w:val="single" w:color="auto" w:sz="4" w:space="0"/>
              <w:left w:val="single" w:color="auto" w:sz="4" w:space="0"/>
              <w:bottom w:val="single" w:color="auto" w:sz="4" w:space="0"/>
              <w:right w:val="single" w:color="auto" w:sz="4" w:space="0"/>
            </w:tcBorders>
            <w:noWrap w:val="0"/>
            <w:vAlign w:val="center"/>
          </w:tcPr>
          <w:p w14:paraId="35CB8992">
            <w:pPr>
              <w:snapToGrid w:val="0"/>
              <w:spacing w:before="50" w:after="50"/>
              <w:jc w:val="center"/>
              <w:rPr>
                <w:rFonts w:hint="eastAsia" w:ascii="宋体" w:hAnsi="宋体" w:cs="宋体"/>
                <w:sz w:val="24"/>
                <w:highlight w:val="none"/>
              </w:rPr>
            </w:pPr>
          </w:p>
        </w:tc>
      </w:tr>
      <w:tr w14:paraId="4F6CF6F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795" w:type="dxa"/>
            <w:tcBorders>
              <w:top w:val="single" w:color="auto" w:sz="4" w:space="0"/>
              <w:left w:val="single" w:color="auto" w:sz="4" w:space="0"/>
              <w:bottom w:val="single" w:color="auto" w:sz="4" w:space="0"/>
              <w:right w:val="single" w:color="auto" w:sz="4" w:space="0"/>
            </w:tcBorders>
            <w:noWrap w:val="0"/>
            <w:vAlign w:val="center"/>
          </w:tcPr>
          <w:p w14:paraId="0229FA9B">
            <w:pPr>
              <w:snapToGrid w:val="0"/>
              <w:spacing w:before="50" w:after="50"/>
              <w:jc w:val="center"/>
              <w:rPr>
                <w:rFonts w:hint="eastAsia" w:ascii="宋体" w:hAnsi="宋体" w:cs="宋体"/>
                <w:sz w:val="24"/>
                <w:highlight w:val="none"/>
              </w:rPr>
            </w:pPr>
          </w:p>
        </w:tc>
        <w:tc>
          <w:tcPr>
            <w:tcW w:w="1456" w:type="dxa"/>
            <w:tcBorders>
              <w:top w:val="single" w:color="auto" w:sz="4" w:space="0"/>
              <w:left w:val="single" w:color="auto" w:sz="4" w:space="0"/>
              <w:bottom w:val="single" w:color="auto" w:sz="4" w:space="0"/>
              <w:right w:val="single" w:color="auto" w:sz="4" w:space="0"/>
            </w:tcBorders>
            <w:noWrap w:val="0"/>
            <w:vAlign w:val="center"/>
          </w:tcPr>
          <w:p w14:paraId="5B5EFC88">
            <w:pPr>
              <w:snapToGrid w:val="0"/>
              <w:spacing w:before="50" w:after="50"/>
              <w:jc w:val="center"/>
              <w:rPr>
                <w:rFonts w:hint="eastAsia" w:ascii="宋体" w:hAnsi="宋体" w:cs="宋体"/>
                <w:sz w:val="24"/>
                <w:highlight w:val="none"/>
              </w:rPr>
            </w:pPr>
          </w:p>
        </w:tc>
        <w:tc>
          <w:tcPr>
            <w:tcW w:w="2877" w:type="dxa"/>
            <w:tcBorders>
              <w:top w:val="single" w:color="auto" w:sz="4" w:space="0"/>
              <w:left w:val="single" w:color="auto" w:sz="4" w:space="0"/>
              <w:bottom w:val="single" w:color="auto" w:sz="4" w:space="0"/>
              <w:right w:val="single" w:color="auto" w:sz="4" w:space="0"/>
            </w:tcBorders>
            <w:noWrap w:val="0"/>
            <w:vAlign w:val="center"/>
          </w:tcPr>
          <w:p w14:paraId="64AFD87E">
            <w:pPr>
              <w:snapToGrid w:val="0"/>
              <w:spacing w:before="50" w:after="50"/>
              <w:jc w:val="center"/>
              <w:rPr>
                <w:rFonts w:hint="eastAsia" w:ascii="宋体" w:hAnsi="宋体" w:cs="宋体"/>
                <w:sz w:val="24"/>
                <w:highlight w:val="none"/>
              </w:rPr>
            </w:pPr>
          </w:p>
        </w:tc>
        <w:tc>
          <w:tcPr>
            <w:tcW w:w="2370" w:type="dxa"/>
            <w:tcBorders>
              <w:top w:val="single" w:color="auto" w:sz="4" w:space="0"/>
              <w:left w:val="single" w:color="auto" w:sz="4" w:space="0"/>
              <w:bottom w:val="single" w:color="auto" w:sz="4" w:space="0"/>
              <w:right w:val="single" w:color="auto" w:sz="4" w:space="0"/>
            </w:tcBorders>
            <w:noWrap w:val="0"/>
            <w:vAlign w:val="center"/>
          </w:tcPr>
          <w:p w14:paraId="7D97C9A8">
            <w:pPr>
              <w:snapToGrid w:val="0"/>
              <w:spacing w:before="50" w:after="50"/>
              <w:ind w:left="480" w:hanging="480"/>
              <w:jc w:val="center"/>
              <w:rPr>
                <w:rFonts w:hint="eastAsia" w:ascii="宋体" w:hAnsi="宋体" w:cs="宋体"/>
                <w:sz w:val="24"/>
                <w:highlight w:val="none"/>
              </w:rPr>
            </w:pPr>
          </w:p>
        </w:tc>
        <w:tc>
          <w:tcPr>
            <w:tcW w:w="843" w:type="dxa"/>
            <w:tcBorders>
              <w:top w:val="single" w:color="auto" w:sz="4" w:space="0"/>
              <w:left w:val="single" w:color="auto" w:sz="4" w:space="0"/>
              <w:bottom w:val="single" w:color="auto" w:sz="4" w:space="0"/>
              <w:right w:val="single" w:color="auto" w:sz="4" w:space="0"/>
            </w:tcBorders>
            <w:noWrap w:val="0"/>
            <w:vAlign w:val="center"/>
          </w:tcPr>
          <w:p w14:paraId="65CA6FB1">
            <w:pPr>
              <w:snapToGrid w:val="0"/>
              <w:spacing w:before="50" w:after="50"/>
              <w:jc w:val="center"/>
              <w:rPr>
                <w:rFonts w:hint="eastAsia" w:ascii="宋体" w:hAnsi="宋体" w:cs="宋体"/>
                <w:sz w:val="24"/>
                <w:highlight w:val="none"/>
              </w:rPr>
            </w:pPr>
          </w:p>
        </w:tc>
        <w:tc>
          <w:tcPr>
            <w:tcW w:w="1554" w:type="dxa"/>
            <w:tcBorders>
              <w:top w:val="single" w:color="auto" w:sz="4" w:space="0"/>
              <w:left w:val="single" w:color="auto" w:sz="4" w:space="0"/>
              <w:bottom w:val="single" w:color="auto" w:sz="4" w:space="0"/>
              <w:right w:val="single" w:color="auto" w:sz="4" w:space="0"/>
            </w:tcBorders>
            <w:noWrap w:val="0"/>
            <w:vAlign w:val="center"/>
          </w:tcPr>
          <w:p w14:paraId="16F561CC">
            <w:pPr>
              <w:snapToGrid w:val="0"/>
              <w:spacing w:before="50" w:after="50"/>
              <w:jc w:val="center"/>
              <w:rPr>
                <w:rFonts w:hint="eastAsia" w:ascii="宋体" w:hAnsi="宋体" w:cs="宋体"/>
                <w:sz w:val="24"/>
                <w:highlight w:val="none"/>
              </w:rPr>
            </w:pPr>
          </w:p>
        </w:tc>
      </w:tr>
    </w:tbl>
    <w:p w14:paraId="5C139111">
      <w:pPr>
        <w:snapToGrid w:val="0"/>
        <w:spacing w:before="167" w:beforeLines="50"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注：在填写时，如上表不适合本项目的实际情况，可在确保投标明细内容完整的情况下，根据上表格式自行划表填写。</w:t>
      </w:r>
    </w:p>
    <w:p w14:paraId="5296ACB0">
      <w:pPr>
        <w:pStyle w:val="13"/>
        <w:rPr>
          <w:rFonts w:hint="eastAsia" w:ascii="宋体" w:hAnsi="宋体" w:eastAsia="宋体" w:cs="宋体"/>
          <w:sz w:val="24"/>
          <w:highlight w:val="none"/>
        </w:rPr>
      </w:pPr>
    </w:p>
    <w:p w14:paraId="5C774310">
      <w:pPr>
        <w:pStyle w:val="13"/>
        <w:rPr>
          <w:rFonts w:hint="eastAsia" w:ascii="宋体" w:hAnsi="宋体" w:eastAsia="宋体" w:cs="宋体"/>
          <w:sz w:val="24"/>
          <w:highlight w:val="none"/>
        </w:rPr>
      </w:pPr>
    </w:p>
    <w:p w14:paraId="41B9B4C3">
      <w:pPr>
        <w:pStyle w:val="13"/>
        <w:rPr>
          <w:rFonts w:hint="eastAsia" w:ascii="宋体" w:hAnsi="宋体" w:eastAsia="宋体" w:cs="宋体"/>
          <w:sz w:val="24"/>
          <w:highlight w:val="none"/>
        </w:rPr>
      </w:pPr>
    </w:p>
    <w:p w14:paraId="7F559E4C">
      <w:pPr>
        <w:snapToGrid w:val="0"/>
        <w:spacing w:before="167" w:beforeLines="50"/>
        <w:rPr>
          <w:rFonts w:hint="eastAsia" w:ascii="宋体" w:hAnsi="宋体" w:eastAsia="宋体" w:cs="宋体"/>
          <w:sz w:val="24"/>
          <w:highlight w:val="none"/>
        </w:rPr>
      </w:pPr>
    </w:p>
    <w:p w14:paraId="1B4532D3">
      <w:pPr>
        <w:spacing w:line="360" w:lineRule="auto"/>
        <w:ind w:leftChars="1800" w:firstLine="480" w:firstLineChars="200"/>
        <w:rPr>
          <w:rFonts w:hint="eastAsia" w:ascii="宋体" w:hAnsi="宋体" w:eastAsia="宋体" w:cs="宋体"/>
          <w:sz w:val="24"/>
          <w:highlight w:val="none"/>
        </w:rPr>
      </w:pPr>
      <w:r>
        <w:rPr>
          <w:rFonts w:hint="eastAsia" w:ascii="宋体" w:hAnsi="宋体" w:eastAsia="宋体" w:cs="宋体"/>
          <w:sz w:val="24"/>
          <w:highlight w:val="none"/>
        </w:rPr>
        <w:t xml:space="preserve">法定代表人签名（或签名章）：                       </w:t>
      </w:r>
    </w:p>
    <w:p w14:paraId="6785BE51">
      <w:pPr>
        <w:spacing w:line="360" w:lineRule="auto"/>
        <w:ind w:leftChars="1800" w:firstLine="480" w:firstLineChars="200"/>
        <w:rPr>
          <w:rFonts w:hint="eastAsia" w:ascii="宋体" w:hAnsi="宋体" w:eastAsia="宋体" w:cs="宋体"/>
          <w:sz w:val="24"/>
          <w:highlight w:val="none"/>
        </w:rPr>
      </w:pPr>
      <w:r>
        <w:rPr>
          <w:rFonts w:hint="eastAsia" w:ascii="宋体" w:hAnsi="宋体" w:eastAsia="宋体" w:cs="宋体"/>
          <w:sz w:val="24"/>
          <w:highlight w:val="none"/>
        </w:rPr>
        <w:t>日 期：</w:t>
      </w:r>
    </w:p>
    <w:p w14:paraId="0711BBFC">
      <w:pPr>
        <w:spacing w:line="360" w:lineRule="auto"/>
        <w:ind w:leftChars="1800" w:firstLine="480" w:firstLineChars="200"/>
        <w:rPr>
          <w:rFonts w:hint="eastAsia" w:ascii="宋体" w:hAnsi="宋体" w:eastAsia="宋体" w:cs="宋体"/>
          <w:sz w:val="24"/>
          <w:highlight w:val="none"/>
        </w:rPr>
      </w:pPr>
      <w:r>
        <w:rPr>
          <w:rFonts w:hint="eastAsia" w:ascii="宋体" w:hAnsi="宋体" w:eastAsia="宋体" w:cs="宋体"/>
          <w:sz w:val="24"/>
          <w:highlight w:val="none"/>
        </w:rPr>
        <w:t>投标人全称（公章）：</w:t>
      </w:r>
    </w:p>
    <w:p w14:paraId="798F3E6E">
      <w:pPr>
        <w:snapToGrid w:val="0"/>
        <w:spacing w:before="50" w:after="50"/>
        <w:rPr>
          <w:rFonts w:hint="eastAsia" w:ascii="宋体" w:hAnsi="宋体" w:eastAsia="宋体" w:cs="宋体"/>
          <w:spacing w:val="20"/>
          <w:sz w:val="24"/>
          <w:highlight w:val="none"/>
        </w:rPr>
      </w:pPr>
    </w:p>
    <w:p w14:paraId="053FBD46">
      <w:pPr>
        <w:snapToGrid w:val="0"/>
        <w:spacing w:before="50" w:after="50"/>
        <w:rPr>
          <w:rFonts w:hint="eastAsia" w:ascii="宋体" w:hAnsi="宋体" w:eastAsia="宋体" w:cs="宋体"/>
          <w:spacing w:val="20"/>
          <w:sz w:val="30"/>
          <w:szCs w:val="30"/>
          <w:highlight w:val="none"/>
        </w:rPr>
      </w:pPr>
    </w:p>
    <w:p w14:paraId="22505789">
      <w:pPr>
        <w:pStyle w:val="13"/>
        <w:ind w:firstLine="686"/>
        <w:rPr>
          <w:rFonts w:hint="eastAsia" w:ascii="宋体" w:hAnsi="宋体" w:eastAsia="宋体" w:cs="宋体"/>
          <w:spacing w:val="20"/>
          <w:sz w:val="30"/>
          <w:szCs w:val="30"/>
          <w:highlight w:val="none"/>
        </w:rPr>
      </w:pPr>
    </w:p>
    <w:p w14:paraId="7EA54ECA">
      <w:pPr>
        <w:pStyle w:val="13"/>
        <w:ind w:firstLine="686"/>
        <w:rPr>
          <w:rFonts w:hint="eastAsia" w:ascii="宋体" w:hAnsi="宋体" w:eastAsia="宋体" w:cs="宋体"/>
          <w:spacing w:val="20"/>
          <w:sz w:val="30"/>
          <w:szCs w:val="30"/>
          <w:highlight w:val="none"/>
        </w:rPr>
      </w:pPr>
    </w:p>
    <w:p w14:paraId="47F83FD9">
      <w:pPr>
        <w:pStyle w:val="13"/>
        <w:ind w:firstLine="686"/>
        <w:rPr>
          <w:rFonts w:hint="eastAsia" w:ascii="宋体" w:hAnsi="宋体" w:eastAsia="宋体" w:cs="宋体"/>
          <w:spacing w:val="20"/>
          <w:sz w:val="30"/>
          <w:szCs w:val="30"/>
          <w:highlight w:val="none"/>
        </w:rPr>
      </w:pPr>
    </w:p>
    <w:p w14:paraId="5B79D132">
      <w:pPr>
        <w:pStyle w:val="13"/>
        <w:ind w:firstLine="686"/>
        <w:rPr>
          <w:rFonts w:hint="eastAsia" w:ascii="宋体" w:hAnsi="宋体" w:eastAsia="宋体" w:cs="宋体"/>
          <w:spacing w:val="20"/>
          <w:sz w:val="30"/>
          <w:szCs w:val="30"/>
          <w:highlight w:val="none"/>
        </w:rPr>
      </w:pPr>
    </w:p>
    <w:p w14:paraId="407A1F0D">
      <w:pPr>
        <w:pStyle w:val="4"/>
        <w:numPr>
          <w:ilvl w:val="0"/>
          <w:numId w:val="0"/>
        </w:numPr>
        <w:ind w:leftChars="0"/>
        <w:outlineLvl w:val="0"/>
        <w:rPr>
          <w:rFonts w:hint="eastAsia" w:ascii="宋体" w:hAnsi="宋体" w:eastAsia="宋体" w:cs="宋体"/>
          <w:b/>
          <w:bCs/>
          <w:color w:val="000000"/>
          <w:sz w:val="24"/>
          <w:szCs w:val="24"/>
          <w:highlight w:val="none"/>
        </w:rPr>
      </w:pPr>
      <w:bookmarkStart w:id="545" w:name="_Toc2823"/>
      <w:r>
        <w:rPr>
          <w:rFonts w:hint="eastAsia" w:ascii="宋体" w:hAnsi="宋体" w:eastAsia="宋体" w:cs="宋体"/>
          <w:b/>
          <w:bCs/>
          <w:color w:val="000000"/>
          <w:sz w:val="24"/>
          <w:szCs w:val="24"/>
          <w:highlight w:val="none"/>
        </w:rPr>
        <w:br w:type="page"/>
      </w:r>
      <w:bookmarkEnd w:id="545"/>
      <w:bookmarkStart w:id="546" w:name="_Toc7913"/>
      <w:bookmarkStart w:id="547" w:name="_Toc2837"/>
    </w:p>
    <w:p w14:paraId="46DE36DA">
      <w:pPr>
        <w:pStyle w:val="4"/>
        <w:rPr>
          <w:rFonts w:hint="eastAsia" w:hAnsi="宋体" w:cs="宋体"/>
          <w:bCs/>
          <w:color w:val="auto"/>
          <w:sz w:val="24"/>
          <w:szCs w:val="24"/>
          <w:highlight w:val="none"/>
        </w:rPr>
      </w:pPr>
      <w:r>
        <w:rPr>
          <w:rFonts w:hint="eastAsia" w:hAnsi="宋体" w:cs="宋体"/>
          <w:bCs/>
          <w:color w:val="auto"/>
          <w:sz w:val="24"/>
          <w:szCs w:val="24"/>
          <w:highlight w:val="none"/>
        </w:rPr>
        <w:t>附件六：</w:t>
      </w:r>
    </w:p>
    <w:p w14:paraId="1616B9E8">
      <w:pPr>
        <w:spacing w:line="360" w:lineRule="auto"/>
        <w:jc w:val="center"/>
        <w:rPr>
          <w:rFonts w:hint="eastAsia" w:ascii="宋体" w:hAnsi="宋体" w:cs="宋体"/>
          <w:b/>
          <w:bCs/>
          <w:color w:val="auto"/>
          <w:sz w:val="32"/>
          <w:szCs w:val="32"/>
          <w:highlight w:val="none"/>
        </w:rPr>
      </w:pPr>
      <w:r>
        <w:rPr>
          <w:rFonts w:hint="eastAsia" w:ascii="宋体" w:hAnsi="宋体" w:cs="宋体"/>
          <w:b/>
          <w:bCs/>
          <w:color w:val="auto"/>
          <w:sz w:val="32"/>
          <w:szCs w:val="32"/>
          <w:highlight w:val="none"/>
        </w:rPr>
        <w:t>技术响应及建议表</w:t>
      </w:r>
    </w:p>
    <w:p w14:paraId="2D8150BA">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             </w:t>
      </w:r>
    </w:p>
    <w:p w14:paraId="3FE806C6">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项目名称：</w:t>
      </w:r>
    </w:p>
    <w:p w14:paraId="30E777FF">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采购编号：</w:t>
      </w:r>
    </w:p>
    <w:tbl>
      <w:tblPr>
        <w:tblStyle w:val="3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1440"/>
        <w:gridCol w:w="1980"/>
        <w:gridCol w:w="2520"/>
        <w:gridCol w:w="1953"/>
      </w:tblGrid>
      <w:tr w14:paraId="467721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20" w:type="dxa"/>
            <w:noWrap w:val="0"/>
            <w:vAlign w:val="center"/>
          </w:tcPr>
          <w:p w14:paraId="1E9E0887">
            <w:pPr>
              <w:snapToGrid w:val="0"/>
              <w:spacing w:before="50" w:after="50"/>
              <w:jc w:val="center"/>
              <w:rPr>
                <w:rFonts w:hint="eastAsia" w:ascii="宋体" w:hAnsi="宋体" w:cs="宋体"/>
                <w:color w:val="auto"/>
                <w:sz w:val="24"/>
                <w:highlight w:val="none"/>
              </w:rPr>
            </w:pPr>
            <w:r>
              <w:rPr>
                <w:rFonts w:hint="eastAsia" w:ascii="宋体" w:hAnsi="宋体" w:cs="宋体"/>
                <w:color w:val="auto"/>
                <w:sz w:val="24"/>
                <w:highlight w:val="none"/>
              </w:rPr>
              <w:t>序号</w:t>
            </w:r>
          </w:p>
        </w:tc>
        <w:tc>
          <w:tcPr>
            <w:tcW w:w="1440" w:type="dxa"/>
            <w:noWrap w:val="0"/>
            <w:vAlign w:val="center"/>
          </w:tcPr>
          <w:p w14:paraId="066EAD91">
            <w:pPr>
              <w:snapToGrid w:val="0"/>
              <w:spacing w:before="50" w:after="50"/>
              <w:jc w:val="center"/>
              <w:rPr>
                <w:rFonts w:hint="eastAsia" w:ascii="宋体" w:hAnsi="宋体" w:cs="宋体"/>
                <w:color w:val="auto"/>
                <w:sz w:val="24"/>
                <w:highlight w:val="none"/>
              </w:rPr>
            </w:pPr>
            <w:r>
              <w:rPr>
                <w:rFonts w:hint="eastAsia" w:ascii="宋体" w:hAnsi="宋体" w:cs="宋体"/>
                <w:color w:val="auto"/>
                <w:sz w:val="24"/>
                <w:highlight w:val="none"/>
              </w:rPr>
              <w:t>名称</w:t>
            </w:r>
          </w:p>
        </w:tc>
        <w:tc>
          <w:tcPr>
            <w:tcW w:w="1980" w:type="dxa"/>
            <w:noWrap w:val="0"/>
            <w:vAlign w:val="center"/>
          </w:tcPr>
          <w:p w14:paraId="7E5ECDDE">
            <w:pPr>
              <w:snapToGrid w:val="0"/>
              <w:spacing w:before="50" w:after="50"/>
              <w:jc w:val="center"/>
              <w:rPr>
                <w:rFonts w:hint="eastAsia" w:ascii="宋体" w:hAnsi="宋体" w:cs="宋体"/>
                <w:color w:val="auto"/>
                <w:sz w:val="24"/>
                <w:highlight w:val="none"/>
              </w:rPr>
            </w:pPr>
            <w:r>
              <w:rPr>
                <w:rFonts w:hint="eastAsia" w:ascii="宋体" w:hAnsi="宋体" w:cs="宋体"/>
                <w:color w:val="auto"/>
                <w:sz w:val="24"/>
                <w:highlight w:val="none"/>
              </w:rPr>
              <w:t>招标文件要求</w:t>
            </w:r>
          </w:p>
        </w:tc>
        <w:tc>
          <w:tcPr>
            <w:tcW w:w="2520" w:type="dxa"/>
            <w:noWrap w:val="0"/>
            <w:vAlign w:val="center"/>
          </w:tcPr>
          <w:p w14:paraId="06B23991">
            <w:pPr>
              <w:snapToGrid w:val="0"/>
              <w:spacing w:before="50" w:after="50"/>
              <w:jc w:val="center"/>
              <w:rPr>
                <w:rFonts w:hint="eastAsia" w:ascii="宋体" w:hAnsi="宋体" w:cs="宋体"/>
                <w:color w:val="auto"/>
                <w:sz w:val="24"/>
                <w:highlight w:val="none"/>
              </w:rPr>
            </w:pPr>
            <w:r>
              <w:rPr>
                <w:rFonts w:hint="eastAsia" w:ascii="宋体" w:hAnsi="宋体" w:cs="宋体"/>
                <w:color w:val="auto"/>
                <w:sz w:val="24"/>
                <w:highlight w:val="none"/>
              </w:rPr>
              <w:t>投标文件响应</w:t>
            </w:r>
          </w:p>
        </w:tc>
        <w:tc>
          <w:tcPr>
            <w:tcW w:w="1953" w:type="dxa"/>
            <w:noWrap w:val="0"/>
            <w:vAlign w:val="center"/>
          </w:tcPr>
          <w:p w14:paraId="24B5EF9A">
            <w:pPr>
              <w:snapToGrid w:val="0"/>
              <w:spacing w:before="50" w:after="50"/>
              <w:jc w:val="center"/>
              <w:rPr>
                <w:rFonts w:hint="eastAsia" w:ascii="宋体" w:hAnsi="宋体" w:cs="宋体"/>
                <w:color w:val="auto"/>
                <w:sz w:val="24"/>
                <w:highlight w:val="none"/>
              </w:rPr>
            </w:pPr>
            <w:r>
              <w:rPr>
                <w:rFonts w:hint="eastAsia" w:ascii="宋体" w:hAnsi="宋体" w:cs="宋体"/>
                <w:color w:val="auto"/>
                <w:sz w:val="24"/>
                <w:highlight w:val="none"/>
              </w:rPr>
              <w:t>偏离情况</w:t>
            </w:r>
          </w:p>
        </w:tc>
      </w:tr>
      <w:tr w14:paraId="40CFB9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20" w:type="dxa"/>
            <w:noWrap w:val="0"/>
            <w:vAlign w:val="center"/>
          </w:tcPr>
          <w:p w14:paraId="0F5CF046">
            <w:pPr>
              <w:snapToGrid w:val="0"/>
              <w:spacing w:before="50" w:after="50"/>
              <w:jc w:val="center"/>
              <w:rPr>
                <w:rFonts w:hint="eastAsia" w:ascii="宋体" w:hAnsi="宋体" w:cs="宋体"/>
                <w:color w:val="auto"/>
                <w:sz w:val="24"/>
                <w:highlight w:val="none"/>
              </w:rPr>
            </w:pPr>
          </w:p>
        </w:tc>
        <w:tc>
          <w:tcPr>
            <w:tcW w:w="1440" w:type="dxa"/>
            <w:noWrap w:val="0"/>
            <w:vAlign w:val="center"/>
          </w:tcPr>
          <w:p w14:paraId="70500B05">
            <w:pPr>
              <w:snapToGrid w:val="0"/>
              <w:spacing w:before="50" w:after="50"/>
              <w:jc w:val="center"/>
              <w:rPr>
                <w:rFonts w:hint="eastAsia" w:ascii="宋体" w:hAnsi="宋体" w:cs="宋体"/>
                <w:color w:val="auto"/>
                <w:sz w:val="24"/>
                <w:highlight w:val="none"/>
              </w:rPr>
            </w:pPr>
          </w:p>
        </w:tc>
        <w:tc>
          <w:tcPr>
            <w:tcW w:w="1980" w:type="dxa"/>
            <w:noWrap w:val="0"/>
            <w:vAlign w:val="center"/>
          </w:tcPr>
          <w:p w14:paraId="4C3FA68C">
            <w:pPr>
              <w:snapToGrid w:val="0"/>
              <w:spacing w:before="50" w:after="50"/>
              <w:jc w:val="center"/>
              <w:rPr>
                <w:rFonts w:hint="eastAsia" w:ascii="宋体" w:hAnsi="宋体" w:cs="宋体"/>
                <w:color w:val="auto"/>
                <w:sz w:val="24"/>
                <w:highlight w:val="none"/>
              </w:rPr>
            </w:pPr>
          </w:p>
        </w:tc>
        <w:tc>
          <w:tcPr>
            <w:tcW w:w="2520" w:type="dxa"/>
            <w:noWrap w:val="0"/>
            <w:vAlign w:val="center"/>
          </w:tcPr>
          <w:p w14:paraId="516B1E66">
            <w:pPr>
              <w:snapToGrid w:val="0"/>
              <w:spacing w:before="50" w:after="50"/>
              <w:jc w:val="center"/>
              <w:rPr>
                <w:rFonts w:hint="eastAsia" w:ascii="宋体" w:hAnsi="宋体" w:cs="宋体"/>
                <w:color w:val="auto"/>
                <w:sz w:val="24"/>
                <w:highlight w:val="none"/>
              </w:rPr>
            </w:pPr>
          </w:p>
        </w:tc>
        <w:tc>
          <w:tcPr>
            <w:tcW w:w="1953" w:type="dxa"/>
            <w:noWrap w:val="0"/>
            <w:vAlign w:val="center"/>
          </w:tcPr>
          <w:p w14:paraId="2527E759">
            <w:pPr>
              <w:snapToGrid w:val="0"/>
              <w:spacing w:before="50" w:after="50"/>
              <w:jc w:val="center"/>
              <w:rPr>
                <w:rFonts w:hint="eastAsia" w:ascii="宋体" w:hAnsi="宋体" w:cs="宋体"/>
                <w:color w:val="auto"/>
                <w:sz w:val="24"/>
                <w:highlight w:val="none"/>
              </w:rPr>
            </w:pPr>
          </w:p>
        </w:tc>
      </w:tr>
      <w:tr w14:paraId="288328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20" w:type="dxa"/>
            <w:noWrap w:val="0"/>
            <w:vAlign w:val="center"/>
          </w:tcPr>
          <w:p w14:paraId="13FE6CAE">
            <w:pPr>
              <w:snapToGrid w:val="0"/>
              <w:spacing w:before="50" w:after="50"/>
              <w:jc w:val="center"/>
              <w:rPr>
                <w:rFonts w:hint="eastAsia" w:ascii="宋体" w:hAnsi="宋体" w:cs="宋体"/>
                <w:color w:val="auto"/>
                <w:sz w:val="24"/>
                <w:highlight w:val="none"/>
              </w:rPr>
            </w:pPr>
          </w:p>
        </w:tc>
        <w:tc>
          <w:tcPr>
            <w:tcW w:w="1440" w:type="dxa"/>
            <w:noWrap w:val="0"/>
            <w:vAlign w:val="center"/>
          </w:tcPr>
          <w:p w14:paraId="57B93A1D">
            <w:pPr>
              <w:snapToGrid w:val="0"/>
              <w:spacing w:before="50" w:after="50"/>
              <w:jc w:val="center"/>
              <w:rPr>
                <w:rFonts w:hint="eastAsia" w:ascii="宋体" w:hAnsi="宋体" w:cs="宋体"/>
                <w:color w:val="auto"/>
                <w:sz w:val="24"/>
                <w:highlight w:val="none"/>
              </w:rPr>
            </w:pPr>
          </w:p>
        </w:tc>
        <w:tc>
          <w:tcPr>
            <w:tcW w:w="1980" w:type="dxa"/>
            <w:noWrap w:val="0"/>
            <w:vAlign w:val="center"/>
          </w:tcPr>
          <w:p w14:paraId="7F2553AA">
            <w:pPr>
              <w:snapToGrid w:val="0"/>
              <w:spacing w:before="50" w:after="50"/>
              <w:jc w:val="center"/>
              <w:rPr>
                <w:rFonts w:hint="eastAsia" w:ascii="宋体" w:hAnsi="宋体" w:cs="宋体"/>
                <w:color w:val="auto"/>
                <w:sz w:val="24"/>
                <w:highlight w:val="none"/>
              </w:rPr>
            </w:pPr>
          </w:p>
        </w:tc>
        <w:tc>
          <w:tcPr>
            <w:tcW w:w="2520" w:type="dxa"/>
            <w:noWrap w:val="0"/>
            <w:vAlign w:val="center"/>
          </w:tcPr>
          <w:p w14:paraId="6816C14C">
            <w:pPr>
              <w:snapToGrid w:val="0"/>
              <w:spacing w:before="50" w:after="50"/>
              <w:jc w:val="center"/>
              <w:rPr>
                <w:rFonts w:hint="eastAsia" w:ascii="宋体" w:hAnsi="宋体" w:cs="宋体"/>
                <w:color w:val="auto"/>
                <w:sz w:val="24"/>
                <w:highlight w:val="none"/>
              </w:rPr>
            </w:pPr>
          </w:p>
        </w:tc>
        <w:tc>
          <w:tcPr>
            <w:tcW w:w="1953" w:type="dxa"/>
            <w:noWrap w:val="0"/>
            <w:vAlign w:val="center"/>
          </w:tcPr>
          <w:p w14:paraId="73DF4B23">
            <w:pPr>
              <w:snapToGrid w:val="0"/>
              <w:spacing w:before="50" w:after="50"/>
              <w:jc w:val="center"/>
              <w:rPr>
                <w:rFonts w:hint="eastAsia" w:ascii="宋体" w:hAnsi="宋体" w:cs="宋体"/>
                <w:color w:val="auto"/>
                <w:sz w:val="24"/>
                <w:highlight w:val="none"/>
              </w:rPr>
            </w:pPr>
          </w:p>
        </w:tc>
      </w:tr>
      <w:tr w14:paraId="5EC435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20" w:type="dxa"/>
            <w:noWrap w:val="0"/>
            <w:vAlign w:val="center"/>
          </w:tcPr>
          <w:p w14:paraId="7E7C2E75">
            <w:pPr>
              <w:snapToGrid w:val="0"/>
              <w:spacing w:before="50" w:after="50"/>
              <w:jc w:val="center"/>
              <w:rPr>
                <w:rFonts w:hint="eastAsia" w:ascii="宋体" w:hAnsi="宋体" w:cs="宋体"/>
                <w:color w:val="auto"/>
                <w:sz w:val="24"/>
                <w:highlight w:val="none"/>
              </w:rPr>
            </w:pPr>
          </w:p>
        </w:tc>
        <w:tc>
          <w:tcPr>
            <w:tcW w:w="1440" w:type="dxa"/>
            <w:noWrap w:val="0"/>
            <w:vAlign w:val="center"/>
          </w:tcPr>
          <w:p w14:paraId="104DDEE0">
            <w:pPr>
              <w:snapToGrid w:val="0"/>
              <w:spacing w:before="50" w:after="50"/>
              <w:jc w:val="center"/>
              <w:rPr>
                <w:rFonts w:hint="eastAsia" w:ascii="宋体" w:hAnsi="宋体" w:cs="宋体"/>
                <w:color w:val="auto"/>
                <w:sz w:val="24"/>
                <w:highlight w:val="none"/>
              </w:rPr>
            </w:pPr>
          </w:p>
        </w:tc>
        <w:tc>
          <w:tcPr>
            <w:tcW w:w="1980" w:type="dxa"/>
            <w:noWrap w:val="0"/>
            <w:vAlign w:val="center"/>
          </w:tcPr>
          <w:p w14:paraId="117E39C4">
            <w:pPr>
              <w:snapToGrid w:val="0"/>
              <w:spacing w:before="50" w:after="50"/>
              <w:jc w:val="center"/>
              <w:rPr>
                <w:rFonts w:hint="eastAsia" w:ascii="宋体" w:hAnsi="宋体" w:cs="宋体"/>
                <w:color w:val="auto"/>
                <w:sz w:val="24"/>
                <w:highlight w:val="none"/>
              </w:rPr>
            </w:pPr>
          </w:p>
        </w:tc>
        <w:tc>
          <w:tcPr>
            <w:tcW w:w="2520" w:type="dxa"/>
            <w:noWrap w:val="0"/>
            <w:vAlign w:val="center"/>
          </w:tcPr>
          <w:p w14:paraId="7AF9F10B">
            <w:pPr>
              <w:snapToGrid w:val="0"/>
              <w:spacing w:before="50" w:after="50"/>
              <w:jc w:val="center"/>
              <w:rPr>
                <w:rFonts w:hint="eastAsia" w:ascii="宋体" w:hAnsi="宋体" w:cs="宋体"/>
                <w:color w:val="auto"/>
                <w:sz w:val="24"/>
                <w:highlight w:val="none"/>
              </w:rPr>
            </w:pPr>
          </w:p>
        </w:tc>
        <w:tc>
          <w:tcPr>
            <w:tcW w:w="1953" w:type="dxa"/>
            <w:noWrap w:val="0"/>
            <w:vAlign w:val="center"/>
          </w:tcPr>
          <w:p w14:paraId="339EA8C6">
            <w:pPr>
              <w:snapToGrid w:val="0"/>
              <w:spacing w:before="50" w:after="50"/>
              <w:jc w:val="center"/>
              <w:rPr>
                <w:rFonts w:hint="eastAsia" w:ascii="宋体" w:hAnsi="宋体" w:cs="宋体"/>
                <w:color w:val="auto"/>
                <w:sz w:val="24"/>
                <w:highlight w:val="none"/>
              </w:rPr>
            </w:pPr>
          </w:p>
        </w:tc>
      </w:tr>
      <w:tr w14:paraId="22F296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20" w:type="dxa"/>
            <w:noWrap w:val="0"/>
            <w:vAlign w:val="center"/>
          </w:tcPr>
          <w:p w14:paraId="2E91E003">
            <w:pPr>
              <w:snapToGrid w:val="0"/>
              <w:spacing w:before="50" w:after="50"/>
              <w:jc w:val="center"/>
              <w:rPr>
                <w:rFonts w:hint="eastAsia" w:ascii="宋体" w:hAnsi="宋体" w:cs="宋体"/>
                <w:color w:val="auto"/>
                <w:sz w:val="24"/>
                <w:highlight w:val="none"/>
              </w:rPr>
            </w:pPr>
          </w:p>
        </w:tc>
        <w:tc>
          <w:tcPr>
            <w:tcW w:w="1440" w:type="dxa"/>
            <w:noWrap w:val="0"/>
            <w:vAlign w:val="center"/>
          </w:tcPr>
          <w:p w14:paraId="31369775">
            <w:pPr>
              <w:snapToGrid w:val="0"/>
              <w:spacing w:before="50" w:after="50"/>
              <w:jc w:val="center"/>
              <w:rPr>
                <w:rFonts w:hint="eastAsia" w:ascii="宋体" w:hAnsi="宋体" w:cs="宋体"/>
                <w:color w:val="auto"/>
                <w:sz w:val="24"/>
                <w:highlight w:val="none"/>
              </w:rPr>
            </w:pPr>
          </w:p>
        </w:tc>
        <w:tc>
          <w:tcPr>
            <w:tcW w:w="1980" w:type="dxa"/>
            <w:noWrap w:val="0"/>
            <w:vAlign w:val="center"/>
          </w:tcPr>
          <w:p w14:paraId="5969CE12">
            <w:pPr>
              <w:snapToGrid w:val="0"/>
              <w:spacing w:before="50" w:after="50"/>
              <w:jc w:val="center"/>
              <w:rPr>
                <w:rFonts w:hint="eastAsia" w:ascii="宋体" w:hAnsi="宋体" w:cs="宋体"/>
                <w:color w:val="auto"/>
                <w:sz w:val="24"/>
                <w:highlight w:val="none"/>
              </w:rPr>
            </w:pPr>
          </w:p>
        </w:tc>
        <w:tc>
          <w:tcPr>
            <w:tcW w:w="2520" w:type="dxa"/>
            <w:noWrap w:val="0"/>
            <w:vAlign w:val="center"/>
          </w:tcPr>
          <w:p w14:paraId="550BC982">
            <w:pPr>
              <w:snapToGrid w:val="0"/>
              <w:spacing w:before="50" w:after="50"/>
              <w:jc w:val="center"/>
              <w:rPr>
                <w:rFonts w:hint="eastAsia" w:ascii="宋体" w:hAnsi="宋体" w:cs="宋体"/>
                <w:color w:val="auto"/>
                <w:sz w:val="24"/>
                <w:highlight w:val="none"/>
              </w:rPr>
            </w:pPr>
          </w:p>
        </w:tc>
        <w:tc>
          <w:tcPr>
            <w:tcW w:w="1953" w:type="dxa"/>
            <w:noWrap w:val="0"/>
            <w:vAlign w:val="center"/>
          </w:tcPr>
          <w:p w14:paraId="4B11CE19">
            <w:pPr>
              <w:snapToGrid w:val="0"/>
              <w:spacing w:before="50" w:after="50"/>
              <w:jc w:val="center"/>
              <w:rPr>
                <w:rFonts w:hint="eastAsia" w:ascii="宋体" w:hAnsi="宋体" w:cs="宋体"/>
                <w:color w:val="auto"/>
                <w:sz w:val="24"/>
                <w:highlight w:val="none"/>
              </w:rPr>
            </w:pPr>
          </w:p>
        </w:tc>
      </w:tr>
      <w:tr w14:paraId="322376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20" w:type="dxa"/>
            <w:noWrap w:val="0"/>
            <w:vAlign w:val="center"/>
          </w:tcPr>
          <w:p w14:paraId="139F2780">
            <w:pPr>
              <w:snapToGrid w:val="0"/>
              <w:spacing w:before="50" w:after="50"/>
              <w:jc w:val="center"/>
              <w:rPr>
                <w:rFonts w:hint="eastAsia" w:ascii="宋体" w:hAnsi="宋体" w:cs="宋体"/>
                <w:color w:val="auto"/>
                <w:sz w:val="24"/>
                <w:highlight w:val="none"/>
              </w:rPr>
            </w:pPr>
          </w:p>
        </w:tc>
        <w:tc>
          <w:tcPr>
            <w:tcW w:w="1440" w:type="dxa"/>
            <w:noWrap w:val="0"/>
            <w:vAlign w:val="center"/>
          </w:tcPr>
          <w:p w14:paraId="7B3E92C2">
            <w:pPr>
              <w:snapToGrid w:val="0"/>
              <w:spacing w:before="50" w:after="50"/>
              <w:jc w:val="center"/>
              <w:rPr>
                <w:rFonts w:hint="eastAsia" w:ascii="宋体" w:hAnsi="宋体" w:cs="宋体"/>
                <w:color w:val="auto"/>
                <w:sz w:val="24"/>
                <w:highlight w:val="none"/>
              </w:rPr>
            </w:pPr>
          </w:p>
        </w:tc>
        <w:tc>
          <w:tcPr>
            <w:tcW w:w="1980" w:type="dxa"/>
            <w:noWrap w:val="0"/>
            <w:vAlign w:val="center"/>
          </w:tcPr>
          <w:p w14:paraId="1F10B1E2">
            <w:pPr>
              <w:snapToGrid w:val="0"/>
              <w:spacing w:before="50" w:after="50"/>
              <w:jc w:val="center"/>
              <w:rPr>
                <w:rFonts w:hint="eastAsia" w:ascii="宋体" w:hAnsi="宋体" w:cs="宋体"/>
                <w:color w:val="auto"/>
                <w:sz w:val="24"/>
                <w:highlight w:val="none"/>
              </w:rPr>
            </w:pPr>
          </w:p>
        </w:tc>
        <w:tc>
          <w:tcPr>
            <w:tcW w:w="2520" w:type="dxa"/>
            <w:noWrap w:val="0"/>
            <w:vAlign w:val="center"/>
          </w:tcPr>
          <w:p w14:paraId="4019EE94">
            <w:pPr>
              <w:snapToGrid w:val="0"/>
              <w:spacing w:before="50" w:after="50"/>
              <w:jc w:val="center"/>
              <w:rPr>
                <w:rFonts w:hint="eastAsia" w:ascii="宋体" w:hAnsi="宋体" w:cs="宋体"/>
                <w:color w:val="auto"/>
                <w:sz w:val="24"/>
                <w:highlight w:val="none"/>
              </w:rPr>
            </w:pPr>
          </w:p>
        </w:tc>
        <w:tc>
          <w:tcPr>
            <w:tcW w:w="1953" w:type="dxa"/>
            <w:noWrap w:val="0"/>
            <w:vAlign w:val="center"/>
          </w:tcPr>
          <w:p w14:paraId="1B7A1D81">
            <w:pPr>
              <w:snapToGrid w:val="0"/>
              <w:spacing w:before="50" w:after="50"/>
              <w:jc w:val="center"/>
              <w:rPr>
                <w:rFonts w:hint="eastAsia" w:ascii="宋体" w:hAnsi="宋体" w:cs="宋体"/>
                <w:color w:val="auto"/>
                <w:sz w:val="24"/>
                <w:highlight w:val="none"/>
              </w:rPr>
            </w:pPr>
          </w:p>
        </w:tc>
      </w:tr>
      <w:tr w14:paraId="216FCD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0" w:hRule="atLeast"/>
          <w:jc w:val="center"/>
        </w:trPr>
        <w:tc>
          <w:tcPr>
            <w:tcW w:w="2160" w:type="dxa"/>
            <w:gridSpan w:val="2"/>
            <w:noWrap w:val="0"/>
            <w:vAlign w:val="center"/>
          </w:tcPr>
          <w:p w14:paraId="674FFEDA">
            <w:pPr>
              <w:snapToGrid w:val="0"/>
              <w:spacing w:before="50" w:after="50"/>
              <w:jc w:val="center"/>
              <w:rPr>
                <w:rFonts w:hint="eastAsia" w:ascii="宋体" w:hAnsi="宋体" w:cs="宋体"/>
                <w:color w:val="auto"/>
                <w:sz w:val="24"/>
                <w:highlight w:val="none"/>
              </w:rPr>
            </w:pPr>
            <w:r>
              <w:rPr>
                <w:rFonts w:hint="eastAsia" w:ascii="宋体" w:hAnsi="宋体" w:cs="宋体"/>
                <w:color w:val="auto"/>
                <w:sz w:val="24"/>
                <w:highlight w:val="none"/>
              </w:rPr>
              <w:t>投标建议</w:t>
            </w:r>
          </w:p>
        </w:tc>
        <w:tc>
          <w:tcPr>
            <w:tcW w:w="6453" w:type="dxa"/>
            <w:gridSpan w:val="3"/>
            <w:noWrap w:val="0"/>
            <w:vAlign w:val="center"/>
          </w:tcPr>
          <w:p w14:paraId="389B87C7">
            <w:pPr>
              <w:spacing w:line="360" w:lineRule="auto"/>
              <w:jc w:val="center"/>
              <w:rPr>
                <w:rFonts w:hint="eastAsia" w:ascii="宋体" w:hAnsi="宋体" w:cs="宋体"/>
                <w:color w:val="auto"/>
                <w:sz w:val="24"/>
                <w:highlight w:val="none"/>
              </w:rPr>
            </w:pPr>
          </w:p>
        </w:tc>
      </w:tr>
    </w:tbl>
    <w:p w14:paraId="023338A7">
      <w:pPr>
        <w:snapToGrid w:val="0"/>
        <w:spacing w:line="360" w:lineRule="auto"/>
        <w:rPr>
          <w:rFonts w:hint="eastAsia" w:ascii="宋体" w:hAnsi="宋体" w:cs="宋体"/>
          <w:color w:val="auto"/>
          <w:sz w:val="24"/>
          <w:highlight w:val="none"/>
        </w:rPr>
      </w:pPr>
    </w:p>
    <w:p w14:paraId="4A107C6A">
      <w:pPr>
        <w:pStyle w:val="16"/>
        <w:spacing w:line="360" w:lineRule="auto"/>
        <w:rPr>
          <w:rFonts w:hint="eastAsia" w:hAnsi="宋体" w:cs="宋体"/>
          <w:color w:val="auto"/>
          <w:sz w:val="24"/>
          <w:highlight w:val="none"/>
        </w:rPr>
      </w:pPr>
      <w:r>
        <w:rPr>
          <w:rFonts w:hint="eastAsia" w:hAnsi="宋体" w:cs="宋体"/>
          <w:color w:val="auto"/>
          <w:sz w:val="24"/>
          <w:highlight w:val="none"/>
        </w:rPr>
        <w:t>注：名称可基于项目清单根据投标人实际情况调整。</w:t>
      </w:r>
    </w:p>
    <w:p w14:paraId="0FC47B31">
      <w:pPr>
        <w:rPr>
          <w:rFonts w:hint="eastAsia" w:ascii="宋体" w:hAnsi="宋体" w:cs="宋体"/>
          <w:color w:val="auto"/>
          <w:sz w:val="24"/>
          <w:highlight w:val="none"/>
        </w:rPr>
      </w:pPr>
    </w:p>
    <w:p w14:paraId="00819AC0">
      <w:pPr>
        <w:pStyle w:val="13"/>
        <w:rPr>
          <w:rFonts w:hint="eastAsia"/>
          <w:color w:val="auto"/>
          <w:highlight w:val="none"/>
        </w:rPr>
      </w:pPr>
    </w:p>
    <w:p w14:paraId="7A44295D">
      <w:pPr>
        <w:snapToGrid w:val="0"/>
        <w:spacing w:line="360" w:lineRule="auto"/>
        <w:rPr>
          <w:rFonts w:hint="eastAsia" w:ascii="宋体" w:hAnsi="宋体" w:cs="宋体"/>
          <w:color w:val="auto"/>
          <w:sz w:val="24"/>
          <w:highlight w:val="none"/>
        </w:rPr>
      </w:pPr>
    </w:p>
    <w:p w14:paraId="460756DB">
      <w:pPr>
        <w:spacing w:line="360" w:lineRule="auto"/>
        <w:ind w:left="3780" w:leftChars="1800"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法定代表人签名（或签名章）：                       </w:t>
      </w:r>
    </w:p>
    <w:p w14:paraId="79C9CE7C">
      <w:pPr>
        <w:spacing w:line="360" w:lineRule="auto"/>
        <w:ind w:left="3780" w:leftChars="1800" w:firstLine="480" w:firstLineChars="200"/>
        <w:rPr>
          <w:rFonts w:hint="eastAsia" w:ascii="宋体" w:hAnsi="宋体" w:cs="宋体"/>
          <w:color w:val="auto"/>
          <w:sz w:val="24"/>
          <w:highlight w:val="none"/>
        </w:rPr>
      </w:pPr>
      <w:r>
        <w:rPr>
          <w:rFonts w:hint="eastAsia" w:ascii="宋体" w:hAnsi="宋体" w:cs="宋体"/>
          <w:color w:val="auto"/>
          <w:sz w:val="24"/>
          <w:highlight w:val="none"/>
        </w:rPr>
        <w:t>日 期：</w:t>
      </w:r>
    </w:p>
    <w:p w14:paraId="586828A4">
      <w:pPr>
        <w:spacing w:line="360" w:lineRule="auto"/>
        <w:ind w:left="3780" w:leftChars="1800" w:firstLine="480" w:firstLineChars="200"/>
        <w:rPr>
          <w:rFonts w:hint="eastAsia" w:ascii="宋体" w:hAnsi="宋体" w:cs="宋体"/>
          <w:color w:val="auto"/>
          <w:sz w:val="24"/>
          <w:highlight w:val="none"/>
        </w:rPr>
      </w:pPr>
      <w:r>
        <w:rPr>
          <w:rFonts w:hint="eastAsia" w:ascii="宋体" w:hAnsi="宋体" w:cs="宋体"/>
          <w:color w:val="auto"/>
          <w:sz w:val="24"/>
          <w:highlight w:val="none"/>
        </w:rPr>
        <w:t>投标人全称（公章）：</w:t>
      </w:r>
    </w:p>
    <w:p w14:paraId="11FAA9DB">
      <w:pPr>
        <w:pStyle w:val="4"/>
        <w:numPr>
          <w:ilvl w:val="0"/>
          <w:numId w:val="0"/>
        </w:numPr>
        <w:ind w:leftChars="0"/>
        <w:outlineLvl w:val="0"/>
        <w:rPr>
          <w:rFonts w:hint="eastAsia" w:ascii="宋体" w:hAnsi="宋体" w:eastAsia="宋体" w:cs="宋体"/>
          <w:b/>
          <w:bCs/>
          <w:color w:val="000000"/>
          <w:sz w:val="24"/>
          <w:szCs w:val="24"/>
          <w:highlight w:val="none"/>
        </w:rPr>
      </w:pPr>
      <w:r>
        <w:rPr>
          <w:rFonts w:hint="eastAsia" w:hAnsi="宋体" w:cs="宋体"/>
          <w:bCs/>
          <w:color w:val="auto"/>
          <w:sz w:val="24"/>
          <w:szCs w:val="24"/>
          <w:highlight w:val="none"/>
        </w:rPr>
        <w:br w:type="page"/>
      </w:r>
    </w:p>
    <w:p w14:paraId="40EE42DE">
      <w:pPr>
        <w:pStyle w:val="4"/>
        <w:numPr>
          <w:ilvl w:val="0"/>
          <w:numId w:val="0"/>
        </w:numPr>
        <w:ind w:leftChars="0"/>
        <w:outlineLvl w:val="0"/>
        <w:rPr>
          <w:rFonts w:hint="eastAsia" w:ascii="宋体" w:hAnsi="宋体" w:eastAsia="宋体" w:cs="宋体"/>
          <w:b/>
          <w:bCs/>
          <w:color w:val="000000"/>
          <w:sz w:val="24"/>
          <w:szCs w:val="24"/>
          <w:highlight w:val="none"/>
        </w:rPr>
      </w:pPr>
      <w:r>
        <w:rPr>
          <w:rFonts w:hint="eastAsia" w:ascii="宋体" w:hAnsi="宋体" w:eastAsia="宋体" w:cs="宋体"/>
          <w:b/>
          <w:bCs/>
          <w:color w:val="000000"/>
          <w:sz w:val="24"/>
          <w:szCs w:val="24"/>
          <w:highlight w:val="none"/>
        </w:rPr>
        <w:t>附件</w:t>
      </w:r>
      <w:r>
        <w:rPr>
          <w:rFonts w:hint="eastAsia" w:hAnsi="宋体" w:cs="宋体"/>
          <w:b/>
          <w:bCs/>
          <w:color w:val="000000"/>
          <w:sz w:val="24"/>
          <w:szCs w:val="24"/>
          <w:highlight w:val="none"/>
          <w:lang w:val="en-US" w:eastAsia="zh-CN"/>
        </w:rPr>
        <w:t>七</w:t>
      </w:r>
      <w:r>
        <w:rPr>
          <w:rFonts w:hint="eastAsia" w:ascii="宋体" w:hAnsi="宋体" w:eastAsia="宋体" w:cs="宋体"/>
          <w:b/>
          <w:bCs/>
          <w:color w:val="000000"/>
          <w:sz w:val="24"/>
          <w:szCs w:val="24"/>
          <w:highlight w:val="none"/>
        </w:rPr>
        <w:t>：</w:t>
      </w:r>
      <w:bookmarkEnd w:id="546"/>
      <w:bookmarkEnd w:id="547"/>
    </w:p>
    <w:p w14:paraId="23746CCE">
      <w:pPr>
        <w:spacing w:line="360" w:lineRule="auto"/>
        <w:jc w:val="center"/>
        <w:rPr>
          <w:rFonts w:hint="eastAsia" w:ascii="宋体" w:hAnsi="宋体" w:eastAsia="宋体" w:cs="宋体"/>
          <w:b/>
          <w:bCs/>
          <w:color w:val="auto"/>
          <w:sz w:val="32"/>
          <w:szCs w:val="32"/>
          <w:highlight w:val="none"/>
          <w:u w:val="none"/>
        </w:rPr>
      </w:pPr>
      <w:r>
        <w:rPr>
          <w:rFonts w:hint="eastAsia" w:ascii="宋体" w:hAnsi="宋体" w:eastAsia="宋体" w:cs="宋体"/>
          <w:b/>
          <w:bCs/>
          <w:color w:val="auto"/>
          <w:sz w:val="32"/>
          <w:szCs w:val="32"/>
          <w:highlight w:val="none"/>
          <w:u w:val="none"/>
        </w:rPr>
        <w:t>商务响应表</w:t>
      </w:r>
    </w:p>
    <w:p w14:paraId="63723CE2">
      <w:pPr>
        <w:snapToGrid w:val="0"/>
        <w:spacing w:before="50"/>
        <w:jc w:val="center"/>
        <w:rPr>
          <w:rFonts w:hint="eastAsia" w:ascii="宋体" w:hAnsi="宋体" w:eastAsia="宋体" w:cs="宋体"/>
          <w:b/>
          <w:sz w:val="32"/>
          <w:szCs w:val="32"/>
          <w:highlight w:val="none"/>
        </w:rPr>
      </w:pPr>
    </w:p>
    <w:p w14:paraId="3C19BDA3">
      <w:pPr>
        <w:spacing w:line="360" w:lineRule="auto"/>
        <w:ind w:firstLine="480" w:firstLineChars="200"/>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项目名称：</w:t>
      </w:r>
    </w:p>
    <w:p w14:paraId="36072CAC">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lang w:eastAsia="zh-CN"/>
        </w:rPr>
        <w:t>采购编号</w:t>
      </w:r>
      <w:r>
        <w:rPr>
          <w:rFonts w:hint="eastAsia" w:ascii="宋体" w:hAnsi="宋体" w:eastAsia="宋体" w:cs="宋体"/>
          <w:sz w:val="24"/>
          <w:highlight w:val="none"/>
        </w:rPr>
        <w:t>：</w:t>
      </w:r>
    </w:p>
    <w:tbl>
      <w:tblPr>
        <w:tblStyle w:val="30"/>
        <w:tblW w:w="9434"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454"/>
        <w:gridCol w:w="2700"/>
        <w:gridCol w:w="1260"/>
        <w:gridCol w:w="3020"/>
      </w:tblGrid>
      <w:tr w14:paraId="74C8708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left w:val="single" w:color="auto" w:sz="4" w:space="0"/>
              <w:bottom w:val="single" w:color="auto" w:sz="4" w:space="0"/>
              <w:right w:val="single" w:color="auto" w:sz="4" w:space="0"/>
            </w:tcBorders>
            <w:noWrap w:val="0"/>
            <w:vAlign w:val="center"/>
          </w:tcPr>
          <w:p w14:paraId="4B896488">
            <w:pPr>
              <w:snapToGrid w:val="0"/>
              <w:spacing w:before="50" w:after="50"/>
              <w:jc w:val="center"/>
              <w:rPr>
                <w:rFonts w:hint="eastAsia" w:ascii="宋体" w:hAnsi="宋体" w:eastAsia="宋体" w:cs="宋体"/>
                <w:sz w:val="24"/>
                <w:highlight w:val="none"/>
              </w:rPr>
            </w:pPr>
            <w:r>
              <w:rPr>
                <w:rFonts w:hint="eastAsia" w:ascii="宋体" w:hAnsi="宋体" w:eastAsia="宋体" w:cs="宋体"/>
                <w:sz w:val="24"/>
                <w:highlight w:val="none"/>
              </w:rPr>
              <w:t>项目</w:t>
            </w:r>
          </w:p>
        </w:tc>
        <w:tc>
          <w:tcPr>
            <w:tcW w:w="2700" w:type="dxa"/>
            <w:tcBorders>
              <w:top w:val="single" w:color="auto" w:sz="4" w:space="0"/>
              <w:left w:val="single" w:color="auto" w:sz="4" w:space="0"/>
              <w:bottom w:val="single" w:color="auto" w:sz="4" w:space="0"/>
              <w:right w:val="single" w:color="auto" w:sz="4" w:space="0"/>
            </w:tcBorders>
            <w:noWrap w:val="0"/>
            <w:vAlign w:val="center"/>
          </w:tcPr>
          <w:p w14:paraId="6109A756">
            <w:pPr>
              <w:snapToGrid w:val="0"/>
              <w:spacing w:before="50" w:after="50"/>
              <w:jc w:val="center"/>
              <w:rPr>
                <w:rFonts w:hint="eastAsia" w:ascii="宋体" w:hAnsi="宋体" w:eastAsia="宋体" w:cs="宋体"/>
                <w:sz w:val="24"/>
                <w:highlight w:val="none"/>
              </w:rPr>
            </w:pPr>
            <w:r>
              <w:rPr>
                <w:rFonts w:hint="eastAsia" w:ascii="宋体" w:hAnsi="宋体" w:eastAsia="宋体" w:cs="宋体"/>
                <w:sz w:val="24"/>
                <w:highlight w:val="none"/>
              </w:rPr>
              <w:t>招标文件要求</w:t>
            </w:r>
          </w:p>
        </w:tc>
        <w:tc>
          <w:tcPr>
            <w:tcW w:w="1260" w:type="dxa"/>
            <w:tcBorders>
              <w:top w:val="single" w:color="auto" w:sz="4" w:space="0"/>
              <w:left w:val="single" w:color="auto" w:sz="4" w:space="0"/>
              <w:bottom w:val="single" w:color="auto" w:sz="4" w:space="0"/>
              <w:right w:val="single" w:color="auto" w:sz="4" w:space="0"/>
            </w:tcBorders>
            <w:noWrap w:val="0"/>
            <w:vAlign w:val="center"/>
          </w:tcPr>
          <w:p w14:paraId="03DDDB79">
            <w:pPr>
              <w:snapToGrid w:val="0"/>
              <w:spacing w:before="50" w:after="50"/>
              <w:jc w:val="center"/>
              <w:rPr>
                <w:rFonts w:hint="eastAsia" w:ascii="宋体" w:hAnsi="宋体" w:eastAsia="宋体" w:cs="宋体"/>
                <w:sz w:val="24"/>
                <w:highlight w:val="none"/>
              </w:rPr>
            </w:pPr>
            <w:r>
              <w:rPr>
                <w:rFonts w:hint="eastAsia" w:ascii="宋体" w:hAnsi="宋体" w:eastAsia="宋体" w:cs="宋体"/>
                <w:sz w:val="24"/>
                <w:highlight w:val="none"/>
              </w:rPr>
              <w:t>是否</w:t>
            </w:r>
          </w:p>
          <w:p w14:paraId="1655B5C7">
            <w:pPr>
              <w:snapToGrid w:val="0"/>
              <w:spacing w:before="50" w:after="50"/>
              <w:jc w:val="center"/>
              <w:rPr>
                <w:rFonts w:hint="eastAsia" w:ascii="宋体" w:hAnsi="宋体" w:eastAsia="宋体" w:cs="宋体"/>
                <w:sz w:val="24"/>
                <w:highlight w:val="none"/>
              </w:rPr>
            </w:pPr>
            <w:r>
              <w:rPr>
                <w:rFonts w:hint="eastAsia" w:ascii="宋体" w:hAnsi="宋体" w:eastAsia="宋体" w:cs="宋体"/>
                <w:sz w:val="24"/>
                <w:highlight w:val="none"/>
              </w:rPr>
              <w:t>响应</w:t>
            </w:r>
          </w:p>
        </w:tc>
        <w:tc>
          <w:tcPr>
            <w:tcW w:w="3020" w:type="dxa"/>
            <w:tcBorders>
              <w:top w:val="single" w:color="auto" w:sz="4" w:space="0"/>
              <w:left w:val="single" w:color="auto" w:sz="4" w:space="0"/>
              <w:bottom w:val="single" w:color="auto" w:sz="4" w:space="0"/>
              <w:right w:val="single" w:color="auto" w:sz="4" w:space="0"/>
            </w:tcBorders>
            <w:noWrap w:val="0"/>
            <w:vAlign w:val="center"/>
          </w:tcPr>
          <w:p w14:paraId="1A481E74">
            <w:pPr>
              <w:snapToGrid w:val="0"/>
              <w:spacing w:before="50" w:after="50"/>
              <w:jc w:val="center"/>
              <w:rPr>
                <w:rFonts w:hint="eastAsia" w:ascii="宋体" w:hAnsi="宋体" w:eastAsia="宋体" w:cs="宋体"/>
                <w:sz w:val="24"/>
                <w:highlight w:val="none"/>
              </w:rPr>
            </w:pPr>
            <w:r>
              <w:rPr>
                <w:rFonts w:hint="eastAsia" w:ascii="宋体" w:hAnsi="宋体" w:eastAsia="宋体" w:cs="宋体"/>
                <w:sz w:val="24"/>
                <w:highlight w:val="none"/>
              </w:rPr>
              <w:t>投标人的承诺或说明</w:t>
            </w:r>
          </w:p>
        </w:tc>
      </w:tr>
      <w:tr w14:paraId="7398F35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left w:val="single" w:color="auto" w:sz="4" w:space="0"/>
              <w:bottom w:val="single" w:color="auto" w:sz="4" w:space="0"/>
              <w:right w:val="single" w:color="auto" w:sz="4" w:space="0"/>
            </w:tcBorders>
            <w:noWrap w:val="0"/>
            <w:vAlign w:val="center"/>
          </w:tcPr>
          <w:p w14:paraId="5AA92F89">
            <w:pPr>
              <w:keepNext w:val="0"/>
              <w:keepLines w:val="0"/>
              <w:suppressLineNumbers w:val="0"/>
              <w:snapToGrid w:val="0"/>
              <w:spacing w:before="50" w:beforeAutospacing="0" w:after="50" w:afterAutospacing="0"/>
              <w:ind w:left="0" w:leftChars="0" w:right="0" w:rightChars="0"/>
              <w:jc w:val="center"/>
              <w:rPr>
                <w:rFonts w:hint="eastAsia" w:ascii="宋体" w:hAnsi="Times New Roman" w:eastAsia="宋体" w:cs="Times New Roman"/>
                <w:kern w:val="2"/>
                <w:sz w:val="24"/>
                <w:szCs w:val="24"/>
                <w:highlight w:val="none"/>
                <w:lang w:val="en-US" w:eastAsia="zh-CN" w:bidi="ar-SA"/>
              </w:rPr>
            </w:pPr>
            <w:r>
              <w:rPr>
                <w:rFonts w:hint="eastAsia" w:ascii="宋体" w:hAnsi="宋体" w:cs="宋体"/>
                <w:sz w:val="24"/>
                <w:szCs w:val="24"/>
                <w:highlight w:val="none"/>
              </w:rPr>
              <w:t>服务时间及地点</w:t>
            </w:r>
          </w:p>
        </w:tc>
        <w:tc>
          <w:tcPr>
            <w:tcW w:w="2700" w:type="dxa"/>
            <w:tcBorders>
              <w:top w:val="single" w:color="auto" w:sz="4" w:space="0"/>
              <w:left w:val="single" w:color="auto" w:sz="4" w:space="0"/>
              <w:bottom w:val="single" w:color="auto" w:sz="4" w:space="0"/>
              <w:right w:val="single" w:color="auto" w:sz="4" w:space="0"/>
            </w:tcBorders>
            <w:noWrap w:val="0"/>
            <w:vAlign w:val="center"/>
          </w:tcPr>
          <w:p w14:paraId="7B058175">
            <w:pPr>
              <w:snapToGrid w:val="0"/>
              <w:spacing w:before="50" w:after="50"/>
              <w:jc w:val="center"/>
              <w:rPr>
                <w:rFonts w:hint="eastAsia" w:ascii="宋体" w:hAnsi="宋体" w:eastAsia="宋体" w:cs="宋体"/>
                <w:sz w:val="24"/>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14:paraId="0AB7453E">
            <w:pPr>
              <w:snapToGrid w:val="0"/>
              <w:spacing w:before="50" w:after="50"/>
              <w:jc w:val="center"/>
              <w:rPr>
                <w:rFonts w:hint="eastAsia" w:ascii="宋体" w:hAnsi="宋体" w:eastAsia="宋体" w:cs="宋体"/>
                <w:sz w:val="24"/>
                <w:highlight w:val="none"/>
              </w:rPr>
            </w:pPr>
          </w:p>
        </w:tc>
        <w:tc>
          <w:tcPr>
            <w:tcW w:w="3020" w:type="dxa"/>
            <w:tcBorders>
              <w:top w:val="single" w:color="auto" w:sz="4" w:space="0"/>
              <w:left w:val="single" w:color="auto" w:sz="4" w:space="0"/>
              <w:bottom w:val="single" w:color="auto" w:sz="4" w:space="0"/>
              <w:right w:val="single" w:color="auto" w:sz="4" w:space="0"/>
            </w:tcBorders>
            <w:noWrap w:val="0"/>
            <w:vAlign w:val="center"/>
          </w:tcPr>
          <w:p w14:paraId="1A7CAC6B">
            <w:pPr>
              <w:snapToGrid w:val="0"/>
              <w:spacing w:before="50" w:after="50"/>
              <w:jc w:val="center"/>
              <w:rPr>
                <w:rFonts w:hint="eastAsia" w:ascii="宋体" w:hAnsi="宋体" w:eastAsia="宋体" w:cs="宋体"/>
                <w:sz w:val="24"/>
                <w:highlight w:val="none"/>
              </w:rPr>
            </w:pPr>
          </w:p>
        </w:tc>
      </w:tr>
      <w:tr w14:paraId="1C51358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left w:val="single" w:color="auto" w:sz="4" w:space="0"/>
              <w:bottom w:val="single" w:color="auto" w:sz="4" w:space="0"/>
              <w:right w:val="single" w:color="auto" w:sz="4" w:space="0"/>
            </w:tcBorders>
            <w:noWrap w:val="0"/>
            <w:vAlign w:val="center"/>
          </w:tcPr>
          <w:p w14:paraId="3C9CC313">
            <w:pPr>
              <w:keepNext w:val="0"/>
              <w:keepLines w:val="0"/>
              <w:suppressLineNumbers w:val="0"/>
              <w:snapToGrid w:val="0"/>
              <w:spacing w:before="50" w:beforeAutospacing="0" w:after="50" w:afterAutospacing="0"/>
              <w:ind w:left="0" w:leftChars="0" w:right="0" w:rightChars="0"/>
              <w:jc w:val="center"/>
              <w:rPr>
                <w:rFonts w:hint="eastAsia" w:ascii="宋体" w:hAnsi="Times New Roman" w:eastAsia="宋体" w:cs="Times New Roman"/>
                <w:kern w:val="2"/>
                <w:sz w:val="24"/>
                <w:szCs w:val="24"/>
                <w:highlight w:val="none"/>
                <w:lang w:val="en-US" w:eastAsia="zh-CN" w:bidi="ar-SA"/>
              </w:rPr>
            </w:pPr>
            <w:r>
              <w:rPr>
                <w:rFonts w:hint="eastAsia" w:ascii="宋体" w:hAnsi="宋体" w:cs="宋体"/>
                <w:sz w:val="24"/>
                <w:szCs w:val="24"/>
                <w:highlight w:val="none"/>
              </w:rPr>
              <w:t>付款条件</w:t>
            </w:r>
          </w:p>
        </w:tc>
        <w:tc>
          <w:tcPr>
            <w:tcW w:w="2700" w:type="dxa"/>
            <w:tcBorders>
              <w:top w:val="single" w:color="auto" w:sz="4" w:space="0"/>
              <w:left w:val="single" w:color="auto" w:sz="4" w:space="0"/>
              <w:bottom w:val="single" w:color="auto" w:sz="4" w:space="0"/>
              <w:right w:val="single" w:color="auto" w:sz="4" w:space="0"/>
            </w:tcBorders>
            <w:noWrap w:val="0"/>
            <w:vAlign w:val="center"/>
          </w:tcPr>
          <w:p w14:paraId="059F4627">
            <w:pPr>
              <w:snapToGrid w:val="0"/>
              <w:spacing w:before="50" w:after="50"/>
              <w:jc w:val="center"/>
              <w:rPr>
                <w:rFonts w:hint="eastAsia" w:ascii="宋体" w:hAnsi="宋体" w:eastAsia="宋体" w:cs="宋体"/>
                <w:sz w:val="24"/>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14:paraId="3E25DB0D">
            <w:pPr>
              <w:snapToGrid w:val="0"/>
              <w:spacing w:before="50" w:after="50"/>
              <w:jc w:val="center"/>
              <w:rPr>
                <w:rFonts w:hint="eastAsia" w:ascii="宋体" w:hAnsi="宋体" w:eastAsia="宋体" w:cs="宋体"/>
                <w:sz w:val="24"/>
                <w:highlight w:val="none"/>
              </w:rPr>
            </w:pPr>
          </w:p>
        </w:tc>
        <w:tc>
          <w:tcPr>
            <w:tcW w:w="3020" w:type="dxa"/>
            <w:tcBorders>
              <w:top w:val="single" w:color="auto" w:sz="4" w:space="0"/>
              <w:left w:val="single" w:color="auto" w:sz="4" w:space="0"/>
              <w:bottom w:val="single" w:color="auto" w:sz="4" w:space="0"/>
              <w:right w:val="single" w:color="auto" w:sz="4" w:space="0"/>
            </w:tcBorders>
            <w:noWrap w:val="0"/>
            <w:vAlign w:val="center"/>
          </w:tcPr>
          <w:p w14:paraId="35D47A78">
            <w:pPr>
              <w:snapToGrid w:val="0"/>
              <w:spacing w:before="50" w:after="50"/>
              <w:jc w:val="center"/>
              <w:rPr>
                <w:rFonts w:hint="eastAsia" w:ascii="宋体" w:hAnsi="宋体" w:eastAsia="宋体" w:cs="宋体"/>
                <w:sz w:val="24"/>
                <w:highlight w:val="none"/>
              </w:rPr>
            </w:pPr>
          </w:p>
        </w:tc>
      </w:tr>
      <w:tr w14:paraId="484A3E0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left w:val="single" w:color="auto" w:sz="4" w:space="0"/>
              <w:bottom w:val="single" w:color="auto" w:sz="4" w:space="0"/>
              <w:right w:val="single" w:color="auto" w:sz="4" w:space="0"/>
            </w:tcBorders>
            <w:noWrap w:val="0"/>
            <w:vAlign w:val="center"/>
          </w:tcPr>
          <w:p w14:paraId="0EA7914D">
            <w:pPr>
              <w:keepNext w:val="0"/>
              <w:keepLines w:val="0"/>
              <w:suppressLineNumbers w:val="0"/>
              <w:snapToGrid w:val="0"/>
              <w:spacing w:before="50" w:beforeAutospacing="0" w:after="50" w:afterAutospacing="0"/>
              <w:ind w:left="0" w:leftChars="0" w:right="0" w:rightChars="0"/>
              <w:jc w:val="center"/>
              <w:rPr>
                <w:rFonts w:hint="eastAsia" w:ascii="宋体" w:hAnsi="Times New Roman" w:eastAsia="宋体" w:cs="Times New Roman"/>
                <w:kern w:val="2"/>
                <w:sz w:val="24"/>
                <w:szCs w:val="24"/>
                <w:highlight w:val="none"/>
                <w:lang w:val="en-US" w:eastAsia="zh-CN" w:bidi="ar-SA"/>
              </w:rPr>
            </w:pPr>
            <w:r>
              <w:rPr>
                <w:rFonts w:hint="eastAsia" w:ascii="宋体" w:hAnsi="宋体" w:cs="宋体"/>
                <w:sz w:val="24"/>
                <w:szCs w:val="24"/>
                <w:highlight w:val="none"/>
              </w:rPr>
              <w:t>违约责任及争议解决方式</w:t>
            </w:r>
          </w:p>
        </w:tc>
        <w:tc>
          <w:tcPr>
            <w:tcW w:w="2700" w:type="dxa"/>
            <w:tcBorders>
              <w:top w:val="single" w:color="auto" w:sz="4" w:space="0"/>
              <w:left w:val="single" w:color="auto" w:sz="4" w:space="0"/>
              <w:bottom w:val="single" w:color="auto" w:sz="4" w:space="0"/>
              <w:right w:val="single" w:color="auto" w:sz="4" w:space="0"/>
            </w:tcBorders>
            <w:noWrap w:val="0"/>
            <w:vAlign w:val="center"/>
          </w:tcPr>
          <w:p w14:paraId="2D7C403A">
            <w:pPr>
              <w:snapToGrid w:val="0"/>
              <w:spacing w:before="50" w:after="50"/>
              <w:jc w:val="center"/>
              <w:rPr>
                <w:rFonts w:hint="eastAsia" w:ascii="宋体" w:hAnsi="宋体" w:eastAsia="宋体" w:cs="宋体"/>
                <w:sz w:val="24"/>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14:paraId="2D1F4D87">
            <w:pPr>
              <w:snapToGrid w:val="0"/>
              <w:spacing w:before="50" w:after="50"/>
              <w:jc w:val="center"/>
              <w:rPr>
                <w:rFonts w:hint="eastAsia" w:ascii="宋体" w:hAnsi="宋体" w:eastAsia="宋体" w:cs="宋体"/>
                <w:sz w:val="24"/>
                <w:highlight w:val="none"/>
              </w:rPr>
            </w:pPr>
          </w:p>
        </w:tc>
        <w:tc>
          <w:tcPr>
            <w:tcW w:w="3020" w:type="dxa"/>
            <w:tcBorders>
              <w:top w:val="single" w:color="auto" w:sz="4" w:space="0"/>
              <w:left w:val="single" w:color="auto" w:sz="4" w:space="0"/>
              <w:bottom w:val="single" w:color="auto" w:sz="4" w:space="0"/>
              <w:right w:val="single" w:color="auto" w:sz="4" w:space="0"/>
            </w:tcBorders>
            <w:noWrap w:val="0"/>
            <w:vAlign w:val="center"/>
          </w:tcPr>
          <w:p w14:paraId="39AF7B13">
            <w:pPr>
              <w:snapToGrid w:val="0"/>
              <w:spacing w:before="50" w:after="50"/>
              <w:jc w:val="center"/>
              <w:rPr>
                <w:rFonts w:hint="eastAsia" w:ascii="宋体" w:hAnsi="宋体" w:eastAsia="宋体" w:cs="宋体"/>
                <w:sz w:val="24"/>
                <w:highlight w:val="none"/>
              </w:rPr>
            </w:pPr>
          </w:p>
        </w:tc>
      </w:tr>
      <w:tr w14:paraId="7B667E8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6C245DE">
            <w:pPr>
              <w:keepNext w:val="0"/>
              <w:keepLines w:val="0"/>
              <w:suppressLineNumbers w:val="0"/>
              <w:snapToGrid w:val="0"/>
              <w:spacing w:before="50" w:beforeAutospacing="0" w:after="50" w:afterAutospacing="0"/>
              <w:ind w:left="0" w:leftChars="0" w:right="0" w:rightChars="0"/>
              <w:jc w:val="center"/>
              <w:rPr>
                <w:rFonts w:hint="eastAsia" w:ascii="宋体" w:hAnsi="Times New Roman" w:eastAsia="宋体" w:cs="Times New Roman"/>
                <w:kern w:val="2"/>
                <w:sz w:val="24"/>
                <w:szCs w:val="24"/>
                <w:highlight w:val="none"/>
                <w:lang w:val="en-US" w:eastAsia="zh-CN" w:bidi="ar-SA"/>
              </w:rPr>
            </w:pPr>
            <w:r>
              <w:rPr>
                <w:rFonts w:hint="eastAsia" w:ascii="宋体" w:hAnsi="宋体" w:cs="宋体"/>
                <w:sz w:val="24"/>
                <w:szCs w:val="24"/>
                <w:highlight w:val="none"/>
              </w:rPr>
              <w:t>售后服务响应情况</w:t>
            </w:r>
          </w:p>
        </w:tc>
        <w:tc>
          <w:tcPr>
            <w:tcW w:w="2700" w:type="dxa"/>
            <w:tcBorders>
              <w:top w:val="single" w:color="auto" w:sz="4" w:space="0"/>
              <w:left w:val="single" w:color="auto" w:sz="4" w:space="0"/>
              <w:bottom w:val="single" w:color="auto" w:sz="4" w:space="0"/>
              <w:right w:val="single" w:color="auto" w:sz="4" w:space="0"/>
            </w:tcBorders>
            <w:noWrap w:val="0"/>
            <w:vAlign w:val="center"/>
          </w:tcPr>
          <w:p w14:paraId="23074E5A">
            <w:pPr>
              <w:snapToGrid w:val="0"/>
              <w:spacing w:before="50" w:after="50"/>
              <w:jc w:val="center"/>
              <w:rPr>
                <w:rFonts w:hint="eastAsia" w:ascii="宋体" w:hAnsi="宋体" w:eastAsia="宋体" w:cs="宋体"/>
                <w:sz w:val="24"/>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14:paraId="103A7066">
            <w:pPr>
              <w:snapToGrid w:val="0"/>
              <w:spacing w:before="50" w:after="50"/>
              <w:jc w:val="center"/>
              <w:rPr>
                <w:rFonts w:hint="eastAsia" w:ascii="宋体" w:hAnsi="宋体" w:eastAsia="宋体" w:cs="宋体"/>
                <w:sz w:val="24"/>
                <w:highlight w:val="none"/>
              </w:rPr>
            </w:pPr>
          </w:p>
        </w:tc>
        <w:tc>
          <w:tcPr>
            <w:tcW w:w="3020" w:type="dxa"/>
            <w:tcBorders>
              <w:top w:val="single" w:color="auto" w:sz="4" w:space="0"/>
              <w:left w:val="single" w:color="auto" w:sz="4" w:space="0"/>
              <w:bottom w:val="single" w:color="auto" w:sz="4" w:space="0"/>
              <w:right w:val="single" w:color="auto" w:sz="4" w:space="0"/>
            </w:tcBorders>
            <w:noWrap w:val="0"/>
            <w:vAlign w:val="center"/>
          </w:tcPr>
          <w:p w14:paraId="702C33DF">
            <w:pPr>
              <w:snapToGrid w:val="0"/>
              <w:spacing w:before="50" w:after="50"/>
              <w:jc w:val="center"/>
              <w:rPr>
                <w:rFonts w:hint="eastAsia" w:ascii="宋体" w:hAnsi="宋体" w:eastAsia="宋体" w:cs="宋体"/>
                <w:sz w:val="24"/>
                <w:highlight w:val="none"/>
              </w:rPr>
            </w:pPr>
          </w:p>
        </w:tc>
      </w:tr>
      <w:tr w14:paraId="4D9C029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6C37536">
            <w:pPr>
              <w:keepNext w:val="0"/>
              <w:keepLines w:val="0"/>
              <w:suppressLineNumbers w:val="0"/>
              <w:snapToGrid w:val="0"/>
              <w:spacing w:before="50" w:beforeAutospacing="0" w:after="50" w:afterAutospacing="0"/>
              <w:ind w:left="0" w:leftChars="0" w:right="0" w:rightChars="0"/>
              <w:jc w:val="center"/>
              <w:rPr>
                <w:rFonts w:hint="eastAsia" w:ascii="宋体" w:hAnsi="Times New Roman" w:eastAsia="宋体" w:cs="Times New Roman"/>
                <w:kern w:val="2"/>
                <w:sz w:val="24"/>
                <w:szCs w:val="24"/>
                <w:highlight w:val="none"/>
                <w:lang w:val="en-US" w:eastAsia="zh-CN" w:bidi="ar-SA"/>
              </w:rPr>
            </w:pPr>
            <w:r>
              <w:rPr>
                <w:rFonts w:hint="eastAsia" w:ascii="宋体" w:hAnsi="宋体" w:cs="宋体"/>
                <w:sz w:val="24"/>
                <w:szCs w:val="24"/>
                <w:highlight w:val="none"/>
              </w:rPr>
              <w:t>本地化服务</w:t>
            </w:r>
          </w:p>
        </w:tc>
        <w:tc>
          <w:tcPr>
            <w:tcW w:w="2700" w:type="dxa"/>
            <w:tcBorders>
              <w:top w:val="single" w:color="auto" w:sz="4" w:space="0"/>
              <w:left w:val="single" w:color="auto" w:sz="4" w:space="0"/>
              <w:bottom w:val="single" w:color="auto" w:sz="4" w:space="0"/>
              <w:right w:val="single" w:color="auto" w:sz="4" w:space="0"/>
            </w:tcBorders>
            <w:noWrap w:val="0"/>
            <w:vAlign w:val="center"/>
          </w:tcPr>
          <w:p w14:paraId="4898DE12">
            <w:pPr>
              <w:snapToGrid w:val="0"/>
              <w:spacing w:before="50" w:after="50"/>
              <w:jc w:val="center"/>
              <w:rPr>
                <w:rFonts w:hint="eastAsia" w:ascii="宋体" w:hAnsi="宋体" w:eastAsia="宋体" w:cs="宋体"/>
                <w:sz w:val="24"/>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14:paraId="34F169DD">
            <w:pPr>
              <w:snapToGrid w:val="0"/>
              <w:spacing w:before="50" w:after="50"/>
              <w:jc w:val="center"/>
              <w:rPr>
                <w:rFonts w:hint="eastAsia" w:ascii="宋体" w:hAnsi="宋体" w:eastAsia="宋体" w:cs="宋体"/>
                <w:sz w:val="24"/>
                <w:highlight w:val="none"/>
              </w:rPr>
            </w:pPr>
          </w:p>
        </w:tc>
        <w:tc>
          <w:tcPr>
            <w:tcW w:w="3020" w:type="dxa"/>
            <w:tcBorders>
              <w:top w:val="single" w:color="auto" w:sz="4" w:space="0"/>
              <w:left w:val="single" w:color="auto" w:sz="4" w:space="0"/>
              <w:bottom w:val="single" w:color="auto" w:sz="4" w:space="0"/>
              <w:right w:val="single" w:color="auto" w:sz="4" w:space="0"/>
            </w:tcBorders>
            <w:noWrap w:val="0"/>
            <w:vAlign w:val="center"/>
          </w:tcPr>
          <w:p w14:paraId="6C15285B">
            <w:pPr>
              <w:snapToGrid w:val="0"/>
              <w:spacing w:before="50" w:after="50"/>
              <w:jc w:val="center"/>
              <w:rPr>
                <w:rFonts w:hint="eastAsia" w:ascii="宋体" w:hAnsi="宋体" w:eastAsia="宋体" w:cs="宋体"/>
                <w:sz w:val="24"/>
                <w:highlight w:val="none"/>
              </w:rPr>
            </w:pPr>
          </w:p>
        </w:tc>
      </w:tr>
      <w:tr w14:paraId="62C8A17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3E6CFCB">
            <w:pPr>
              <w:keepNext w:val="0"/>
              <w:keepLines w:val="0"/>
              <w:suppressLineNumbers w:val="0"/>
              <w:snapToGrid w:val="0"/>
              <w:spacing w:before="50" w:beforeAutospacing="0" w:after="50" w:afterAutospacing="0"/>
              <w:ind w:left="0" w:leftChars="0" w:right="0" w:rightChars="0"/>
              <w:jc w:val="center"/>
              <w:rPr>
                <w:rFonts w:hint="eastAsia" w:ascii="宋体" w:hAnsi="Times New Roman" w:eastAsia="宋体" w:cs="Times New Roman"/>
                <w:kern w:val="2"/>
                <w:sz w:val="24"/>
                <w:szCs w:val="24"/>
                <w:highlight w:val="none"/>
                <w:lang w:val="en-US" w:eastAsia="zh-CN" w:bidi="ar-SA"/>
              </w:rPr>
            </w:pPr>
            <w:r>
              <w:rPr>
                <w:rFonts w:hint="eastAsia" w:ascii="宋体" w:hAnsi="宋体" w:cs="宋体"/>
                <w:sz w:val="24"/>
                <w:szCs w:val="24"/>
                <w:highlight w:val="none"/>
                <w:lang w:val="en-US" w:eastAsia="zh-CN"/>
              </w:rPr>
              <w:t>人员</w:t>
            </w:r>
            <w:r>
              <w:rPr>
                <w:rFonts w:hint="eastAsia" w:ascii="宋体" w:hAnsi="宋体" w:cs="宋体"/>
                <w:sz w:val="24"/>
                <w:szCs w:val="24"/>
                <w:highlight w:val="none"/>
              </w:rPr>
              <w:t>培训</w:t>
            </w:r>
          </w:p>
        </w:tc>
        <w:tc>
          <w:tcPr>
            <w:tcW w:w="2700" w:type="dxa"/>
            <w:tcBorders>
              <w:top w:val="single" w:color="auto" w:sz="4" w:space="0"/>
              <w:left w:val="single" w:color="auto" w:sz="4" w:space="0"/>
              <w:bottom w:val="single" w:color="auto" w:sz="4" w:space="0"/>
              <w:right w:val="single" w:color="auto" w:sz="4" w:space="0"/>
            </w:tcBorders>
            <w:noWrap w:val="0"/>
            <w:vAlign w:val="center"/>
          </w:tcPr>
          <w:p w14:paraId="2156CBF6">
            <w:pPr>
              <w:snapToGrid w:val="0"/>
              <w:spacing w:before="50" w:after="50"/>
              <w:jc w:val="center"/>
              <w:rPr>
                <w:rFonts w:hint="eastAsia" w:ascii="宋体" w:hAnsi="宋体" w:eastAsia="宋体" w:cs="宋体"/>
                <w:sz w:val="24"/>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14:paraId="662F4F54">
            <w:pPr>
              <w:snapToGrid w:val="0"/>
              <w:spacing w:before="50" w:after="50"/>
              <w:jc w:val="center"/>
              <w:rPr>
                <w:rFonts w:hint="eastAsia" w:ascii="宋体" w:hAnsi="宋体" w:eastAsia="宋体" w:cs="宋体"/>
                <w:sz w:val="24"/>
                <w:highlight w:val="none"/>
              </w:rPr>
            </w:pPr>
          </w:p>
        </w:tc>
        <w:tc>
          <w:tcPr>
            <w:tcW w:w="3020" w:type="dxa"/>
            <w:tcBorders>
              <w:top w:val="single" w:color="auto" w:sz="4" w:space="0"/>
              <w:left w:val="single" w:color="auto" w:sz="4" w:space="0"/>
              <w:bottom w:val="single" w:color="auto" w:sz="4" w:space="0"/>
              <w:right w:val="single" w:color="auto" w:sz="4" w:space="0"/>
            </w:tcBorders>
            <w:noWrap w:val="0"/>
            <w:vAlign w:val="center"/>
          </w:tcPr>
          <w:p w14:paraId="5F9EC551">
            <w:pPr>
              <w:snapToGrid w:val="0"/>
              <w:spacing w:before="50" w:after="50"/>
              <w:jc w:val="center"/>
              <w:rPr>
                <w:rFonts w:hint="eastAsia" w:ascii="宋体" w:hAnsi="宋体" w:eastAsia="宋体" w:cs="宋体"/>
                <w:sz w:val="24"/>
                <w:highlight w:val="none"/>
              </w:rPr>
            </w:pPr>
          </w:p>
        </w:tc>
      </w:tr>
      <w:tr w14:paraId="32617F3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6F64210">
            <w:pPr>
              <w:keepNext w:val="0"/>
              <w:keepLines w:val="0"/>
              <w:suppressLineNumbers w:val="0"/>
              <w:snapToGrid w:val="0"/>
              <w:spacing w:before="50" w:beforeAutospacing="0" w:after="50" w:afterAutospacing="0"/>
              <w:ind w:left="0" w:leftChars="0" w:right="0" w:rightChars="0"/>
              <w:jc w:val="center"/>
              <w:rPr>
                <w:rFonts w:hint="eastAsia" w:ascii="宋体" w:hAnsi="Times New Roman" w:eastAsia="宋体" w:cs="Times New Roman"/>
                <w:kern w:val="2"/>
                <w:sz w:val="24"/>
                <w:szCs w:val="24"/>
                <w:highlight w:val="none"/>
                <w:lang w:val="en-US" w:eastAsia="zh-CN" w:bidi="ar-SA"/>
              </w:rPr>
            </w:pPr>
            <w:r>
              <w:rPr>
                <w:rFonts w:hint="eastAsia" w:ascii="宋体" w:hAnsi="宋体" w:cs="宋体"/>
                <w:sz w:val="24"/>
                <w:szCs w:val="24"/>
                <w:highlight w:val="none"/>
              </w:rPr>
              <w:t>经验或业绩要求</w:t>
            </w:r>
          </w:p>
        </w:tc>
        <w:tc>
          <w:tcPr>
            <w:tcW w:w="2700" w:type="dxa"/>
            <w:tcBorders>
              <w:top w:val="single" w:color="auto" w:sz="4" w:space="0"/>
              <w:left w:val="single" w:color="auto" w:sz="4" w:space="0"/>
              <w:bottom w:val="single" w:color="auto" w:sz="4" w:space="0"/>
              <w:right w:val="single" w:color="auto" w:sz="4" w:space="0"/>
            </w:tcBorders>
            <w:noWrap w:val="0"/>
            <w:vAlign w:val="center"/>
          </w:tcPr>
          <w:p w14:paraId="2BDA54E5">
            <w:pPr>
              <w:snapToGrid w:val="0"/>
              <w:spacing w:before="50" w:after="50"/>
              <w:jc w:val="center"/>
              <w:rPr>
                <w:rFonts w:hint="eastAsia" w:ascii="宋体" w:hAnsi="宋体" w:eastAsia="宋体" w:cs="宋体"/>
                <w:sz w:val="24"/>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14:paraId="275D6FF3">
            <w:pPr>
              <w:snapToGrid w:val="0"/>
              <w:spacing w:before="50" w:after="50"/>
              <w:jc w:val="center"/>
              <w:rPr>
                <w:rFonts w:hint="eastAsia" w:ascii="宋体" w:hAnsi="宋体" w:eastAsia="宋体" w:cs="宋体"/>
                <w:sz w:val="24"/>
                <w:highlight w:val="none"/>
              </w:rPr>
            </w:pPr>
          </w:p>
        </w:tc>
        <w:tc>
          <w:tcPr>
            <w:tcW w:w="3020" w:type="dxa"/>
            <w:tcBorders>
              <w:top w:val="single" w:color="auto" w:sz="4" w:space="0"/>
              <w:left w:val="single" w:color="auto" w:sz="4" w:space="0"/>
              <w:bottom w:val="single" w:color="auto" w:sz="4" w:space="0"/>
              <w:right w:val="single" w:color="auto" w:sz="4" w:space="0"/>
            </w:tcBorders>
            <w:noWrap w:val="0"/>
            <w:vAlign w:val="center"/>
          </w:tcPr>
          <w:p w14:paraId="56C1564D">
            <w:pPr>
              <w:snapToGrid w:val="0"/>
              <w:spacing w:before="50" w:after="50"/>
              <w:jc w:val="center"/>
              <w:rPr>
                <w:rFonts w:hint="eastAsia" w:ascii="宋体" w:hAnsi="宋体" w:eastAsia="宋体" w:cs="宋体"/>
                <w:sz w:val="24"/>
                <w:highlight w:val="none"/>
              </w:rPr>
            </w:pPr>
          </w:p>
        </w:tc>
      </w:tr>
      <w:tr w14:paraId="51C3338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2" w:hRule="atLeast"/>
          <w:jc w:val="center"/>
        </w:trPr>
        <w:tc>
          <w:tcPr>
            <w:tcW w:w="245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D7CDF33">
            <w:pPr>
              <w:keepNext w:val="0"/>
              <w:keepLines w:val="0"/>
              <w:suppressLineNumbers w:val="0"/>
              <w:snapToGrid w:val="0"/>
              <w:spacing w:before="50" w:beforeAutospacing="0" w:after="50" w:afterAutospacing="0"/>
              <w:ind w:left="0" w:leftChars="0" w:right="0" w:rightChars="0"/>
              <w:jc w:val="center"/>
              <w:rPr>
                <w:rFonts w:hint="eastAsia" w:ascii="宋体" w:hAnsi="Times New Roman" w:eastAsia="宋体" w:cs="Times New Roman"/>
                <w:kern w:val="2"/>
                <w:sz w:val="24"/>
                <w:szCs w:val="24"/>
                <w:highlight w:val="none"/>
                <w:lang w:val="en-US" w:eastAsia="zh-CN" w:bidi="ar-SA"/>
              </w:rPr>
            </w:pPr>
            <w:r>
              <w:rPr>
                <w:rFonts w:hint="eastAsia" w:ascii="宋体" w:hAnsi="宋体" w:cs="宋体"/>
                <w:sz w:val="24"/>
                <w:szCs w:val="24"/>
                <w:highlight w:val="none"/>
              </w:rPr>
              <w:t>各类证书</w:t>
            </w:r>
          </w:p>
        </w:tc>
        <w:tc>
          <w:tcPr>
            <w:tcW w:w="2700" w:type="dxa"/>
            <w:tcBorders>
              <w:top w:val="single" w:color="auto" w:sz="4" w:space="0"/>
              <w:left w:val="single" w:color="auto" w:sz="4" w:space="0"/>
              <w:bottom w:val="single" w:color="auto" w:sz="4" w:space="0"/>
              <w:right w:val="single" w:color="auto" w:sz="4" w:space="0"/>
            </w:tcBorders>
            <w:noWrap w:val="0"/>
            <w:vAlign w:val="center"/>
          </w:tcPr>
          <w:p w14:paraId="0B668060">
            <w:pPr>
              <w:snapToGrid w:val="0"/>
              <w:spacing w:before="50" w:after="50"/>
              <w:jc w:val="center"/>
              <w:rPr>
                <w:rFonts w:hint="eastAsia" w:ascii="宋体" w:hAnsi="宋体" w:eastAsia="宋体" w:cs="宋体"/>
                <w:sz w:val="24"/>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14:paraId="34AA13E3">
            <w:pPr>
              <w:snapToGrid w:val="0"/>
              <w:spacing w:before="50" w:after="50"/>
              <w:jc w:val="center"/>
              <w:rPr>
                <w:rFonts w:hint="eastAsia" w:ascii="宋体" w:hAnsi="宋体" w:eastAsia="宋体" w:cs="宋体"/>
                <w:sz w:val="24"/>
                <w:highlight w:val="none"/>
              </w:rPr>
            </w:pPr>
          </w:p>
        </w:tc>
        <w:tc>
          <w:tcPr>
            <w:tcW w:w="3020" w:type="dxa"/>
            <w:tcBorders>
              <w:top w:val="single" w:color="auto" w:sz="4" w:space="0"/>
              <w:left w:val="single" w:color="auto" w:sz="4" w:space="0"/>
              <w:bottom w:val="single" w:color="auto" w:sz="4" w:space="0"/>
              <w:right w:val="single" w:color="auto" w:sz="4" w:space="0"/>
            </w:tcBorders>
            <w:noWrap w:val="0"/>
            <w:vAlign w:val="center"/>
          </w:tcPr>
          <w:p w14:paraId="727CC473">
            <w:pPr>
              <w:snapToGrid w:val="0"/>
              <w:spacing w:before="50" w:after="50"/>
              <w:jc w:val="center"/>
              <w:rPr>
                <w:rFonts w:hint="eastAsia" w:ascii="宋体" w:hAnsi="宋体" w:eastAsia="宋体" w:cs="宋体"/>
                <w:sz w:val="24"/>
                <w:highlight w:val="none"/>
              </w:rPr>
            </w:pPr>
          </w:p>
        </w:tc>
      </w:tr>
      <w:tr w14:paraId="2DBF4AA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30DFEB0">
            <w:pPr>
              <w:keepNext w:val="0"/>
              <w:keepLines w:val="0"/>
              <w:suppressLineNumbers w:val="0"/>
              <w:snapToGrid w:val="0"/>
              <w:spacing w:before="50" w:beforeAutospacing="0" w:after="50" w:afterAutospacing="0"/>
              <w:ind w:left="0" w:leftChars="0" w:right="0" w:rightChars="0"/>
              <w:jc w:val="center"/>
              <w:rPr>
                <w:rFonts w:hint="eastAsia" w:ascii="宋体" w:hAnsi="Times New Roman" w:eastAsia="宋体" w:cs="Times New Roman"/>
                <w:kern w:val="2"/>
                <w:sz w:val="24"/>
                <w:szCs w:val="24"/>
                <w:highlight w:val="none"/>
                <w:lang w:val="en-US" w:eastAsia="zh-CN" w:bidi="ar-SA"/>
              </w:rPr>
            </w:pPr>
          </w:p>
        </w:tc>
        <w:tc>
          <w:tcPr>
            <w:tcW w:w="2700" w:type="dxa"/>
            <w:tcBorders>
              <w:top w:val="single" w:color="auto" w:sz="4" w:space="0"/>
              <w:left w:val="single" w:color="auto" w:sz="4" w:space="0"/>
              <w:bottom w:val="single" w:color="auto" w:sz="4" w:space="0"/>
              <w:right w:val="single" w:color="auto" w:sz="4" w:space="0"/>
            </w:tcBorders>
            <w:noWrap w:val="0"/>
            <w:vAlign w:val="center"/>
          </w:tcPr>
          <w:p w14:paraId="627F9296">
            <w:pPr>
              <w:snapToGrid w:val="0"/>
              <w:spacing w:before="50" w:after="50"/>
              <w:jc w:val="center"/>
              <w:rPr>
                <w:rFonts w:hint="eastAsia" w:ascii="宋体" w:hAnsi="宋体" w:eastAsia="宋体" w:cs="宋体"/>
                <w:sz w:val="24"/>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14:paraId="3FBE6956">
            <w:pPr>
              <w:snapToGrid w:val="0"/>
              <w:spacing w:before="50" w:after="50"/>
              <w:jc w:val="center"/>
              <w:rPr>
                <w:rFonts w:hint="eastAsia" w:ascii="宋体" w:hAnsi="宋体" w:eastAsia="宋体" w:cs="宋体"/>
                <w:sz w:val="24"/>
                <w:highlight w:val="none"/>
              </w:rPr>
            </w:pPr>
          </w:p>
        </w:tc>
        <w:tc>
          <w:tcPr>
            <w:tcW w:w="3020" w:type="dxa"/>
            <w:tcBorders>
              <w:top w:val="single" w:color="auto" w:sz="4" w:space="0"/>
              <w:left w:val="single" w:color="auto" w:sz="4" w:space="0"/>
              <w:bottom w:val="single" w:color="auto" w:sz="4" w:space="0"/>
              <w:right w:val="single" w:color="auto" w:sz="4" w:space="0"/>
            </w:tcBorders>
            <w:noWrap w:val="0"/>
            <w:vAlign w:val="center"/>
          </w:tcPr>
          <w:p w14:paraId="769A3E9F">
            <w:pPr>
              <w:snapToGrid w:val="0"/>
              <w:spacing w:before="50" w:after="50"/>
              <w:jc w:val="center"/>
              <w:rPr>
                <w:rFonts w:hint="eastAsia" w:ascii="宋体" w:hAnsi="宋体" w:eastAsia="宋体" w:cs="宋体"/>
                <w:sz w:val="24"/>
                <w:highlight w:val="none"/>
              </w:rPr>
            </w:pPr>
          </w:p>
        </w:tc>
      </w:tr>
      <w:tr w14:paraId="230E3E1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left w:val="single" w:color="auto" w:sz="4" w:space="0"/>
              <w:bottom w:val="single" w:color="auto" w:sz="4" w:space="0"/>
              <w:right w:val="single" w:color="auto" w:sz="4" w:space="0"/>
            </w:tcBorders>
            <w:noWrap w:val="0"/>
            <w:vAlign w:val="center"/>
          </w:tcPr>
          <w:p w14:paraId="4763E6EE">
            <w:pPr>
              <w:keepNext w:val="0"/>
              <w:keepLines w:val="0"/>
              <w:suppressLineNumbers w:val="0"/>
              <w:snapToGrid w:val="0"/>
              <w:spacing w:before="50" w:beforeAutospacing="0" w:after="50" w:afterAutospacing="0"/>
              <w:ind w:left="0" w:leftChars="0" w:right="0" w:rightChars="0"/>
              <w:jc w:val="center"/>
              <w:rPr>
                <w:rFonts w:hint="eastAsia" w:ascii="宋体" w:hAnsi="Times New Roman" w:eastAsia="宋体" w:cs="Times New Roman"/>
                <w:kern w:val="2"/>
                <w:sz w:val="24"/>
                <w:szCs w:val="24"/>
                <w:highlight w:val="none"/>
                <w:lang w:val="en-US" w:eastAsia="zh-CN" w:bidi="ar-SA"/>
              </w:rPr>
            </w:pPr>
          </w:p>
        </w:tc>
        <w:tc>
          <w:tcPr>
            <w:tcW w:w="2700" w:type="dxa"/>
            <w:tcBorders>
              <w:top w:val="single" w:color="auto" w:sz="4" w:space="0"/>
              <w:left w:val="single" w:color="auto" w:sz="4" w:space="0"/>
              <w:bottom w:val="single" w:color="auto" w:sz="4" w:space="0"/>
              <w:right w:val="single" w:color="auto" w:sz="4" w:space="0"/>
            </w:tcBorders>
            <w:noWrap w:val="0"/>
            <w:vAlign w:val="center"/>
          </w:tcPr>
          <w:p w14:paraId="74EA441F">
            <w:pPr>
              <w:snapToGrid w:val="0"/>
              <w:spacing w:before="50" w:after="50"/>
              <w:jc w:val="center"/>
              <w:rPr>
                <w:rFonts w:hint="eastAsia" w:ascii="宋体" w:hAnsi="宋体" w:eastAsia="宋体" w:cs="宋体"/>
                <w:sz w:val="24"/>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14:paraId="723413B2">
            <w:pPr>
              <w:snapToGrid w:val="0"/>
              <w:spacing w:before="50" w:after="50"/>
              <w:jc w:val="center"/>
              <w:rPr>
                <w:rFonts w:hint="eastAsia" w:ascii="宋体" w:hAnsi="宋体" w:eastAsia="宋体" w:cs="宋体"/>
                <w:sz w:val="24"/>
                <w:highlight w:val="none"/>
              </w:rPr>
            </w:pPr>
          </w:p>
        </w:tc>
        <w:tc>
          <w:tcPr>
            <w:tcW w:w="3020" w:type="dxa"/>
            <w:tcBorders>
              <w:top w:val="single" w:color="auto" w:sz="4" w:space="0"/>
              <w:left w:val="single" w:color="auto" w:sz="4" w:space="0"/>
              <w:bottom w:val="single" w:color="auto" w:sz="4" w:space="0"/>
              <w:right w:val="single" w:color="auto" w:sz="4" w:space="0"/>
            </w:tcBorders>
            <w:noWrap w:val="0"/>
            <w:vAlign w:val="center"/>
          </w:tcPr>
          <w:p w14:paraId="1B0BBCB1">
            <w:pPr>
              <w:snapToGrid w:val="0"/>
              <w:spacing w:before="50" w:after="50"/>
              <w:jc w:val="center"/>
              <w:rPr>
                <w:rFonts w:hint="eastAsia" w:ascii="宋体" w:hAnsi="宋体" w:eastAsia="宋体" w:cs="宋体"/>
                <w:sz w:val="24"/>
                <w:highlight w:val="none"/>
              </w:rPr>
            </w:pPr>
          </w:p>
        </w:tc>
      </w:tr>
      <w:tr w14:paraId="7F8C001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left w:val="single" w:color="auto" w:sz="4" w:space="0"/>
              <w:bottom w:val="single" w:color="auto" w:sz="4" w:space="0"/>
              <w:right w:val="single" w:color="auto" w:sz="4" w:space="0"/>
            </w:tcBorders>
            <w:noWrap w:val="0"/>
            <w:vAlign w:val="center"/>
          </w:tcPr>
          <w:p w14:paraId="6A07B26B">
            <w:pPr>
              <w:keepNext w:val="0"/>
              <w:keepLines w:val="0"/>
              <w:suppressLineNumbers w:val="0"/>
              <w:snapToGrid w:val="0"/>
              <w:spacing w:before="50" w:beforeAutospacing="0" w:after="50" w:afterAutospacing="0"/>
              <w:ind w:left="0" w:leftChars="0" w:right="0" w:rightChars="0"/>
              <w:jc w:val="center"/>
              <w:rPr>
                <w:rFonts w:hint="eastAsia" w:ascii="宋体" w:hAnsi="Times New Roman" w:eastAsia="宋体" w:cs="Times New Roman"/>
                <w:kern w:val="2"/>
                <w:sz w:val="24"/>
                <w:szCs w:val="24"/>
                <w:highlight w:val="none"/>
                <w:lang w:val="en-US" w:eastAsia="zh-CN" w:bidi="ar-SA"/>
              </w:rPr>
            </w:pPr>
            <w:r>
              <w:rPr>
                <w:rFonts w:hint="eastAsia" w:ascii="宋体" w:hAnsi="宋体" w:cs="宋体"/>
                <w:sz w:val="24"/>
                <w:szCs w:val="24"/>
                <w:highlight w:val="none"/>
              </w:rPr>
              <w:t>……</w:t>
            </w:r>
          </w:p>
        </w:tc>
        <w:tc>
          <w:tcPr>
            <w:tcW w:w="2700" w:type="dxa"/>
            <w:tcBorders>
              <w:top w:val="single" w:color="auto" w:sz="4" w:space="0"/>
              <w:left w:val="single" w:color="auto" w:sz="4" w:space="0"/>
              <w:bottom w:val="single" w:color="auto" w:sz="4" w:space="0"/>
              <w:right w:val="single" w:color="auto" w:sz="4" w:space="0"/>
            </w:tcBorders>
            <w:noWrap w:val="0"/>
            <w:vAlign w:val="center"/>
          </w:tcPr>
          <w:p w14:paraId="183610C5">
            <w:pPr>
              <w:snapToGrid w:val="0"/>
              <w:spacing w:before="50" w:after="50"/>
              <w:jc w:val="center"/>
              <w:rPr>
                <w:rFonts w:hint="eastAsia" w:ascii="宋体" w:hAnsi="宋体" w:eastAsia="宋体" w:cs="宋体"/>
                <w:sz w:val="24"/>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14:paraId="3B7CD086">
            <w:pPr>
              <w:snapToGrid w:val="0"/>
              <w:spacing w:before="50" w:after="50"/>
              <w:jc w:val="center"/>
              <w:rPr>
                <w:rFonts w:hint="eastAsia" w:ascii="宋体" w:hAnsi="宋体" w:eastAsia="宋体" w:cs="宋体"/>
                <w:sz w:val="24"/>
                <w:highlight w:val="none"/>
              </w:rPr>
            </w:pPr>
          </w:p>
        </w:tc>
        <w:tc>
          <w:tcPr>
            <w:tcW w:w="3020" w:type="dxa"/>
            <w:tcBorders>
              <w:top w:val="single" w:color="auto" w:sz="4" w:space="0"/>
              <w:left w:val="single" w:color="auto" w:sz="4" w:space="0"/>
              <w:bottom w:val="single" w:color="auto" w:sz="4" w:space="0"/>
              <w:right w:val="single" w:color="auto" w:sz="4" w:space="0"/>
            </w:tcBorders>
            <w:noWrap w:val="0"/>
            <w:vAlign w:val="center"/>
          </w:tcPr>
          <w:p w14:paraId="1DFFBEAA">
            <w:pPr>
              <w:snapToGrid w:val="0"/>
              <w:spacing w:before="50" w:after="50"/>
              <w:jc w:val="center"/>
              <w:rPr>
                <w:rFonts w:hint="eastAsia" w:ascii="宋体" w:hAnsi="宋体" w:eastAsia="宋体" w:cs="宋体"/>
                <w:sz w:val="24"/>
                <w:highlight w:val="none"/>
              </w:rPr>
            </w:pPr>
          </w:p>
        </w:tc>
      </w:tr>
    </w:tbl>
    <w:p w14:paraId="365F070C">
      <w:pPr>
        <w:snapToGrid w:val="0"/>
        <w:spacing w:before="163" w:beforeLines="50" w:line="360" w:lineRule="auto"/>
        <w:rPr>
          <w:rFonts w:hint="eastAsia" w:ascii="宋体" w:hAnsi="宋体" w:cs="宋体"/>
          <w:sz w:val="24"/>
          <w:highlight w:val="none"/>
        </w:rPr>
      </w:pPr>
      <w:r>
        <w:rPr>
          <w:rFonts w:hint="eastAsia" w:ascii="宋体" w:hAnsi="宋体" w:cs="宋体"/>
          <w:sz w:val="24"/>
          <w:highlight w:val="none"/>
        </w:rPr>
        <w:t>注：根据商务要求表及投标实际情况自行填写。</w:t>
      </w:r>
    </w:p>
    <w:p w14:paraId="48C049E2">
      <w:pPr>
        <w:spacing w:line="360" w:lineRule="auto"/>
        <w:ind w:leftChars="1800" w:firstLine="480" w:firstLineChars="200"/>
        <w:rPr>
          <w:rFonts w:hint="eastAsia" w:ascii="宋体" w:hAnsi="宋体" w:eastAsia="宋体" w:cs="宋体"/>
          <w:sz w:val="24"/>
          <w:highlight w:val="none"/>
        </w:rPr>
      </w:pPr>
    </w:p>
    <w:p w14:paraId="7E5504D8">
      <w:pPr>
        <w:spacing w:line="360" w:lineRule="auto"/>
        <w:ind w:leftChars="1800" w:firstLine="480" w:firstLineChars="200"/>
        <w:rPr>
          <w:rFonts w:hint="eastAsia" w:ascii="宋体" w:hAnsi="宋体" w:eastAsia="宋体" w:cs="宋体"/>
          <w:sz w:val="24"/>
          <w:highlight w:val="none"/>
        </w:rPr>
      </w:pPr>
    </w:p>
    <w:p w14:paraId="21398BE4">
      <w:pPr>
        <w:spacing w:line="360" w:lineRule="auto"/>
        <w:ind w:leftChars="1800" w:firstLine="480" w:firstLineChars="200"/>
        <w:rPr>
          <w:rFonts w:hint="eastAsia" w:ascii="宋体" w:hAnsi="宋体" w:eastAsia="宋体" w:cs="宋体"/>
          <w:sz w:val="24"/>
          <w:highlight w:val="none"/>
        </w:rPr>
      </w:pPr>
    </w:p>
    <w:p w14:paraId="1412B94C">
      <w:pPr>
        <w:spacing w:line="360" w:lineRule="auto"/>
        <w:ind w:leftChars="1800" w:firstLine="480" w:firstLineChars="200"/>
        <w:rPr>
          <w:rFonts w:hint="eastAsia" w:ascii="宋体" w:hAnsi="宋体" w:eastAsia="宋体" w:cs="宋体"/>
          <w:sz w:val="24"/>
          <w:highlight w:val="none"/>
        </w:rPr>
      </w:pPr>
      <w:r>
        <w:rPr>
          <w:rFonts w:hint="eastAsia" w:ascii="宋体" w:hAnsi="宋体" w:eastAsia="宋体" w:cs="宋体"/>
          <w:sz w:val="24"/>
          <w:highlight w:val="none"/>
        </w:rPr>
        <w:t xml:space="preserve">法定代表人签名（或签名章）：                       </w:t>
      </w:r>
    </w:p>
    <w:p w14:paraId="3ABF0573">
      <w:pPr>
        <w:spacing w:line="360" w:lineRule="auto"/>
        <w:ind w:leftChars="1800" w:firstLine="480" w:firstLineChars="200"/>
        <w:rPr>
          <w:rFonts w:hint="eastAsia" w:ascii="宋体" w:hAnsi="宋体" w:eastAsia="宋体" w:cs="宋体"/>
          <w:sz w:val="24"/>
          <w:highlight w:val="none"/>
        </w:rPr>
      </w:pPr>
      <w:r>
        <w:rPr>
          <w:rFonts w:hint="eastAsia" w:ascii="宋体" w:hAnsi="宋体" w:eastAsia="宋体" w:cs="宋体"/>
          <w:sz w:val="24"/>
          <w:highlight w:val="none"/>
        </w:rPr>
        <w:t>日 期：</w:t>
      </w:r>
    </w:p>
    <w:p w14:paraId="65CE4FCC">
      <w:pPr>
        <w:spacing w:line="360" w:lineRule="auto"/>
        <w:ind w:leftChars="1800" w:firstLine="480" w:firstLineChars="200"/>
        <w:rPr>
          <w:rFonts w:hint="eastAsia" w:ascii="宋体" w:hAnsi="宋体" w:eastAsia="宋体" w:cs="宋体"/>
          <w:sz w:val="24"/>
          <w:highlight w:val="none"/>
        </w:rPr>
      </w:pPr>
      <w:r>
        <w:rPr>
          <w:rFonts w:hint="eastAsia" w:ascii="宋体" w:hAnsi="宋体" w:eastAsia="宋体" w:cs="宋体"/>
          <w:sz w:val="24"/>
          <w:highlight w:val="none"/>
        </w:rPr>
        <w:t>投标人全称（公章）：</w:t>
      </w:r>
    </w:p>
    <w:p w14:paraId="2C319044">
      <w:pPr>
        <w:snapToGrid w:val="0"/>
        <w:spacing w:before="50" w:after="50"/>
        <w:outlineLvl w:val="0"/>
        <w:rPr>
          <w:rFonts w:hint="eastAsia" w:ascii="宋体" w:hAnsi="宋体" w:eastAsia="宋体" w:cs="宋体"/>
          <w:b/>
          <w:bCs/>
          <w:color w:val="000000"/>
          <w:kern w:val="2"/>
          <w:sz w:val="24"/>
          <w:szCs w:val="24"/>
          <w:highlight w:val="none"/>
          <w:lang w:val="zh-CN" w:eastAsia="zh-CN" w:bidi="ar-SA"/>
        </w:rPr>
      </w:pPr>
      <w:r>
        <w:rPr>
          <w:rFonts w:hint="eastAsia" w:ascii="宋体" w:hAnsi="宋体" w:eastAsia="宋体" w:cs="宋体"/>
          <w:sz w:val="24"/>
          <w:highlight w:val="none"/>
        </w:rPr>
        <w:br w:type="page"/>
      </w:r>
      <w:bookmarkStart w:id="548" w:name="_Toc22751"/>
      <w:bookmarkStart w:id="549" w:name="_Toc29688"/>
      <w:r>
        <w:rPr>
          <w:rFonts w:hint="eastAsia" w:ascii="宋体" w:hAnsi="宋体" w:eastAsia="宋体" w:cs="宋体"/>
          <w:b/>
          <w:bCs/>
          <w:color w:val="000000"/>
          <w:kern w:val="2"/>
          <w:sz w:val="24"/>
          <w:szCs w:val="24"/>
          <w:highlight w:val="none"/>
          <w:lang w:val="zh-CN" w:eastAsia="zh-CN" w:bidi="ar-SA"/>
        </w:rPr>
        <w:t>附件</w:t>
      </w:r>
      <w:r>
        <w:rPr>
          <w:rFonts w:hint="eastAsia" w:ascii="宋体" w:hAnsi="宋体" w:cs="宋体"/>
          <w:b/>
          <w:bCs/>
          <w:color w:val="000000"/>
          <w:kern w:val="2"/>
          <w:sz w:val="24"/>
          <w:szCs w:val="24"/>
          <w:highlight w:val="none"/>
          <w:lang w:val="en-US" w:eastAsia="zh-CN" w:bidi="ar-SA"/>
        </w:rPr>
        <w:t>八</w:t>
      </w:r>
      <w:r>
        <w:rPr>
          <w:rFonts w:hint="eastAsia" w:ascii="宋体" w:hAnsi="宋体" w:eastAsia="宋体" w:cs="宋体"/>
          <w:b/>
          <w:bCs/>
          <w:color w:val="000000"/>
          <w:kern w:val="2"/>
          <w:sz w:val="24"/>
          <w:szCs w:val="24"/>
          <w:highlight w:val="none"/>
          <w:lang w:val="zh-CN" w:eastAsia="zh-CN" w:bidi="ar-SA"/>
        </w:rPr>
        <w:t>：</w:t>
      </w:r>
      <w:bookmarkEnd w:id="548"/>
      <w:bookmarkEnd w:id="549"/>
    </w:p>
    <w:p w14:paraId="6B6F15BA">
      <w:pPr>
        <w:spacing w:line="360" w:lineRule="auto"/>
        <w:jc w:val="center"/>
        <w:rPr>
          <w:rFonts w:hint="eastAsia" w:ascii="宋体" w:hAnsi="宋体" w:eastAsia="宋体" w:cs="宋体"/>
          <w:b/>
          <w:bCs/>
          <w:color w:val="auto"/>
          <w:sz w:val="32"/>
          <w:szCs w:val="32"/>
          <w:highlight w:val="none"/>
          <w:u w:val="none"/>
        </w:rPr>
      </w:pPr>
      <w:r>
        <w:rPr>
          <w:rFonts w:hint="eastAsia" w:ascii="宋体" w:hAnsi="宋体" w:eastAsia="宋体" w:cs="宋体"/>
          <w:b/>
          <w:bCs/>
          <w:color w:val="auto"/>
          <w:sz w:val="32"/>
          <w:szCs w:val="32"/>
          <w:highlight w:val="none"/>
          <w:u w:val="none"/>
        </w:rPr>
        <w:t>项目组人员清单</w:t>
      </w:r>
    </w:p>
    <w:p w14:paraId="60511330">
      <w:pPr>
        <w:snapToGrid w:val="0"/>
        <w:spacing w:before="120" w:beforeLines="50" w:after="50"/>
        <w:jc w:val="center"/>
        <w:rPr>
          <w:rFonts w:hint="eastAsia" w:ascii="宋体" w:hAnsi="宋体" w:eastAsia="宋体" w:cs="宋体"/>
          <w:b/>
          <w:sz w:val="30"/>
          <w:szCs w:val="30"/>
          <w:highlight w:val="none"/>
        </w:rPr>
      </w:pPr>
    </w:p>
    <w:p w14:paraId="5F1D3FA8">
      <w:pPr>
        <w:spacing w:line="360" w:lineRule="auto"/>
        <w:ind w:firstLine="480" w:firstLineChars="200"/>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项目名称：</w:t>
      </w:r>
    </w:p>
    <w:p w14:paraId="4662DDC4">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lang w:eastAsia="zh-CN"/>
        </w:rPr>
        <w:t>采购编号</w:t>
      </w:r>
      <w:r>
        <w:rPr>
          <w:rFonts w:hint="eastAsia" w:ascii="宋体" w:hAnsi="宋体" w:eastAsia="宋体" w:cs="宋体"/>
          <w:sz w:val="24"/>
          <w:highlight w:val="none"/>
        </w:rPr>
        <w:t>：</w:t>
      </w:r>
    </w:p>
    <w:tbl>
      <w:tblPr>
        <w:tblStyle w:val="30"/>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04"/>
        <w:gridCol w:w="1004"/>
        <w:gridCol w:w="1663"/>
        <w:gridCol w:w="1260"/>
        <w:gridCol w:w="1800"/>
        <w:gridCol w:w="1800"/>
      </w:tblGrid>
      <w:tr w14:paraId="5A0060C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04" w:type="dxa"/>
            <w:tcBorders>
              <w:top w:val="single" w:color="auto" w:sz="4" w:space="0"/>
              <w:left w:val="single" w:color="auto" w:sz="4" w:space="0"/>
              <w:bottom w:val="single" w:color="auto" w:sz="4" w:space="0"/>
              <w:right w:val="single" w:color="auto" w:sz="4" w:space="0"/>
            </w:tcBorders>
            <w:noWrap w:val="0"/>
            <w:vAlign w:val="center"/>
          </w:tcPr>
          <w:p w14:paraId="090E5D4E">
            <w:pPr>
              <w:snapToGrid w:val="0"/>
              <w:spacing w:before="50" w:after="50"/>
              <w:jc w:val="center"/>
              <w:rPr>
                <w:rFonts w:hint="eastAsia" w:ascii="宋体" w:hAnsi="宋体" w:eastAsia="宋体" w:cs="宋体"/>
                <w:sz w:val="24"/>
                <w:highlight w:val="none"/>
              </w:rPr>
            </w:pPr>
            <w:r>
              <w:rPr>
                <w:rFonts w:hint="eastAsia" w:ascii="宋体" w:hAnsi="宋体" w:eastAsia="宋体" w:cs="宋体"/>
                <w:sz w:val="24"/>
                <w:highlight w:val="none"/>
              </w:rPr>
              <w:t>姓名</w:t>
            </w:r>
          </w:p>
        </w:tc>
        <w:tc>
          <w:tcPr>
            <w:tcW w:w="1004" w:type="dxa"/>
            <w:tcBorders>
              <w:top w:val="single" w:color="auto" w:sz="4" w:space="0"/>
              <w:left w:val="single" w:color="auto" w:sz="4" w:space="0"/>
              <w:bottom w:val="single" w:color="auto" w:sz="4" w:space="0"/>
              <w:right w:val="single" w:color="auto" w:sz="4" w:space="0"/>
            </w:tcBorders>
            <w:noWrap w:val="0"/>
            <w:vAlign w:val="center"/>
          </w:tcPr>
          <w:p w14:paraId="008E5A45">
            <w:pPr>
              <w:snapToGrid w:val="0"/>
              <w:spacing w:before="50" w:after="50"/>
              <w:jc w:val="center"/>
              <w:rPr>
                <w:rFonts w:hint="eastAsia" w:ascii="宋体" w:hAnsi="宋体" w:eastAsia="宋体" w:cs="宋体"/>
                <w:sz w:val="24"/>
                <w:highlight w:val="none"/>
              </w:rPr>
            </w:pPr>
            <w:r>
              <w:rPr>
                <w:rFonts w:hint="eastAsia" w:ascii="宋体" w:hAnsi="宋体" w:eastAsia="宋体" w:cs="宋体"/>
                <w:sz w:val="24"/>
                <w:highlight w:val="none"/>
              </w:rPr>
              <w:t>职务</w:t>
            </w:r>
          </w:p>
        </w:tc>
        <w:tc>
          <w:tcPr>
            <w:tcW w:w="1663" w:type="dxa"/>
            <w:tcBorders>
              <w:top w:val="single" w:color="auto" w:sz="4" w:space="0"/>
              <w:left w:val="single" w:color="auto" w:sz="4" w:space="0"/>
              <w:bottom w:val="single" w:color="auto" w:sz="4" w:space="0"/>
              <w:right w:val="single" w:color="auto" w:sz="4" w:space="0"/>
            </w:tcBorders>
            <w:noWrap w:val="0"/>
            <w:vAlign w:val="center"/>
          </w:tcPr>
          <w:p w14:paraId="34D628E6">
            <w:pPr>
              <w:snapToGrid w:val="0"/>
              <w:spacing w:before="50" w:after="50"/>
              <w:jc w:val="center"/>
              <w:rPr>
                <w:rFonts w:hint="eastAsia" w:ascii="宋体" w:hAnsi="宋体" w:eastAsia="宋体" w:cs="宋体"/>
                <w:sz w:val="24"/>
                <w:highlight w:val="none"/>
              </w:rPr>
            </w:pPr>
            <w:r>
              <w:rPr>
                <w:rFonts w:hint="eastAsia" w:ascii="宋体" w:hAnsi="宋体" w:eastAsia="宋体" w:cs="宋体"/>
                <w:sz w:val="24"/>
                <w:highlight w:val="none"/>
              </w:rPr>
              <w:t>专业技术资格</w:t>
            </w:r>
          </w:p>
        </w:tc>
        <w:tc>
          <w:tcPr>
            <w:tcW w:w="1260" w:type="dxa"/>
            <w:tcBorders>
              <w:top w:val="single" w:color="auto" w:sz="4" w:space="0"/>
              <w:left w:val="single" w:color="auto" w:sz="4" w:space="0"/>
              <w:bottom w:val="single" w:color="auto" w:sz="4" w:space="0"/>
              <w:right w:val="single" w:color="auto" w:sz="4" w:space="0"/>
            </w:tcBorders>
            <w:noWrap w:val="0"/>
            <w:vAlign w:val="center"/>
          </w:tcPr>
          <w:p w14:paraId="3AA99885">
            <w:pPr>
              <w:snapToGrid w:val="0"/>
              <w:spacing w:before="50" w:after="50"/>
              <w:jc w:val="center"/>
              <w:rPr>
                <w:rFonts w:hint="eastAsia" w:ascii="宋体" w:hAnsi="宋体" w:eastAsia="宋体" w:cs="宋体"/>
                <w:sz w:val="24"/>
                <w:highlight w:val="none"/>
              </w:rPr>
            </w:pPr>
            <w:r>
              <w:rPr>
                <w:rFonts w:hint="eastAsia" w:ascii="宋体" w:hAnsi="宋体" w:eastAsia="宋体" w:cs="宋体"/>
                <w:sz w:val="24"/>
                <w:highlight w:val="none"/>
              </w:rPr>
              <w:t>证书编号</w:t>
            </w:r>
          </w:p>
        </w:tc>
        <w:tc>
          <w:tcPr>
            <w:tcW w:w="1800" w:type="dxa"/>
            <w:tcBorders>
              <w:top w:val="single" w:color="auto" w:sz="4" w:space="0"/>
              <w:left w:val="single" w:color="auto" w:sz="4" w:space="0"/>
              <w:bottom w:val="single" w:color="auto" w:sz="4" w:space="0"/>
              <w:right w:val="single" w:color="auto" w:sz="4" w:space="0"/>
            </w:tcBorders>
            <w:noWrap w:val="0"/>
            <w:vAlign w:val="center"/>
          </w:tcPr>
          <w:p w14:paraId="18E80D3B">
            <w:pPr>
              <w:snapToGrid w:val="0"/>
              <w:spacing w:before="50" w:after="50"/>
              <w:jc w:val="center"/>
              <w:rPr>
                <w:rFonts w:hint="eastAsia" w:ascii="宋体" w:hAnsi="宋体" w:eastAsia="宋体" w:cs="宋体"/>
                <w:sz w:val="24"/>
                <w:highlight w:val="none"/>
              </w:rPr>
            </w:pPr>
            <w:r>
              <w:rPr>
                <w:rFonts w:hint="eastAsia" w:ascii="宋体" w:hAnsi="宋体" w:eastAsia="宋体" w:cs="宋体"/>
                <w:sz w:val="24"/>
                <w:highlight w:val="none"/>
              </w:rPr>
              <w:t>参加本单位工作时间</w:t>
            </w:r>
          </w:p>
        </w:tc>
        <w:tc>
          <w:tcPr>
            <w:tcW w:w="1800" w:type="dxa"/>
            <w:tcBorders>
              <w:top w:val="single" w:color="auto" w:sz="4" w:space="0"/>
              <w:left w:val="single" w:color="auto" w:sz="4" w:space="0"/>
              <w:bottom w:val="single" w:color="auto" w:sz="4" w:space="0"/>
              <w:right w:val="single" w:color="auto" w:sz="4" w:space="0"/>
            </w:tcBorders>
            <w:noWrap w:val="0"/>
            <w:vAlign w:val="center"/>
          </w:tcPr>
          <w:p w14:paraId="5ACA90DD">
            <w:pPr>
              <w:snapToGrid w:val="0"/>
              <w:spacing w:before="50" w:after="50"/>
              <w:jc w:val="center"/>
              <w:rPr>
                <w:rFonts w:hint="eastAsia" w:ascii="宋体" w:hAnsi="宋体" w:eastAsia="宋体" w:cs="宋体"/>
                <w:sz w:val="24"/>
                <w:highlight w:val="none"/>
              </w:rPr>
            </w:pPr>
            <w:r>
              <w:rPr>
                <w:rFonts w:hint="eastAsia" w:ascii="宋体" w:hAnsi="宋体" w:eastAsia="宋体" w:cs="宋体"/>
                <w:sz w:val="24"/>
                <w:highlight w:val="none"/>
              </w:rPr>
              <w:t>劳动合同编号</w:t>
            </w:r>
          </w:p>
        </w:tc>
      </w:tr>
      <w:tr w14:paraId="37D4FF8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04" w:type="dxa"/>
            <w:tcBorders>
              <w:top w:val="single" w:color="auto" w:sz="4" w:space="0"/>
              <w:left w:val="single" w:color="auto" w:sz="4" w:space="0"/>
              <w:bottom w:val="single" w:color="auto" w:sz="4" w:space="0"/>
              <w:right w:val="single" w:color="auto" w:sz="4" w:space="0"/>
            </w:tcBorders>
            <w:noWrap w:val="0"/>
            <w:vAlign w:val="top"/>
          </w:tcPr>
          <w:p w14:paraId="2A936585">
            <w:pPr>
              <w:snapToGrid w:val="0"/>
              <w:spacing w:before="120" w:beforeLines="50" w:after="50" w:line="460" w:lineRule="exact"/>
              <w:rPr>
                <w:rFonts w:hint="eastAsia" w:ascii="宋体" w:hAnsi="宋体" w:eastAsia="宋体" w:cs="宋体"/>
                <w:sz w:val="24"/>
                <w:highlight w:val="none"/>
              </w:rPr>
            </w:pPr>
          </w:p>
        </w:tc>
        <w:tc>
          <w:tcPr>
            <w:tcW w:w="1004" w:type="dxa"/>
            <w:tcBorders>
              <w:top w:val="single" w:color="auto" w:sz="4" w:space="0"/>
              <w:left w:val="single" w:color="auto" w:sz="4" w:space="0"/>
              <w:bottom w:val="single" w:color="auto" w:sz="4" w:space="0"/>
              <w:right w:val="single" w:color="auto" w:sz="4" w:space="0"/>
            </w:tcBorders>
            <w:noWrap w:val="0"/>
            <w:vAlign w:val="top"/>
          </w:tcPr>
          <w:p w14:paraId="59A6A739">
            <w:pPr>
              <w:snapToGrid w:val="0"/>
              <w:spacing w:before="120" w:beforeLines="50" w:after="50" w:line="460" w:lineRule="exact"/>
              <w:rPr>
                <w:rFonts w:hint="eastAsia" w:ascii="宋体" w:hAnsi="宋体" w:eastAsia="宋体" w:cs="宋体"/>
                <w:sz w:val="24"/>
                <w:highlight w:val="none"/>
              </w:rPr>
            </w:pPr>
          </w:p>
        </w:tc>
        <w:tc>
          <w:tcPr>
            <w:tcW w:w="1663" w:type="dxa"/>
            <w:tcBorders>
              <w:top w:val="single" w:color="auto" w:sz="4" w:space="0"/>
              <w:left w:val="single" w:color="auto" w:sz="4" w:space="0"/>
              <w:bottom w:val="single" w:color="auto" w:sz="4" w:space="0"/>
              <w:right w:val="single" w:color="auto" w:sz="4" w:space="0"/>
            </w:tcBorders>
            <w:noWrap w:val="0"/>
            <w:vAlign w:val="top"/>
          </w:tcPr>
          <w:p w14:paraId="2F274545">
            <w:pPr>
              <w:snapToGrid w:val="0"/>
              <w:spacing w:before="120" w:beforeLines="50" w:after="50" w:line="460" w:lineRule="exact"/>
              <w:rPr>
                <w:rFonts w:hint="eastAsia" w:ascii="宋体" w:hAnsi="宋体" w:eastAsia="宋体" w:cs="宋体"/>
                <w:sz w:val="24"/>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top"/>
          </w:tcPr>
          <w:p w14:paraId="6C648837">
            <w:pPr>
              <w:snapToGrid w:val="0"/>
              <w:spacing w:before="120" w:beforeLines="50" w:after="50" w:line="460" w:lineRule="exact"/>
              <w:rPr>
                <w:rFonts w:hint="eastAsia" w:ascii="宋体" w:hAnsi="宋体" w:eastAsia="宋体" w:cs="宋体"/>
                <w:sz w:val="24"/>
                <w:highlight w:val="none"/>
              </w:rPr>
            </w:pPr>
          </w:p>
        </w:tc>
        <w:tc>
          <w:tcPr>
            <w:tcW w:w="1800" w:type="dxa"/>
            <w:tcBorders>
              <w:top w:val="single" w:color="auto" w:sz="4" w:space="0"/>
              <w:left w:val="single" w:color="auto" w:sz="4" w:space="0"/>
              <w:bottom w:val="single" w:color="auto" w:sz="4" w:space="0"/>
              <w:right w:val="single" w:color="auto" w:sz="4" w:space="0"/>
            </w:tcBorders>
            <w:noWrap w:val="0"/>
            <w:vAlign w:val="top"/>
          </w:tcPr>
          <w:p w14:paraId="1FC4E0DE">
            <w:pPr>
              <w:snapToGrid w:val="0"/>
              <w:spacing w:before="120" w:beforeLines="50" w:after="50" w:line="460" w:lineRule="exact"/>
              <w:rPr>
                <w:rFonts w:hint="eastAsia" w:ascii="宋体" w:hAnsi="宋体" w:eastAsia="宋体" w:cs="宋体"/>
                <w:sz w:val="24"/>
                <w:highlight w:val="none"/>
              </w:rPr>
            </w:pPr>
          </w:p>
        </w:tc>
        <w:tc>
          <w:tcPr>
            <w:tcW w:w="1800" w:type="dxa"/>
            <w:tcBorders>
              <w:top w:val="single" w:color="auto" w:sz="4" w:space="0"/>
              <w:left w:val="single" w:color="auto" w:sz="4" w:space="0"/>
              <w:bottom w:val="single" w:color="auto" w:sz="4" w:space="0"/>
              <w:right w:val="single" w:color="auto" w:sz="4" w:space="0"/>
            </w:tcBorders>
            <w:noWrap w:val="0"/>
            <w:vAlign w:val="top"/>
          </w:tcPr>
          <w:p w14:paraId="11F4AE99">
            <w:pPr>
              <w:snapToGrid w:val="0"/>
              <w:spacing w:before="120" w:beforeLines="50" w:after="50" w:line="460" w:lineRule="exact"/>
              <w:rPr>
                <w:rFonts w:hint="eastAsia" w:ascii="宋体" w:hAnsi="宋体" w:eastAsia="宋体" w:cs="宋体"/>
                <w:sz w:val="24"/>
                <w:highlight w:val="none"/>
              </w:rPr>
            </w:pPr>
          </w:p>
        </w:tc>
      </w:tr>
      <w:tr w14:paraId="76EF808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04" w:type="dxa"/>
            <w:tcBorders>
              <w:top w:val="single" w:color="auto" w:sz="4" w:space="0"/>
              <w:left w:val="single" w:color="auto" w:sz="4" w:space="0"/>
              <w:bottom w:val="single" w:color="auto" w:sz="4" w:space="0"/>
              <w:right w:val="single" w:color="auto" w:sz="4" w:space="0"/>
            </w:tcBorders>
            <w:noWrap w:val="0"/>
            <w:vAlign w:val="top"/>
          </w:tcPr>
          <w:p w14:paraId="3EE33CC5">
            <w:pPr>
              <w:snapToGrid w:val="0"/>
              <w:spacing w:before="120" w:beforeLines="50" w:after="50" w:line="460" w:lineRule="exact"/>
              <w:rPr>
                <w:rFonts w:hint="eastAsia" w:ascii="宋体" w:hAnsi="宋体" w:eastAsia="宋体" w:cs="宋体"/>
                <w:sz w:val="24"/>
                <w:highlight w:val="none"/>
              </w:rPr>
            </w:pPr>
          </w:p>
        </w:tc>
        <w:tc>
          <w:tcPr>
            <w:tcW w:w="1004" w:type="dxa"/>
            <w:tcBorders>
              <w:top w:val="single" w:color="auto" w:sz="4" w:space="0"/>
              <w:left w:val="single" w:color="auto" w:sz="4" w:space="0"/>
              <w:bottom w:val="single" w:color="auto" w:sz="4" w:space="0"/>
              <w:right w:val="single" w:color="auto" w:sz="4" w:space="0"/>
            </w:tcBorders>
            <w:noWrap w:val="0"/>
            <w:vAlign w:val="top"/>
          </w:tcPr>
          <w:p w14:paraId="73C0F2AB">
            <w:pPr>
              <w:snapToGrid w:val="0"/>
              <w:spacing w:before="120" w:beforeLines="50" w:after="50" w:line="460" w:lineRule="exact"/>
              <w:rPr>
                <w:rFonts w:hint="eastAsia" w:ascii="宋体" w:hAnsi="宋体" w:eastAsia="宋体" w:cs="宋体"/>
                <w:sz w:val="24"/>
                <w:highlight w:val="none"/>
              </w:rPr>
            </w:pPr>
          </w:p>
        </w:tc>
        <w:tc>
          <w:tcPr>
            <w:tcW w:w="1663" w:type="dxa"/>
            <w:tcBorders>
              <w:top w:val="single" w:color="auto" w:sz="4" w:space="0"/>
              <w:left w:val="single" w:color="auto" w:sz="4" w:space="0"/>
              <w:bottom w:val="single" w:color="auto" w:sz="4" w:space="0"/>
              <w:right w:val="single" w:color="auto" w:sz="4" w:space="0"/>
            </w:tcBorders>
            <w:noWrap w:val="0"/>
            <w:vAlign w:val="top"/>
          </w:tcPr>
          <w:p w14:paraId="3B610B28">
            <w:pPr>
              <w:snapToGrid w:val="0"/>
              <w:spacing w:before="120" w:beforeLines="50" w:after="50" w:line="460" w:lineRule="exact"/>
              <w:rPr>
                <w:rFonts w:hint="eastAsia" w:ascii="宋体" w:hAnsi="宋体" w:eastAsia="宋体" w:cs="宋体"/>
                <w:sz w:val="24"/>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top"/>
          </w:tcPr>
          <w:p w14:paraId="6094322D">
            <w:pPr>
              <w:snapToGrid w:val="0"/>
              <w:spacing w:before="120" w:beforeLines="50" w:after="50" w:line="460" w:lineRule="exact"/>
              <w:rPr>
                <w:rFonts w:hint="eastAsia" w:ascii="宋体" w:hAnsi="宋体" w:eastAsia="宋体" w:cs="宋体"/>
                <w:sz w:val="24"/>
                <w:highlight w:val="none"/>
              </w:rPr>
            </w:pPr>
          </w:p>
        </w:tc>
        <w:tc>
          <w:tcPr>
            <w:tcW w:w="1800" w:type="dxa"/>
            <w:tcBorders>
              <w:top w:val="single" w:color="auto" w:sz="4" w:space="0"/>
              <w:left w:val="single" w:color="auto" w:sz="4" w:space="0"/>
              <w:bottom w:val="single" w:color="auto" w:sz="4" w:space="0"/>
              <w:right w:val="single" w:color="auto" w:sz="4" w:space="0"/>
            </w:tcBorders>
            <w:noWrap w:val="0"/>
            <w:vAlign w:val="top"/>
          </w:tcPr>
          <w:p w14:paraId="78E8F374">
            <w:pPr>
              <w:snapToGrid w:val="0"/>
              <w:spacing w:before="120" w:beforeLines="50" w:after="50" w:line="460" w:lineRule="exact"/>
              <w:rPr>
                <w:rFonts w:hint="eastAsia" w:ascii="宋体" w:hAnsi="宋体" w:eastAsia="宋体" w:cs="宋体"/>
                <w:sz w:val="24"/>
                <w:highlight w:val="none"/>
              </w:rPr>
            </w:pPr>
          </w:p>
        </w:tc>
        <w:tc>
          <w:tcPr>
            <w:tcW w:w="1800" w:type="dxa"/>
            <w:tcBorders>
              <w:top w:val="single" w:color="auto" w:sz="4" w:space="0"/>
              <w:left w:val="single" w:color="auto" w:sz="4" w:space="0"/>
              <w:bottom w:val="single" w:color="auto" w:sz="4" w:space="0"/>
              <w:right w:val="single" w:color="auto" w:sz="4" w:space="0"/>
            </w:tcBorders>
            <w:noWrap w:val="0"/>
            <w:vAlign w:val="top"/>
          </w:tcPr>
          <w:p w14:paraId="062D7DB1">
            <w:pPr>
              <w:snapToGrid w:val="0"/>
              <w:spacing w:before="120" w:beforeLines="50" w:after="50" w:line="460" w:lineRule="exact"/>
              <w:rPr>
                <w:rFonts w:hint="eastAsia" w:ascii="宋体" w:hAnsi="宋体" w:eastAsia="宋体" w:cs="宋体"/>
                <w:sz w:val="24"/>
                <w:highlight w:val="none"/>
              </w:rPr>
            </w:pPr>
          </w:p>
        </w:tc>
      </w:tr>
      <w:tr w14:paraId="37EB06E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04" w:type="dxa"/>
            <w:tcBorders>
              <w:top w:val="single" w:color="auto" w:sz="4" w:space="0"/>
              <w:left w:val="single" w:color="auto" w:sz="4" w:space="0"/>
              <w:bottom w:val="single" w:color="auto" w:sz="4" w:space="0"/>
              <w:right w:val="single" w:color="auto" w:sz="4" w:space="0"/>
            </w:tcBorders>
            <w:noWrap w:val="0"/>
            <w:vAlign w:val="top"/>
          </w:tcPr>
          <w:p w14:paraId="21A9C9E3">
            <w:pPr>
              <w:snapToGrid w:val="0"/>
              <w:spacing w:before="120" w:beforeLines="50" w:after="50" w:line="460" w:lineRule="exact"/>
              <w:rPr>
                <w:rFonts w:hint="eastAsia" w:ascii="宋体" w:hAnsi="宋体" w:eastAsia="宋体" w:cs="宋体"/>
                <w:sz w:val="24"/>
                <w:highlight w:val="none"/>
              </w:rPr>
            </w:pPr>
          </w:p>
        </w:tc>
        <w:tc>
          <w:tcPr>
            <w:tcW w:w="1004" w:type="dxa"/>
            <w:tcBorders>
              <w:top w:val="single" w:color="auto" w:sz="4" w:space="0"/>
              <w:left w:val="single" w:color="auto" w:sz="4" w:space="0"/>
              <w:bottom w:val="single" w:color="auto" w:sz="4" w:space="0"/>
              <w:right w:val="single" w:color="auto" w:sz="4" w:space="0"/>
            </w:tcBorders>
            <w:noWrap w:val="0"/>
            <w:vAlign w:val="top"/>
          </w:tcPr>
          <w:p w14:paraId="3451CE7C">
            <w:pPr>
              <w:snapToGrid w:val="0"/>
              <w:spacing w:before="120" w:beforeLines="50" w:after="50" w:line="460" w:lineRule="exact"/>
              <w:rPr>
                <w:rFonts w:hint="eastAsia" w:ascii="宋体" w:hAnsi="宋体" w:eastAsia="宋体" w:cs="宋体"/>
                <w:sz w:val="24"/>
                <w:highlight w:val="none"/>
              </w:rPr>
            </w:pPr>
          </w:p>
        </w:tc>
        <w:tc>
          <w:tcPr>
            <w:tcW w:w="1663" w:type="dxa"/>
            <w:tcBorders>
              <w:top w:val="single" w:color="auto" w:sz="4" w:space="0"/>
              <w:left w:val="single" w:color="auto" w:sz="4" w:space="0"/>
              <w:bottom w:val="single" w:color="auto" w:sz="4" w:space="0"/>
              <w:right w:val="single" w:color="auto" w:sz="4" w:space="0"/>
            </w:tcBorders>
            <w:noWrap w:val="0"/>
            <w:vAlign w:val="top"/>
          </w:tcPr>
          <w:p w14:paraId="00B62653">
            <w:pPr>
              <w:pStyle w:val="18"/>
              <w:snapToGrid w:val="0"/>
              <w:spacing w:before="120" w:beforeLines="50" w:after="50" w:line="460" w:lineRule="exact"/>
              <w:ind w:left="5250"/>
              <w:rPr>
                <w:rFonts w:hint="eastAsia" w:ascii="宋体" w:hAnsi="宋体" w:eastAsia="宋体" w:cs="宋体"/>
                <w:szCs w:val="24"/>
                <w:highlight w:val="none"/>
                <w:lang w:eastAsia="zh-CN"/>
              </w:rPr>
            </w:pPr>
          </w:p>
        </w:tc>
        <w:tc>
          <w:tcPr>
            <w:tcW w:w="1260" w:type="dxa"/>
            <w:tcBorders>
              <w:top w:val="single" w:color="auto" w:sz="4" w:space="0"/>
              <w:left w:val="single" w:color="auto" w:sz="4" w:space="0"/>
              <w:bottom w:val="single" w:color="auto" w:sz="4" w:space="0"/>
              <w:right w:val="single" w:color="auto" w:sz="4" w:space="0"/>
            </w:tcBorders>
            <w:noWrap w:val="0"/>
            <w:vAlign w:val="top"/>
          </w:tcPr>
          <w:p w14:paraId="1ABAB1C4">
            <w:pPr>
              <w:snapToGrid w:val="0"/>
              <w:spacing w:before="120" w:beforeLines="50" w:after="50" w:line="460" w:lineRule="exact"/>
              <w:rPr>
                <w:rFonts w:hint="eastAsia" w:ascii="宋体" w:hAnsi="宋体" w:eastAsia="宋体" w:cs="宋体"/>
                <w:sz w:val="24"/>
                <w:highlight w:val="none"/>
              </w:rPr>
            </w:pPr>
          </w:p>
        </w:tc>
        <w:tc>
          <w:tcPr>
            <w:tcW w:w="1800" w:type="dxa"/>
            <w:tcBorders>
              <w:top w:val="single" w:color="auto" w:sz="4" w:space="0"/>
              <w:left w:val="single" w:color="auto" w:sz="4" w:space="0"/>
              <w:bottom w:val="single" w:color="auto" w:sz="4" w:space="0"/>
              <w:right w:val="single" w:color="auto" w:sz="4" w:space="0"/>
            </w:tcBorders>
            <w:noWrap w:val="0"/>
            <w:vAlign w:val="top"/>
          </w:tcPr>
          <w:p w14:paraId="77BCD6B7">
            <w:pPr>
              <w:snapToGrid w:val="0"/>
              <w:spacing w:before="120" w:beforeLines="50" w:after="50" w:line="460" w:lineRule="exact"/>
              <w:rPr>
                <w:rFonts w:hint="eastAsia" w:ascii="宋体" w:hAnsi="宋体" w:eastAsia="宋体" w:cs="宋体"/>
                <w:sz w:val="24"/>
                <w:highlight w:val="none"/>
              </w:rPr>
            </w:pPr>
          </w:p>
        </w:tc>
        <w:tc>
          <w:tcPr>
            <w:tcW w:w="1800" w:type="dxa"/>
            <w:tcBorders>
              <w:top w:val="single" w:color="auto" w:sz="4" w:space="0"/>
              <w:left w:val="single" w:color="auto" w:sz="4" w:space="0"/>
              <w:bottom w:val="single" w:color="auto" w:sz="4" w:space="0"/>
              <w:right w:val="single" w:color="auto" w:sz="4" w:space="0"/>
            </w:tcBorders>
            <w:noWrap w:val="0"/>
            <w:vAlign w:val="top"/>
          </w:tcPr>
          <w:p w14:paraId="6DBB014B">
            <w:pPr>
              <w:snapToGrid w:val="0"/>
              <w:spacing w:before="120" w:beforeLines="50" w:after="50" w:line="460" w:lineRule="exact"/>
              <w:rPr>
                <w:rFonts w:hint="eastAsia" w:ascii="宋体" w:hAnsi="宋体" w:eastAsia="宋体" w:cs="宋体"/>
                <w:sz w:val="24"/>
                <w:highlight w:val="none"/>
              </w:rPr>
            </w:pPr>
          </w:p>
        </w:tc>
      </w:tr>
      <w:tr w14:paraId="5705BDE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04" w:type="dxa"/>
            <w:tcBorders>
              <w:top w:val="single" w:color="auto" w:sz="4" w:space="0"/>
              <w:left w:val="single" w:color="auto" w:sz="4" w:space="0"/>
              <w:bottom w:val="single" w:color="auto" w:sz="4" w:space="0"/>
              <w:right w:val="single" w:color="auto" w:sz="4" w:space="0"/>
            </w:tcBorders>
            <w:noWrap w:val="0"/>
            <w:vAlign w:val="top"/>
          </w:tcPr>
          <w:p w14:paraId="7AD9C607">
            <w:pPr>
              <w:snapToGrid w:val="0"/>
              <w:spacing w:before="120" w:beforeLines="50" w:after="50" w:line="460" w:lineRule="exact"/>
              <w:rPr>
                <w:rFonts w:hint="eastAsia" w:ascii="宋体" w:hAnsi="宋体" w:eastAsia="宋体" w:cs="宋体"/>
                <w:sz w:val="24"/>
                <w:highlight w:val="none"/>
              </w:rPr>
            </w:pPr>
          </w:p>
        </w:tc>
        <w:tc>
          <w:tcPr>
            <w:tcW w:w="1004" w:type="dxa"/>
            <w:tcBorders>
              <w:top w:val="single" w:color="auto" w:sz="4" w:space="0"/>
              <w:left w:val="single" w:color="auto" w:sz="4" w:space="0"/>
              <w:bottom w:val="single" w:color="auto" w:sz="4" w:space="0"/>
              <w:right w:val="single" w:color="auto" w:sz="4" w:space="0"/>
            </w:tcBorders>
            <w:noWrap w:val="0"/>
            <w:vAlign w:val="top"/>
          </w:tcPr>
          <w:p w14:paraId="015FB653">
            <w:pPr>
              <w:snapToGrid w:val="0"/>
              <w:spacing w:before="120" w:beforeLines="50" w:after="50" w:line="460" w:lineRule="exact"/>
              <w:rPr>
                <w:rFonts w:hint="eastAsia" w:ascii="宋体" w:hAnsi="宋体" w:eastAsia="宋体" w:cs="宋体"/>
                <w:sz w:val="24"/>
                <w:highlight w:val="none"/>
              </w:rPr>
            </w:pPr>
          </w:p>
        </w:tc>
        <w:tc>
          <w:tcPr>
            <w:tcW w:w="1663" w:type="dxa"/>
            <w:tcBorders>
              <w:top w:val="single" w:color="auto" w:sz="4" w:space="0"/>
              <w:left w:val="single" w:color="auto" w:sz="4" w:space="0"/>
              <w:bottom w:val="single" w:color="auto" w:sz="4" w:space="0"/>
              <w:right w:val="single" w:color="auto" w:sz="4" w:space="0"/>
            </w:tcBorders>
            <w:noWrap w:val="0"/>
            <w:vAlign w:val="top"/>
          </w:tcPr>
          <w:p w14:paraId="198A768F">
            <w:pPr>
              <w:snapToGrid w:val="0"/>
              <w:spacing w:before="120" w:beforeLines="50" w:after="50" w:line="460" w:lineRule="exact"/>
              <w:rPr>
                <w:rFonts w:hint="eastAsia" w:ascii="宋体" w:hAnsi="宋体" w:eastAsia="宋体" w:cs="宋体"/>
                <w:sz w:val="24"/>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top"/>
          </w:tcPr>
          <w:p w14:paraId="0ECA74B4">
            <w:pPr>
              <w:snapToGrid w:val="0"/>
              <w:spacing w:before="120" w:beforeLines="50" w:after="50" w:line="460" w:lineRule="exact"/>
              <w:rPr>
                <w:rFonts w:hint="eastAsia" w:ascii="宋体" w:hAnsi="宋体" w:eastAsia="宋体" w:cs="宋体"/>
                <w:sz w:val="24"/>
                <w:highlight w:val="none"/>
              </w:rPr>
            </w:pPr>
          </w:p>
        </w:tc>
        <w:tc>
          <w:tcPr>
            <w:tcW w:w="1800" w:type="dxa"/>
            <w:tcBorders>
              <w:top w:val="single" w:color="auto" w:sz="4" w:space="0"/>
              <w:left w:val="single" w:color="auto" w:sz="4" w:space="0"/>
              <w:bottom w:val="single" w:color="auto" w:sz="4" w:space="0"/>
              <w:right w:val="single" w:color="auto" w:sz="4" w:space="0"/>
            </w:tcBorders>
            <w:noWrap w:val="0"/>
            <w:vAlign w:val="top"/>
          </w:tcPr>
          <w:p w14:paraId="40EE97E5">
            <w:pPr>
              <w:snapToGrid w:val="0"/>
              <w:spacing w:before="120" w:beforeLines="50" w:after="50" w:line="460" w:lineRule="exact"/>
              <w:rPr>
                <w:rFonts w:hint="eastAsia" w:ascii="宋体" w:hAnsi="宋体" w:eastAsia="宋体" w:cs="宋体"/>
                <w:sz w:val="24"/>
                <w:highlight w:val="none"/>
              </w:rPr>
            </w:pPr>
          </w:p>
        </w:tc>
        <w:tc>
          <w:tcPr>
            <w:tcW w:w="1800" w:type="dxa"/>
            <w:tcBorders>
              <w:top w:val="single" w:color="auto" w:sz="4" w:space="0"/>
              <w:left w:val="single" w:color="auto" w:sz="4" w:space="0"/>
              <w:bottom w:val="single" w:color="auto" w:sz="4" w:space="0"/>
              <w:right w:val="single" w:color="auto" w:sz="4" w:space="0"/>
            </w:tcBorders>
            <w:noWrap w:val="0"/>
            <w:vAlign w:val="top"/>
          </w:tcPr>
          <w:p w14:paraId="075B8494">
            <w:pPr>
              <w:snapToGrid w:val="0"/>
              <w:spacing w:before="120" w:beforeLines="50" w:after="50" w:line="460" w:lineRule="exact"/>
              <w:rPr>
                <w:rFonts w:hint="eastAsia" w:ascii="宋体" w:hAnsi="宋体" w:eastAsia="宋体" w:cs="宋体"/>
                <w:sz w:val="24"/>
                <w:highlight w:val="none"/>
              </w:rPr>
            </w:pPr>
          </w:p>
        </w:tc>
      </w:tr>
      <w:tr w14:paraId="28E8B43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04" w:type="dxa"/>
            <w:tcBorders>
              <w:top w:val="single" w:color="auto" w:sz="4" w:space="0"/>
              <w:left w:val="single" w:color="auto" w:sz="4" w:space="0"/>
              <w:bottom w:val="single" w:color="auto" w:sz="4" w:space="0"/>
              <w:right w:val="single" w:color="auto" w:sz="4" w:space="0"/>
            </w:tcBorders>
            <w:noWrap w:val="0"/>
            <w:vAlign w:val="top"/>
          </w:tcPr>
          <w:p w14:paraId="5F688394">
            <w:pPr>
              <w:snapToGrid w:val="0"/>
              <w:spacing w:before="120" w:beforeLines="50" w:after="50" w:line="460" w:lineRule="exact"/>
              <w:rPr>
                <w:rFonts w:hint="eastAsia" w:ascii="宋体" w:hAnsi="宋体" w:eastAsia="宋体" w:cs="宋体"/>
                <w:sz w:val="24"/>
                <w:highlight w:val="none"/>
              </w:rPr>
            </w:pPr>
          </w:p>
        </w:tc>
        <w:tc>
          <w:tcPr>
            <w:tcW w:w="1004" w:type="dxa"/>
            <w:tcBorders>
              <w:top w:val="single" w:color="auto" w:sz="4" w:space="0"/>
              <w:left w:val="single" w:color="auto" w:sz="4" w:space="0"/>
              <w:bottom w:val="single" w:color="auto" w:sz="4" w:space="0"/>
              <w:right w:val="single" w:color="auto" w:sz="4" w:space="0"/>
            </w:tcBorders>
            <w:noWrap w:val="0"/>
            <w:vAlign w:val="top"/>
          </w:tcPr>
          <w:p w14:paraId="595F5CD2">
            <w:pPr>
              <w:snapToGrid w:val="0"/>
              <w:spacing w:before="120" w:beforeLines="50" w:after="50" w:line="460" w:lineRule="exact"/>
              <w:rPr>
                <w:rFonts w:hint="eastAsia" w:ascii="宋体" w:hAnsi="宋体" w:eastAsia="宋体" w:cs="宋体"/>
                <w:sz w:val="24"/>
                <w:highlight w:val="none"/>
              </w:rPr>
            </w:pPr>
          </w:p>
        </w:tc>
        <w:tc>
          <w:tcPr>
            <w:tcW w:w="1663" w:type="dxa"/>
            <w:tcBorders>
              <w:top w:val="single" w:color="auto" w:sz="4" w:space="0"/>
              <w:left w:val="single" w:color="auto" w:sz="4" w:space="0"/>
              <w:bottom w:val="single" w:color="auto" w:sz="4" w:space="0"/>
              <w:right w:val="single" w:color="auto" w:sz="4" w:space="0"/>
            </w:tcBorders>
            <w:noWrap w:val="0"/>
            <w:vAlign w:val="top"/>
          </w:tcPr>
          <w:p w14:paraId="28F75A75">
            <w:pPr>
              <w:snapToGrid w:val="0"/>
              <w:spacing w:before="120" w:beforeLines="50" w:after="50" w:line="460" w:lineRule="exact"/>
              <w:rPr>
                <w:rFonts w:hint="eastAsia" w:ascii="宋体" w:hAnsi="宋体" w:eastAsia="宋体" w:cs="宋体"/>
                <w:sz w:val="24"/>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top"/>
          </w:tcPr>
          <w:p w14:paraId="27075CC7">
            <w:pPr>
              <w:snapToGrid w:val="0"/>
              <w:spacing w:before="120" w:beforeLines="50" w:after="50" w:line="460" w:lineRule="exact"/>
              <w:rPr>
                <w:rFonts w:hint="eastAsia" w:ascii="宋体" w:hAnsi="宋体" w:eastAsia="宋体" w:cs="宋体"/>
                <w:sz w:val="24"/>
                <w:highlight w:val="none"/>
              </w:rPr>
            </w:pPr>
          </w:p>
        </w:tc>
        <w:tc>
          <w:tcPr>
            <w:tcW w:w="1800" w:type="dxa"/>
            <w:tcBorders>
              <w:top w:val="single" w:color="auto" w:sz="4" w:space="0"/>
              <w:left w:val="single" w:color="auto" w:sz="4" w:space="0"/>
              <w:bottom w:val="single" w:color="auto" w:sz="4" w:space="0"/>
              <w:right w:val="single" w:color="auto" w:sz="4" w:space="0"/>
            </w:tcBorders>
            <w:noWrap w:val="0"/>
            <w:vAlign w:val="top"/>
          </w:tcPr>
          <w:p w14:paraId="60995193">
            <w:pPr>
              <w:snapToGrid w:val="0"/>
              <w:spacing w:before="120" w:beforeLines="50" w:after="50" w:line="460" w:lineRule="exact"/>
              <w:rPr>
                <w:rFonts w:hint="eastAsia" w:ascii="宋体" w:hAnsi="宋体" w:eastAsia="宋体" w:cs="宋体"/>
                <w:sz w:val="24"/>
                <w:highlight w:val="none"/>
              </w:rPr>
            </w:pPr>
          </w:p>
        </w:tc>
        <w:tc>
          <w:tcPr>
            <w:tcW w:w="1800" w:type="dxa"/>
            <w:tcBorders>
              <w:top w:val="single" w:color="auto" w:sz="4" w:space="0"/>
              <w:left w:val="single" w:color="auto" w:sz="4" w:space="0"/>
              <w:bottom w:val="single" w:color="auto" w:sz="4" w:space="0"/>
              <w:right w:val="single" w:color="auto" w:sz="4" w:space="0"/>
            </w:tcBorders>
            <w:noWrap w:val="0"/>
            <w:vAlign w:val="top"/>
          </w:tcPr>
          <w:p w14:paraId="2198C49A">
            <w:pPr>
              <w:snapToGrid w:val="0"/>
              <w:spacing w:before="120" w:beforeLines="50" w:after="50" w:line="460" w:lineRule="exact"/>
              <w:rPr>
                <w:rFonts w:hint="eastAsia" w:ascii="宋体" w:hAnsi="宋体" w:eastAsia="宋体" w:cs="宋体"/>
                <w:sz w:val="24"/>
                <w:highlight w:val="none"/>
              </w:rPr>
            </w:pPr>
          </w:p>
        </w:tc>
      </w:tr>
      <w:tr w14:paraId="5591428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04" w:type="dxa"/>
            <w:tcBorders>
              <w:top w:val="single" w:color="auto" w:sz="4" w:space="0"/>
              <w:left w:val="single" w:color="auto" w:sz="4" w:space="0"/>
              <w:bottom w:val="single" w:color="auto" w:sz="4" w:space="0"/>
              <w:right w:val="single" w:color="auto" w:sz="4" w:space="0"/>
            </w:tcBorders>
            <w:noWrap w:val="0"/>
            <w:vAlign w:val="top"/>
          </w:tcPr>
          <w:p w14:paraId="48FD718F">
            <w:pPr>
              <w:snapToGrid w:val="0"/>
              <w:spacing w:before="120" w:beforeLines="50" w:after="50" w:line="460" w:lineRule="exact"/>
              <w:rPr>
                <w:rFonts w:hint="eastAsia" w:ascii="宋体" w:hAnsi="宋体" w:eastAsia="宋体" w:cs="宋体"/>
                <w:sz w:val="24"/>
                <w:highlight w:val="none"/>
              </w:rPr>
            </w:pPr>
          </w:p>
        </w:tc>
        <w:tc>
          <w:tcPr>
            <w:tcW w:w="1004" w:type="dxa"/>
            <w:tcBorders>
              <w:top w:val="single" w:color="auto" w:sz="4" w:space="0"/>
              <w:left w:val="single" w:color="auto" w:sz="4" w:space="0"/>
              <w:bottom w:val="single" w:color="auto" w:sz="4" w:space="0"/>
              <w:right w:val="single" w:color="auto" w:sz="4" w:space="0"/>
            </w:tcBorders>
            <w:noWrap w:val="0"/>
            <w:vAlign w:val="top"/>
          </w:tcPr>
          <w:p w14:paraId="1D0A0453">
            <w:pPr>
              <w:snapToGrid w:val="0"/>
              <w:spacing w:before="120" w:beforeLines="50" w:after="50" w:line="460" w:lineRule="exact"/>
              <w:rPr>
                <w:rFonts w:hint="eastAsia" w:ascii="宋体" w:hAnsi="宋体" w:eastAsia="宋体" w:cs="宋体"/>
                <w:sz w:val="24"/>
                <w:highlight w:val="none"/>
              </w:rPr>
            </w:pPr>
          </w:p>
        </w:tc>
        <w:tc>
          <w:tcPr>
            <w:tcW w:w="1663" w:type="dxa"/>
            <w:tcBorders>
              <w:top w:val="single" w:color="auto" w:sz="4" w:space="0"/>
              <w:left w:val="single" w:color="auto" w:sz="4" w:space="0"/>
              <w:bottom w:val="single" w:color="auto" w:sz="4" w:space="0"/>
              <w:right w:val="single" w:color="auto" w:sz="4" w:space="0"/>
            </w:tcBorders>
            <w:noWrap w:val="0"/>
            <w:vAlign w:val="top"/>
          </w:tcPr>
          <w:p w14:paraId="46285289">
            <w:pPr>
              <w:snapToGrid w:val="0"/>
              <w:spacing w:before="120" w:beforeLines="50" w:after="50" w:line="460" w:lineRule="exact"/>
              <w:rPr>
                <w:rFonts w:hint="eastAsia" w:ascii="宋体" w:hAnsi="宋体" w:eastAsia="宋体" w:cs="宋体"/>
                <w:sz w:val="24"/>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top"/>
          </w:tcPr>
          <w:p w14:paraId="0D874174">
            <w:pPr>
              <w:snapToGrid w:val="0"/>
              <w:spacing w:before="120" w:beforeLines="50" w:after="50" w:line="460" w:lineRule="exact"/>
              <w:rPr>
                <w:rFonts w:hint="eastAsia" w:ascii="宋体" w:hAnsi="宋体" w:eastAsia="宋体" w:cs="宋体"/>
                <w:sz w:val="24"/>
                <w:highlight w:val="none"/>
              </w:rPr>
            </w:pPr>
          </w:p>
        </w:tc>
        <w:tc>
          <w:tcPr>
            <w:tcW w:w="1800" w:type="dxa"/>
            <w:tcBorders>
              <w:top w:val="single" w:color="auto" w:sz="4" w:space="0"/>
              <w:left w:val="single" w:color="auto" w:sz="4" w:space="0"/>
              <w:bottom w:val="single" w:color="auto" w:sz="4" w:space="0"/>
              <w:right w:val="single" w:color="auto" w:sz="4" w:space="0"/>
            </w:tcBorders>
            <w:noWrap w:val="0"/>
            <w:vAlign w:val="top"/>
          </w:tcPr>
          <w:p w14:paraId="70DBF754">
            <w:pPr>
              <w:snapToGrid w:val="0"/>
              <w:spacing w:before="120" w:beforeLines="50" w:after="50" w:line="460" w:lineRule="exact"/>
              <w:rPr>
                <w:rFonts w:hint="eastAsia" w:ascii="宋体" w:hAnsi="宋体" w:eastAsia="宋体" w:cs="宋体"/>
                <w:sz w:val="24"/>
                <w:highlight w:val="none"/>
              </w:rPr>
            </w:pPr>
          </w:p>
        </w:tc>
        <w:tc>
          <w:tcPr>
            <w:tcW w:w="1800" w:type="dxa"/>
            <w:tcBorders>
              <w:top w:val="single" w:color="auto" w:sz="4" w:space="0"/>
              <w:left w:val="single" w:color="auto" w:sz="4" w:space="0"/>
              <w:bottom w:val="single" w:color="auto" w:sz="4" w:space="0"/>
              <w:right w:val="single" w:color="auto" w:sz="4" w:space="0"/>
            </w:tcBorders>
            <w:noWrap w:val="0"/>
            <w:vAlign w:val="top"/>
          </w:tcPr>
          <w:p w14:paraId="6EA39493">
            <w:pPr>
              <w:snapToGrid w:val="0"/>
              <w:spacing w:before="120" w:beforeLines="50" w:after="50" w:line="460" w:lineRule="exact"/>
              <w:rPr>
                <w:rFonts w:hint="eastAsia" w:ascii="宋体" w:hAnsi="宋体" w:eastAsia="宋体" w:cs="宋体"/>
                <w:sz w:val="24"/>
                <w:highlight w:val="none"/>
              </w:rPr>
            </w:pPr>
          </w:p>
        </w:tc>
      </w:tr>
      <w:tr w14:paraId="44375ED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04" w:type="dxa"/>
            <w:tcBorders>
              <w:top w:val="single" w:color="auto" w:sz="4" w:space="0"/>
              <w:left w:val="single" w:color="auto" w:sz="4" w:space="0"/>
              <w:bottom w:val="single" w:color="auto" w:sz="4" w:space="0"/>
              <w:right w:val="single" w:color="auto" w:sz="4" w:space="0"/>
            </w:tcBorders>
            <w:noWrap w:val="0"/>
            <w:vAlign w:val="top"/>
          </w:tcPr>
          <w:p w14:paraId="0309CCF5">
            <w:pPr>
              <w:snapToGrid w:val="0"/>
              <w:spacing w:before="120" w:beforeLines="50" w:after="50" w:line="460" w:lineRule="exact"/>
              <w:rPr>
                <w:rFonts w:hint="eastAsia" w:ascii="宋体" w:hAnsi="宋体" w:eastAsia="宋体" w:cs="宋体"/>
                <w:sz w:val="24"/>
                <w:highlight w:val="none"/>
              </w:rPr>
            </w:pPr>
          </w:p>
        </w:tc>
        <w:tc>
          <w:tcPr>
            <w:tcW w:w="1004" w:type="dxa"/>
            <w:tcBorders>
              <w:top w:val="single" w:color="auto" w:sz="4" w:space="0"/>
              <w:left w:val="single" w:color="auto" w:sz="4" w:space="0"/>
              <w:bottom w:val="single" w:color="auto" w:sz="4" w:space="0"/>
              <w:right w:val="single" w:color="auto" w:sz="4" w:space="0"/>
            </w:tcBorders>
            <w:noWrap w:val="0"/>
            <w:vAlign w:val="top"/>
          </w:tcPr>
          <w:p w14:paraId="3F82C2CA">
            <w:pPr>
              <w:snapToGrid w:val="0"/>
              <w:spacing w:before="120" w:beforeLines="50" w:after="50" w:line="460" w:lineRule="exact"/>
              <w:rPr>
                <w:rFonts w:hint="eastAsia" w:ascii="宋体" w:hAnsi="宋体" w:eastAsia="宋体" w:cs="宋体"/>
                <w:sz w:val="24"/>
                <w:highlight w:val="none"/>
              </w:rPr>
            </w:pPr>
          </w:p>
        </w:tc>
        <w:tc>
          <w:tcPr>
            <w:tcW w:w="1663" w:type="dxa"/>
            <w:tcBorders>
              <w:top w:val="single" w:color="auto" w:sz="4" w:space="0"/>
              <w:left w:val="single" w:color="auto" w:sz="4" w:space="0"/>
              <w:bottom w:val="single" w:color="auto" w:sz="4" w:space="0"/>
              <w:right w:val="single" w:color="auto" w:sz="4" w:space="0"/>
            </w:tcBorders>
            <w:noWrap w:val="0"/>
            <w:vAlign w:val="top"/>
          </w:tcPr>
          <w:p w14:paraId="29290E65">
            <w:pPr>
              <w:snapToGrid w:val="0"/>
              <w:spacing w:before="120" w:beforeLines="50" w:after="50" w:line="460" w:lineRule="exact"/>
              <w:rPr>
                <w:rFonts w:hint="eastAsia" w:ascii="宋体" w:hAnsi="宋体" w:eastAsia="宋体" w:cs="宋体"/>
                <w:sz w:val="24"/>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top"/>
          </w:tcPr>
          <w:p w14:paraId="1248E264">
            <w:pPr>
              <w:snapToGrid w:val="0"/>
              <w:spacing w:before="120" w:beforeLines="50" w:after="50" w:line="460" w:lineRule="exact"/>
              <w:rPr>
                <w:rFonts w:hint="eastAsia" w:ascii="宋体" w:hAnsi="宋体" w:eastAsia="宋体" w:cs="宋体"/>
                <w:sz w:val="24"/>
                <w:highlight w:val="none"/>
              </w:rPr>
            </w:pPr>
          </w:p>
        </w:tc>
        <w:tc>
          <w:tcPr>
            <w:tcW w:w="1800" w:type="dxa"/>
            <w:tcBorders>
              <w:top w:val="single" w:color="auto" w:sz="4" w:space="0"/>
              <w:left w:val="single" w:color="auto" w:sz="4" w:space="0"/>
              <w:bottom w:val="single" w:color="auto" w:sz="4" w:space="0"/>
              <w:right w:val="single" w:color="auto" w:sz="4" w:space="0"/>
            </w:tcBorders>
            <w:noWrap w:val="0"/>
            <w:vAlign w:val="top"/>
          </w:tcPr>
          <w:p w14:paraId="6C0D8C6A">
            <w:pPr>
              <w:snapToGrid w:val="0"/>
              <w:spacing w:before="120" w:beforeLines="50" w:after="50" w:line="460" w:lineRule="exact"/>
              <w:rPr>
                <w:rFonts w:hint="eastAsia" w:ascii="宋体" w:hAnsi="宋体" w:eastAsia="宋体" w:cs="宋体"/>
                <w:sz w:val="24"/>
                <w:highlight w:val="none"/>
              </w:rPr>
            </w:pPr>
          </w:p>
        </w:tc>
        <w:tc>
          <w:tcPr>
            <w:tcW w:w="1800" w:type="dxa"/>
            <w:tcBorders>
              <w:top w:val="single" w:color="auto" w:sz="4" w:space="0"/>
              <w:left w:val="single" w:color="auto" w:sz="4" w:space="0"/>
              <w:bottom w:val="single" w:color="auto" w:sz="4" w:space="0"/>
              <w:right w:val="single" w:color="auto" w:sz="4" w:space="0"/>
            </w:tcBorders>
            <w:noWrap w:val="0"/>
            <w:vAlign w:val="top"/>
          </w:tcPr>
          <w:p w14:paraId="0E2F97AC">
            <w:pPr>
              <w:snapToGrid w:val="0"/>
              <w:spacing w:before="120" w:beforeLines="50" w:after="50" w:line="460" w:lineRule="exact"/>
              <w:rPr>
                <w:rFonts w:hint="eastAsia" w:ascii="宋体" w:hAnsi="宋体" w:eastAsia="宋体" w:cs="宋体"/>
                <w:sz w:val="24"/>
                <w:highlight w:val="none"/>
              </w:rPr>
            </w:pPr>
          </w:p>
        </w:tc>
      </w:tr>
      <w:tr w14:paraId="5B2BE14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04" w:type="dxa"/>
            <w:tcBorders>
              <w:top w:val="single" w:color="auto" w:sz="4" w:space="0"/>
              <w:left w:val="single" w:color="auto" w:sz="4" w:space="0"/>
              <w:bottom w:val="single" w:color="auto" w:sz="4" w:space="0"/>
              <w:right w:val="single" w:color="auto" w:sz="4" w:space="0"/>
            </w:tcBorders>
            <w:noWrap w:val="0"/>
            <w:vAlign w:val="top"/>
          </w:tcPr>
          <w:p w14:paraId="3E8D657B">
            <w:pPr>
              <w:snapToGrid w:val="0"/>
              <w:spacing w:before="120" w:beforeLines="50" w:after="50" w:line="460" w:lineRule="exact"/>
              <w:rPr>
                <w:rFonts w:hint="eastAsia" w:ascii="宋体" w:hAnsi="宋体" w:eastAsia="宋体" w:cs="宋体"/>
                <w:sz w:val="24"/>
                <w:highlight w:val="none"/>
              </w:rPr>
            </w:pPr>
          </w:p>
        </w:tc>
        <w:tc>
          <w:tcPr>
            <w:tcW w:w="1004" w:type="dxa"/>
            <w:tcBorders>
              <w:top w:val="single" w:color="auto" w:sz="4" w:space="0"/>
              <w:left w:val="single" w:color="auto" w:sz="4" w:space="0"/>
              <w:bottom w:val="single" w:color="auto" w:sz="4" w:space="0"/>
              <w:right w:val="single" w:color="auto" w:sz="4" w:space="0"/>
            </w:tcBorders>
            <w:noWrap w:val="0"/>
            <w:vAlign w:val="top"/>
          </w:tcPr>
          <w:p w14:paraId="42DFC9FA">
            <w:pPr>
              <w:snapToGrid w:val="0"/>
              <w:spacing w:before="120" w:beforeLines="50" w:after="50" w:line="460" w:lineRule="exact"/>
              <w:rPr>
                <w:rFonts w:hint="eastAsia" w:ascii="宋体" w:hAnsi="宋体" w:eastAsia="宋体" w:cs="宋体"/>
                <w:sz w:val="24"/>
                <w:highlight w:val="none"/>
              </w:rPr>
            </w:pPr>
          </w:p>
        </w:tc>
        <w:tc>
          <w:tcPr>
            <w:tcW w:w="1663" w:type="dxa"/>
            <w:tcBorders>
              <w:top w:val="single" w:color="auto" w:sz="4" w:space="0"/>
              <w:left w:val="single" w:color="auto" w:sz="4" w:space="0"/>
              <w:bottom w:val="single" w:color="auto" w:sz="4" w:space="0"/>
              <w:right w:val="single" w:color="auto" w:sz="4" w:space="0"/>
            </w:tcBorders>
            <w:noWrap w:val="0"/>
            <w:vAlign w:val="top"/>
          </w:tcPr>
          <w:p w14:paraId="1B8D75F7">
            <w:pPr>
              <w:snapToGrid w:val="0"/>
              <w:spacing w:before="120" w:beforeLines="50" w:after="50" w:line="460" w:lineRule="exact"/>
              <w:rPr>
                <w:rFonts w:hint="eastAsia" w:ascii="宋体" w:hAnsi="宋体" w:eastAsia="宋体" w:cs="宋体"/>
                <w:sz w:val="24"/>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top"/>
          </w:tcPr>
          <w:p w14:paraId="0943E908">
            <w:pPr>
              <w:snapToGrid w:val="0"/>
              <w:spacing w:before="120" w:beforeLines="50" w:after="50" w:line="460" w:lineRule="exact"/>
              <w:rPr>
                <w:rFonts w:hint="eastAsia" w:ascii="宋体" w:hAnsi="宋体" w:eastAsia="宋体" w:cs="宋体"/>
                <w:sz w:val="24"/>
                <w:highlight w:val="none"/>
              </w:rPr>
            </w:pPr>
          </w:p>
        </w:tc>
        <w:tc>
          <w:tcPr>
            <w:tcW w:w="1800" w:type="dxa"/>
            <w:tcBorders>
              <w:top w:val="single" w:color="auto" w:sz="4" w:space="0"/>
              <w:left w:val="single" w:color="auto" w:sz="4" w:space="0"/>
              <w:bottom w:val="single" w:color="auto" w:sz="4" w:space="0"/>
              <w:right w:val="single" w:color="auto" w:sz="4" w:space="0"/>
            </w:tcBorders>
            <w:noWrap w:val="0"/>
            <w:vAlign w:val="top"/>
          </w:tcPr>
          <w:p w14:paraId="29CD144C">
            <w:pPr>
              <w:snapToGrid w:val="0"/>
              <w:spacing w:before="120" w:beforeLines="50" w:after="50" w:line="460" w:lineRule="exact"/>
              <w:rPr>
                <w:rFonts w:hint="eastAsia" w:ascii="宋体" w:hAnsi="宋体" w:eastAsia="宋体" w:cs="宋体"/>
                <w:sz w:val="24"/>
                <w:highlight w:val="none"/>
              </w:rPr>
            </w:pPr>
          </w:p>
        </w:tc>
        <w:tc>
          <w:tcPr>
            <w:tcW w:w="1800" w:type="dxa"/>
            <w:tcBorders>
              <w:top w:val="single" w:color="auto" w:sz="4" w:space="0"/>
              <w:left w:val="single" w:color="auto" w:sz="4" w:space="0"/>
              <w:bottom w:val="single" w:color="auto" w:sz="4" w:space="0"/>
              <w:right w:val="single" w:color="auto" w:sz="4" w:space="0"/>
            </w:tcBorders>
            <w:noWrap w:val="0"/>
            <w:vAlign w:val="top"/>
          </w:tcPr>
          <w:p w14:paraId="43D181F1">
            <w:pPr>
              <w:snapToGrid w:val="0"/>
              <w:spacing w:before="120" w:beforeLines="50" w:after="50" w:line="460" w:lineRule="exact"/>
              <w:rPr>
                <w:rFonts w:hint="eastAsia" w:ascii="宋体" w:hAnsi="宋体" w:eastAsia="宋体" w:cs="宋体"/>
                <w:sz w:val="24"/>
                <w:highlight w:val="none"/>
              </w:rPr>
            </w:pPr>
          </w:p>
        </w:tc>
      </w:tr>
      <w:tr w14:paraId="58D9EC6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04" w:type="dxa"/>
            <w:tcBorders>
              <w:top w:val="single" w:color="auto" w:sz="4" w:space="0"/>
              <w:left w:val="single" w:color="auto" w:sz="4" w:space="0"/>
              <w:bottom w:val="single" w:color="auto" w:sz="4" w:space="0"/>
              <w:right w:val="single" w:color="auto" w:sz="4" w:space="0"/>
            </w:tcBorders>
            <w:noWrap w:val="0"/>
            <w:vAlign w:val="top"/>
          </w:tcPr>
          <w:p w14:paraId="2883C5C5">
            <w:pPr>
              <w:snapToGrid w:val="0"/>
              <w:spacing w:before="120" w:beforeLines="50" w:after="50" w:line="460" w:lineRule="exact"/>
              <w:rPr>
                <w:rFonts w:hint="eastAsia" w:ascii="宋体" w:hAnsi="宋体" w:eastAsia="宋体" w:cs="宋体"/>
                <w:sz w:val="24"/>
                <w:highlight w:val="none"/>
              </w:rPr>
            </w:pPr>
          </w:p>
        </w:tc>
        <w:tc>
          <w:tcPr>
            <w:tcW w:w="1004" w:type="dxa"/>
            <w:tcBorders>
              <w:top w:val="single" w:color="auto" w:sz="4" w:space="0"/>
              <w:left w:val="single" w:color="auto" w:sz="4" w:space="0"/>
              <w:bottom w:val="single" w:color="auto" w:sz="4" w:space="0"/>
              <w:right w:val="single" w:color="auto" w:sz="4" w:space="0"/>
            </w:tcBorders>
            <w:noWrap w:val="0"/>
            <w:vAlign w:val="top"/>
          </w:tcPr>
          <w:p w14:paraId="6328391A">
            <w:pPr>
              <w:snapToGrid w:val="0"/>
              <w:spacing w:before="120" w:beforeLines="50" w:after="50" w:line="460" w:lineRule="exact"/>
              <w:rPr>
                <w:rFonts w:hint="eastAsia" w:ascii="宋体" w:hAnsi="宋体" w:eastAsia="宋体" w:cs="宋体"/>
                <w:sz w:val="24"/>
                <w:highlight w:val="none"/>
              </w:rPr>
            </w:pPr>
          </w:p>
        </w:tc>
        <w:tc>
          <w:tcPr>
            <w:tcW w:w="1663" w:type="dxa"/>
            <w:tcBorders>
              <w:top w:val="single" w:color="auto" w:sz="4" w:space="0"/>
              <w:left w:val="single" w:color="auto" w:sz="4" w:space="0"/>
              <w:bottom w:val="single" w:color="auto" w:sz="4" w:space="0"/>
              <w:right w:val="single" w:color="auto" w:sz="4" w:space="0"/>
            </w:tcBorders>
            <w:noWrap w:val="0"/>
            <w:vAlign w:val="top"/>
          </w:tcPr>
          <w:p w14:paraId="3715DAEE">
            <w:pPr>
              <w:snapToGrid w:val="0"/>
              <w:spacing w:before="120" w:beforeLines="50" w:after="50" w:line="460" w:lineRule="exact"/>
              <w:rPr>
                <w:rFonts w:hint="eastAsia" w:ascii="宋体" w:hAnsi="宋体" w:eastAsia="宋体" w:cs="宋体"/>
                <w:sz w:val="24"/>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top"/>
          </w:tcPr>
          <w:p w14:paraId="3DB6C1CD">
            <w:pPr>
              <w:snapToGrid w:val="0"/>
              <w:spacing w:before="120" w:beforeLines="50" w:after="50" w:line="460" w:lineRule="exact"/>
              <w:rPr>
                <w:rFonts w:hint="eastAsia" w:ascii="宋体" w:hAnsi="宋体" w:eastAsia="宋体" w:cs="宋体"/>
                <w:sz w:val="24"/>
                <w:highlight w:val="none"/>
              </w:rPr>
            </w:pPr>
          </w:p>
        </w:tc>
        <w:tc>
          <w:tcPr>
            <w:tcW w:w="1800" w:type="dxa"/>
            <w:tcBorders>
              <w:top w:val="single" w:color="auto" w:sz="4" w:space="0"/>
              <w:left w:val="single" w:color="auto" w:sz="4" w:space="0"/>
              <w:bottom w:val="single" w:color="auto" w:sz="4" w:space="0"/>
              <w:right w:val="single" w:color="auto" w:sz="4" w:space="0"/>
            </w:tcBorders>
            <w:noWrap w:val="0"/>
            <w:vAlign w:val="top"/>
          </w:tcPr>
          <w:p w14:paraId="7E148630">
            <w:pPr>
              <w:snapToGrid w:val="0"/>
              <w:spacing w:before="120" w:beforeLines="50" w:after="50" w:line="460" w:lineRule="exact"/>
              <w:rPr>
                <w:rFonts w:hint="eastAsia" w:ascii="宋体" w:hAnsi="宋体" w:eastAsia="宋体" w:cs="宋体"/>
                <w:sz w:val="24"/>
                <w:highlight w:val="none"/>
              </w:rPr>
            </w:pPr>
          </w:p>
        </w:tc>
        <w:tc>
          <w:tcPr>
            <w:tcW w:w="1800" w:type="dxa"/>
            <w:tcBorders>
              <w:top w:val="single" w:color="auto" w:sz="4" w:space="0"/>
              <w:left w:val="single" w:color="auto" w:sz="4" w:space="0"/>
              <w:bottom w:val="single" w:color="auto" w:sz="4" w:space="0"/>
              <w:right w:val="single" w:color="auto" w:sz="4" w:space="0"/>
            </w:tcBorders>
            <w:noWrap w:val="0"/>
            <w:vAlign w:val="top"/>
          </w:tcPr>
          <w:p w14:paraId="390F2EC8">
            <w:pPr>
              <w:snapToGrid w:val="0"/>
              <w:spacing w:before="120" w:beforeLines="50" w:after="50" w:line="460" w:lineRule="exact"/>
              <w:rPr>
                <w:rFonts w:hint="eastAsia" w:ascii="宋体" w:hAnsi="宋体" w:eastAsia="宋体" w:cs="宋体"/>
                <w:sz w:val="24"/>
                <w:highlight w:val="none"/>
              </w:rPr>
            </w:pPr>
          </w:p>
        </w:tc>
      </w:tr>
    </w:tbl>
    <w:p w14:paraId="752DF7ED">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宋体" w:hAnsi="宋体" w:eastAsia="宋体" w:cs="宋体"/>
          <w:sz w:val="24"/>
          <w:highlight w:val="none"/>
        </w:rPr>
      </w:pPr>
    </w:p>
    <w:p w14:paraId="154A84D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z w:val="24"/>
          <w:highlight w:val="none"/>
        </w:rPr>
      </w:pPr>
      <w:r>
        <w:rPr>
          <w:rFonts w:hint="eastAsia" w:ascii="宋体" w:hAnsi="宋体" w:eastAsia="宋体" w:cs="宋体"/>
          <w:sz w:val="24"/>
          <w:highlight w:val="none"/>
        </w:rPr>
        <w:t xml:space="preserve">注：在填写时，如本表格不适合投标单位的实际情况，可根据本表格式自行划表填写。 </w:t>
      </w:r>
    </w:p>
    <w:p w14:paraId="622A087A">
      <w:pPr>
        <w:snapToGrid w:val="0"/>
        <w:spacing w:before="50" w:after="120" w:afterLines="50" w:line="460" w:lineRule="exact"/>
        <w:jc w:val="left"/>
        <w:rPr>
          <w:rFonts w:hint="eastAsia" w:ascii="宋体" w:hAnsi="宋体" w:eastAsia="宋体" w:cs="宋体"/>
          <w:sz w:val="24"/>
          <w:highlight w:val="none"/>
        </w:rPr>
      </w:pPr>
    </w:p>
    <w:p w14:paraId="6491517A">
      <w:pPr>
        <w:pStyle w:val="13"/>
        <w:rPr>
          <w:rFonts w:hint="eastAsia"/>
          <w:highlight w:val="none"/>
        </w:rPr>
      </w:pPr>
    </w:p>
    <w:p w14:paraId="2D8645DD">
      <w:pPr>
        <w:spacing w:line="360" w:lineRule="auto"/>
        <w:ind w:leftChars="1800" w:firstLine="480" w:firstLineChars="200"/>
        <w:rPr>
          <w:rFonts w:hint="eastAsia" w:ascii="宋体" w:hAnsi="宋体" w:eastAsia="宋体" w:cs="宋体"/>
          <w:sz w:val="24"/>
          <w:highlight w:val="none"/>
        </w:rPr>
      </w:pPr>
      <w:r>
        <w:rPr>
          <w:rFonts w:hint="eastAsia" w:ascii="宋体" w:hAnsi="宋体" w:eastAsia="宋体" w:cs="宋体"/>
          <w:sz w:val="24"/>
          <w:highlight w:val="none"/>
        </w:rPr>
        <w:t xml:space="preserve">法定代表人签名（或签名章）：                       </w:t>
      </w:r>
    </w:p>
    <w:p w14:paraId="14F4DC7D">
      <w:pPr>
        <w:spacing w:line="360" w:lineRule="auto"/>
        <w:ind w:leftChars="1800" w:firstLine="480" w:firstLineChars="200"/>
        <w:rPr>
          <w:rFonts w:hint="eastAsia" w:ascii="宋体" w:hAnsi="宋体" w:eastAsia="宋体" w:cs="宋体"/>
          <w:sz w:val="24"/>
          <w:highlight w:val="none"/>
        </w:rPr>
      </w:pPr>
      <w:r>
        <w:rPr>
          <w:rFonts w:hint="eastAsia" w:ascii="宋体" w:hAnsi="宋体" w:eastAsia="宋体" w:cs="宋体"/>
          <w:sz w:val="24"/>
          <w:highlight w:val="none"/>
        </w:rPr>
        <w:t>日 期：</w:t>
      </w:r>
    </w:p>
    <w:p w14:paraId="645AEA1A">
      <w:pPr>
        <w:spacing w:line="360" w:lineRule="auto"/>
        <w:ind w:leftChars="1800" w:firstLine="480" w:firstLineChars="200"/>
        <w:rPr>
          <w:rFonts w:hint="eastAsia" w:cs="宋体"/>
          <w:color w:val="auto"/>
          <w:highlight w:val="none"/>
        </w:rPr>
      </w:pPr>
      <w:r>
        <w:rPr>
          <w:rFonts w:hint="eastAsia" w:ascii="宋体" w:hAnsi="宋体" w:eastAsia="宋体" w:cs="宋体"/>
          <w:sz w:val="24"/>
          <w:highlight w:val="none"/>
        </w:rPr>
        <w:t>投标人全称（公章）：</w:t>
      </w:r>
      <w:r>
        <w:rPr>
          <w:rFonts w:hint="eastAsia" w:cs="宋体"/>
          <w:color w:val="auto"/>
          <w:highlight w:val="none"/>
        </w:rPr>
        <w:t xml:space="preserve">      </w:t>
      </w:r>
    </w:p>
    <w:p w14:paraId="7908A494">
      <w:pPr>
        <w:pStyle w:val="4"/>
        <w:spacing w:line="360" w:lineRule="auto"/>
        <w:jc w:val="center"/>
        <w:outlineLvl w:val="0"/>
        <w:rPr>
          <w:rFonts w:hint="eastAsia" w:ascii="宋体" w:hAnsi="宋体" w:eastAsia="宋体" w:cs="宋体"/>
          <w:b/>
          <w:kern w:val="0"/>
          <w:sz w:val="36"/>
          <w:szCs w:val="36"/>
          <w:highlight w:val="none"/>
        </w:rPr>
      </w:pPr>
      <w:r>
        <w:rPr>
          <w:rFonts w:hint="eastAsia" w:ascii="宋体" w:hAnsi="宋体" w:eastAsia="宋体" w:cs="宋体"/>
          <w:spacing w:val="20"/>
          <w:sz w:val="30"/>
          <w:szCs w:val="30"/>
          <w:highlight w:val="none"/>
        </w:rPr>
        <w:br w:type="page"/>
      </w:r>
      <w:r>
        <w:rPr>
          <w:rFonts w:hint="eastAsia" w:ascii="宋体" w:hAnsi="宋体" w:eastAsia="宋体" w:cs="宋体"/>
          <w:b/>
          <w:kern w:val="0"/>
          <w:sz w:val="36"/>
          <w:szCs w:val="36"/>
          <w:highlight w:val="none"/>
        </w:rPr>
        <w:t>报价文件</w:t>
      </w:r>
    </w:p>
    <w:p w14:paraId="296134C3">
      <w:pPr>
        <w:spacing w:line="360" w:lineRule="auto"/>
        <w:jc w:val="center"/>
        <w:rPr>
          <w:rFonts w:hint="eastAsia" w:ascii="宋体" w:hAnsi="宋体" w:eastAsia="宋体" w:cs="宋体"/>
          <w:b/>
          <w:kern w:val="0"/>
          <w:sz w:val="36"/>
          <w:szCs w:val="36"/>
          <w:highlight w:val="none"/>
        </w:rPr>
      </w:pPr>
    </w:p>
    <w:p w14:paraId="574D2A5D">
      <w:pPr>
        <w:spacing w:line="360" w:lineRule="auto"/>
        <w:jc w:val="center"/>
        <w:rPr>
          <w:rFonts w:hint="eastAsia" w:ascii="宋体" w:hAnsi="宋体" w:eastAsia="宋体" w:cs="宋体"/>
          <w:b/>
          <w:kern w:val="0"/>
          <w:sz w:val="36"/>
          <w:szCs w:val="36"/>
          <w:highlight w:val="none"/>
        </w:rPr>
      </w:pPr>
      <w:r>
        <w:rPr>
          <w:rFonts w:hint="eastAsia" w:ascii="宋体" w:hAnsi="宋体" w:eastAsia="宋体" w:cs="宋体"/>
          <w:b/>
          <w:kern w:val="0"/>
          <w:sz w:val="36"/>
          <w:szCs w:val="36"/>
          <w:highlight w:val="none"/>
        </w:rPr>
        <w:t>目录</w:t>
      </w:r>
    </w:p>
    <w:p w14:paraId="07F2EB73">
      <w:pPr>
        <w:pStyle w:val="13"/>
        <w:ind w:firstLine="723"/>
        <w:rPr>
          <w:rFonts w:hint="eastAsia" w:ascii="宋体" w:hAnsi="宋体" w:eastAsia="宋体" w:cs="宋体"/>
          <w:b/>
          <w:kern w:val="0"/>
          <w:sz w:val="36"/>
          <w:szCs w:val="36"/>
          <w:highlight w:val="none"/>
        </w:rPr>
      </w:pPr>
    </w:p>
    <w:p w14:paraId="536BA607">
      <w:pPr>
        <w:tabs>
          <w:tab w:val="left" w:pos="1440"/>
          <w:tab w:val="left" w:pos="1620"/>
          <w:tab w:val="left" w:pos="1800"/>
          <w:tab w:val="left" w:pos="1980"/>
        </w:tabs>
        <w:autoSpaceDE w:val="0"/>
        <w:autoSpaceDN w:val="0"/>
        <w:spacing w:line="360" w:lineRule="auto"/>
        <w:ind w:left="420" w:leftChars="200"/>
        <w:textAlignment w:val="bottom"/>
        <w:rPr>
          <w:rFonts w:hint="eastAsia" w:ascii="宋体" w:hAnsi="宋体" w:eastAsia="宋体" w:cs="宋体"/>
          <w:sz w:val="24"/>
          <w:highlight w:val="none"/>
        </w:rPr>
      </w:pPr>
      <w:r>
        <w:rPr>
          <w:rFonts w:hint="eastAsia" w:ascii="宋体" w:hAnsi="宋体" w:eastAsia="宋体" w:cs="宋体"/>
          <w:sz w:val="24"/>
          <w:highlight w:val="none"/>
        </w:rPr>
        <w:t>（1）投标函（格式见附件）；</w:t>
      </w:r>
    </w:p>
    <w:p w14:paraId="7FC3BF04">
      <w:pPr>
        <w:tabs>
          <w:tab w:val="left" w:pos="1440"/>
          <w:tab w:val="left" w:pos="1620"/>
          <w:tab w:val="left" w:pos="1800"/>
          <w:tab w:val="left" w:pos="1980"/>
        </w:tabs>
        <w:autoSpaceDE w:val="0"/>
        <w:autoSpaceDN w:val="0"/>
        <w:spacing w:line="360" w:lineRule="auto"/>
        <w:ind w:left="420" w:leftChars="200"/>
        <w:textAlignment w:val="bottom"/>
        <w:rPr>
          <w:rFonts w:hint="eastAsia" w:ascii="宋体" w:hAnsi="宋体" w:eastAsia="宋体" w:cs="宋体"/>
          <w:sz w:val="24"/>
          <w:highlight w:val="none"/>
        </w:rPr>
      </w:pPr>
      <w:r>
        <w:rPr>
          <w:rFonts w:hint="eastAsia" w:ascii="宋体" w:hAnsi="宋体" w:eastAsia="宋体" w:cs="宋体"/>
          <w:sz w:val="24"/>
          <w:highlight w:val="none"/>
        </w:rPr>
        <w:t>（2）开标一览表（格式见附件）；</w:t>
      </w:r>
    </w:p>
    <w:p w14:paraId="2436ADEF">
      <w:pPr>
        <w:tabs>
          <w:tab w:val="left" w:pos="1440"/>
          <w:tab w:val="left" w:pos="1620"/>
          <w:tab w:val="left" w:pos="1800"/>
          <w:tab w:val="left" w:pos="1980"/>
        </w:tabs>
        <w:autoSpaceDE w:val="0"/>
        <w:autoSpaceDN w:val="0"/>
        <w:spacing w:line="360" w:lineRule="auto"/>
        <w:ind w:left="420" w:leftChars="200"/>
        <w:textAlignment w:val="bottom"/>
        <w:rPr>
          <w:rFonts w:hint="eastAsia" w:ascii="宋体" w:hAnsi="宋体" w:eastAsia="宋体" w:cs="宋体"/>
          <w:sz w:val="24"/>
          <w:highlight w:val="none"/>
        </w:rPr>
      </w:pPr>
      <w:r>
        <w:rPr>
          <w:rFonts w:hint="eastAsia" w:ascii="宋体" w:hAnsi="宋体" w:eastAsia="宋体" w:cs="宋体"/>
          <w:sz w:val="24"/>
          <w:highlight w:val="none"/>
        </w:rPr>
        <w:t>（</w:t>
      </w:r>
      <w:r>
        <w:rPr>
          <w:rFonts w:hint="eastAsia" w:ascii="宋体" w:hAnsi="宋体" w:cs="宋体"/>
          <w:sz w:val="24"/>
          <w:highlight w:val="none"/>
          <w:lang w:val="en-US" w:eastAsia="zh-CN"/>
        </w:rPr>
        <w:t>3</w:t>
      </w:r>
      <w:r>
        <w:rPr>
          <w:rFonts w:hint="eastAsia" w:ascii="宋体" w:hAnsi="宋体" w:eastAsia="宋体" w:cs="宋体"/>
          <w:sz w:val="24"/>
          <w:highlight w:val="none"/>
        </w:rPr>
        <w:t>）投标报价明细表（格式见附件）；</w:t>
      </w:r>
    </w:p>
    <w:p w14:paraId="631F7DE5">
      <w:pPr>
        <w:pStyle w:val="13"/>
        <w:ind w:firstLine="560"/>
        <w:rPr>
          <w:rFonts w:hint="eastAsia" w:ascii="宋体" w:hAnsi="宋体" w:eastAsia="宋体" w:cs="宋体"/>
          <w:sz w:val="28"/>
          <w:szCs w:val="28"/>
          <w:highlight w:val="none"/>
        </w:rPr>
      </w:pPr>
    </w:p>
    <w:p w14:paraId="67DF4254">
      <w:pPr>
        <w:pStyle w:val="13"/>
        <w:ind w:firstLine="560"/>
        <w:rPr>
          <w:rFonts w:hint="eastAsia" w:ascii="宋体" w:hAnsi="宋体" w:eastAsia="宋体" w:cs="宋体"/>
          <w:sz w:val="28"/>
          <w:szCs w:val="28"/>
          <w:highlight w:val="none"/>
        </w:rPr>
      </w:pPr>
    </w:p>
    <w:p w14:paraId="1B3AC821">
      <w:pPr>
        <w:pStyle w:val="13"/>
        <w:ind w:firstLine="560"/>
        <w:rPr>
          <w:rFonts w:hint="eastAsia" w:ascii="宋体" w:hAnsi="宋体" w:eastAsia="宋体" w:cs="宋体"/>
          <w:sz w:val="28"/>
          <w:szCs w:val="28"/>
          <w:highlight w:val="none"/>
        </w:rPr>
      </w:pPr>
    </w:p>
    <w:p w14:paraId="64EE45FC">
      <w:pPr>
        <w:pStyle w:val="13"/>
        <w:ind w:firstLine="560"/>
        <w:rPr>
          <w:rFonts w:hint="eastAsia" w:ascii="宋体" w:hAnsi="宋体" w:eastAsia="宋体" w:cs="宋体"/>
          <w:sz w:val="28"/>
          <w:szCs w:val="28"/>
          <w:highlight w:val="none"/>
        </w:rPr>
      </w:pPr>
    </w:p>
    <w:p w14:paraId="12CA1FF7">
      <w:pPr>
        <w:pStyle w:val="13"/>
        <w:ind w:firstLine="560"/>
        <w:rPr>
          <w:rFonts w:hint="eastAsia" w:ascii="宋体" w:hAnsi="宋体" w:eastAsia="宋体" w:cs="宋体"/>
          <w:sz w:val="28"/>
          <w:szCs w:val="28"/>
          <w:highlight w:val="none"/>
        </w:rPr>
      </w:pPr>
    </w:p>
    <w:p w14:paraId="1308CDAF">
      <w:pPr>
        <w:pStyle w:val="13"/>
        <w:ind w:firstLine="560"/>
        <w:rPr>
          <w:rFonts w:hint="eastAsia" w:ascii="宋体" w:hAnsi="宋体" w:eastAsia="宋体" w:cs="宋体"/>
          <w:sz w:val="28"/>
          <w:szCs w:val="28"/>
          <w:highlight w:val="none"/>
        </w:rPr>
      </w:pPr>
    </w:p>
    <w:p w14:paraId="746A6018">
      <w:pPr>
        <w:pStyle w:val="13"/>
        <w:ind w:firstLine="560"/>
        <w:rPr>
          <w:rFonts w:hint="eastAsia" w:ascii="宋体" w:hAnsi="宋体" w:eastAsia="宋体" w:cs="宋体"/>
          <w:sz w:val="28"/>
          <w:szCs w:val="28"/>
          <w:highlight w:val="none"/>
        </w:rPr>
      </w:pPr>
    </w:p>
    <w:p w14:paraId="6E868897">
      <w:pPr>
        <w:pStyle w:val="13"/>
        <w:ind w:firstLine="560"/>
        <w:rPr>
          <w:rFonts w:hint="eastAsia" w:ascii="宋体" w:hAnsi="宋体" w:eastAsia="宋体" w:cs="宋体"/>
          <w:sz w:val="28"/>
          <w:szCs w:val="28"/>
          <w:highlight w:val="none"/>
        </w:rPr>
      </w:pPr>
    </w:p>
    <w:p w14:paraId="07157FB2">
      <w:pPr>
        <w:pStyle w:val="13"/>
        <w:ind w:firstLine="560"/>
        <w:rPr>
          <w:rFonts w:hint="eastAsia" w:ascii="宋体" w:hAnsi="宋体" w:eastAsia="宋体" w:cs="宋体"/>
          <w:sz w:val="28"/>
          <w:szCs w:val="28"/>
          <w:highlight w:val="none"/>
        </w:rPr>
      </w:pPr>
    </w:p>
    <w:p w14:paraId="30A3E6C1">
      <w:pPr>
        <w:pStyle w:val="13"/>
        <w:ind w:firstLine="560"/>
        <w:rPr>
          <w:rFonts w:hint="eastAsia" w:ascii="宋体" w:hAnsi="宋体" w:eastAsia="宋体" w:cs="宋体"/>
          <w:sz w:val="28"/>
          <w:szCs w:val="28"/>
          <w:highlight w:val="none"/>
        </w:rPr>
      </w:pPr>
    </w:p>
    <w:p w14:paraId="525D1F2A">
      <w:pPr>
        <w:pStyle w:val="13"/>
        <w:ind w:firstLine="560"/>
        <w:rPr>
          <w:rFonts w:hint="eastAsia" w:ascii="宋体" w:hAnsi="宋体" w:eastAsia="宋体" w:cs="宋体"/>
          <w:sz w:val="28"/>
          <w:szCs w:val="28"/>
          <w:highlight w:val="none"/>
        </w:rPr>
      </w:pPr>
    </w:p>
    <w:p w14:paraId="57F4143D">
      <w:pPr>
        <w:pStyle w:val="13"/>
        <w:ind w:firstLine="560"/>
        <w:rPr>
          <w:rFonts w:hint="eastAsia" w:ascii="宋体" w:hAnsi="宋体" w:eastAsia="宋体" w:cs="宋体"/>
          <w:sz w:val="28"/>
          <w:szCs w:val="28"/>
          <w:highlight w:val="none"/>
        </w:rPr>
      </w:pPr>
    </w:p>
    <w:p w14:paraId="4ACF3188">
      <w:pPr>
        <w:pStyle w:val="13"/>
        <w:ind w:firstLine="560"/>
        <w:rPr>
          <w:rFonts w:hint="eastAsia" w:ascii="宋体" w:hAnsi="宋体" w:eastAsia="宋体" w:cs="宋体"/>
          <w:sz w:val="28"/>
          <w:szCs w:val="28"/>
          <w:highlight w:val="none"/>
        </w:rPr>
      </w:pPr>
      <w:bookmarkStart w:id="550" w:name="_Toc3094"/>
    </w:p>
    <w:p w14:paraId="152874FC">
      <w:pPr>
        <w:pStyle w:val="4"/>
        <w:numPr>
          <w:ilvl w:val="0"/>
          <w:numId w:val="0"/>
        </w:numPr>
        <w:outlineLvl w:val="0"/>
        <w:rPr>
          <w:rFonts w:hint="eastAsia" w:ascii="宋体" w:hAnsi="宋体" w:eastAsia="宋体" w:cs="宋体"/>
          <w:b/>
          <w:bCs/>
          <w:color w:val="000000"/>
          <w:kern w:val="2"/>
          <w:sz w:val="24"/>
          <w:szCs w:val="24"/>
          <w:highlight w:val="none"/>
          <w:lang w:val="zh-CN" w:eastAsia="zh-CN" w:bidi="ar-SA"/>
        </w:rPr>
      </w:pPr>
      <w:bookmarkStart w:id="551" w:name="_Toc30114"/>
      <w:bookmarkStart w:id="552" w:name="_Toc1168"/>
      <w:r>
        <w:rPr>
          <w:rFonts w:hint="eastAsia" w:ascii="宋体" w:hAnsi="宋体" w:eastAsia="宋体" w:cs="宋体"/>
          <w:b/>
          <w:bCs/>
          <w:color w:val="000000"/>
          <w:kern w:val="2"/>
          <w:sz w:val="24"/>
          <w:szCs w:val="24"/>
          <w:highlight w:val="none"/>
          <w:lang w:val="zh-CN" w:eastAsia="zh-CN" w:bidi="ar-SA"/>
        </w:rPr>
        <w:t>附件</w:t>
      </w:r>
      <w:bookmarkStart w:id="553" w:name="_Toc130094924"/>
      <w:bookmarkStart w:id="554" w:name="_Toc98731770"/>
      <w:r>
        <w:rPr>
          <w:rFonts w:hint="eastAsia" w:hAnsi="宋体" w:eastAsia="宋体" w:cs="宋体"/>
          <w:b/>
          <w:bCs/>
          <w:color w:val="000000"/>
          <w:kern w:val="2"/>
          <w:sz w:val="24"/>
          <w:szCs w:val="24"/>
          <w:highlight w:val="none"/>
          <w:lang w:val="en-US" w:eastAsia="zh-CN" w:bidi="ar-SA"/>
        </w:rPr>
        <w:t>十</w:t>
      </w:r>
      <w:r>
        <w:rPr>
          <w:rFonts w:hint="eastAsia" w:hAnsi="宋体" w:cs="宋体"/>
          <w:b/>
          <w:bCs/>
          <w:color w:val="000000"/>
          <w:kern w:val="2"/>
          <w:sz w:val="24"/>
          <w:szCs w:val="24"/>
          <w:highlight w:val="none"/>
          <w:lang w:val="en-US" w:eastAsia="zh-CN" w:bidi="ar-SA"/>
        </w:rPr>
        <w:t>一</w:t>
      </w:r>
      <w:r>
        <w:rPr>
          <w:rFonts w:hint="eastAsia" w:ascii="宋体" w:hAnsi="宋体" w:eastAsia="宋体" w:cs="宋体"/>
          <w:b/>
          <w:bCs/>
          <w:color w:val="000000"/>
          <w:kern w:val="2"/>
          <w:sz w:val="24"/>
          <w:szCs w:val="24"/>
          <w:highlight w:val="none"/>
          <w:lang w:val="en-US" w:eastAsia="zh-CN" w:bidi="ar-SA"/>
        </w:rPr>
        <w:t>：</w:t>
      </w:r>
      <w:bookmarkEnd w:id="551"/>
      <w:bookmarkEnd w:id="552"/>
    </w:p>
    <w:p w14:paraId="5A01E954">
      <w:pPr>
        <w:spacing w:line="360" w:lineRule="auto"/>
        <w:jc w:val="center"/>
        <w:rPr>
          <w:rFonts w:hint="eastAsia" w:ascii="宋体" w:hAnsi="宋体" w:eastAsia="宋体" w:cs="宋体"/>
          <w:b/>
          <w:bCs/>
          <w:color w:val="auto"/>
          <w:sz w:val="32"/>
          <w:szCs w:val="32"/>
          <w:highlight w:val="none"/>
          <w:u w:val="none"/>
        </w:rPr>
      </w:pPr>
      <w:r>
        <w:rPr>
          <w:rFonts w:hint="eastAsia" w:ascii="宋体" w:hAnsi="宋体" w:eastAsia="宋体" w:cs="宋体"/>
          <w:b/>
          <w:bCs/>
          <w:color w:val="auto"/>
          <w:sz w:val="32"/>
          <w:szCs w:val="32"/>
          <w:highlight w:val="none"/>
          <w:u w:val="none"/>
        </w:rPr>
        <w:t>投</w:t>
      </w:r>
      <w:r>
        <w:rPr>
          <w:rFonts w:hint="eastAsia" w:ascii="宋体" w:hAnsi="宋体" w:eastAsia="宋体" w:cs="宋体"/>
          <w:b/>
          <w:bCs/>
          <w:color w:val="auto"/>
          <w:sz w:val="32"/>
          <w:szCs w:val="32"/>
          <w:highlight w:val="none"/>
          <w:u w:val="none"/>
          <w:lang w:val="en-US"/>
        </w:rPr>
        <w:t xml:space="preserve"> </w:t>
      </w:r>
      <w:r>
        <w:rPr>
          <w:rFonts w:hint="eastAsia" w:ascii="宋体" w:hAnsi="宋体" w:eastAsia="宋体" w:cs="宋体"/>
          <w:b/>
          <w:bCs/>
          <w:color w:val="auto"/>
          <w:sz w:val="32"/>
          <w:szCs w:val="32"/>
          <w:highlight w:val="none"/>
          <w:u w:val="none"/>
        </w:rPr>
        <w:t>标</w:t>
      </w:r>
      <w:r>
        <w:rPr>
          <w:rFonts w:hint="eastAsia" w:ascii="宋体" w:hAnsi="宋体" w:eastAsia="宋体" w:cs="宋体"/>
          <w:b/>
          <w:bCs/>
          <w:color w:val="auto"/>
          <w:sz w:val="32"/>
          <w:szCs w:val="32"/>
          <w:highlight w:val="none"/>
          <w:u w:val="none"/>
          <w:lang w:val="en-US"/>
        </w:rPr>
        <w:t xml:space="preserve"> </w:t>
      </w:r>
      <w:r>
        <w:rPr>
          <w:rFonts w:hint="eastAsia" w:ascii="宋体" w:hAnsi="宋体" w:eastAsia="宋体" w:cs="宋体"/>
          <w:b/>
          <w:bCs/>
          <w:color w:val="auto"/>
          <w:sz w:val="32"/>
          <w:szCs w:val="32"/>
          <w:highlight w:val="none"/>
          <w:u w:val="none"/>
        </w:rPr>
        <w:t>函</w:t>
      </w:r>
      <w:bookmarkEnd w:id="550"/>
      <w:bookmarkEnd w:id="553"/>
      <w:bookmarkEnd w:id="554"/>
    </w:p>
    <w:p w14:paraId="2201C620">
      <w:pPr>
        <w:spacing w:line="360" w:lineRule="auto"/>
        <w:ind w:firstLine="480" w:firstLineChars="200"/>
        <w:rPr>
          <w:rFonts w:hint="eastAsia" w:ascii="宋体" w:hAnsi="宋体" w:eastAsia="宋体" w:cs="宋体"/>
          <w:color w:val="FF0000"/>
          <w:sz w:val="24"/>
          <w:highlight w:val="none"/>
          <w:u w:val="single"/>
        </w:rPr>
      </w:pPr>
    </w:p>
    <w:p w14:paraId="1440A793">
      <w:pPr>
        <w:spacing w:line="360" w:lineRule="auto"/>
        <w:ind w:firstLine="480" w:firstLineChars="200"/>
        <w:rPr>
          <w:rFonts w:hint="eastAsia" w:ascii="宋体" w:hAnsi="宋体" w:eastAsia="宋体" w:cs="宋体"/>
          <w:color w:val="auto"/>
          <w:sz w:val="24"/>
          <w:highlight w:val="none"/>
        </w:rPr>
      </w:pPr>
      <w:r>
        <w:rPr>
          <w:rFonts w:hint="eastAsia" w:ascii="宋体" w:hAnsi="宋体" w:cs="宋体"/>
          <w:color w:val="auto"/>
          <w:sz w:val="24"/>
          <w:highlight w:val="none"/>
          <w:u w:val="single"/>
          <w:lang w:val="en-US" w:eastAsia="zh-CN"/>
        </w:rPr>
        <w:t>绍兴市上虞区曹娥街道蒿东村股份经济合作社</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rPr>
        <w:t>：</w:t>
      </w:r>
    </w:p>
    <w:p w14:paraId="26C1F0DB">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sz w:val="24"/>
          <w:highlight w:val="none"/>
          <w:u w:val="single"/>
          <w:lang w:eastAsia="zh-CN"/>
        </w:rPr>
        <w:t>浙江广正建设项目管理有限公司</w:t>
      </w:r>
      <w:r>
        <w:rPr>
          <w:rFonts w:hint="eastAsia" w:ascii="宋体" w:hAnsi="宋体" w:eastAsia="宋体" w:cs="宋体"/>
          <w:color w:val="auto"/>
          <w:sz w:val="24"/>
          <w:highlight w:val="none"/>
        </w:rPr>
        <w:t>：</w:t>
      </w:r>
    </w:p>
    <w:p w14:paraId="346CED05">
      <w:pPr>
        <w:spacing w:line="360" w:lineRule="auto"/>
        <w:ind w:firstLine="48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我单位认真研究了关于</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的招标文件，包括修改文件（如有的话）以及全部参考资料和有关附件。我们完全理解并接受招标文件的各项规定和要求，对招标文件的合理性、合法性不再有异议。如招标文件前后有矛盾的，我方完全同意按贵方的理解处理。我单位承诺：</w:t>
      </w:r>
    </w:p>
    <w:p w14:paraId="48A5BADA">
      <w:pPr>
        <w:spacing w:line="360" w:lineRule="auto"/>
        <w:ind w:firstLine="576" w:firstLineChars="240"/>
        <w:rPr>
          <w:rFonts w:hint="eastAsia" w:ascii="宋体" w:hAnsi="宋体" w:eastAsia="宋体" w:cs="宋体"/>
          <w:color w:val="auto"/>
          <w:sz w:val="24"/>
          <w:highlight w:val="none"/>
        </w:rPr>
      </w:pPr>
      <w:r>
        <w:rPr>
          <w:rFonts w:hint="eastAsia" w:ascii="宋体" w:hAnsi="宋体" w:eastAsia="宋体" w:cs="宋体"/>
          <w:color w:val="auto"/>
          <w:sz w:val="24"/>
          <w:highlight w:val="none"/>
        </w:rPr>
        <mc:AlternateContent>
          <mc:Choice Requires="wps">
            <w:drawing>
              <wp:anchor distT="0" distB="0" distL="114300" distR="114300" simplePos="0" relativeHeight="251660288" behindDoc="0" locked="0" layoutInCell="0" allowOverlap="1">
                <wp:simplePos x="0" y="0"/>
                <wp:positionH relativeFrom="column">
                  <wp:posOffset>114300</wp:posOffset>
                </wp:positionH>
                <wp:positionV relativeFrom="paragraph">
                  <wp:posOffset>495300</wp:posOffset>
                </wp:positionV>
                <wp:extent cx="635" cy="0"/>
                <wp:effectExtent l="0" t="0" r="0" b="0"/>
                <wp:wrapNone/>
                <wp:docPr id="2" name="直接连接符 2"/>
                <wp:cNvGraphicFramePr/>
                <a:graphic xmlns:a="http://schemas.openxmlformats.org/drawingml/2006/main">
                  <a:graphicData uri="http://schemas.microsoft.com/office/word/2010/wordprocessingShape">
                    <wps:wsp>
                      <wps:cNvCnPr/>
                      <wps:spPr>
                        <a:xfrm>
                          <a:off x="0" y="0"/>
                          <a:ext cx="635" cy="0"/>
                        </a:xfrm>
                        <a:prstGeom prst="line">
                          <a:avLst/>
                        </a:prstGeom>
                        <a:ln w="9525" cap="flat" cmpd="sng">
                          <a:solidFill>
                            <a:srgbClr val="000000"/>
                          </a:solidFill>
                          <a:prstDash val="solid"/>
                          <a:headEnd type="none" w="med" len="med"/>
                          <a:tailEnd type="none" w="med" len="med"/>
                        </a:ln>
                        <a:effectLst/>
                      </wps:spPr>
                      <wps:bodyPr upright="1"/>
                    </wps:wsp>
                  </a:graphicData>
                </a:graphic>
              </wp:anchor>
            </w:drawing>
          </mc:Choice>
          <mc:Fallback>
            <w:pict>
              <v:line id="_x0000_s1026" o:spid="_x0000_s1026" o:spt="20" style="position:absolute;left:0pt;margin-left:9pt;margin-top:39pt;height:0pt;width:0.05pt;z-index:251660288;mso-width-relative:page;mso-height-relative:page;" filled="f" stroked="t" coordsize="21600,21600" o:allowincell="f" o:gfxdata="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6T0kGtIAAAAHAQAADwAAAAAAAAABACAAAAAiAAAAZHJzL2Rvd25yZXYueG1sUEsBAhQAFAAA&#10;AAgAh07iQIScJp71AQAA7gMAAA4AAAAAAAAAAQAgAAAAIQEAAGRycy9lMm9Eb2MueG1sUEsFBgAA&#10;AAAGAAYAWQEAAIgFAAAAAA==&#10;">
                <v:fill on="f" focussize="0,0"/>
                <v:stroke color="#000000" joinstyle="round"/>
                <v:imagedata o:title=""/>
                <o:lock v:ext="edit" aspectratio="f"/>
              </v:line>
            </w:pict>
          </mc:Fallback>
        </mc:AlternateContent>
      </w:r>
      <w:r>
        <w:rPr>
          <w:rFonts w:hint="eastAsia" w:ascii="宋体" w:hAnsi="宋体" w:eastAsia="宋体" w:cs="宋体"/>
          <w:color w:val="auto"/>
          <w:sz w:val="24"/>
          <w:highlight w:val="none"/>
        </w:rPr>
        <w:t>1、一旦我单位中标，我单位愿意承接开标一览表中所列的技术服务，</w:t>
      </w:r>
      <w:r>
        <w:rPr>
          <w:rFonts w:hint="eastAsia" w:ascii="宋体" w:hAnsi="宋体" w:eastAsia="宋体" w:cs="宋体"/>
          <w:color w:val="auto"/>
          <w:sz w:val="24"/>
          <w:highlight w:val="none"/>
          <w:lang w:eastAsia="zh-CN"/>
        </w:rPr>
        <w:t>服务期</w:t>
      </w:r>
      <w:r>
        <w:rPr>
          <w:rFonts w:hint="eastAsia" w:ascii="宋体" w:hAnsi="宋体" w:eastAsia="宋体" w:cs="宋体"/>
          <w:color w:val="auto"/>
          <w:sz w:val="24"/>
          <w:highlight w:val="none"/>
        </w:rPr>
        <w:t>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14:paraId="0D34E4E2">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2、我单位同意提供按照</w:t>
      </w:r>
      <w:r>
        <w:rPr>
          <w:rFonts w:hint="eastAsia" w:ascii="宋体" w:hAnsi="宋体" w:eastAsia="宋体" w:cs="宋体"/>
          <w:bCs/>
          <w:color w:val="auto"/>
          <w:sz w:val="24"/>
          <w:highlight w:val="none"/>
        </w:rPr>
        <w:t>采购人的可能要求与其投标有关的一切数据和资料，完全理解采购人不一定要接受最低价者作为中标人</w:t>
      </w:r>
      <w:r>
        <w:rPr>
          <w:rFonts w:hint="eastAsia" w:ascii="宋体" w:hAnsi="宋体" w:eastAsia="宋体" w:cs="宋体"/>
          <w:color w:val="auto"/>
          <w:sz w:val="24"/>
          <w:highlight w:val="none"/>
        </w:rPr>
        <w:t>。</w:t>
      </w:r>
    </w:p>
    <w:p w14:paraId="7B69B3A9">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3、一旦我单位中标，我们保证按照招标文件的要求，完成</w:t>
      </w:r>
      <w:r>
        <w:rPr>
          <w:rFonts w:hint="eastAsia" w:ascii="宋体" w:hAnsi="宋体" w:eastAsia="宋体" w:cs="宋体"/>
          <w:color w:val="auto"/>
          <w:sz w:val="24"/>
          <w:highlight w:val="none"/>
          <w:lang w:eastAsia="zh-CN"/>
        </w:rPr>
        <w:t>服务</w:t>
      </w:r>
      <w:r>
        <w:rPr>
          <w:rFonts w:hint="eastAsia" w:ascii="宋体" w:hAnsi="宋体" w:eastAsia="宋体" w:cs="宋体"/>
          <w:color w:val="auto"/>
          <w:sz w:val="24"/>
          <w:highlight w:val="none"/>
        </w:rPr>
        <w:t>。</w:t>
      </w:r>
    </w:p>
    <w:p w14:paraId="7AD8799A">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4、如果我单位中标，我方将按照要求提交履约保证金，严格履行合同义务。</w:t>
      </w:r>
    </w:p>
    <w:p w14:paraId="525CB755">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5、除非另行达成协议并生效，你方的中标通知书和本投标函将构成约束你我双方的合同。</w:t>
      </w:r>
    </w:p>
    <w:p w14:paraId="066F5936">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6、我单位承诺，一旦发生招标文件第二部分第</w:t>
      </w:r>
      <w:r>
        <w:rPr>
          <w:rFonts w:hint="eastAsia" w:ascii="宋体" w:hAnsi="宋体" w:cs="宋体"/>
          <w:color w:val="auto"/>
          <w:sz w:val="24"/>
          <w:highlight w:val="none"/>
          <w:lang w:val="en-US" w:eastAsia="zh-CN"/>
        </w:rPr>
        <w:t>11</w:t>
      </w:r>
      <w:r>
        <w:rPr>
          <w:rFonts w:hint="eastAsia" w:ascii="宋体" w:hAnsi="宋体" w:eastAsia="宋体" w:cs="宋体"/>
          <w:color w:val="auto"/>
          <w:sz w:val="24"/>
          <w:highlight w:val="none"/>
        </w:rPr>
        <w:t>条规定情形之一的，承担该条款约定的责任。</w:t>
      </w:r>
    </w:p>
    <w:p w14:paraId="22AD6495">
      <w:pPr>
        <w:pStyle w:val="16"/>
        <w:snapToGrid w:val="0"/>
        <w:spacing w:line="360" w:lineRule="auto"/>
        <w:ind w:left="48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p>
    <w:p w14:paraId="03F6915B">
      <w:pPr>
        <w:spacing w:line="360" w:lineRule="auto"/>
        <w:ind w:firstLine="480" w:firstLineChars="200"/>
        <w:rPr>
          <w:rFonts w:hint="eastAsia" w:ascii="宋体" w:hAnsi="宋体" w:eastAsia="宋体" w:cs="宋体"/>
          <w:bCs/>
          <w:color w:val="000000"/>
          <w:sz w:val="24"/>
          <w:szCs w:val="21"/>
          <w:highlight w:val="none"/>
        </w:rPr>
      </w:pPr>
      <w:r>
        <w:rPr>
          <w:rFonts w:hint="eastAsia" w:ascii="宋体" w:hAnsi="宋体" w:eastAsia="宋体" w:cs="宋体"/>
          <w:bCs/>
          <w:sz w:val="24"/>
          <w:szCs w:val="21"/>
          <w:highlight w:val="none"/>
        </w:rPr>
        <w:t>地址：</w:t>
      </w:r>
      <w:r>
        <w:rPr>
          <w:rFonts w:hint="eastAsia" w:ascii="宋体" w:hAnsi="宋体" w:eastAsia="宋体" w:cs="宋体"/>
          <w:bCs/>
          <w:sz w:val="24"/>
          <w:szCs w:val="21"/>
          <w:highlight w:val="none"/>
          <w:u w:val="single"/>
        </w:rPr>
        <w:t xml:space="preserve">           </w:t>
      </w:r>
      <w:r>
        <w:rPr>
          <w:rFonts w:hint="eastAsia" w:ascii="宋体" w:hAnsi="宋体" w:eastAsia="宋体" w:cs="宋体"/>
          <w:bCs/>
          <w:color w:val="000000"/>
          <w:sz w:val="24"/>
          <w:szCs w:val="21"/>
          <w:highlight w:val="none"/>
          <w:u w:val="single"/>
        </w:rPr>
        <w:t xml:space="preserve">                    </w:t>
      </w:r>
      <w:r>
        <w:rPr>
          <w:rFonts w:hint="eastAsia" w:ascii="宋体" w:hAnsi="宋体" w:eastAsia="宋体" w:cs="宋体"/>
          <w:bCs/>
          <w:color w:val="000000"/>
          <w:sz w:val="24"/>
          <w:szCs w:val="21"/>
          <w:highlight w:val="none"/>
        </w:rPr>
        <w:t>邮编：</w:t>
      </w:r>
      <w:r>
        <w:rPr>
          <w:rFonts w:hint="eastAsia" w:ascii="宋体" w:hAnsi="宋体" w:eastAsia="宋体" w:cs="宋体"/>
          <w:bCs/>
          <w:color w:val="000000"/>
          <w:sz w:val="24"/>
          <w:szCs w:val="21"/>
          <w:highlight w:val="none"/>
          <w:u w:val="single"/>
        </w:rPr>
        <w:t xml:space="preserve">                 </w:t>
      </w:r>
    </w:p>
    <w:p w14:paraId="1DBB18A0">
      <w:pPr>
        <w:spacing w:line="360" w:lineRule="auto"/>
        <w:ind w:firstLine="480" w:firstLineChars="200"/>
        <w:rPr>
          <w:rFonts w:hint="eastAsia" w:ascii="宋体" w:hAnsi="宋体" w:eastAsia="宋体" w:cs="宋体"/>
          <w:bCs/>
          <w:color w:val="000000"/>
          <w:sz w:val="24"/>
          <w:szCs w:val="21"/>
          <w:highlight w:val="none"/>
          <w:u w:val="single"/>
        </w:rPr>
      </w:pPr>
      <w:r>
        <w:rPr>
          <w:rFonts w:hint="eastAsia" w:ascii="宋体" w:hAnsi="宋体" w:eastAsia="宋体" w:cs="宋体"/>
          <w:bCs/>
          <w:color w:val="000000"/>
          <w:sz w:val="24"/>
          <w:szCs w:val="21"/>
          <w:highlight w:val="none"/>
        </w:rPr>
        <w:t>电话：</w:t>
      </w:r>
      <w:r>
        <w:rPr>
          <w:rFonts w:hint="eastAsia" w:ascii="宋体" w:hAnsi="宋体" w:eastAsia="宋体" w:cs="宋体"/>
          <w:bCs/>
          <w:color w:val="000000"/>
          <w:sz w:val="24"/>
          <w:szCs w:val="21"/>
          <w:highlight w:val="none"/>
          <w:u w:val="single"/>
        </w:rPr>
        <w:t xml:space="preserve">                               </w:t>
      </w:r>
      <w:r>
        <w:rPr>
          <w:rFonts w:hint="eastAsia" w:ascii="宋体" w:hAnsi="宋体" w:eastAsia="宋体" w:cs="宋体"/>
          <w:bCs/>
          <w:color w:val="000000"/>
          <w:sz w:val="24"/>
          <w:szCs w:val="21"/>
          <w:highlight w:val="none"/>
        </w:rPr>
        <w:t>传真：</w:t>
      </w:r>
      <w:r>
        <w:rPr>
          <w:rFonts w:hint="eastAsia" w:ascii="宋体" w:hAnsi="宋体" w:eastAsia="宋体" w:cs="宋体"/>
          <w:bCs/>
          <w:color w:val="000000"/>
          <w:sz w:val="24"/>
          <w:szCs w:val="21"/>
          <w:highlight w:val="none"/>
          <w:u w:val="single"/>
        </w:rPr>
        <w:t xml:space="preserve">                 </w:t>
      </w:r>
    </w:p>
    <w:p w14:paraId="3796D756">
      <w:pPr>
        <w:spacing w:line="360" w:lineRule="auto"/>
        <w:ind w:firstLine="480" w:firstLineChars="200"/>
        <w:rPr>
          <w:rFonts w:hint="eastAsia" w:ascii="宋体" w:hAnsi="宋体" w:eastAsia="宋体" w:cs="宋体"/>
          <w:bCs/>
          <w:color w:val="000000"/>
          <w:sz w:val="24"/>
          <w:szCs w:val="21"/>
          <w:highlight w:val="none"/>
        </w:rPr>
      </w:pPr>
      <w:r>
        <w:rPr>
          <w:rFonts w:hint="eastAsia" w:ascii="宋体" w:hAnsi="宋体" w:eastAsia="宋体" w:cs="宋体"/>
          <w:bCs/>
          <w:color w:val="000000"/>
          <w:sz w:val="24"/>
          <w:szCs w:val="21"/>
          <w:highlight w:val="none"/>
        </w:rPr>
        <w:t>供应商代表姓名：</w:t>
      </w:r>
      <w:r>
        <w:rPr>
          <w:rFonts w:hint="eastAsia" w:ascii="宋体" w:hAnsi="宋体" w:eastAsia="宋体" w:cs="宋体"/>
          <w:bCs/>
          <w:color w:val="000000"/>
          <w:sz w:val="24"/>
          <w:szCs w:val="21"/>
          <w:highlight w:val="none"/>
          <w:u w:val="single"/>
        </w:rPr>
        <w:t xml:space="preserve">                     </w:t>
      </w:r>
      <w:r>
        <w:rPr>
          <w:rFonts w:hint="eastAsia" w:ascii="宋体" w:hAnsi="宋体" w:eastAsia="宋体" w:cs="宋体"/>
          <w:bCs/>
          <w:color w:val="000000"/>
          <w:sz w:val="24"/>
          <w:szCs w:val="21"/>
          <w:highlight w:val="none"/>
        </w:rPr>
        <w:t>职务：</w:t>
      </w:r>
      <w:r>
        <w:rPr>
          <w:rFonts w:hint="eastAsia" w:ascii="宋体" w:hAnsi="宋体" w:eastAsia="宋体" w:cs="宋体"/>
          <w:bCs/>
          <w:color w:val="000000"/>
          <w:sz w:val="24"/>
          <w:szCs w:val="21"/>
          <w:highlight w:val="none"/>
          <w:u w:val="single"/>
        </w:rPr>
        <w:t xml:space="preserve">                 </w:t>
      </w:r>
    </w:p>
    <w:p w14:paraId="5240C239">
      <w:pPr>
        <w:spacing w:line="360" w:lineRule="auto"/>
        <w:ind w:firstLine="480" w:firstLineChars="200"/>
        <w:rPr>
          <w:rFonts w:hint="eastAsia" w:ascii="宋体" w:hAnsi="宋体" w:eastAsia="宋体" w:cs="宋体"/>
          <w:bCs/>
          <w:color w:val="000000"/>
          <w:sz w:val="24"/>
          <w:szCs w:val="21"/>
          <w:highlight w:val="none"/>
        </w:rPr>
      </w:pPr>
      <w:r>
        <w:rPr>
          <w:rFonts w:hint="eastAsia" w:ascii="宋体" w:hAnsi="宋体" w:eastAsia="宋体" w:cs="宋体"/>
          <w:bCs/>
          <w:color w:val="000000"/>
          <w:sz w:val="24"/>
          <w:szCs w:val="21"/>
          <w:highlight w:val="none"/>
        </w:rPr>
        <w:t>供应商名称</w:t>
      </w:r>
      <w:r>
        <w:rPr>
          <w:rFonts w:hint="eastAsia" w:ascii="宋体" w:hAnsi="宋体" w:eastAsia="宋体" w:cs="宋体"/>
          <w:bCs/>
          <w:color w:val="000000"/>
          <w:sz w:val="24"/>
          <w:szCs w:val="21"/>
          <w:highlight w:val="none"/>
          <w:u w:val="single"/>
        </w:rPr>
        <w:t>：                   　　　</w:t>
      </w:r>
    </w:p>
    <w:p w14:paraId="0A8CE6AD">
      <w:pPr>
        <w:spacing w:line="360" w:lineRule="auto"/>
        <w:ind w:firstLine="480" w:firstLineChars="200"/>
        <w:rPr>
          <w:rFonts w:hint="eastAsia" w:ascii="宋体" w:hAnsi="宋体" w:eastAsia="宋体" w:cs="宋体"/>
          <w:bCs/>
          <w:color w:val="000000"/>
          <w:sz w:val="24"/>
          <w:szCs w:val="21"/>
          <w:highlight w:val="none"/>
        </w:rPr>
      </w:pPr>
      <w:r>
        <w:rPr>
          <w:rFonts w:hint="eastAsia" w:ascii="宋体" w:hAnsi="宋体" w:eastAsia="宋体" w:cs="宋体"/>
          <w:bCs/>
          <w:color w:val="000000"/>
          <w:sz w:val="24"/>
          <w:szCs w:val="21"/>
          <w:highlight w:val="none"/>
        </w:rPr>
        <w:t xml:space="preserve">（公章）：                   </w:t>
      </w:r>
    </w:p>
    <w:p w14:paraId="2E25CEA4">
      <w:pPr>
        <w:spacing w:line="360" w:lineRule="auto"/>
        <w:ind w:leftChars="1800" w:firstLine="480" w:firstLineChars="200"/>
        <w:rPr>
          <w:rFonts w:hint="eastAsia" w:ascii="宋体" w:hAnsi="宋体" w:eastAsia="宋体" w:cs="宋体"/>
          <w:sz w:val="24"/>
          <w:highlight w:val="none"/>
        </w:rPr>
      </w:pPr>
      <w:r>
        <w:rPr>
          <w:rFonts w:hint="eastAsia" w:ascii="宋体" w:hAnsi="宋体" w:eastAsia="宋体" w:cs="宋体"/>
          <w:sz w:val="24"/>
          <w:highlight w:val="none"/>
        </w:rPr>
        <w:t xml:space="preserve">法定代表人签名（或签名章）：                       </w:t>
      </w:r>
    </w:p>
    <w:p w14:paraId="2FC55D1D">
      <w:pPr>
        <w:spacing w:line="360" w:lineRule="auto"/>
        <w:ind w:leftChars="1800" w:firstLine="480" w:firstLineChars="200"/>
        <w:rPr>
          <w:rFonts w:hint="eastAsia" w:ascii="宋体" w:hAnsi="宋体" w:eastAsia="宋体" w:cs="宋体"/>
          <w:sz w:val="24"/>
          <w:highlight w:val="none"/>
        </w:rPr>
      </w:pPr>
      <w:r>
        <w:rPr>
          <w:rFonts w:hint="eastAsia" w:ascii="宋体" w:hAnsi="宋体" w:eastAsia="宋体" w:cs="宋体"/>
          <w:sz w:val="24"/>
          <w:highlight w:val="none"/>
        </w:rPr>
        <w:t>日 期：</w:t>
      </w:r>
    </w:p>
    <w:p w14:paraId="55355BCE">
      <w:pPr>
        <w:spacing w:line="360" w:lineRule="auto"/>
        <w:ind w:firstLine="5280" w:firstLineChars="2200"/>
        <w:rPr>
          <w:rFonts w:hint="eastAsia" w:ascii="宋体" w:hAnsi="宋体" w:eastAsia="宋体" w:cs="宋体"/>
          <w:bCs/>
          <w:color w:val="000000"/>
          <w:sz w:val="24"/>
          <w:szCs w:val="21"/>
          <w:highlight w:val="none"/>
        </w:rPr>
      </w:pPr>
    </w:p>
    <w:p w14:paraId="144C65E4">
      <w:pPr>
        <w:pStyle w:val="4"/>
        <w:numPr>
          <w:ilvl w:val="0"/>
          <w:numId w:val="0"/>
        </w:numPr>
        <w:outlineLvl w:val="0"/>
        <w:rPr>
          <w:rFonts w:hint="eastAsia" w:ascii="宋体" w:hAnsi="宋体" w:eastAsia="宋体" w:cs="宋体"/>
          <w:b/>
          <w:bCs/>
          <w:color w:val="000000"/>
          <w:kern w:val="2"/>
          <w:sz w:val="24"/>
          <w:szCs w:val="24"/>
          <w:highlight w:val="none"/>
          <w:lang w:val="zh-CN" w:eastAsia="zh-CN" w:bidi="ar-SA"/>
        </w:rPr>
      </w:pPr>
      <w:bookmarkStart w:id="555" w:name="_Toc12011"/>
      <w:r>
        <w:rPr>
          <w:rFonts w:hint="eastAsia" w:ascii="宋体" w:hAnsi="宋体" w:eastAsia="宋体" w:cs="宋体"/>
          <w:b/>
          <w:bCs/>
          <w:color w:val="000000"/>
          <w:kern w:val="2"/>
          <w:sz w:val="24"/>
          <w:szCs w:val="24"/>
          <w:highlight w:val="none"/>
          <w:lang w:val="zh-CN" w:eastAsia="zh-CN" w:bidi="ar-SA"/>
        </w:rPr>
        <w:br w:type="page"/>
      </w:r>
      <w:bookmarkStart w:id="556" w:name="_Toc20713"/>
      <w:bookmarkStart w:id="557" w:name="_Toc18166"/>
      <w:r>
        <w:rPr>
          <w:rFonts w:hint="eastAsia" w:ascii="宋体" w:hAnsi="宋体" w:eastAsia="宋体" w:cs="宋体"/>
          <w:b/>
          <w:bCs/>
          <w:color w:val="000000"/>
          <w:kern w:val="2"/>
          <w:sz w:val="24"/>
          <w:szCs w:val="24"/>
          <w:highlight w:val="none"/>
          <w:lang w:val="zh-CN" w:eastAsia="zh-CN" w:bidi="ar-SA"/>
        </w:rPr>
        <w:t>附件</w:t>
      </w:r>
      <w:bookmarkStart w:id="558" w:name="_Toc130094925"/>
      <w:bookmarkStart w:id="559" w:name="_Toc98731771"/>
      <w:r>
        <w:rPr>
          <w:rFonts w:hint="eastAsia" w:ascii="宋体" w:hAnsi="宋体" w:eastAsia="宋体" w:cs="宋体"/>
          <w:b/>
          <w:bCs/>
          <w:color w:val="000000"/>
          <w:kern w:val="2"/>
          <w:sz w:val="24"/>
          <w:szCs w:val="24"/>
          <w:highlight w:val="none"/>
          <w:lang w:val="en-US" w:eastAsia="zh-CN" w:bidi="ar-SA"/>
        </w:rPr>
        <w:t>十</w:t>
      </w:r>
      <w:r>
        <w:rPr>
          <w:rFonts w:hint="eastAsia" w:hAnsi="宋体" w:cs="宋体"/>
          <w:b/>
          <w:bCs/>
          <w:color w:val="000000"/>
          <w:kern w:val="2"/>
          <w:sz w:val="24"/>
          <w:szCs w:val="24"/>
          <w:highlight w:val="none"/>
          <w:lang w:val="en-US" w:eastAsia="zh-CN" w:bidi="ar-SA"/>
        </w:rPr>
        <w:t>二</w:t>
      </w:r>
      <w:r>
        <w:rPr>
          <w:rFonts w:hint="eastAsia" w:ascii="宋体" w:hAnsi="宋体" w:eastAsia="宋体" w:cs="宋体"/>
          <w:b/>
          <w:bCs/>
          <w:color w:val="000000"/>
          <w:kern w:val="2"/>
          <w:sz w:val="24"/>
          <w:szCs w:val="24"/>
          <w:highlight w:val="none"/>
          <w:lang w:val="en-US" w:eastAsia="zh-CN" w:bidi="ar-SA"/>
        </w:rPr>
        <w:t>：</w:t>
      </w:r>
      <w:bookmarkEnd w:id="556"/>
      <w:bookmarkEnd w:id="557"/>
    </w:p>
    <w:p w14:paraId="1D4F1FCA">
      <w:pPr>
        <w:spacing w:line="360" w:lineRule="auto"/>
        <w:jc w:val="center"/>
        <w:rPr>
          <w:rFonts w:hint="eastAsia" w:ascii="宋体" w:hAnsi="宋体" w:eastAsia="宋体" w:cs="宋体"/>
          <w:b/>
          <w:bCs/>
          <w:color w:val="auto"/>
          <w:sz w:val="32"/>
          <w:szCs w:val="32"/>
          <w:highlight w:val="none"/>
          <w:u w:val="none"/>
        </w:rPr>
      </w:pPr>
      <w:r>
        <w:rPr>
          <w:rFonts w:hint="eastAsia" w:ascii="宋体" w:hAnsi="宋体" w:eastAsia="宋体" w:cs="宋体"/>
          <w:b/>
          <w:bCs/>
          <w:color w:val="auto"/>
          <w:sz w:val="32"/>
          <w:szCs w:val="32"/>
          <w:highlight w:val="none"/>
          <w:u w:val="none"/>
        </w:rPr>
        <w:t>开标一览表</w:t>
      </w:r>
      <w:bookmarkEnd w:id="555"/>
      <w:bookmarkEnd w:id="558"/>
      <w:bookmarkEnd w:id="559"/>
    </w:p>
    <w:p w14:paraId="5AA6B0D1">
      <w:pPr>
        <w:pStyle w:val="16"/>
        <w:spacing w:line="360" w:lineRule="auto"/>
        <w:rPr>
          <w:rFonts w:hint="eastAsia" w:ascii="宋体" w:hAnsi="宋体" w:eastAsia="宋体" w:cs="宋体"/>
          <w:color w:val="000000"/>
          <w:sz w:val="24"/>
          <w:highlight w:val="none"/>
        </w:rPr>
      </w:pPr>
    </w:p>
    <w:p w14:paraId="6552D39C">
      <w:pPr>
        <w:spacing w:line="360" w:lineRule="auto"/>
        <w:ind w:firstLine="480" w:firstLineChars="200"/>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项目名称：</w:t>
      </w:r>
    </w:p>
    <w:p w14:paraId="6232A25D">
      <w:pPr>
        <w:spacing w:line="360" w:lineRule="auto"/>
        <w:ind w:firstLine="480" w:firstLineChars="200"/>
        <w:rPr>
          <w:rFonts w:hint="eastAsia" w:ascii="宋体" w:hAnsi="宋体" w:eastAsia="宋体" w:cs="宋体"/>
          <w:color w:val="000000"/>
          <w:sz w:val="24"/>
          <w:highlight w:val="none"/>
        </w:rPr>
      </w:pPr>
      <w:r>
        <w:rPr>
          <w:rFonts w:hint="eastAsia" w:ascii="宋体" w:hAnsi="宋体" w:eastAsia="宋体" w:cs="宋体"/>
          <w:sz w:val="24"/>
          <w:highlight w:val="none"/>
          <w:lang w:eastAsia="zh-CN"/>
        </w:rPr>
        <w:t>采购编号</w:t>
      </w:r>
      <w:r>
        <w:rPr>
          <w:rFonts w:hint="eastAsia" w:ascii="宋体" w:hAnsi="宋体" w:eastAsia="宋体" w:cs="宋体"/>
          <w:sz w:val="24"/>
          <w:highlight w:val="none"/>
        </w:rPr>
        <w:t>：</w:t>
      </w:r>
      <w:r>
        <w:rPr>
          <w:rFonts w:hint="eastAsia" w:ascii="宋体" w:hAnsi="宋体" w:eastAsia="宋体" w:cs="宋体"/>
          <w:color w:val="000000"/>
          <w:sz w:val="24"/>
          <w:highlight w:val="none"/>
        </w:rPr>
        <w:t xml:space="preserve">               </w:t>
      </w:r>
    </w:p>
    <w:tbl>
      <w:tblPr>
        <w:tblStyle w:val="3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89"/>
        <w:gridCol w:w="6707"/>
      </w:tblGrid>
      <w:tr w14:paraId="46F469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79" w:hRule="atLeast"/>
          <w:jc w:val="center"/>
        </w:trPr>
        <w:tc>
          <w:tcPr>
            <w:tcW w:w="2089" w:type="dxa"/>
            <w:noWrap w:val="0"/>
            <w:vAlign w:val="center"/>
          </w:tcPr>
          <w:p w14:paraId="5C5AB1CB">
            <w:pPr>
              <w:pStyle w:val="16"/>
              <w:spacing w:line="360" w:lineRule="auto"/>
              <w:jc w:val="center"/>
              <w:rPr>
                <w:rFonts w:hint="eastAsia" w:ascii="宋体" w:hAnsi="宋体" w:eastAsia="宋体" w:cs="宋体"/>
                <w:b/>
                <w:bCs/>
                <w:color w:val="000000"/>
                <w:sz w:val="24"/>
                <w:highlight w:val="none"/>
              </w:rPr>
            </w:pPr>
            <w:r>
              <w:rPr>
                <w:rFonts w:hint="eastAsia" w:ascii="宋体" w:hAnsi="宋体" w:eastAsia="宋体" w:cs="宋体"/>
                <w:b/>
                <w:bCs/>
                <w:color w:val="000000"/>
                <w:sz w:val="24"/>
                <w:highlight w:val="none"/>
              </w:rPr>
              <w:t>投标总价</w:t>
            </w:r>
          </w:p>
        </w:tc>
        <w:tc>
          <w:tcPr>
            <w:tcW w:w="6707" w:type="dxa"/>
            <w:noWrap w:val="0"/>
            <w:vAlign w:val="center"/>
          </w:tcPr>
          <w:p w14:paraId="391D1246">
            <w:pPr>
              <w:pStyle w:val="16"/>
              <w:spacing w:line="360" w:lineRule="auto"/>
              <w:jc w:val="center"/>
              <w:rPr>
                <w:rFonts w:hint="eastAsia" w:ascii="宋体" w:hAnsi="宋体" w:eastAsia="宋体" w:cs="宋体"/>
                <w:b/>
                <w:bCs/>
                <w:color w:val="FF0000"/>
                <w:sz w:val="24"/>
                <w:highlight w:val="none"/>
              </w:rPr>
            </w:pPr>
            <w:r>
              <w:rPr>
                <w:rFonts w:hint="eastAsia" w:ascii="宋体" w:hAnsi="宋体" w:eastAsia="宋体" w:cs="宋体"/>
                <w:b/>
                <w:bCs/>
                <w:color w:val="auto"/>
                <w:sz w:val="24"/>
                <w:highlight w:val="none"/>
              </w:rPr>
              <w:t>大写：</w:t>
            </w:r>
            <w:r>
              <w:rPr>
                <w:rFonts w:hint="eastAsia" w:ascii="宋体" w:hAnsi="宋体" w:eastAsia="宋体" w:cs="宋体"/>
                <w:b/>
                <w:bCs/>
                <w:color w:val="auto"/>
                <w:sz w:val="24"/>
                <w:highlight w:val="none"/>
                <w:u w:val="single"/>
              </w:rPr>
              <w:t xml:space="preserve">　　　　            </w:t>
            </w:r>
            <w:r>
              <w:rPr>
                <w:rFonts w:hint="eastAsia" w:ascii="宋体" w:hAnsi="宋体" w:eastAsia="宋体" w:cs="宋体"/>
                <w:b/>
                <w:bCs/>
                <w:color w:val="auto"/>
                <w:sz w:val="24"/>
                <w:highlight w:val="none"/>
              </w:rPr>
              <w:t>元（小写：</w:t>
            </w:r>
            <w:r>
              <w:rPr>
                <w:rFonts w:hint="eastAsia" w:ascii="宋体" w:hAnsi="宋体" w:eastAsia="宋体" w:cs="宋体"/>
                <w:b/>
                <w:bCs/>
                <w:color w:val="auto"/>
                <w:sz w:val="24"/>
                <w:highlight w:val="none"/>
                <w:u w:val="single"/>
              </w:rPr>
              <w:t xml:space="preserve">　　　　 </w:t>
            </w:r>
            <w:r>
              <w:rPr>
                <w:rFonts w:hint="eastAsia" w:ascii="宋体" w:hAnsi="宋体" w:eastAsia="宋体" w:cs="宋体"/>
                <w:b/>
                <w:bCs/>
                <w:color w:val="auto"/>
                <w:sz w:val="24"/>
                <w:highlight w:val="none"/>
              </w:rPr>
              <w:t>）</w:t>
            </w:r>
          </w:p>
        </w:tc>
      </w:tr>
      <w:tr w14:paraId="0903FB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198" w:hRule="atLeast"/>
          <w:jc w:val="center"/>
        </w:trPr>
        <w:tc>
          <w:tcPr>
            <w:tcW w:w="8796" w:type="dxa"/>
            <w:gridSpan w:val="2"/>
            <w:noWrap w:val="0"/>
            <w:vAlign w:val="center"/>
          </w:tcPr>
          <w:p w14:paraId="04E4DF19">
            <w:pPr>
              <w:pStyle w:val="16"/>
              <w:spacing w:line="360" w:lineRule="auto"/>
              <w:ind w:firstLine="480" w:firstLineChars="200"/>
              <w:rPr>
                <w:rFonts w:hint="eastAsia" w:ascii="宋体" w:hAnsi="宋体" w:eastAsia="宋体" w:cs="宋体"/>
                <w:b/>
                <w:bCs/>
                <w:color w:val="000000"/>
                <w:sz w:val="24"/>
                <w:highlight w:val="none"/>
              </w:rPr>
            </w:pPr>
            <w:r>
              <w:rPr>
                <w:rFonts w:hint="eastAsia" w:ascii="宋体" w:hAnsi="宋体" w:cs="宋体"/>
                <w:color w:val="auto"/>
                <w:kern w:val="0"/>
                <w:sz w:val="24"/>
                <w:highlight w:val="none"/>
              </w:rPr>
              <w:t>投标报价统一为人民币计价，本次报价方式为总价包干，包括人员费用（保洁人员、垃圾清理人员及管理人员等）、按规定缴纳的各类保险、福利费、管理费用、税费、劳保用品、保洁用具、垃圾清运及处置费、招标代理费等本项目所需的一切费用。凡投标人在报价中未列明但又为本次采购所必须的项目或遗漏项目，采购人将一律视为已包括在合同价中，在合同执行中将不再另行支付。</w:t>
            </w:r>
          </w:p>
        </w:tc>
      </w:tr>
    </w:tbl>
    <w:p w14:paraId="73A6118F">
      <w:pP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 xml:space="preserve">注: </w:t>
      </w:r>
    </w:p>
    <w:p w14:paraId="34B1C59F">
      <w:pPr>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报价一经涂改，应在涂改处加盖单位公章或者由法定代表人或授权委托人签字或盖章，否则其投标作无效标处理。</w:t>
      </w:r>
    </w:p>
    <w:p w14:paraId="76239A2C">
      <w:pPr>
        <w:pStyle w:val="16"/>
        <w:spacing w:line="360" w:lineRule="auto"/>
        <w:rPr>
          <w:rFonts w:hint="eastAsia" w:ascii="宋体" w:hAnsi="宋体" w:eastAsia="宋体" w:cs="宋体"/>
          <w:color w:val="000000"/>
          <w:sz w:val="24"/>
          <w:highlight w:val="none"/>
        </w:rPr>
      </w:pPr>
    </w:p>
    <w:p w14:paraId="11F32D1F">
      <w:pPr>
        <w:pStyle w:val="16"/>
        <w:spacing w:line="360" w:lineRule="auto"/>
        <w:rPr>
          <w:rFonts w:hint="eastAsia" w:ascii="宋体" w:hAnsi="宋体" w:eastAsia="宋体" w:cs="宋体"/>
          <w:color w:val="000000"/>
          <w:sz w:val="24"/>
          <w:highlight w:val="none"/>
        </w:rPr>
      </w:pPr>
    </w:p>
    <w:p w14:paraId="384432AC">
      <w:pPr>
        <w:pStyle w:val="16"/>
        <w:spacing w:line="360" w:lineRule="auto"/>
        <w:rPr>
          <w:rFonts w:hint="eastAsia" w:ascii="宋体" w:hAnsi="宋体" w:eastAsia="宋体" w:cs="宋体"/>
          <w:color w:val="000000"/>
          <w:sz w:val="24"/>
          <w:highlight w:val="none"/>
        </w:rPr>
      </w:pPr>
    </w:p>
    <w:p w14:paraId="7B9F2C9C">
      <w:pPr>
        <w:spacing w:line="360" w:lineRule="auto"/>
        <w:ind w:leftChars="1800" w:firstLine="480" w:firstLineChars="200"/>
        <w:rPr>
          <w:rFonts w:hint="eastAsia" w:ascii="宋体" w:hAnsi="宋体" w:eastAsia="宋体" w:cs="宋体"/>
          <w:sz w:val="24"/>
          <w:highlight w:val="none"/>
        </w:rPr>
      </w:pPr>
      <w:r>
        <w:rPr>
          <w:rFonts w:hint="eastAsia" w:ascii="宋体" w:hAnsi="宋体" w:eastAsia="宋体" w:cs="宋体"/>
          <w:sz w:val="24"/>
          <w:highlight w:val="none"/>
        </w:rPr>
        <w:t xml:space="preserve">法定代表人签名（或签名章）：                       </w:t>
      </w:r>
    </w:p>
    <w:p w14:paraId="59B038D0">
      <w:pPr>
        <w:spacing w:line="360" w:lineRule="auto"/>
        <w:ind w:leftChars="1800" w:firstLine="480" w:firstLineChars="200"/>
        <w:rPr>
          <w:rFonts w:hint="eastAsia" w:ascii="宋体" w:hAnsi="宋体" w:eastAsia="宋体" w:cs="宋体"/>
          <w:sz w:val="24"/>
          <w:highlight w:val="none"/>
        </w:rPr>
      </w:pPr>
      <w:r>
        <w:rPr>
          <w:rFonts w:hint="eastAsia" w:ascii="宋体" w:hAnsi="宋体" w:eastAsia="宋体" w:cs="宋体"/>
          <w:sz w:val="24"/>
          <w:highlight w:val="none"/>
        </w:rPr>
        <w:t>日 期：</w:t>
      </w:r>
    </w:p>
    <w:p w14:paraId="7378F7E4">
      <w:pPr>
        <w:spacing w:line="360" w:lineRule="auto"/>
        <w:ind w:leftChars="1800" w:firstLine="480" w:firstLineChars="200"/>
        <w:rPr>
          <w:rFonts w:hint="eastAsia" w:ascii="宋体" w:hAnsi="宋体" w:eastAsia="宋体" w:cs="宋体"/>
          <w:sz w:val="24"/>
          <w:highlight w:val="none"/>
        </w:rPr>
      </w:pPr>
      <w:r>
        <w:rPr>
          <w:rFonts w:hint="eastAsia" w:ascii="宋体" w:hAnsi="宋体" w:eastAsia="宋体" w:cs="宋体"/>
          <w:sz w:val="24"/>
          <w:highlight w:val="none"/>
        </w:rPr>
        <w:t>投标人全称（公章）：</w:t>
      </w:r>
    </w:p>
    <w:p w14:paraId="61CCF660">
      <w:pPr>
        <w:snapToGrid w:val="0"/>
        <w:spacing w:line="360" w:lineRule="auto"/>
        <w:ind w:firstLine="435"/>
        <w:rPr>
          <w:rFonts w:hint="eastAsia" w:ascii="宋体" w:hAnsi="宋体" w:eastAsia="宋体" w:cs="宋体"/>
          <w:color w:val="000000"/>
          <w:highlight w:val="none"/>
        </w:rPr>
      </w:pPr>
    </w:p>
    <w:p w14:paraId="298995EB">
      <w:pPr>
        <w:snapToGrid w:val="0"/>
        <w:spacing w:line="360" w:lineRule="auto"/>
        <w:ind w:firstLine="435"/>
        <w:rPr>
          <w:rFonts w:hint="eastAsia" w:ascii="宋体" w:hAnsi="宋体" w:eastAsia="宋体" w:cs="宋体"/>
          <w:color w:val="000000"/>
          <w:highlight w:val="none"/>
        </w:rPr>
      </w:pPr>
    </w:p>
    <w:p w14:paraId="4BE3BF3B">
      <w:pPr>
        <w:snapToGrid w:val="0"/>
        <w:spacing w:line="360" w:lineRule="auto"/>
        <w:ind w:firstLine="435"/>
        <w:rPr>
          <w:rFonts w:hint="eastAsia" w:ascii="宋体" w:hAnsi="宋体" w:eastAsia="宋体" w:cs="宋体"/>
          <w:color w:val="000000"/>
          <w:highlight w:val="none"/>
        </w:rPr>
      </w:pPr>
    </w:p>
    <w:p w14:paraId="36BB3B58">
      <w:pPr>
        <w:snapToGrid w:val="0"/>
        <w:spacing w:line="360" w:lineRule="auto"/>
        <w:ind w:firstLine="435"/>
        <w:rPr>
          <w:rFonts w:hint="eastAsia" w:ascii="宋体" w:hAnsi="宋体" w:eastAsia="宋体" w:cs="宋体"/>
          <w:color w:val="000000"/>
          <w:highlight w:val="none"/>
        </w:rPr>
      </w:pPr>
    </w:p>
    <w:p w14:paraId="16C2FCA3">
      <w:pPr>
        <w:snapToGrid w:val="0"/>
        <w:spacing w:line="360" w:lineRule="auto"/>
        <w:ind w:firstLine="435"/>
        <w:rPr>
          <w:rFonts w:hint="eastAsia" w:ascii="宋体" w:hAnsi="宋体" w:eastAsia="宋体" w:cs="宋体"/>
          <w:color w:val="000000"/>
          <w:highlight w:val="none"/>
        </w:rPr>
      </w:pPr>
    </w:p>
    <w:p w14:paraId="7AF71F76">
      <w:pPr>
        <w:pStyle w:val="4"/>
        <w:numPr>
          <w:ilvl w:val="0"/>
          <w:numId w:val="0"/>
        </w:numPr>
        <w:outlineLvl w:val="9"/>
        <w:rPr>
          <w:rFonts w:hint="eastAsia" w:ascii="宋体" w:hAnsi="宋体" w:eastAsia="宋体" w:cs="宋体"/>
          <w:b/>
          <w:bCs/>
          <w:color w:val="000000"/>
          <w:kern w:val="2"/>
          <w:sz w:val="24"/>
          <w:szCs w:val="24"/>
          <w:highlight w:val="none"/>
          <w:lang w:val="zh-CN" w:eastAsia="zh-CN" w:bidi="ar-SA"/>
        </w:rPr>
      </w:pPr>
      <w:bookmarkStart w:id="560" w:name="_Toc7196"/>
    </w:p>
    <w:p w14:paraId="3C049BF8">
      <w:pPr>
        <w:pStyle w:val="5"/>
        <w:rPr>
          <w:rFonts w:hint="eastAsia" w:ascii="宋体" w:hAnsi="宋体" w:eastAsia="宋体" w:cs="宋体"/>
          <w:b/>
          <w:bCs/>
          <w:color w:val="000000"/>
          <w:kern w:val="2"/>
          <w:sz w:val="24"/>
          <w:szCs w:val="24"/>
          <w:highlight w:val="none"/>
          <w:lang w:val="zh-CN" w:eastAsia="zh-CN" w:bidi="ar-SA"/>
        </w:rPr>
      </w:pPr>
    </w:p>
    <w:p w14:paraId="5625D747">
      <w:pPr>
        <w:pStyle w:val="5"/>
        <w:rPr>
          <w:rFonts w:hint="eastAsia" w:ascii="宋体" w:hAnsi="宋体" w:eastAsia="宋体" w:cs="宋体"/>
          <w:b/>
          <w:bCs/>
          <w:color w:val="000000"/>
          <w:kern w:val="2"/>
          <w:sz w:val="24"/>
          <w:szCs w:val="24"/>
          <w:highlight w:val="none"/>
          <w:lang w:val="zh-CN" w:eastAsia="zh-CN" w:bidi="ar-SA"/>
        </w:rPr>
      </w:pPr>
    </w:p>
    <w:p w14:paraId="4AB01C43">
      <w:pPr>
        <w:pStyle w:val="4"/>
        <w:numPr>
          <w:ilvl w:val="0"/>
          <w:numId w:val="0"/>
        </w:numPr>
        <w:outlineLvl w:val="0"/>
        <w:rPr>
          <w:rFonts w:hint="eastAsia" w:ascii="宋体" w:hAnsi="宋体" w:eastAsia="宋体" w:cs="宋体"/>
          <w:b/>
          <w:bCs/>
          <w:color w:val="000000"/>
          <w:kern w:val="2"/>
          <w:sz w:val="24"/>
          <w:szCs w:val="24"/>
          <w:highlight w:val="none"/>
          <w:lang w:val="zh-CN" w:eastAsia="zh-CN" w:bidi="ar-SA"/>
        </w:rPr>
      </w:pPr>
      <w:bookmarkStart w:id="561" w:name="_Toc26977"/>
      <w:bookmarkStart w:id="562" w:name="_Toc25379"/>
      <w:r>
        <w:rPr>
          <w:rFonts w:hint="eastAsia" w:ascii="宋体" w:hAnsi="宋体" w:eastAsia="宋体" w:cs="宋体"/>
          <w:b/>
          <w:bCs/>
          <w:color w:val="000000"/>
          <w:kern w:val="2"/>
          <w:sz w:val="24"/>
          <w:szCs w:val="24"/>
          <w:highlight w:val="none"/>
          <w:lang w:val="zh-CN" w:eastAsia="zh-CN" w:bidi="ar-SA"/>
        </w:rPr>
        <w:t>附件</w:t>
      </w:r>
      <w:r>
        <w:rPr>
          <w:rFonts w:hint="eastAsia" w:ascii="宋体" w:hAnsi="宋体" w:eastAsia="宋体" w:cs="宋体"/>
          <w:b/>
          <w:bCs/>
          <w:color w:val="000000"/>
          <w:kern w:val="2"/>
          <w:sz w:val="24"/>
          <w:szCs w:val="24"/>
          <w:highlight w:val="none"/>
          <w:lang w:val="en-US" w:eastAsia="zh-CN" w:bidi="ar-SA"/>
        </w:rPr>
        <w:t>十</w:t>
      </w:r>
      <w:r>
        <w:rPr>
          <w:rFonts w:hint="eastAsia" w:hAnsi="宋体" w:cs="宋体"/>
          <w:b/>
          <w:bCs/>
          <w:color w:val="000000"/>
          <w:kern w:val="2"/>
          <w:sz w:val="24"/>
          <w:szCs w:val="24"/>
          <w:highlight w:val="none"/>
          <w:lang w:val="en-US" w:eastAsia="zh-CN" w:bidi="ar-SA"/>
        </w:rPr>
        <w:t>三</w:t>
      </w:r>
      <w:r>
        <w:rPr>
          <w:rFonts w:hint="eastAsia" w:ascii="宋体" w:hAnsi="宋体" w:eastAsia="宋体" w:cs="宋体"/>
          <w:b/>
          <w:bCs/>
          <w:color w:val="000000"/>
          <w:kern w:val="2"/>
          <w:sz w:val="24"/>
          <w:szCs w:val="24"/>
          <w:highlight w:val="none"/>
          <w:lang w:val="en-US" w:eastAsia="zh-CN" w:bidi="ar-SA"/>
        </w:rPr>
        <w:t>：</w:t>
      </w:r>
      <w:bookmarkEnd w:id="561"/>
      <w:bookmarkEnd w:id="562"/>
    </w:p>
    <w:p w14:paraId="070CA1FD">
      <w:pPr>
        <w:spacing w:line="360" w:lineRule="auto"/>
        <w:jc w:val="center"/>
        <w:rPr>
          <w:rFonts w:hint="eastAsia" w:ascii="宋体" w:hAnsi="宋体" w:eastAsia="宋体" w:cs="宋体"/>
          <w:b/>
          <w:bCs/>
          <w:color w:val="auto"/>
          <w:sz w:val="32"/>
          <w:szCs w:val="32"/>
          <w:highlight w:val="none"/>
          <w:u w:val="none"/>
        </w:rPr>
      </w:pPr>
      <w:r>
        <w:rPr>
          <w:rFonts w:hint="eastAsia" w:ascii="宋体" w:hAnsi="宋体" w:eastAsia="宋体" w:cs="宋体"/>
          <w:b/>
          <w:bCs/>
          <w:color w:val="auto"/>
          <w:sz w:val="32"/>
          <w:szCs w:val="32"/>
          <w:highlight w:val="none"/>
          <w:u w:val="none"/>
        </w:rPr>
        <w:t>投标报价明细表</w:t>
      </w:r>
      <w:bookmarkEnd w:id="560"/>
    </w:p>
    <w:p w14:paraId="6C70E94A">
      <w:pPr>
        <w:pStyle w:val="16"/>
        <w:spacing w:line="360" w:lineRule="auto"/>
        <w:rPr>
          <w:rFonts w:hint="eastAsia" w:ascii="宋体" w:hAnsi="宋体" w:eastAsia="宋体" w:cs="宋体"/>
          <w:color w:val="000000"/>
          <w:sz w:val="24"/>
          <w:highlight w:val="none"/>
        </w:rPr>
      </w:pPr>
    </w:p>
    <w:p w14:paraId="249BAE56">
      <w:pPr>
        <w:spacing w:line="360" w:lineRule="auto"/>
        <w:ind w:firstLine="480" w:firstLineChars="200"/>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项目名称：</w:t>
      </w:r>
    </w:p>
    <w:p w14:paraId="73781B50">
      <w:pPr>
        <w:spacing w:line="360" w:lineRule="auto"/>
        <w:ind w:firstLine="480" w:firstLineChars="200"/>
        <w:rPr>
          <w:rFonts w:hint="eastAsia" w:ascii="宋体" w:hAnsi="宋体" w:eastAsia="宋体" w:cs="宋体"/>
          <w:color w:val="000000"/>
          <w:sz w:val="24"/>
          <w:highlight w:val="none"/>
        </w:rPr>
      </w:pPr>
      <w:r>
        <w:rPr>
          <w:rFonts w:hint="eastAsia" w:ascii="宋体" w:hAnsi="宋体" w:eastAsia="宋体" w:cs="宋体"/>
          <w:sz w:val="24"/>
          <w:highlight w:val="none"/>
          <w:lang w:eastAsia="zh-CN"/>
        </w:rPr>
        <w:t>采购编号</w:t>
      </w:r>
      <w:r>
        <w:rPr>
          <w:rFonts w:hint="eastAsia" w:ascii="宋体" w:hAnsi="宋体" w:eastAsia="宋体" w:cs="宋体"/>
          <w:sz w:val="24"/>
          <w:highlight w:val="none"/>
        </w:rPr>
        <w:t>：</w:t>
      </w:r>
      <w:r>
        <w:rPr>
          <w:rFonts w:hint="eastAsia" w:ascii="宋体" w:hAnsi="宋体" w:eastAsia="宋体" w:cs="宋体"/>
          <w:color w:val="000000"/>
          <w:sz w:val="24"/>
          <w:highlight w:val="none"/>
        </w:rPr>
        <w:t xml:space="preserve">               </w:t>
      </w:r>
    </w:p>
    <w:tbl>
      <w:tblPr>
        <w:tblStyle w:val="30"/>
        <w:tblW w:w="921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1"/>
        <w:gridCol w:w="2714"/>
        <w:gridCol w:w="1285"/>
        <w:gridCol w:w="1161"/>
        <w:gridCol w:w="965"/>
        <w:gridCol w:w="2338"/>
      </w:tblGrid>
      <w:tr w14:paraId="794315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jc w:val="center"/>
        </w:trPr>
        <w:tc>
          <w:tcPr>
            <w:tcW w:w="751" w:type="dxa"/>
            <w:noWrap w:val="0"/>
            <w:vAlign w:val="center"/>
          </w:tcPr>
          <w:p w14:paraId="20A56257">
            <w:pPr>
              <w:spacing w:line="440" w:lineRule="exact"/>
              <w:jc w:val="center"/>
              <w:rPr>
                <w:rFonts w:hint="eastAsia" w:ascii="宋体" w:hAnsi="宋体"/>
                <w:color w:val="auto"/>
                <w:sz w:val="24"/>
                <w:highlight w:val="none"/>
              </w:rPr>
            </w:pPr>
            <w:r>
              <w:rPr>
                <w:rFonts w:hint="eastAsia" w:ascii="宋体" w:hAnsi="宋体"/>
                <w:color w:val="auto"/>
                <w:sz w:val="24"/>
                <w:highlight w:val="none"/>
              </w:rPr>
              <w:t>序号</w:t>
            </w:r>
          </w:p>
        </w:tc>
        <w:tc>
          <w:tcPr>
            <w:tcW w:w="2714" w:type="dxa"/>
            <w:noWrap w:val="0"/>
            <w:vAlign w:val="center"/>
          </w:tcPr>
          <w:p w14:paraId="41CA9731">
            <w:pPr>
              <w:spacing w:line="440" w:lineRule="exact"/>
              <w:jc w:val="center"/>
              <w:rPr>
                <w:rFonts w:hint="eastAsia" w:ascii="宋体" w:hAnsi="宋体"/>
                <w:color w:val="auto"/>
                <w:sz w:val="24"/>
                <w:highlight w:val="none"/>
              </w:rPr>
            </w:pPr>
            <w:r>
              <w:rPr>
                <w:rFonts w:hint="eastAsia" w:ascii="宋体" w:hAnsi="宋体"/>
                <w:color w:val="auto"/>
                <w:sz w:val="24"/>
                <w:highlight w:val="none"/>
              </w:rPr>
              <w:t>费 用 名 称</w:t>
            </w:r>
          </w:p>
        </w:tc>
        <w:tc>
          <w:tcPr>
            <w:tcW w:w="1285" w:type="dxa"/>
            <w:noWrap w:val="0"/>
            <w:vAlign w:val="center"/>
          </w:tcPr>
          <w:p w14:paraId="419C9A21">
            <w:pPr>
              <w:spacing w:line="440" w:lineRule="exact"/>
              <w:jc w:val="center"/>
              <w:rPr>
                <w:rFonts w:hint="eastAsia" w:ascii="宋体" w:hAnsi="宋体"/>
                <w:color w:val="auto"/>
                <w:sz w:val="24"/>
                <w:highlight w:val="none"/>
              </w:rPr>
            </w:pPr>
            <w:r>
              <w:rPr>
                <w:rFonts w:hint="eastAsia" w:ascii="宋体" w:hAnsi="宋体"/>
                <w:color w:val="auto"/>
                <w:sz w:val="24"/>
                <w:highlight w:val="none"/>
              </w:rPr>
              <w:t>计价单位</w:t>
            </w:r>
          </w:p>
        </w:tc>
        <w:tc>
          <w:tcPr>
            <w:tcW w:w="1161" w:type="dxa"/>
            <w:noWrap w:val="0"/>
            <w:vAlign w:val="center"/>
          </w:tcPr>
          <w:p w14:paraId="7DA9A4F5">
            <w:pPr>
              <w:spacing w:line="440" w:lineRule="exact"/>
              <w:jc w:val="center"/>
              <w:rPr>
                <w:rFonts w:hint="eastAsia" w:ascii="宋体" w:hAnsi="宋体"/>
                <w:color w:val="auto"/>
                <w:sz w:val="24"/>
                <w:highlight w:val="none"/>
              </w:rPr>
            </w:pPr>
            <w:r>
              <w:rPr>
                <w:rFonts w:hint="eastAsia" w:ascii="宋体" w:hAnsi="宋体"/>
                <w:color w:val="auto"/>
                <w:sz w:val="24"/>
                <w:highlight w:val="none"/>
              </w:rPr>
              <w:t>单价</w:t>
            </w:r>
          </w:p>
        </w:tc>
        <w:tc>
          <w:tcPr>
            <w:tcW w:w="965" w:type="dxa"/>
            <w:noWrap w:val="0"/>
            <w:vAlign w:val="center"/>
          </w:tcPr>
          <w:p w14:paraId="5733A291">
            <w:pPr>
              <w:spacing w:line="440" w:lineRule="exact"/>
              <w:jc w:val="center"/>
              <w:rPr>
                <w:rFonts w:hint="eastAsia" w:ascii="宋体" w:hAnsi="宋体"/>
                <w:color w:val="auto"/>
                <w:sz w:val="24"/>
                <w:highlight w:val="none"/>
              </w:rPr>
            </w:pPr>
            <w:r>
              <w:rPr>
                <w:rFonts w:hint="eastAsia" w:ascii="宋体" w:hAnsi="宋体"/>
                <w:color w:val="auto"/>
                <w:sz w:val="24"/>
                <w:highlight w:val="none"/>
              </w:rPr>
              <w:t>合价</w:t>
            </w:r>
          </w:p>
        </w:tc>
        <w:tc>
          <w:tcPr>
            <w:tcW w:w="2338" w:type="dxa"/>
            <w:noWrap w:val="0"/>
            <w:vAlign w:val="center"/>
          </w:tcPr>
          <w:p w14:paraId="18C7CD84">
            <w:pPr>
              <w:spacing w:line="440" w:lineRule="exact"/>
              <w:jc w:val="center"/>
              <w:rPr>
                <w:rFonts w:hint="eastAsia" w:ascii="宋体" w:hAnsi="宋体"/>
                <w:color w:val="auto"/>
                <w:sz w:val="24"/>
                <w:highlight w:val="none"/>
              </w:rPr>
            </w:pPr>
            <w:r>
              <w:rPr>
                <w:rFonts w:hint="eastAsia" w:ascii="宋体" w:hAnsi="宋体"/>
                <w:color w:val="auto"/>
                <w:sz w:val="24"/>
                <w:highlight w:val="none"/>
              </w:rPr>
              <w:t>备注</w:t>
            </w:r>
          </w:p>
        </w:tc>
      </w:tr>
      <w:tr w14:paraId="7B184C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51" w:type="dxa"/>
            <w:noWrap w:val="0"/>
            <w:vAlign w:val="center"/>
          </w:tcPr>
          <w:p w14:paraId="4746CCA7">
            <w:pPr>
              <w:spacing w:line="440" w:lineRule="exact"/>
              <w:jc w:val="center"/>
              <w:rPr>
                <w:rFonts w:hint="eastAsia" w:ascii="宋体" w:hAnsi="宋体"/>
                <w:color w:val="auto"/>
                <w:sz w:val="24"/>
                <w:highlight w:val="none"/>
              </w:rPr>
            </w:pPr>
            <w:r>
              <w:rPr>
                <w:rFonts w:hint="eastAsia" w:ascii="宋体" w:hAnsi="宋体"/>
                <w:color w:val="auto"/>
                <w:sz w:val="24"/>
                <w:highlight w:val="none"/>
              </w:rPr>
              <w:t>1</w:t>
            </w:r>
          </w:p>
        </w:tc>
        <w:tc>
          <w:tcPr>
            <w:tcW w:w="2714" w:type="dxa"/>
            <w:noWrap w:val="0"/>
            <w:vAlign w:val="center"/>
          </w:tcPr>
          <w:p w14:paraId="158A6DD5">
            <w:pPr>
              <w:spacing w:line="360" w:lineRule="auto"/>
              <w:jc w:val="center"/>
              <w:rPr>
                <w:rFonts w:hint="eastAsia" w:ascii="宋体" w:hAnsi="宋体"/>
                <w:color w:val="auto"/>
                <w:sz w:val="24"/>
                <w:highlight w:val="none"/>
              </w:rPr>
            </w:pPr>
            <w:r>
              <w:rPr>
                <w:rFonts w:hint="eastAsia" w:ascii="宋体" w:hAnsi="宋体"/>
                <w:color w:val="auto"/>
                <w:sz w:val="22"/>
                <w:highlight w:val="none"/>
              </w:rPr>
              <w:t xml:space="preserve"> </w:t>
            </w:r>
          </w:p>
        </w:tc>
        <w:tc>
          <w:tcPr>
            <w:tcW w:w="1285" w:type="dxa"/>
            <w:noWrap w:val="0"/>
            <w:vAlign w:val="center"/>
          </w:tcPr>
          <w:p w14:paraId="4EF1BA9C">
            <w:pPr>
              <w:spacing w:line="440" w:lineRule="exact"/>
              <w:jc w:val="left"/>
              <w:rPr>
                <w:rFonts w:hint="eastAsia" w:ascii="宋体" w:hAnsi="宋体"/>
                <w:color w:val="auto"/>
                <w:sz w:val="24"/>
                <w:highlight w:val="none"/>
              </w:rPr>
            </w:pPr>
          </w:p>
        </w:tc>
        <w:tc>
          <w:tcPr>
            <w:tcW w:w="1161" w:type="dxa"/>
            <w:noWrap w:val="0"/>
            <w:vAlign w:val="center"/>
          </w:tcPr>
          <w:p w14:paraId="2E5AEFB6">
            <w:pPr>
              <w:spacing w:line="440" w:lineRule="exact"/>
              <w:jc w:val="center"/>
              <w:rPr>
                <w:rFonts w:hint="eastAsia" w:ascii="宋体" w:hAnsi="宋体"/>
                <w:color w:val="auto"/>
                <w:sz w:val="24"/>
                <w:highlight w:val="none"/>
              </w:rPr>
            </w:pPr>
          </w:p>
        </w:tc>
        <w:tc>
          <w:tcPr>
            <w:tcW w:w="965" w:type="dxa"/>
            <w:noWrap w:val="0"/>
            <w:vAlign w:val="center"/>
          </w:tcPr>
          <w:p w14:paraId="272B4409">
            <w:pPr>
              <w:spacing w:line="440" w:lineRule="exact"/>
              <w:jc w:val="left"/>
              <w:rPr>
                <w:rFonts w:hint="eastAsia" w:ascii="宋体" w:hAnsi="宋体"/>
                <w:color w:val="auto"/>
                <w:sz w:val="24"/>
                <w:highlight w:val="none"/>
              </w:rPr>
            </w:pPr>
          </w:p>
        </w:tc>
        <w:tc>
          <w:tcPr>
            <w:tcW w:w="2338" w:type="dxa"/>
            <w:noWrap w:val="0"/>
            <w:vAlign w:val="center"/>
          </w:tcPr>
          <w:p w14:paraId="04932C40">
            <w:pPr>
              <w:spacing w:line="440" w:lineRule="exact"/>
              <w:jc w:val="left"/>
              <w:rPr>
                <w:rFonts w:hint="eastAsia" w:ascii="宋体" w:hAnsi="宋体"/>
                <w:color w:val="auto"/>
                <w:sz w:val="24"/>
                <w:highlight w:val="none"/>
              </w:rPr>
            </w:pPr>
            <w:r>
              <w:rPr>
                <w:rFonts w:hint="eastAsia" w:ascii="宋体" w:hAnsi="宋体"/>
                <w:color w:val="auto"/>
                <w:sz w:val="24"/>
                <w:highlight w:val="none"/>
              </w:rPr>
              <w:t xml:space="preserve"> </w:t>
            </w:r>
          </w:p>
        </w:tc>
      </w:tr>
      <w:tr w14:paraId="06E635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51" w:type="dxa"/>
            <w:noWrap w:val="0"/>
            <w:vAlign w:val="center"/>
          </w:tcPr>
          <w:p w14:paraId="4284F37E">
            <w:pPr>
              <w:spacing w:line="440" w:lineRule="exact"/>
              <w:jc w:val="center"/>
              <w:rPr>
                <w:rFonts w:hint="eastAsia" w:ascii="宋体" w:hAnsi="宋体"/>
                <w:color w:val="auto"/>
                <w:sz w:val="24"/>
                <w:highlight w:val="none"/>
              </w:rPr>
            </w:pPr>
            <w:r>
              <w:rPr>
                <w:rFonts w:hint="eastAsia" w:ascii="宋体" w:hAnsi="宋体"/>
                <w:color w:val="auto"/>
                <w:sz w:val="24"/>
                <w:highlight w:val="none"/>
              </w:rPr>
              <w:t>2</w:t>
            </w:r>
          </w:p>
        </w:tc>
        <w:tc>
          <w:tcPr>
            <w:tcW w:w="2714" w:type="dxa"/>
            <w:noWrap w:val="0"/>
            <w:vAlign w:val="center"/>
          </w:tcPr>
          <w:p w14:paraId="0B4B996A">
            <w:pPr>
              <w:spacing w:line="360" w:lineRule="auto"/>
              <w:jc w:val="center"/>
              <w:rPr>
                <w:rFonts w:hint="eastAsia" w:ascii="宋体" w:hAnsi="宋体"/>
                <w:color w:val="auto"/>
                <w:sz w:val="22"/>
                <w:highlight w:val="none"/>
              </w:rPr>
            </w:pPr>
          </w:p>
        </w:tc>
        <w:tc>
          <w:tcPr>
            <w:tcW w:w="1285" w:type="dxa"/>
            <w:noWrap w:val="0"/>
            <w:vAlign w:val="center"/>
          </w:tcPr>
          <w:p w14:paraId="7F72A6FB">
            <w:pPr>
              <w:spacing w:line="440" w:lineRule="exact"/>
              <w:jc w:val="left"/>
              <w:rPr>
                <w:rFonts w:hint="eastAsia" w:ascii="宋体" w:hAnsi="宋体"/>
                <w:color w:val="auto"/>
                <w:sz w:val="24"/>
                <w:highlight w:val="none"/>
              </w:rPr>
            </w:pPr>
          </w:p>
        </w:tc>
        <w:tc>
          <w:tcPr>
            <w:tcW w:w="1161" w:type="dxa"/>
            <w:noWrap w:val="0"/>
            <w:vAlign w:val="center"/>
          </w:tcPr>
          <w:p w14:paraId="6DA2C3D7">
            <w:pPr>
              <w:spacing w:line="440" w:lineRule="exact"/>
              <w:jc w:val="center"/>
              <w:rPr>
                <w:rFonts w:hint="eastAsia" w:ascii="宋体" w:hAnsi="宋体"/>
                <w:color w:val="auto"/>
                <w:sz w:val="24"/>
                <w:highlight w:val="none"/>
              </w:rPr>
            </w:pPr>
          </w:p>
        </w:tc>
        <w:tc>
          <w:tcPr>
            <w:tcW w:w="965" w:type="dxa"/>
            <w:noWrap w:val="0"/>
            <w:vAlign w:val="center"/>
          </w:tcPr>
          <w:p w14:paraId="04DF7D55">
            <w:pPr>
              <w:spacing w:line="440" w:lineRule="exact"/>
              <w:jc w:val="left"/>
              <w:rPr>
                <w:rFonts w:hint="eastAsia" w:ascii="宋体" w:hAnsi="宋体"/>
                <w:color w:val="auto"/>
                <w:sz w:val="24"/>
                <w:highlight w:val="none"/>
              </w:rPr>
            </w:pPr>
          </w:p>
        </w:tc>
        <w:tc>
          <w:tcPr>
            <w:tcW w:w="2338" w:type="dxa"/>
            <w:noWrap w:val="0"/>
            <w:vAlign w:val="center"/>
          </w:tcPr>
          <w:p w14:paraId="508FD8C5">
            <w:pPr>
              <w:spacing w:line="440" w:lineRule="exact"/>
              <w:jc w:val="left"/>
              <w:rPr>
                <w:rFonts w:hint="eastAsia" w:ascii="宋体" w:hAnsi="宋体"/>
                <w:color w:val="auto"/>
                <w:sz w:val="24"/>
                <w:highlight w:val="none"/>
              </w:rPr>
            </w:pPr>
            <w:r>
              <w:rPr>
                <w:rFonts w:hint="eastAsia" w:ascii="宋体" w:hAnsi="宋体"/>
                <w:color w:val="auto"/>
                <w:sz w:val="24"/>
                <w:highlight w:val="none"/>
              </w:rPr>
              <w:t xml:space="preserve"> </w:t>
            </w:r>
          </w:p>
        </w:tc>
      </w:tr>
      <w:tr w14:paraId="7423C5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51" w:type="dxa"/>
            <w:noWrap w:val="0"/>
            <w:vAlign w:val="center"/>
          </w:tcPr>
          <w:p w14:paraId="43471646">
            <w:pPr>
              <w:spacing w:line="440" w:lineRule="exact"/>
              <w:jc w:val="center"/>
              <w:rPr>
                <w:rFonts w:hint="eastAsia" w:ascii="宋体" w:hAnsi="宋体"/>
                <w:color w:val="auto"/>
                <w:sz w:val="24"/>
                <w:highlight w:val="none"/>
              </w:rPr>
            </w:pPr>
            <w:r>
              <w:rPr>
                <w:rFonts w:hint="eastAsia" w:ascii="宋体" w:hAnsi="宋体"/>
                <w:color w:val="auto"/>
                <w:sz w:val="24"/>
                <w:highlight w:val="none"/>
              </w:rPr>
              <w:t>3</w:t>
            </w:r>
          </w:p>
        </w:tc>
        <w:tc>
          <w:tcPr>
            <w:tcW w:w="2714" w:type="dxa"/>
            <w:noWrap w:val="0"/>
            <w:vAlign w:val="center"/>
          </w:tcPr>
          <w:p w14:paraId="496401E9">
            <w:pPr>
              <w:spacing w:line="360" w:lineRule="auto"/>
              <w:jc w:val="center"/>
              <w:rPr>
                <w:rFonts w:hint="eastAsia" w:ascii="宋体" w:hAnsi="宋体"/>
                <w:color w:val="auto"/>
                <w:sz w:val="22"/>
                <w:highlight w:val="none"/>
              </w:rPr>
            </w:pPr>
          </w:p>
        </w:tc>
        <w:tc>
          <w:tcPr>
            <w:tcW w:w="1285" w:type="dxa"/>
            <w:noWrap w:val="0"/>
            <w:vAlign w:val="center"/>
          </w:tcPr>
          <w:p w14:paraId="0F83EFDC">
            <w:pPr>
              <w:spacing w:line="440" w:lineRule="exact"/>
              <w:jc w:val="left"/>
              <w:rPr>
                <w:rFonts w:hint="eastAsia" w:ascii="宋体" w:hAnsi="宋体"/>
                <w:color w:val="auto"/>
                <w:sz w:val="24"/>
                <w:highlight w:val="none"/>
              </w:rPr>
            </w:pPr>
          </w:p>
        </w:tc>
        <w:tc>
          <w:tcPr>
            <w:tcW w:w="1161" w:type="dxa"/>
            <w:noWrap w:val="0"/>
            <w:vAlign w:val="center"/>
          </w:tcPr>
          <w:p w14:paraId="662F75E0">
            <w:pPr>
              <w:spacing w:line="440" w:lineRule="exact"/>
              <w:jc w:val="center"/>
              <w:rPr>
                <w:rFonts w:hint="eastAsia" w:ascii="宋体" w:hAnsi="宋体"/>
                <w:color w:val="auto"/>
                <w:sz w:val="24"/>
                <w:highlight w:val="none"/>
              </w:rPr>
            </w:pPr>
          </w:p>
        </w:tc>
        <w:tc>
          <w:tcPr>
            <w:tcW w:w="965" w:type="dxa"/>
            <w:noWrap w:val="0"/>
            <w:vAlign w:val="center"/>
          </w:tcPr>
          <w:p w14:paraId="78B94BAB">
            <w:pPr>
              <w:spacing w:line="440" w:lineRule="exact"/>
              <w:jc w:val="left"/>
              <w:rPr>
                <w:rFonts w:hint="eastAsia" w:ascii="宋体" w:hAnsi="宋体"/>
                <w:color w:val="auto"/>
                <w:sz w:val="24"/>
                <w:highlight w:val="none"/>
              </w:rPr>
            </w:pPr>
          </w:p>
        </w:tc>
        <w:tc>
          <w:tcPr>
            <w:tcW w:w="2338" w:type="dxa"/>
            <w:noWrap w:val="0"/>
            <w:vAlign w:val="center"/>
          </w:tcPr>
          <w:p w14:paraId="67EA3766">
            <w:pPr>
              <w:spacing w:line="440" w:lineRule="exact"/>
              <w:jc w:val="left"/>
              <w:rPr>
                <w:rFonts w:hint="eastAsia" w:ascii="宋体" w:hAnsi="宋体"/>
                <w:color w:val="auto"/>
                <w:sz w:val="24"/>
                <w:highlight w:val="none"/>
              </w:rPr>
            </w:pPr>
          </w:p>
        </w:tc>
      </w:tr>
      <w:tr w14:paraId="6BF99C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51" w:type="dxa"/>
            <w:noWrap w:val="0"/>
            <w:vAlign w:val="center"/>
          </w:tcPr>
          <w:p w14:paraId="44B19B4C">
            <w:pPr>
              <w:spacing w:line="440" w:lineRule="exact"/>
              <w:jc w:val="center"/>
              <w:rPr>
                <w:rFonts w:hint="eastAsia" w:ascii="宋体" w:hAnsi="宋体"/>
                <w:color w:val="auto"/>
                <w:sz w:val="24"/>
                <w:highlight w:val="none"/>
              </w:rPr>
            </w:pPr>
            <w:r>
              <w:rPr>
                <w:rFonts w:hint="eastAsia" w:ascii="宋体" w:hAnsi="宋体"/>
                <w:color w:val="auto"/>
                <w:sz w:val="24"/>
                <w:highlight w:val="none"/>
              </w:rPr>
              <w:t>4</w:t>
            </w:r>
          </w:p>
        </w:tc>
        <w:tc>
          <w:tcPr>
            <w:tcW w:w="2714" w:type="dxa"/>
            <w:noWrap w:val="0"/>
            <w:vAlign w:val="center"/>
          </w:tcPr>
          <w:p w14:paraId="650CB4F9">
            <w:pPr>
              <w:spacing w:line="360" w:lineRule="auto"/>
              <w:jc w:val="center"/>
              <w:rPr>
                <w:rFonts w:ascii="宋体" w:hAnsi="宋体"/>
                <w:color w:val="auto"/>
                <w:sz w:val="24"/>
                <w:highlight w:val="none"/>
              </w:rPr>
            </w:pPr>
            <w:r>
              <w:rPr>
                <w:rFonts w:hint="eastAsia" w:ascii="宋体" w:hAnsi="宋体"/>
                <w:color w:val="auto"/>
                <w:sz w:val="24"/>
                <w:highlight w:val="none"/>
              </w:rPr>
              <w:t>.......</w:t>
            </w:r>
          </w:p>
        </w:tc>
        <w:tc>
          <w:tcPr>
            <w:tcW w:w="1285" w:type="dxa"/>
            <w:noWrap w:val="0"/>
            <w:vAlign w:val="center"/>
          </w:tcPr>
          <w:p w14:paraId="173C2F6B">
            <w:pPr>
              <w:spacing w:line="440" w:lineRule="exact"/>
              <w:jc w:val="left"/>
              <w:rPr>
                <w:rFonts w:hint="eastAsia" w:ascii="宋体" w:hAnsi="宋体"/>
                <w:color w:val="auto"/>
                <w:sz w:val="24"/>
                <w:highlight w:val="none"/>
              </w:rPr>
            </w:pPr>
          </w:p>
        </w:tc>
        <w:tc>
          <w:tcPr>
            <w:tcW w:w="1161" w:type="dxa"/>
            <w:noWrap w:val="0"/>
            <w:vAlign w:val="center"/>
          </w:tcPr>
          <w:p w14:paraId="27C7B4D4">
            <w:pPr>
              <w:spacing w:line="440" w:lineRule="exact"/>
              <w:jc w:val="center"/>
              <w:rPr>
                <w:rFonts w:hint="eastAsia" w:ascii="宋体" w:hAnsi="宋体"/>
                <w:color w:val="auto"/>
                <w:sz w:val="24"/>
                <w:highlight w:val="none"/>
              </w:rPr>
            </w:pPr>
          </w:p>
        </w:tc>
        <w:tc>
          <w:tcPr>
            <w:tcW w:w="965" w:type="dxa"/>
            <w:noWrap w:val="0"/>
            <w:vAlign w:val="center"/>
          </w:tcPr>
          <w:p w14:paraId="4E6BE0B3">
            <w:pPr>
              <w:spacing w:line="440" w:lineRule="exact"/>
              <w:jc w:val="left"/>
              <w:rPr>
                <w:rFonts w:hint="eastAsia" w:ascii="宋体" w:hAnsi="宋体"/>
                <w:color w:val="auto"/>
                <w:sz w:val="24"/>
                <w:highlight w:val="none"/>
              </w:rPr>
            </w:pPr>
          </w:p>
        </w:tc>
        <w:tc>
          <w:tcPr>
            <w:tcW w:w="2338" w:type="dxa"/>
            <w:noWrap w:val="0"/>
            <w:vAlign w:val="center"/>
          </w:tcPr>
          <w:p w14:paraId="0D84A6A1">
            <w:pPr>
              <w:spacing w:line="440" w:lineRule="exact"/>
              <w:jc w:val="left"/>
              <w:rPr>
                <w:rFonts w:hint="eastAsia" w:ascii="宋体" w:hAnsi="宋体"/>
                <w:color w:val="auto"/>
                <w:sz w:val="24"/>
                <w:highlight w:val="none"/>
              </w:rPr>
            </w:pPr>
            <w:r>
              <w:rPr>
                <w:rFonts w:hint="eastAsia" w:ascii="宋体" w:hAnsi="宋体"/>
                <w:color w:val="auto"/>
                <w:sz w:val="24"/>
                <w:highlight w:val="none"/>
              </w:rPr>
              <w:t xml:space="preserve"> </w:t>
            </w:r>
          </w:p>
        </w:tc>
      </w:tr>
      <w:tr w14:paraId="3AA69E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51" w:type="dxa"/>
            <w:noWrap w:val="0"/>
            <w:vAlign w:val="center"/>
          </w:tcPr>
          <w:p w14:paraId="6740331A">
            <w:pPr>
              <w:spacing w:line="440" w:lineRule="exact"/>
              <w:jc w:val="center"/>
              <w:rPr>
                <w:rFonts w:hint="eastAsia" w:ascii="宋体" w:hAnsi="宋体"/>
                <w:color w:val="auto"/>
                <w:sz w:val="24"/>
                <w:highlight w:val="none"/>
              </w:rPr>
            </w:pPr>
            <w:r>
              <w:rPr>
                <w:rFonts w:hint="eastAsia" w:ascii="宋体" w:hAnsi="宋体"/>
                <w:color w:val="auto"/>
                <w:sz w:val="24"/>
                <w:highlight w:val="none"/>
              </w:rPr>
              <w:t>5</w:t>
            </w:r>
          </w:p>
        </w:tc>
        <w:tc>
          <w:tcPr>
            <w:tcW w:w="2714" w:type="dxa"/>
            <w:noWrap w:val="0"/>
            <w:vAlign w:val="center"/>
          </w:tcPr>
          <w:p w14:paraId="54C3443F">
            <w:pPr>
              <w:spacing w:line="360" w:lineRule="auto"/>
              <w:jc w:val="center"/>
              <w:rPr>
                <w:rFonts w:hint="eastAsia" w:ascii="宋体" w:hAnsi="宋体"/>
                <w:color w:val="auto"/>
                <w:sz w:val="24"/>
                <w:highlight w:val="none"/>
              </w:rPr>
            </w:pPr>
            <w:r>
              <w:rPr>
                <w:rFonts w:hint="eastAsia" w:ascii="宋体" w:hAnsi="宋体"/>
                <w:color w:val="auto"/>
                <w:sz w:val="24"/>
                <w:highlight w:val="none"/>
              </w:rPr>
              <w:t>.......</w:t>
            </w:r>
          </w:p>
        </w:tc>
        <w:tc>
          <w:tcPr>
            <w:tcW w:w="1285" w:type="dxa"/>
            <w:noWrap w:val="0"/>
            <w:vAlign w:val="center"/>
          </w:tcPr>
          <w:p w14:paraId="0E25E8C8">
            <w:pPr>
              <w:spacing w:line="440" w:lineRule="exact"/>
              <w:jc w:val="left"/>
              <w:rPr>
                <w:rFonts w:hint="eastAsia" w:ascii="宋体" w:hAnsi="宋体"/>
                <w:color w:val="auto"/>
                <w:sz w:val="24"/>
                <w:highlight w:val="none"/>
              </w:rPr>
            </w:pPr>
          </w:p>
        </w:tc>
        <w:tc>
          <w:tcPr>
            <w:tcW w:w="1161" w:type="dxa"/>
            <w:noWrap w:val="0"/>
            <w:vAlign w:val="center"/>
          </w:tcPr>
          <w:p w14:paraId="7D8CE43B">
            <w:pPr>
              <w:spacing w:line="440" w:lineRule="exact"/>
              <w:jc w:val="center"/>
              <w:rPr>
                <w:rFonts w:hint="eastAsia" w:ascii="宋体" w:hAnsi="宋体"/>
                <w:color w:val="auto"/>
                <w:sz w:val="24"/>
                <w:highlight w:val="none"/>
              </w:rPr>
            </w:pPr>
          </w:p>
        </w:tc>
        <w:tc>
          <w:tcPr>
            <w:tcW w:w="965" w:type="dxa"/>
            <w:noWrap w:val="0"/>
            <w:vAlign w:val="center"/>
          </w:tcPr>
          <w:p w14:paraId="18F0FDAB">
            <w:pPr>
              <w:spacing w:line="440" w:lineRule="exact"/>
              <w:jc w:val="left"/>
              <w:rPr>
                <w:rFonts w:hint="eastAsia" w:ascii="宋体" w:hAnsi="宋体"/>
                <w:color w:val="auto"/>
                <w:sz w:val="24"/>
                <w:highlight w:val="none"/>
              </w:rPr>
            </w:pPr>
          </w:p>
        </w:tc>
        <w:tc>
          <w:tcPr>
            <w:tcW w:w="2338" w:type="dxa"/>
            <w:noWrap w:val="0"/>
            <w:vAlign w:val="center"/>
          </w:tcPr>
          <w:p w14:paraId="648ED7C4">
            <w:pPr>
              <w:spacing w:line="440" w:lineRule="exact"/>
              <w:jc w:val="left"/>
              <w:rPr>
                <w:rFonts w:hint="eastAsia" w:ascii="宋体" w:hAnsi="宋体"/>
                <w:color w:val="auto"/>
                <w:sz w:val="24"/>
                <w:highlight w:val="none"/>
              </w:rPr>
            </w:pPr>
            <w:r>
              <w:rPr>
                <w:rFonts w:hint="eastAsia" w:ascii="宋体" w:hAnsi="宋体"/>
                <w:color w:val="auto"/>
                <w:sz w:val="24"/>
                <w:highlight w:val="none"/>
              </w:rPr>
              <w:t xml:space="preserve"> </w:t>
            </w:r>
          </w:p>
        </w:tc>
      </w:tr>
      <w:tr w14:paraId="5E0CCB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51" w:type="dxa"/>
            <w:noWrap w:val="0"/>
            <w:vAlign w:val="center"/>
          </w:tcPr>
          <w:p w14:paraId="0E7E885A">
            <w:pPr>
              <w:spacing w:line="440" w:lineRule="exact"/>
              <w:jc w:val="center"/>
              <w:rPr>
                <w:rFonts w:hint="eastAsia" w:ascii="宋体" w:hAnsi="宋体"/>
                <w:color w:val="auto"/>
                <w:sz w:val="24"/>
                <w:highlight w:val="none"/>
              </w:rPr>
            </w:pPr>
            <w:r>
              <w:rPr>
                <w:rFonts w:hint="eastAsia" w:ascii="宋体" w:hAnsi="宋体"/>
                <w:color w:val="auto"/>
                <w:sz w:val="24"/>
                <w:highlight w:val="none"/>
              </w:rPr>
              <w:t>6</w:t>
            </w:r>
          </w:p>
        </w:tc>
        <w:tc>
          <w:tcPr>
            <w:tcW w:w="2714" w:type="dxa"/>
            <w:noWrap w:val="0"/>
            <w:vAlign w:val="center"/>
          </w:tcPr>
          <w:p w14:paraId="23CE57ED">
            <w:pPr>
              <w:spacing w:line="360" w:lineRule="auto"/>
              <w:jc w:val="center"/>
              <w:rPr>
                <w:rFonts w:hint="eastAsia" w:ascii="宋体" w:hAnsi="宋体"/>
                <w:color w:val="auto"/>
                <w:sz w:val="24"/>
                <w:highlight w:val="none"/>
              </w:rPr>
            </w:pPr>
          </w:p>
        </w:tc>
        <w:tc>
          <w:tcPr>
            <w:tcW w:w="1285" w:type="dxa"/>
            <w:noWrap w:val="0"/>
            <w:vAlign w:val="center"/>
          </w:tcPr>
          <w:p w14:paraId="1705755F">
            <w:pPr>
              <w:spacing w:line="440" w:lineRule="exact"/>
              <w:jc w:val="left"/>
              <w:rPr>
                <w:rFonts w:hint="eastAsia" w:ascii="宋体" w:hAnsi="宋体"/>
                <w:color w:val="auto"/>
                <w:sz w:val="24"/>
                <w:highlight w:val="none"/>
              </w:rPr>
            </w:pPr>
          </w:p>
        </w:tc>
        <w:tc>
          <w:tcPr>
            <w:tcW w:w="1161" w:type="dxa"/>
            <w:noWrap w:val="0"/>
            <w:vAlign w:val="center"/>
          </w:tcPr>
          <w:p w14:paraId="7CF298C2">
            <w:pPr>
              <w:spacing w:line="440" w:lineRule="exact"/>
              <w:jc w:val="center"/>
              <w:rPr>
                <w:rFonts w:hint="eastAsia" w:ascii="宋体" w:hAnsi="宋体"/>
                <w:color w:val="auto"/>
                <w:sz w:val="24"/>
                <w:highlight w:val="none"/>
              </w:rPr>
            </w:pPr>
          </w:p>
        </w:tc>
        <w:tc>
          <w:tcPr>
            <w:tcW w:w="965" w:type="dxa"/>
            <w:noWrap w:val="0"/>
            <w:vAlign w:val="center"/>
          </w:tcPr>
          <w:p w14:paraId="4E763F2B">
            <w:pPr>
              <w:spacing w:line="440" w:lineRule="exact"/>
              <w:jc w:val="left"/>
              <w:rPr>
                <w:rFonts w:hint="eastAsia" w:ascii="宋体" w:hAnsi="宋体"/>
                <w:color w:val="auto"/>
                <w:sz w:val="24"/>
                <w:highlight w:val="none"/>
              </w:rPr>
            </w:pPr>
          </w:p>
        </w:tc>
        <w:tc>
          <w:tcPr>
            <w:tcW w:w="2338" w:type="dxa"/>
            <w:noWrap w:val="0"/>
            <w:vAlign w:val="center"/>
          </w:tcPr>
          <w:p w14:paraId="6D0FCBE7">
            <w:pPr>
              <w:spacing w:line="440" w:lineRule="exact"/>
              <w:jc w:val="left"/>
              <w:rPr>
                <w:rFonts w:hint="eastAsia" w:ascii="宋体" w:hAnsi="宋体"/>
                <w:color w:val="auto"/>
                <w:sz w:val="24"/>
                <w:highlight w:val="none"/>
              </w:rPr>
            </w:pPr>
          </w:p>
        </w:tc>
      </w:tr>
      <w:tr w14:paraId="236965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51" w:type="dxa"/>
            <w:noWrap w:val="0"/>
            <w:vAlign w:val="center"/>
          </w:tcPr>
          <w:p w14:paraId="045E0EB1">
            <w:pPr>
              <w:spacing w:line="440" w:lineRule="exact"/>
              <w:jc w:val="center"/>
              <w:rPr>
                <w:rFonts w:hint="eastAsia" w:ascii="宋体" w:hAnsi="宋体"/>
                <w:color w:val="auto"/>
                <w:sz w:val="24"/>
                <w:highlight w:val="none"/>
              </w:rPr>
            </w:pPr>
            <w:r>
              <w:rPr>
                <w:rFonts w:hint="eastAsia" w:ascii="宋体" w:hAnsi="宋体"/>
                <w:color w:val="auto"/>
                <w:sz w:val="24"/>
                <w:highlight w:val="none"/>
              </w:rPr>
              <w:t>7</w:t>
            </w:r>
          </w:p>
        </w:tc>
        <w:tc>
          <w:tcPr>
            <w:tcW w:w="2714" w:type="dxa"/>
            <w:noWrap w:val="0"/>
            <w:vAlign w:val="center"/>
          </w:tcPr>
          <w:p w14:paraId="5E77BB50">
            <w:pPr>
              <w:spacing w:line="360" w:lineRule="auto"/>
              <w:jc w:val="center"/>
              <w:rPr>
                <w:rFonts w:hint="eastAsia" w:ascii="宋体" w:hAnsi="宋体"/>
                <w:color w:val="auto"/>
                <w:sz w:val="24"/>
                <w:highlight w:val="none"/>
              </w:rPr>
            </w:pPr>
          </w:p>
        </w:tc>
        <w:tc>
          <w:tcPr>
            <w:tcW w:w="1285" w:type="dxa"/>
            <w:noWrap w:val="0"/>
            <w:vAlign w:val="center"/>
          </w:tcPr>
          <w:p w14:paraId="04FF0E26">
            <w:pPr>
              <w:spacing w:line="440" w:lineRule="exact"/>
              <w:jc w:val="left"/>
              <w:rPr>
                <w:rFonts w:hint="eastAsia" w:ascii="宋体" w:hAnsi="宋体"/>
                <w:color w:val="auto"/>
                <w:sz w:val="24"/>
                <w:highlight w:val="none"/>
              </w:rPr>
            </w:pPr>
          </w:p>
        </w:tc>
        <w:tc>
          <w:tcPr>
            <w:tcW w:w="1161" w:type="dxa"/>
            <w:noWrap w:val="0"/>
            <w:vAlign w:val="center"/>
          </w:tcPr>
          <w:p w14:paraId="19B29E57">
            <w:pPr>
              <w:spacing w:line="440" w:lineRule="exact"/>
              <w:jc w:val="center"/>
              <w:rPr>
                <w:rFonts w:hint="eastAsia" w:ascii="宋体" w:hAnsi="宋体"/>
                <w:color w:val="auto"/>
                <w:sz w:val="24"/>
                <w:highlight w:val="none"/>
              </w:rPr>
            </w:pPr>
          </w:p>
        </w:tc>
        <w:tc>
          <w:tcPr>
            <w:tcW w:w="965" w:type="dxa"/>
            <w:noWrap w:val="0"/>
            <w:vAlign w:val="center"/>
          </w:tcPr>
          <w:p w14:paraId="301A6984">
            <w:pPr>
              <w:spacing w:line="440" w:lineRule="exact"/>
              <w:jc w:val="left"/>
              <w:rPr>
                <w:rFonts w:hint="eastAsia" w:ascii="宋体" w:hAnsi="宋体"/>
                <w:color w:val="auto"/>
                <w:sz w:val="24"/>
                <w:highlight w:val="none"/>
              </w:rPr>
            </w:pPr>
          </w:p>
        </w:tc>
        <w:tc>
          <w:tcPr>
            <w:tcW w:w="2338" w:type="dxa"/>
            <w:noWrap w:val="0"/>
            <w:vAlign w:val="center"/>
          </w:tcPr>
          <w:p w14:paraId="65BAEBB1">
            <w:pPr>
              <w:spacing w:line="440" w:lineRule="exact"/>
              <w:jc w:val="left"/>
              <w:rPr>
                <w:rFonts w:hint="eastAsia" w:ascii="宋体" w:hAnsi="宋体"/>
                <w:color w:val="auto"/>
                <w:sz w:val="24"/>
                <w:highlight w:val="none"/>
              </w:rPr>
            </w:pPr>
          </w:p>
        </w:tc>
      </w:tr>
      <w:tr w14:paraId="2E14A3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51" w:type="dxa"/>
            <w:noWrap w:val="0"/>
            <w:vAlign w:val="center"/>
          </w:tcPr>
          <w:p w14:paraId="204844C9">
            <w:pPr>
              <w:spacing w:line="440" w:lineRule="exact"/>
              <w:jc w:val="center"/>
              <w:rPr>
                <w:rFonts w:hint="eastAsia" w:ascii="宋体" w:hAnsi="宋体"/>
                <w:color w:val="auto"/>
                <w:sz w:val="24"/>
                <w:highlight w:val="none"/>
              </w:rPr>
            </w:pPr>
            <w:r>
              <w:rPr>
                <w:rFonts w:hint="eastAsia" w:ascii="宋体" w:hAnsi="宋体"/>
                <w:color w:val="auto"/>
                <w:sz w:val="24"/>
                <w:highlight w:val="none"/>
              </w:rPr>
              <w:t>8</w:t>
            </w:r>
          </w:p>
        </w:tc>
        <w:tc>
          <w:tcPr>
            <w:tcW w:w="2714" w:type="dxa"/>
            <w:noWrap w:val="0"/>
            <w:vAlign w:val="center"/>
          </w:tcPr>
          <w:p w14:paraId="7F53D50A">
            <w:pPr>
              <w:spacing w:line="360" w:lineRule="auto"/>
              <w:jc w:val="center"/>
              <w:rPr>
                <w:rFonts w:hint="eastAsia" w:ascii="宋体" w:hAnsi="宋体"/>
                <w:color w:val="auto"/>
                <w:sz w:val="22"/>
                <w:highlight w:val="none"/>
              </w:rPr>
            </w:pPr>
          </w:p>
        </w:tc>
        <w:tc>
          <w:tcPr>
            <w:tcW w:w="1285" w:type="dxa"/>
            <w:noWrap w:val="0"/>
            <w:vAlign w:val="center"/>
          </w:tcPr>
          <w:p w14:paraId="579F0475">
            <w:pPr>
              <w:spacing w:line="440" w:lineRule="exact"/>
              <w:jc w:val="left"/>
              <w:rPr>
                <w:rFonts w:hint="eastAsia" w:ascii="宋体" w:hAnsi="宋体"/>
                <w:color w:val="auto"/>
                <w:sz w:val="24"/>
                <w:highlight w:val="none"/>
              </w:rPr>
            </w:pPr>
          </w:p>
        </w:tc>
        <w:tc>
          <w:tcPr>
            <w:tcW w:w="1161" w:type="dxa"/>
            <w:noWrap w:val="0"/>
            <w:vAlign w:val="center"/>
          </w:tcPr>
          <w:p w14:paraId="7DC01E8A">
            <w:pPr>
              <w:spacing w:line="440" w:lineRule="exact"/>
              <w:jc w:val="center"/>
              <w:rPr>
                <w:rFonts w:hint="eastAsia" w:ascii="宋体" w:hAnsi="宋体"/>
                <w:color w:val="auto"/>
                <w:sz w:val="24"/>
                <w:highlight w:val="none"/>
              </w:rPr>
            </w:pPr>
          </w:p>
        </w:tc>
        <w:tc>
          <w:tcPr>
            <w:tcW w:w="965" w:type="dxa"/>
            <w:noWrap w:val="0"/>
            <w:vAlign w:val="center"/>
          </w:tcPr>
          <w:p w14:paraId="7C46DA55">
            <w:pPr>
              <w:spacing w:line="440" w:lineRule="exact"/>
              <w:jc w:val="left"/>
              <w:rPr>
                <w:rFonts w:hint="eastAsia" w:ascii="宋体" w:hAnsi="宋体"/>
                <w:color w:val="auto"/>
                <w:sz w:val="24"/>
                <w:highlight w:val="none"/>
              </w:rPr>
            </w:pPr>
          </w:p>
        </w:tc>
        <w:tc>
          <w:tcPr>
            <w:tcW w:w="2338" w:type="dxa"/>
            <w:noWrap w:val="0"/>
            <w:vAlign w:val="center"/>
          </w:tcPr>
          <w:p w14:paraId="1D54336D">
            <w:pPr>
              <w:spacing w:line="440" w:lineRule="exact"/>
              <w:jc w:val="left"/>
              <w:rPr>
                <w:rFonts w:hint="eastAsia" w:ascii="宋体" w:hAnsi="宋体"/>
                <w:color w:val="auto"/>
                <w:sz w:val="24"/>
                <w:highlight w:val="none"/>
              </w:rPr>
            </w:pPr>
          </w:p>
        </w:tc>
      </w:tr>
      <w:tr w14:paraId="0FAF29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51" w:type="dxa"/>
            <w:noWrap w:val="0"/>
            <w:vAlign w:val="center"/>
          </w:tcPr>
          <w:p w14:paraId="206734FD">
            <w:pPr>
              <w:spacing w:line="440" w:lineRule="exact"/>
              <w:jc w:val="center"/>
              <w:rPr>
                <w:rFonts w:hint="eastAsia" w:ascii="宋体" w:hAnsi="宋体"/>
                <w:color w:val="auto"/>
                <w:sz w:val="24"/>
                <w:highlight w:val="none"/>
              </w:rPr>
            </w:pPr>
            <w:r>
              <w:rPr>
                <w:rFonts w:hint="eastAsia" w:ascii="宋体" w:hAnsi="宋体"/>
                <w:color w:val="auto"/>
                <w:sz w:val="24"/>
                <w:highlight w:val="none"/>
              </w:rPr>
              <w:t>9</w:t>
            </w:r>
          </w:p>
        </w:tc>
        <w:tc>
          <w:tcPr>
            <w:tcW w:w="2714" w:type="dxa"/>
            <w:noWrap w:val="0"/>
            <w:vAlign w:val="center"/>
          </w:tcPr>
          <w:p w14:paraId="2BAF3B79">
            <w:pPr>
              <w:spacing w:line="360" w:lineRule="auto"/>
              <w:jc w:val="center"/>
              <w:rPr>
                <w:rFonts w:hint="eastAsia" w:ascii="宋体" w:hAnsi="宋体"/>
                <w:color w:val="auto"/>
                <w:sz w:val="24"/>
                <w:highlight w:val="none"/>
              </w:rPr>
            </w:pPr>
          </w:p>
        </w:tc>
        <w:tc>
          <w:tcPr>
            <w:tcW w:w="1285" w:type="dxa"/>
            <w:noWrap w:val="0"/>
            <w:vAlign w:val="center"/>
          </w:tcPr>
          <w:p w14:paraId="67AB306E">
            <w:pPr>
              <w:spacing w:line="440" w:lineRule="exact"/>
              <w:jc w:val="left"/>
              <w:rPr>
                <w:rFonts w:hint="eastAsia" w:ascii="宋体" w:hAnsi="宋体"/>
                <w:color w:val="auto"/>
                <w:sz w:val="24"/>
                <w:highlight w:val="none"/>
              </w:rPr>
            </w:pPr>
          </w:p>
        </w:tc>
        <w:tc>
          <w:tcPr>
            <w:tcW w:w="1161" w:type="dxa"/>
            <w:noWrap w:val="0"/>
            <w:vAlign w:val="center"/>
          </w:tcPr>
          <w:p w14:paraId="61F31508">
            <w:pPr>
              <w:spacing w:line="440" w:lineRule="exact"/>
              <w:jc w:val="center"/>
              <w:rPr>
                <w:rFonts w:hint="eastAsia" w:ascii="宋体" w:hAnsi="宋体"/>
                <w:color w:val="auto"/>
                <w:sz w:val="24"/>
                <w:highlight w:val="none"/>
              </w:rPr>
            </w:pPr>
          </w:p>
        </w:tc>
        <w:tc>
          <w:tcPr>
            <w:tcW w:w="965" w:type="dxa"/>
            <w:noWrap w:val="0"/>
            <w:vAlign w:val="center"/>
          </w:tcPr>
          <w:p w14:paraId="7DC33DCF">
            <w:pPr>
              <w:spacing w:line="440" w:lineRule="exact"/>
              <w:jc w:val="left"/>
              <w:rPr>
                <w:rFonts w:hint="eastAsia" w:ascii="宋体" w:hAnsi="宋体"/>
                <w:color w:val="auto"/>
                <w:sz w:val="24"/>
                <w:highlight w:val="none"/>
              </w:rPr>
            </w:pPr>
          </w:p>
        </w:tc>
        <w:tc>
          <w:tcPr>
            <w:tcW w:w="2338" w:type="dxa"/>
            <w:noWrap w:val="0"/>
            <w:vAlign w:val="center"/>
          </w:tcPr>
          <w:p w14:paraId="46549E56">
            <w:pPr>
              <w:spacing w:line="440" w:lineRule="exact"/>
              <w:jc w:val="left"/>
              <w:rPr>
                <w:rFonts w:hint="eastAsia" w:ascii="宋体" w:hAnsi="宋体"/>
                <w:color w:val="auto"/>
                <w:sz w:val="18"/>
                <w:szCs w:val="18"/>
                <w:highlight w:val="none"/>
              </w:rPr>
            </w:pPr>
          </w:p>
        </w:tc>
      </w:tr>
      <w:tr w14:paraId="14054E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51" w:type="dxa"/>
            <w:noWrap w:val="0"/>
            <w:vAlign w:val="center"/>
          </w:tcPr>
          <w:p w14:paraId="4E426831">
            <w:pPr>
              <w:spacing w:line="440" w:lineRule="exact"/>
              <w:jc w:val="center"/>
              <w:rPr>
                <w:rFonts w:hint="eastAsia" w:ascii="宋体" w:hAnsi="宋体"/>
                <w:color w:val="auto"/>
                <w:sz w:val="24"/>
                <w:highlight w:val="none"/>
              </w:rPr>
            </w:pPr>
            <w:r>
              <w:rPr>
                <w:rFonts w:hint="eastAsia" w:ascii="宋体" w:hAnsi="宋体"/>
                <w:color w:val="auto"/>
                <w:sz w:val="24"/>
                <w:highlight w:val="none"/>
              </w:rPr>
              <w:t>10</w:t>
            </w:r>
          </w:p>
        </w:tc>
        <w:tc>
          <w:tcPr>
            <w:tcW w:w="2714" w:type="dxa"/>
            <w:noWrap w:val="0"/>
            <w:vAlign w:val="center"/>
          </w:tcPr>
          <w:p w14:paraId="123003D9">
            <w:pPr>
              <w:spacing w:line="360" w:lineRule="auto"/>
              <w:jc w:val="center"/>
              <w:rPr>
                <w:rFonts w:hint="eastAsia" w:ascii="宋体" w:hAnsi="宋体"/>
                <w:color w:val="auto"/>
                <w:sz w:val="24"/>
                <w:highlight w:val="none"/>
              </w:rPr>
            </w:pPr>
            <w:r>
              <w:rPr>
                <w:rFonts w:hint="eastAsia" w:ascii="宋体" w:hAnsi="宋体"/>
                <w:color w:val="auto"/>
                <w:sz w:val="22"/>
                <w:highlight w:val="none"/>
              </w:rPr>
              <w:t>其他</w:t>
            </w:r>
          </w:p>
        </w:tc>
        <w:tc>
          <w:tcPr>
            <w:tcW w:w="1285" w:type="dxa"/>
            <w:noWrap w:val="0"/>
            <w:vAlign w:val="center"/>
          </w:tcPr>
          <w:p w14:paraId="48C9E38D">
            <w:pPr>
              <w:spacing w:line="440" w:lineRule="exact"/>
              <w:jc w:val="left"/>
              <w:rPr>
                <w:rFonts w:hint="eastAsia" w:ascii="宋体" w:hAnsi="宋体"/>
                <w:color w:val="auto"/>
                <w:sz w:val="24"/>
                <w:highlight w:val="none"/>
              </w:rPr>
            </w:pPr>
          </w:p>
        </w:tc>
        <w:tc>
          <w:tcPr>
            <w:tcW w:w="1161" w:type="dxa"/>
            <w:noWrap w:val="0"/>
            <w:vAlign w:val="center"/>
          </w:tcPr>
          <w:p w14:paraId="25A5700D">
            <w:pPr>
              <w:spacing w:line="440" w:lineRule="exact"/>
              <w:jc w:val="center"/>
              <w:rPr>
                <w:rFonts w:hint="eastAsia" w:ascii="宋体" w:hAnsi="宋体"/>
                <w:color w:val="auto"/>
                <w:sz w:val="24"/>
                <w:highlight w:val="none"/>
              </w:rPr>
            </w:pPr>
          </w:p>
        </w:tc>
        <w:tc>
          <w:tcPr>
            <w:tcW w:w="965" w:type="dxa"/>
            <w:noWrap w:val="0"/>
            <w:vAlign w:val="center"/>
          </w:tcPr>
          <w:p w14:paraId="20AF3D9C">
            <w:pPr>
              <w:spacing w:line="440" w:lineRule="exact"/>
              <w:jc w:val="left"/>
              <w:rPr>
                <w:rFonts w:hint="eastAsia" w:ascii="宋体" w:hAnsi="宋体"/>
                <w:color w:val="auto"/>
                <w:sz w:val="24"/>
                <w:highlight w:val="none"/>
              </w:rPr>
            </w:pPr>
          </w:p>
        </w:tc>
        <w:tc>
          <w:tcPr>
            <w:tcW w:w="2338" w:type="dxa"/>
            <w:noWrap w:val="0"/>
            <w:vAlign w:val="center"/>
          </w:tcPr>
          <w:p w14:paraId="39977544">
            <w:pPr>
              <w:spacing w:line="360" w:lineRule="auto"/>
              <w:jc w:val="center"/>
              <w:rPr>
                <w:rFonts w:hint="eastAsia" w:ascii="宋体" w:hAnsi="宋体"/>
                <w:color w:val="auto"/>
                <w:sz w:val="22"/>
                <w:highlight w:val="none"/>
              </w:rPr>
            </w:pPr>
          </w:p>
        </w:tc>
      </w:tr>
      <w:tr w14:paraId="20CC4C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51" w:type="dxa"/>
            <w:noWrap w:val="0"/>
            <w:vAlign w:val="center"/>
          </w:tcPr>
          <w:p w14:paraId="2AED2D67">
            <w:pPr>
              <w:spacing w:line="440" w:lineRule="exact"/>
              <w:jc w:val="center"/>
              <w:rPr>
                <w:rFonts w:hint="eastAsia" w:ascii="宋体" w:hAnsi="宋体"/>
                <w:color w:val="auto"/>
                <w:sz w:val="24"/>
                <w:highlight w:val="none"/>
              </w:rPr>
            </w:pPr>
            <w:r>
              <w:rPr>
                <w:rFonts w:hint="eastAsia" w:ascii="宋体" w:hAnsi="宋体"/>
                <w:color w:val="auto"/>
                <w:sz w:val="24"/>
                <w:highlight w:val="none"/>
              </w:rPr>
              <w:t>11</w:t>
            </w:r>
          </w:p>
        </w:tc>
        <w:tc>
          <w:tcPr>
            <w:tcW w:w="2714" w:type="dxa"/>
            <w:noWrap w:val="0"/>
            <w:vAlign w:val="center"/>
          </w:tcPr>
          <w:p w14:paraId="5A8258B1">
            <w:pPr>
              <w:spacing w:line="360" w:lineRule="auto"/>
              <w:jc w:val="center"/>
              <w:rPr>
                <w:rFonts w:hint="eastAsia" w:ascii="宋体" w:hAnsi="宋体"/>
                <w:color w:val="auto"/>
                <w:sz w:val="24"/>
                <w:highlight w:val="none"/>
              </w:rPr>
            </w:pPr>
            <w:r>
              <w:rPr>
                <w:rFonts w:hint="eastAsia" w:ascii="宋体" w:hAnsi="宋体"/>
                <w:color w:val="auto"/>
                <w:sz w:val="22"/>
                <w:highlight w:val="none"/>
              </w:rPr>
              <w:t>税金</w:t>
            </w:r>
          </w:p>
        </w:tc>
        <w:tc>
          <w:tcPr>
            <w:tcW w:w="1285" w:type="dxa"/>
            <w:noWrap w:val="0"/>
            <w:vAlign w:val="center"/>
          </w:tcPr>
          <w:p w14:paraId="39B8DFAB">
            <w:pPr>
              <w:spacing w:line="440" w:lineRule="exact"/>
              <w:jc w:val="left"/>
              <w:rPr>
                <w:rFonts w:hint="eastAsia" w:ascii="宋体" w:hAnsi="宋体"/>
                <w:color w:val="auto"/>
                <w:sz w:val="24"/>
                <w:highlight w:val="none"/>
              </w:rPr>
            </w:pPr>
          </w:p>
        </w:tc>
        <w:tc>
          <w:tcPr>
            <w:tcW w:w="1161" w:type="dxa"/>
            <w:noWrap w:val="0"/>
            <w:vAlign w:val="center"/>
          </w:tcPr>
          <w:p w14:paraId="43ED5CE2">
            <w:pPr>
              <w:spacing w:line="440" w:lineRule="exact"/>
              <w:jc w:val="center"/>
              <w:rPr>
                <w:rFonts w:hint="eastAsia" w:ascii="宋体" w:hAnsi="宋体"/>
                <w:color w:val="auto"/>
                <w:sz w:val="24"/>
                <w:highlight w:val="none"/>
              </w:rPr>
            </w:pPr>
          </w:p>
        </w:tc>
        <w:tc>
          <w:tcPr>
            <w:tcW w:w="965" w:type="dxa"/>
            <w:noWrap w:val="0"/>
            <w:vAlign w:val="center"/>
          </w:tcPr>
          <w:p w14:paraId="46F3992D">
            <w:pPr>
              <w:spacing w:line="440" w:lineRule="exact"/>
              <w:jc w:val="left"/>
              <w:rPr>
                <w:rFonts w:hint="eastAsia" w:ascii="宋体" w:hAnsi="宋体"/>
                <w:color w:val="auto"/>
                <w:sz w:val="24"/>
                <w:highlight w:val="none"/>
              </w:rPr>
            </w:pPr>
          </w:p>
        </w:tc>
        <w:tc>
          <w:tcPr>
            <w:tcW w:w="2338" w:type="dxa"/>
            <w:noWrap w:val="0"/>
            <w:vAlign w:val="center"/>
          </w:tcPr>
          <w:p w14:paraId="70605354">
            <w:pPr>
              <w:spacing w:line="360" w:lineRule="auto"/>
              <w:jc w:val="center"/>
              <w:rPr>
                <w:rFonts w:hint="eastAsia" w:ascii="宋体" w:hAnsi="宋体"/>
                <w:color w:val="auto"/>
                <w:sz w:val="22"/>
                <w:highlight w:val="none"/>
              </w:rPr>
            </w:pPr>
          </w:p>
        </w:tc>
      </w:tr>
      <w:tr w14:paraId="6845E4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51" w:type="dxa"/>
            <w:noWrap w:val="0"/>
            <w:vAlign w:val="center"/>
          </w:tcPr>
          <w:p w14:paraId="02EBF2D2">
            <w:pPr>
              <w:spacing w:line="440" w:lineRule="exact"/>
              <w:jc w:val="center"/>
              <w:rPr>
                <w:rFonts w:hint="eastAsia" w:ascii="宋体" w:hAnsi="宋体"/>
                <w:color w:val="auto"/>
                <w:sz w:val="24"/>
                <w:highlight w:val="none"/>
              </w:rPr>
            </w:pPr>
            <w:r>
              <w:rPr>
                <w:rFonts w:hint="eastAsia" w:ascii="宋体" w:hAnsi="宋体"/>
                <w:color w:val="auto"/>
                <w:sz w:val="24"/>
                <w:highlight w:val="none"/>
              </w:rPr>
              <w:t>12</w:t>
            </w:r>
          </w:p>
        </w:tc>
        <w:tc>
          <w:tcPr>
            <w:tcW w:w="2714" w:type="dxa"/>
            <w:noWrap w:val="0"/>
            <w:vAlign w:val="center"/>
          </w:tcPr>
          <w:p w14:paraId="122E1ECB">
            <w:pPr>
              <w:spacing w:line="360" w:lineRule="auto"/>
              <w:jc w:val="center"/>
              <w:rPr>
                <w:rFonts w:hint="eastAsia" w:ascii="宋体" w:hAnsi="宋体"/>
                <w:color w:val="auto"/>
                <w:sz w:val="24"/>
                <w:highlight w:val="none"/>
              </w:rPr>
            </w:pPr>
            <w:r>
              <w:rPr>
                <w:rFonts w:hint="eastAsia" w:ascii="宋体" w:hAnsi="宋体"/>
                <w:color w:val="auto"/>
                <w:sz w:val="22"/>
                <w:highlight w:val="none"/>
              </w:rPr>
              <w:t>合计</w:t>
            </w:r>
          </w:p>
        </w:tc>
        <w:tc>
          <w:tcPr>
            <w:tcW w:w="1285" w:type="dxa"/>
            <w:noWrap w:val="0"/>
            <w:vAlign w:val="center"/>
          </w:tcPr>
          <w:p w14:paraId="4D052249">
            <w:pPr>
              <w:spacing w:line="440" w:lineRule="exact"/>
              <w:jc w:val="left"/>
              <w:rPr>
                <w:rFonts w:hint="eastAsia" w:ascii="宋体" w:hAnsi="宋体"/>
                <w:color w:val="auto"/>
                <w:sz w:val="24"/>
                <w:highlight w:val="none"/>
              </w:rPr>
            </w:pPr>
          </w:p>
        </w:tc>
        <w:tc>
          <w:tcPr>
            <w:tcW w:w="1161" w:type="dxa"/>
            <w:noWrap w:val="0"/>
            <w:vAlign w:val="center"/>
          </w:tcPr>
          <w:p w14:paraId="0343FBE7">
            <w:pPr>
              <w:spacing w:line="440" w:lineRule="exact"/>
              <w:jc w:val="center"/>
              <w:rPr>
                <w:rFonts w:hint="eastAsia" w:ascii="宋体" w:hAnsi="宋体"/>
                <w:color w:val="auto"/>
                <w:sz w:val="24"/>
                <w:highlight w:val="none"/>
              </w:rPr>
            </w:pPr>
          </w:p>
        </w:tc>
        <w:tc>
          <w:tcPr>
            <w:tcW w:w="965" w:type="dxa"/>
            <w:noWrap w:val="0"/>
            <w:vAlign w:val="center"/>
          </w:tcPr>
          <w:p w14:paraId="228EDDD8">
            <w:pPr>
              <w:spacing w:line="440" w:lineRule="exact"/>
              <w:jc w:val="left"/>
              <w:rPr>
                <w:rFonts w:hint="eastAsia" w:ascii="宋体" w:hAnsi="宋体"/>
                <w:color w:val="auto"/>
                <w:sz w:val="24"/>
                <w:highlight w:val="none"/>
              </w:rPr>
            </w:pPr>
          </w:p>
        </w:tc>
        <w:tc>
          <w:tcPr>
            <w:tcW w:w="2338" w:type="dxa"/>
            <w:noWrap w:val="0"/>
            <w:vAlign w:val="center"/>
          </w:tcPr>
          <w:p w14:paraId="2BB45329">
            <w:pPr>
              <w:spacing w:line="360" w:lineRule="auto"/>
              <w:jc w:val="center"/>
              <w:rPr>
                <w:rFonts w:hint="eastAsia" w:ascii="宋体" w:hAnsi="宋体"/>
                <w:color w:val="auto"/>
                <w:sz w:val="22"/>
                <w:highlight w:val="none"/>
              </w:rPr>
            </w:pPr>
          </w:p>
        </w:tc>
      </w:tr>
      <w:tr w14:paraId="09F390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51" w:type="dxa"/>
            <w:noWrap w:val="0"/>
            <w:vAlign w:val="center"/>
          </w:tcPr>
          <w:p w14:paraId="7A13B047">
            <w:pPr>
              <w:spacing w:line="440" w:lineRule="exact"/>
              <w:jc w:val="center"/>
              <w:rPr>
                <w:rFonts w:hint="eastAsia" w:ascii="宋体" w:hAnsi="宋体"/>
                <w:color w:val="auto"/>
                <w:sz w:val="24"/>
                <w:highlight w:val="none"/>
              </w:rPr>
            </w:pPr>
          </w:p>
        </w:tc>
        <w:tc>
          <w:tcPr>
            <w:tcW w:w="2714" w:type="dxa"/>
            <w:noWrap w:val="0"/>
            <w:vAlign w:val="center"/>
          </w:tcPr>
          <w:p w14:paraId="242D85DE">
            <w:pPr>
              <w:jc w:val="center"/>
              <w:rPr>
                <w:rFonts w:hint="eastAsia" w:ascii="宋体" w:hAnsi="宋体"/>
                <w:color w:val="auto"/>
                <w:sz w:val="24"/>
                <w:highlight w:val="none"/>
              </w:rPr>
            </w:pPr>
          </w:p>
        </w:tc>
        <w:tc>
          <w:tcPr>
            <w:tcW w:w="1285" w:type="dxa"/>
            <w:noWrap w:val="0"/>
            <w:vAlign w:val="center"/>
          </w:tcPr>
          <w:p w14:paraId="3B947C4B">
            <w:pPr>
              <w:spacing w:line="440" w:lineRule="exact"/>
              <w:jc w:val="left"/>
              <w:rPr>
                <w:rFonts w:hint="eastAsia" w:ascii="宋体" w:hAnsi="宋体"/>
                <w:color w:val="auto"/>
                <w:sz w:val="24"/>
                <w:highlight w:val="none"/>
              </w:rPr>
            </w:pPr>
          </w:p>
        </w:tc>
        <w:tc>
          <w:tcPr>
            <w:tcW w:w="1161" w:type="dxa"/>
            <w:noWrap w:val="0"/>
            <w:vAlign w:val="center"/>
          </w:tcPr>
          <w:p w14:paraId="4CDAB669">
            <w:pPr>
              <w:spacing w:line="440" w:lineRule="exact"/>
              <w:jc w:val="center"/>
              <w:rPr>
                <w:rFonts w:hint="eastAsia" w:ascii="宋体" w:hAnsi="宋体"/>
                <w:color w:val="auto"/>
                <w:sz w:val="24"/>
                <w:highlight w:val="none"/>
              </w:rPr>
            </w:pPr>
          </w:p>
        </w:tc>
        <w:tc>
          <w:tcPr>
            <w:tcW w:w="965" w:type="dxa"/>
            <w:noWrap w:val="0"/>
            <w:vAlign w:val="center"/>
          </w:tcPr>
          <w:p w14:paraId="56FB5046">
            <w:pPr>
              <w:spacing w:line="440" w:lineRule="exact"/>
              <w:jc w:val="left"/>
              <w:rPr>
                <w:rFonts w:hint="eastAsia" w:ascii="宋体" w:hAnsi="宋体"/>
                <w:color w:val="auto"/>
                <w:sz w:val="24"/>
                <w:highlight w:val="none"/>
              </w:rPr>
            </w:pPr>
          </w:p>
        </w:tc>
        <w:tc>
          <w:tcPr>
            <w:tcW w:w="2338" w:type="dxa"/>
            <w:noWrap w:val="0"/>
            <w:vAlign w:val="center"/>
          </w:tcPr>
          <w:p w14:paraId="79F56EF8">
            <w:pPr>
              <w:spacing w:line="440" w:lineRule="exact"/>
              <w:jc w:val="left"/>
              <w:rPr>
                <w:rFonts w:hint="eastAsia" w:ascii="宋体" w:hAnsi="宋体"/>
                <w:color w:val="auto"/>
                <w:sz w:val="24"/>
                <w:highlight w:val="none"/>
              </w:rPr>
            </w:pPr>
          </w:p>
        </w:tc>
      </w:tr>
      <w:tr w14:paraId="2DFA0E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2" w:hRule="atLeast"/>
          <w:jc w:val="center"/>
        </w:trPr>
        <w:tc>
          <w:tcPr>
            <w:tcW w:w="9214" w:type="dxa"/>
            <w:gridSpan w:val="6"/>
            <w:noWrap w:val="0"/>
            <w:vAlign w:val="center"/>
          </w:tcPr>
          <w:p w14:paraId="637EA123">
            <w:pPr>
              <w:spacing w:line="440" w:lineRule="exact"/>
              <w:jc w:val="left"/>
              <w:rPr>
                <w:rFonts w:hint="eastAsia" w:ascii="宋体" w:hAnsi="宋体"/>
                <w:color w:val="auto"/>
                <w:sz w:val="24"/>
                <w:highlight w:val="none"/>
              </w:rPr>
            </w:pPr>
            <w:r>
              <w:rPr>
                <w:rFonts w:hint="eastAsia" w:ascii="宋体" w:hAnsi="宋体"/>
                <w:color w:val="auto"/>
                <w:sz w:val="24"/>
                <w:highlight w:val="none"/>
              </w:rPr>
              <w:t xml:space="preserve">   合计（一年）：（大写）</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  小写：</w:t>
            </w:r>
            <w:r>
              <w:rPr>
                <w:rFonts w:hint="eastAsia" w:ascii="宋体" w:hAnsi="宋体"/>
                <w:color w:val="auto"/>
                <w:sz w:val="24"/>
                <w:highlight w:val="none"/>
                <w:u w:val="single"/>
              </w:rPr>
              <w:t xml:space="preserve">          </w:t>
            </w:r>
          </w:p>
        </w:tc>
      </w:tr>
      <w:tr w14:paraId="386A85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62" w:hRule="atLeast"/>
          <w:jc w:val="center"/>
        </w:trPr>
        <w:tc>
          <w:tcPr>
            <w:tcW w:w="9214" w:type="dxa"/>
            <w:gridSpan w:val="6"/>
            <w:noWrap w:val="0"/>
            <w:vAlign w:val="top"/>
          </w:tcPr>
          <w:p w14:paraId="5412DD6A">
            <w:pPr>
              <w:pStyle w:val="43"/>
              <w:keepNext w:val="0"/>
              <w:keepLines w:val="0"/>
              <w:pageBreakBefore w:val="0"/>
              <w:widowControl w:val="0"/>
              <w:numPr>
                <w:ilvl w:val="0"/>
                <w:numId w:val="0"/>
              </w:numPr>
              <w:tabs>
                <w:tab w:val="left" w:pos="0"/>
              </w:tabs>
              <w:kinsoku/>
              <w:wordWrap/>
              <w:overflowPunct/>
              <w:topLinePunct w:val="0"/>
              <w:autoSpaceDE/>
              <w:autoSpaceDN/>
              <w:bidi w:val="0"/>
              <w:adjustRightInd w:val="0"/>
              <w:snapToGrid/>
              <w:spacing w:before="0"/>
              <w:ind w:firstLine="480" w:firstLineChars="200"/>
              <w:textAlignment w:val="auto"/>
              <w:rPr>
                <w:rFonts w:hint="eastAsia" w:ascii="宋体" w:hAnsi="宋体" w:cs="宋体"/>
                <w:b/>
                <w:color w:val="auto"/>
                <w:sz w:val="24"/>
                <w:highlight w:val="none"/>
              </w:rPr>
            </w:pPr>
            <w:r>
              <w:rPr>
                <w:rFonts w:hint="eastAsia" w:ascii="宋体" w:hAnsi="宋体" w:cs="宋体"/>
                <w:color w:val="auto"/>
                <w:kern w:val="0"/>
                <w:sz w:val="24"/>
                <w:highlight w:val="none"/>
              </w:rPr>
              <w:t>投标报价统一为人民币计价，本次报价方式为总价包干，包括人员费用（保洁人员、垃圾清理人员及管理人员等）、按规定缴纳的各类保险、福利费、管理费用、税费、劳保用品、保洁用具、垃圾清运及处置费、招标代理费等本项目所需的一切费用。凡投标人在报价中未列明但又为本次采购所必须的项目或遗漏项目，采购人将一律视为已包括在合同价中，在合同执行中将不再另行支付。</w:t>
            </w:r>
          </w:p>
        </w:tc>
      </w:tr>
    </w:tbl>
    <w:p w14:paraId="67DB739A">
      <w:pPr>
        <w:pStyle w:val="16"/>
        <w:spacing w:line="360" w:lineRule="auto"/>
        <w:rPr>
          <w:rFonts w:hint="eastAsia" w:ascii="宋体" w:hAnsi="宋体" w:eastAsia="宋体" w:cs="宋体"/>
          <w:color w:val="000000"/>
          <w:sz w:val="24"/>
          <w:highlight w:val="none"/>
        </w:rPr>
      </w:pPr>
    </w:p>
    <w:p w14:paraId="0F829FB9">
      <w:pPr>
        <w:spacing w:line="360" w:lineRule="auto"/>
        <w:ind w:leftChars="1800" w:firstLine="480" w:firstLineChars="200"/>
        <w:rPr>
          <w:rFonts w:hint="eastAsia" w:ascii="宋体" w:hAnsi="宋体" w:eastAsia="宋体" w:cs="宋体"/>
          <w:sz w:val="24"/>
          <w:highlight w:val="none"/>
        </w:rPr>
      </w:pPr>
      <w:r>
        <w:rPr>
          <w:rFonts w:hint="eastAsia" w:ascii="宋体" w:hAnsi="宋体" w:eastAsia="宋体" w:cs="宋体"/>
          <w:sz w:val="24"/>
          <w:highlight w:val="none"/>
        </w:rPr>
        <w:t xml:space="preserve">法定代表人签名（或签名章）：                       </w:t>
      </w:r>
    </w:p>
    <w:p w14:paraId="3DCE4893">
      <w:pPr>
        <w:spacing w:line="360" w:lineRule="auto"/>
        <w:ind w:leftChars="1800" w:firstLine="480" w:firstLineChars="200"/>
        <w:rPr>
          <w:rFonts w:hint="eastAsia" w:ascii="宋体" w:hAnsi="宋体" w:eastAsia="宋体" w:cs="宋体"/>
          <w:sz w:val="24"/>
          <w:highlight w:val="none"/>
        </w:rPr>
      </w:pPr>
      <w:r>
        <w:rPr>
          <w:rFonts w:hint="eastAsia" w:ascii="宋体" w:hAnsi="宋体" w:eastAsia="宋体" w:cs="宋体"/>
          <w:sz w:val="24"/>
          <w:highlight w:val="none"/>
        </w:rPr>
        <w:t>日 期：</w:t>
      </w:r>
    </w:p>
    <w:p w14:paraId="5F3D0346">
      <w:pPr>
        <w:spacing w:line="360" w:lineRule="auto"/>
        <w:ind w:leftChars="1800" w:firstLine="480" w:firstLineChars="200"/>
        <w:rPr>
          <w:rFonts w:hint="eastAsia"/>
          <w:sz w:val="36"/>
          <w:highlight w:val="none"/>
        </w:rPr>
      </w:pPr>
      <w:r>
        <w:rPr>
          <w:rFonts w:hint="eastAsia" w:ascii="宋体" w:hAnsi="宋体" w:eastAsia="宋体" w:cs="宋体"/>
          <w:sz w:val="24"/>
          <w:highlight w:val="none"/>
        </w:rPr>
        <w:t>投标人全称（公章）：</w:t>
      </w:r>
    </w:p>
    <w:sectPr>
      <w:footerReference r:id="rId7" w:type="default"/>
      <w:pgSz w:w="11906" w:h="16838"/>
      <w:pgMar w:top="1440" w:right="1417" w:bottom="1440" w:left="1417" w:header="851" w:footer="992" w:gutter="0"/>
      <w:pgNumType w:fmt="decimal" w:start="1"/>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Tahoma">
    <w:panose1 w:val="020B0604030504040204"/>
    <w:charset w:val="00"/>
    <w:family w:val="swiss"/>
    <w:pitch w:val="default"/>
    <w:sig w:usb0="E1002EFF" w:usb1="C000605B" w:usb2="00000029" w:usb3="00000000" w:csb0="200101FF" w:csb1="20280000"/>
  </w:font>
  <w:font w:name="仿宋_GB2312">
    <w:panose1 w:val="02010609030101010101"/>
    <w:charset w:val="86"/>
    <w:family w:val="modern"/>
    <w:pitch w:val="default"/>
    <w:sig w:usb0="00000001" w:usb1="080E0000" w:usb2="00000000" w:usb3="00000000" w:csb0="00040000" w:csb1="00000000"/>
  </w:font>
  <w:font w:name="等线">
    <w:panose1 w:val="02010600030101010101"/>
    <w:charset w:val="86"/>
    <w:family w:val="auto"/>
    <w:pitch w:val="default"/>
    <w:sig w:usb0="A00002BF" w:usb1="38CF7CFA" w:usb2="00000016" w:usb3="00000000" w:csb0="0004000F" w:csb1="00000000"/>
  </w:font>
  <w:font w:name="MS PGothic">
    <w:panose1 w:val="020B0600070205080204"/>
    <w:charset w:val="80"/>
    <w:family w:val="auto"/>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7BD0B6">
    <w:pPr>
      <w:pStyle w:val="20"/>
      <w:framePr w:wrap="around" w:vAnchor="text" w:hAnchor="margin" w:xAlign="right" w:y="1"/>
      <w:rPr>
        <w:rStyle w:val="32"/>
      </w:rPr>
    </w:pPr>
  </w:p>
  <w:p w14:paraId="2B04A7CD">
    <w:pPr>
      <w:pStyle w:val="20"/>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A29F44">
    <w:pPr>
      <w:pStyle w:val="20"/>
      <w:framePr w:wrap="around" w:vAnchor="text" w:hAnchor="margin" w:xAlign="right" w:y="1"/>
      <w:rPr>
        <w:rStyle w:val="32"/>
      </w:rPr>
    </w:pPr>
  </w:p>
  <w:p w14:paraId="404AE07B">
    <w:pPr>
      <w:pStyle w:val="20"/>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B1C841">
    <w:pPr>
      <w:pStyle w:val="20"/>
      <w:rPr>
        <w:rStyle w:val="32"/>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9AAB3CC">
                          <w:pPr>
                            <w:pStyle w:val="20"/>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69AAB3CC">
                    <w:pPr>
                      <w:pStyle w:val="20"/>
                    </w:pPr>
                    <w:r>
                      <w:fldChar w:fldCharType="begin"/>
                    </w:r>
                    <w:r>
                      <w:instrText xml:space="preserve"> PAGE  \* MERGEFORMAT </w:instrText>
                    </w:r>
                    <w:r>
                      <w:fldChar w:fldCharType="separate"/>
                    </w:r>
                    <w:r>
                      <w:t>1</w:t>
                    </w:r>
                    <w:r>
                      <w:fldChar w:fldCharType="end"/>
                    </w:r>
                  </w:p>
                </w:txbxContent>
              </v:textbox>
            </v:shape>
          </w:pict>
        </mc:Fallback>
      </mc:AlternateContent>
    </w:r>
  </w:p>
  <w:p w14:paraId="17CCF479">
    <w:pPr>
      <w:pStyle w:val="20"/>
      <w:ind w:right="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70752C">
    <w:pPr>
      <w:pStyle w:val="21"/>
      <w:pBdr>
        <w:bottom w:val="none" w:color="auto" w:sz="0" w:space="1"/>
      </w:pBdr>
      <w:ind w:left="1080" w:hanging="1080" w:hangingChars="600"/>
      <w:jc w:val="both"/>
      <w:rPr>
        <w:rFonts w:hint="eastAsia"/>
        <w:color w:val="FF0000"/>
      </w:rPr>
    </w:pPr>
    <w:r>
      <w:rPr>
        <w:rFonts w:hint="eastAsia"/>
        <w:color w:val="FF0000"/>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3C6420">
    <w:pPr>
      <w:pStyle w:val="21"/>
      <w:pBdr>
        <w:bottom w:val="none" w:color="auto" w:sz="0" w:space="1"/>
      </w:pBdr>
      <w:ind w:left="1080" w:hanging="1080" w:hangingChars="600"/>
      <w:jc w:val="both"/>
      <w:rPr>
        <w:rFonts w:hint="eastAsia"/>
        <w:color w:val="FF0000"/>
      </w:rPr>
    </w:pPr>
    <w:r>
      <w:rPr>
        <w:rFonts w:hint="eastAsia"/>
        <w:color w:val="FF0000"/>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4B173AF"/>
    <w:multiLevelType w:val="singleLevel"/>
    <w:tmpl w:val="84B173AF"/>
    <w:lvl w:ilvl="0" w:tentative="0">
      <w:start w:val="1"/>
      <w:numFmt w:val="decimal"/>
      <w:suff w:val="nothing"/>
      <w:lvlText w:val="%1．"/>
      <w:lvlJc w:val="left"/>
      <w:pPr>
        <w:ind w:left="0" w:firstLine="40"/>
      </w:pPr>
      <w:rPr>
        <w:rFonts w:hint="default"/>
      </w:rPr>
    </w:lvl>
  </w:abstractNum>
  <w:abstractNum w:abstractNumId="1">
    <w:nsid w:val="8CA00E09"/>
    <w:multiLevelType w:val="singleLevel"/>
    <w:tmpl w:val="8CA00E09"/>
    <w:lvl w:ilvl="0" w:tentative="0">
      <w:start w:val="1"/>
      <w:numFmt w:val="decimalEnclosedCircleChinese"/>
      <w:suff w:val="nothing"/>
      <w:lvlText w:val="%1　"/>
      <w:lvlJc w:val="left"/>
      <w:pPr>
        <w:ind w:left="0" w:firstLine="1134"/>
      </w:pPr>
      <w:rPr>
        <w:rFonts w:hint="eastAsia"/>
      </w:rPr>
    </w:lvl>
  </w:abstractNum>
  <w:abstractNum w:abstractNumId="2">
    <w:nsid w:val="9577F733"/>
    <w:multiLevelType w:val="singleLevel"/>
    <w:tmpl w:val="9577F733"/>
    <w:lvl w:ilvl="0" w:tentative="0">
      <w:start w:val="1"/>
      <w:numFmt w:val="decimal"/>
      <w:suff w:val="nothing"/>
      <w:lvlText w:val="10.%1 "/>
      <w:lvlJc w:val="left"/>
      <w:pPr>
        <w:tabs>
          <w:tab w:val="left" w:pos="0"/>
        </w:tabs>
        <w:ind w:left="0" w:firstLine="40"/>
      </w:pPr>
      <w:rPr>
        <w:rFonts w:hint="default" w:ascii="宋体" w:hAnsi="宋体" w:eastAsia="宋体" w:cs="宋体"/>
      </w:rPr>
    </w:lvl>
  </w:abstractNum>
  <w:abstractNum w:abstractNumId="3">
    <w:nsid w:val="960C84E7"/>
    <w:multiLevelType w:val="singleLevel"/>
    <w:tmpl w:val="960C84E7"/>
    <w:lvl w:ilvl="0" w:tentative="0">
      <w:start w:val="1"/>
      <w:numFmt w:val="decimal"/>
      <w:suff w:val="nothing"/>
      <w:lvlText w:val="14.%1 "/>
      <w:lvlJc w:val="left"/>
      <w:pPr>
        <w:tabs>
          <w:tab w:val="left" w:pos="0"/>
        </w:tabs>
        <w:ind w:left="0" w:firstLine="40"/>
      </w:pPr>
      <w:rPr>
        <w:rFonts w:hint="default" w:ascii="宋体" w:hAnsi="宋体" w:eastAsia="宋体" w:cs="宋体"/>
      </w:rPr>
    </w:lvl>
  </w:abstractNum>
  <w:abstractNum w:abstractNumId="4">
    <w:nsid w:val="A51B0742"/>
    <w:multiLevelType w:val="singleLevel"/>
    <w:tmpl w:val="A51B0742"/>
    <w:lvl w:ilvl="0" w:tentative="0">
      <w:start w:val="1"/>
      <w:numFmt w:val="decimalEnclosedCircleChinese"/>
      <w:suff w:val="nothing"/>
      <w:lvlText w:val="%1　"/>
      <w:lvlJc w:val="left"/>
      <w:pPr>
        <w:ind w:left="0" w:firstLine="1134"/>
      </w:pPr>
      <w:rPr>
        <w:rFonts w:hint="eastAsia"/>
      </w:rPr>
    </w:lvl>
  </w:abstractNum>
  <w:abstractNum w:abstractNumId="5">
    <w:nsid w:val="A623EEB2"/>
    <w:multiLevelType w:val="singleLevel"/>
    <w:tmpl w:val="A623EEB2"/>
    <w:lvl w:ilvl="0" w:tentative="0">
      <w:start w:val="1"/>
      <w:numFmt w:val="decimal"/>
      <w:suff w:val="nothing"/>
      <w:lvlText w:val="4.%1 "/>
      <w:lvlJc w:val="left"/>
      <w:pPr>
        <w:tabs>
          <w:tab w:val="left" w:pos="0"/>
        </w:tabs>
        <w:ind w:left="0" w:firstLine="40"/>
      </w:pPr>
      <w:rPr>
        <w:rFonts w:hint="default" w:ascii="宋体" w:hAnsi="宋体" w:eastAsia="宋体" w:cs="宋体"/>
      </w:rPr>
    </w:lvl>
  </w:abstractNum>
  <w:abstractNum w:abstractNumId="6">
    <w:nsid w:val="BF819798"/>
    <w:multiLevelType w:val="singleLevel"/>
    <w:tmpl w:val="BF819798"/>
    <w:lvl w:ilvl="0" w:tentative="0">
      <w:start w:val="1"/>
      <w:numFmt w:val="chineseCounting"/>
      <w:suff w:val="nothing"/>
      <w:lvlText w:val="%1、"/>
      <w:lvlJc w:val="left"/>
      <w:pPr>
        <w:ind w:left="0" w:firstLine="397"/>
      </w:pPr>
      <w:rPr>
        <w:rFonts w:hint="eastAsia"/>
      </w:rPr>
    </w:lvl>
  </w:abstractNum>
  <w:abstractNum w:abstractNumId="7">
    <w:nsid w:val="C0C2BCF5"/>
    <w:multiLevelType w:val="singleLevel"/>
    <w:tmpl w:val="C0C2BCF5"/>
    <w:lvl w:ilvl="0" w:tentative="0">
      <w:start w:val="1"/>
      <w:numFmt w:val="decimal"/>
      <w:suff w:val="nothing"/>
      <w:lvlText w:val="%1、"/>
      <w:lvlJc w:val="left"/>
    </w:lvl>
  </w:abstractNum>
  <w:abstractNum w:abstractNumId="8">
    <w:nsid w:val="C65771D8"/>
    <w:multiLevelType w:val="singleLevel"/>
    <w:tmpl w:val="C65771D8"/>
    <w:lvl w:ilvl="0" w:tentative="0">
      <w:start w:val="1"/>
      <w:numFmt w:val="decimal"/>
      <w:suff w:val="nothing"/>
      <w:lvlText w:val="19.%1 "/>
      <w:lvlJc w:val="left"/>
      <w:pPr>
        <w:tabs>
          <w:tab w:val="left" w:pos="0"/>
        </w:tabs>
        <w:ind w:left="0" w:firstLine="40"/>
      </w:pPr>
      <w:rPr>
        <w:rFonts w:hint="default" w:ascii="宋体" w:hAnsi="宋体" w:eastAsia="宋体" w:cs="宋体"/>
      </w:rPr>
    </w:lvl>
  </w:abstractNum>
  <w:abstractNum w:abstractNumId="9">
    <w:nsid w:val="C88B87FA"/>
    <w:multiLevelType w:val="singleLevel"/>
    <w:tmpl w:val="C88B87FA"/>
    <w:lvl w:ilvl="0" w:tentative="0">
      <w:start w:val="1"/>
      <w:numFmt w:val="decimal"/>
      <w:suff w:val="nothing"/>
      <w:lvlText w:val="22.%1 "/>
      <w:lvlJc w:val="left"/>
      <w:pPr>
        <w:tabs>
          <w:tab w:val="left" w:pos="0"/>
        </w:tabs>
        <w:ind w:left="0" w:firstLine="40"/>
      </w:pPr>
      <w:rPr>
        <w:rFonts w:hint="default" w:ascii="宋体" w:hAnsi="宋体" w:eastAsia="宋体" w:cs="宋体"/>
      </w:rPr>
    </w:lvl>
  </w:abstractNum>
  <w:abstractNum w:abstractNumId="10">
    <w:nsid w:val="CA005832"/>
    <w:multiLevelType w:val="singleLevel"/>
    <w:tmpl w:val="CA005832"/>
    <w:lvl w:ilvl="0" w:tentative="0">
      <w:start w:val="1"/>
      <w:numFmt w:val="decimal"/>
      <w:suff w:val="nothing"/>
      <w:lvlText w:val="6.%1 "/>
      <w:lvlJc w:val="left"/>
      <w:pPr>
        <w:tabs>
          <w:tab w:val="left" w:pos="0"/>
        </w:tabs>
        <w:ind w:left="0" w:firstLine="40"/>
      </w:pPr>
      <w:rPr>
        <w:rFonts w:hint="default" w:ascii="宋体" w:hAnsi="宋体" w:eastAsia="宋体" w:cs="宋体"/>
      </w:rPr>
    </w:lvl>
  </w:abstractNum>
  <w:abstractNum w:abstractNumId="11">
    <w:nsid w:val="D5C663A9"/>
    <w:multiLevelType w:val="singleLevel"/>
    <w:tmpl w:val="D5C663A9"/>
    <w:lvl w:ilvl="0" w:tentative="0">
      <w:start w:val="1"/>
      <w:numFmt w:val="decimalEnclosedCircleChinese"/>
      <w:suff w:val="nothing"/>
      <w:lvlText w:val="%1　"/>
      <w:lvlJc w:val="left"/>
      <w:pPr>
        <w:ind w:left="0" w:firstLine="1134"/>
      </w:pPr>
      <w:rPr>
        <w:rFonts w:hint="eastAsia"/>
      </w:rPr>
    </w:lvl>
  </w:abstractNum>
  <w:abstractNum w:abstractNumId="12">
    <w:nsid w:val="DE8EBEF4"/>
    <w:multiLevelType w:val="singleLevel"/>
    <w:tmpl w:val="DE8EBEF4"/>
    <w:lvl w:ilvl="0" w:tentative="0">
      <w:start w:val="1"/>
      <w:numFmt w:val="decimal"/>
      <w:suff w:val="nothing"/>
      <w:lvlText w:val="25.%1 "/>
      <w:lvlJc w:val="left"/>
      <w:pPr>
        <w:tabs>
          <w:tab w:val="left" w:pos="0"/>
        </w:tabs>
        <w:ind w:left="0" w:firstLine="40"/>
      </w:pPr>
      <w:rPr>
        <w:rFonts w:hint="default" w:ascii="宋体" w:hAnsi="宋体" w:eastAsia="宋体" w:cs="宋体"/>
      </w:rPr>
    </w:lvl>
  </w:abstractNum>
  <w:abstractNum w:abstractNumId="13">
    <w:nsid w:val="E3D28C86"/>
    <w:multiLevelType w:val="singleLevel"/>
    <w:tmpl w:val="E3D28C86"/>
    <w:lvl w:ilvl="0" w:tentative="0">
      <w:start w:val="1"/>
      <w:numFmt w:val="decimal"/>
      <w:suff w:val="nothing"/>
      <w:lvlText w:val="18.%1 "/>
      <w:lvlJc w:val="left"/>
      <w:pPr>
        <w:tabs>
          <w:tab w:val="left" w:pos="0"/>
        </w:tabs>
        <w:ind w:left="0" w:firstLine="40"/>
      </w:pPr>
      <w:rPr>
        <w:rFonts w:hint="default" w:ascii="宋体" w:hAnsi="宋体" w:eastAsia="宋体" w:cs="宋体"/>
      </w:rPr>
    </w:lvl>
  </w:abstractNum>
  <w:abstractNum w:abstractNumId="14">
    <w:nsid w:val="EAE966A8"/>
    <w:multiLevelType w:val="singleLevel"/>
    <w:tmpl w:val="EAE966A8"/>
    <w:lvl w:ilvl="0" w:tentative="0">
      <w:start w:val="1"/>
      <w:numFmt w:val="decimal"/>
      <w:suff w:val="nothing"/>
      <w:lvlText w:val="%1、"/>
      <w:lvlJc w:val="left"/>
    </w:lvl>
  </w:abstractNum>
  <w:abstractNum w:abstractNumId="15">
    <w:nsid w:val="EDC34A36"/>
    <w:multiLevelType w:val="singleLevel"/>
    <w:tmpl w:val="EDC34A36"/>
    <w:lvl w:ilvl="0" w:tentative="0">
      <w:start w:val="1"/>
      <w:numFmt w:val="decimal"/>
      <w:suff w:val="nothing"/>
      <w:lvlText w:val="12.%1 "/>
      <w:lvlJc w:val="left"/>
      <w:pPr>
        <w:tabs>
          <w:tab w:val="left" w:pos="0"/>
        </w:tabs>
        <w:ind w:left="0" w:firstLine="40"/>
      </w:pPr>
      <w:rPr>
        <w:rFonts w:hint="default" w:ascii="宋体" w:hAnsi="宋体" w:eastAsia="宋体" w:cs="宋体"/>
      </w:rPr>
    </w:lvl>
  </w:abstractNum>
  <w:abstractNum w:abstractNumId="16">
    <w:nsid w:val="0486B618"/>
    <w:multiLevelType w:val="singleLevel"/>
    <w:tmpl w:val="0486B618"/>
    <w:lvl w:ilvl="0" w:tentative="0">
      <w:start w:val="1"/>
      <w:numFmt w:val="decimalEnclosedCircleChinese"/>
      <w:suff w:val="nothing"/>
      <w:lvlText w:val="%1　"/>
      <w:lvlJc w:val="left"/>
      <w:pPr>
        <w:ind w:left="0" w:firstLine="1134"/>
      </w:pPr>
      <w:rPr>
        <w:rFonts w:hint="eastAsia"/>
      </w:rPr>
    </w:lvl>
  </w:abstractNum>
  <w:abstractNum w:abstractNumId="17">
    <w:nsid w:val="139B6DF6"/>
    <w:multiLevelType w:val="singleLevel"/>
    <w:tmpl w:val="139B6DF6"/>
    <w:lvl w:ilvl="0" w:tentative="0">
      <w:start w:val="1"/>
      <w:numFmt w:val="decimal"/>
      <w:suff w:val="nothing"/>
      <w:lvlText w:val="9.%1 "/>
      <w:lvlJc w:val="left"/>
      <w:pPr>
        <w:tabs>
          <w:tab w:val="left" w:pos="0"/>
        </w:tabs>
        <w:ind w:left="0" w:firstLine="40"/>
      </w:pPr>
      <w:rPr>
        <w:rFonts w:hint="default" w:ascii="宋体" w:hAnsi="宋体" w:eastAsia="宋体" w:cs="宋体"/>
      </w:rPr>
    </w:lvl>
  </w:abstractNum>
  <w:abstractNum w:abstractNumId="18">
    <w:nsid w:val="1DBCF645"/>
    <w:multiLevelType w:val="singleLevel"/>
    <w:tmpl w:val="1DBCF645"/>
    <w:lvl w:ilvl="0" w:tentative="0">
      <w:start w:val="1"/>
      <w:numFmt w:val="decimalEnclosedCircleChinese"/>
      <w:suff w:val="nothing"/>
      <w:lvlText w:val="%1　"/>
      <w:lvlJc w:val="left"/>
      <w:pPr>
        <w:ind w:left="0" w:firstLine="397"/>
      </w:pPr>
      <w:rPr>
        <w:rFonts w:hint="eastAsia"/>
      </w:rPr>
    </w:lvl>
  </w:abstractNum>
  <w:abstractNum w:abstractNumId="19">
    <w:nsid w:val="1EC1A361"/>
    <w:multiLevelType w:val="singleLevel"/>
    <w:tmpl w:val="1EC1A361"/>
    <w:lvl w:ilvl="0" w:tentative="0">
      <w:start w:val="1"/>
      <w:numFmt w:val="decimalEnclosedCircleChinese"/>
      <w:suff w:val="nothing"/>
      <w:lvlText w:val="%1　"/>
      <w:lvlJc w:val="left"/>
      <w:pPr>
        <w:ind w:left="0" w:firstLine="397"/>
      </w:pPr>
      <w:rPr>
        <w:rFonts w:hint="eastAsia"/>
      </w:rPr>
    </w:lvl>
  </w:abstractNum>
  <w:abstractNum w:abstractNumId="20">
    <w:nsid w:val="22CAA529"/>
    <w:multiLevelType w:val="singleLevel"/>
    <w:tmpl w:val="22CAA529"/>
    <w:lvl w:ilvl="0" w:tentative="0">
      <w:start w:val="1"/>
      <w:numFmt w:val="decimal"/>
      <w:suff w:val="nothing"/>
      <w:lvlText w:val="16.%1 "/>
      <w:lvlJc w:val="left"/>
      <w:pPr>
        <w:ind w:left="0" w:firstLine="1134"/>
      </w:pPr>
      <w:rPr>
        <w:rFonts w:hint="default"/>
      </w:rPr>
    </w:lvl>
  </w:abstractNum>
  <w:abstractNum w:abstractNumId="21">
    <w:nsid w:val="25F33ADD"/>
    <w:multiLevelType w:val="singleLevel"/>
    <w:tmpl w:val="25F33ADD"/>
    <w:lvl w:ilvl="0" w:tentative="0">
      <w:start w:val="1"/>
      <w:numFmt w:val="decimalEnclosedCircleChinese"/>
      <w:suff w:val="nothing"/>
      <w:lvlText w:val="%1　"/>
      <w:lvlJc w:val="left"/>
      <w:pPr>
        <w:ind w:left="0" w:firstLine="1134"/>
      </w:pPr>
      <w:rPr>
        <w:rFonts w:hint="eastAsia"/>
      </w:rPr>
    </w:lvl>
  </w:abstractNum>
  <w:abstractNum w:abstractNumId="22">
    <w:nsid w:val="27029FB5"/>
    <w:multiLevelType w:val="singleLevel"/>
    <w:tmpl w:val="27029FB5"/>
    <w:lvl w:ilvl="0" w:tentative="0">
      <w:start w:val="1"/>
      <w:numFmt w:val="decimal"/>
      <w:suff w:val="nothing"/>
      <w:lvlText w:val="11.%1 "/>
      <w:lvlJc w:val="left"/>
      <w:pPr>
        <w:tabs>
          <w:tab w:val="left" w:pos="0"/>
        </w:tabs>
        <w:ind w:left="0" w:firstLine="40"/>
      </w:pPr>
      <w:rPr>
        <w:rFonts w:hint="default" w:ascii="宋体" w:hAnsi="宋体" w:eastAsia="宋体" w:cs="宋体"/>
      </w:rPr>
    </w:lvl>
  </w:abstractNum>
  <w:abstractNum w:abstractNumId="23">
    <w:nsid w:val="272BB4B6"/>
    <w:multiLevelType w:val="singleLevel"/>
    <w:tmpl w:val="272BB4B6"/>
    <w:lvl w:ilvl="0" w:tentative="0">
      <w:start w:val="1"/>
      <w:numFmt w:val="decimal"/>
      <w:suff w:val="nothing"/>
      <w:lvlText w:val="1.%1 "/>
      <w:lvlJc w:val="left"/>
      <w:pPr>
        <w:ind w:left="0" w:firstLine="397"/>
      </w:pPr>
      <w:rPr>
        <w:rFonts w:hint="default"/>
      </w:rPr>
    </w:lvl>
  </w:abstractNum>
  <w:abstractNum w:abstractNumId="24">
    <w:nsid w:val="31FBB5E1"/>
    <w:multiLevelType w:val="singleLevel"/>
    <w:tmpl w:val="31FBB5E1"/>
    <w:lvl w:ilvl="0" w:tentative="0">
      <w:start w:val="1"/>
      <w:numFmt w:val="decimal"/>
      <w:suff w:val="nothing"/>
      <w:lvlText w:val="23.%1 "/>
      <w:lvlJc w:val="left"/>
      <w:pPr>
        <w:tabs>
          <w:tab w:val="left" w:pos="0"/>
        </w:tabs>
        <w:ind w:left="0" w:firstLine="40"/>
      </w:pPr>
      <w:rPr>
        <w:rFonts w:hint="default" w:ascii="宋体" w:hAnsi="宋体" w:eastAsia="宋体" w:cs="宋体"/>
      </w:rPr>
    </w:lvl>
  </w:abstractNum>
  <w:abstractNum w:abstractNumId="25">
    <w:nsid w:val="3543FC97"/>
    <w:multiLevelType w:val="singleLevel"/>
    <w:tmpl w:val="3543FC97"/>
    <w:lvl w:ilvl="0" w:tentative="0">
      <w:start w:val="1"/>
      <w:numFmt w:val="decimal"/>
      <w:suff w:val="nothing"/>
      <w:lvlText w:val="17.%1 "/>
      <w:lvlJc w:val="left"/>
      <w:pPr>
        <w:tabs>
          <w:tab w:val="left" w:pos="0"/>
        </w:tabs>
        <w:ind w:left="0" w:firstLine="40"/>
      </w:pPr>
      <w:rPr>
        <w:rFonts w:hint="default" w:ascii="宋体" w:hAnsi="宋体" w:eastAsia="宋体" w:cs="宋体"/>
      </w:rPr>
    </w:lvl>
  </w:abstractNum>
  <w:abstractNum w:abstractNumId="26">
    <w:nsid w:val="3F34804C"/>
    <w:multiLevelType w:val="singleLevel"/>
    <w:tmpl w:val="3F34804C"/>
    <w:lvl w:ilvl="0" w:tentative="0">
      <w:start w:val="1"/>
      <w:numFmt w:val="decimal"/>
      <w:suff w:val="nothing"/>
      <w:lvlText w:val="21.%1 "/>
      <w:lvlJc w:val="left"/>
      <w:pPr>
        <w:tabs>
          <w:tab w:val="left" w:pos="0"/>
        </w:tabs>
        <w:ind w:left="0" w:firstLine="40"/>
      </w:pPr>
      <w:rPr>
        <w:rFonts w:hint="default" w:ascii="宋体" w:hAnsi="宋体" w:eastAsia="宋体" w:cs="宋体"/>
      </w:rPr>
    </w:lvl>
  </w:abstractNum>
  <w:abstractNum w:abstractNumId="27">
    <w:nsid w:val="43F94463"/>
    <w:multiLevelType w:val="singleLevel"/>
    <w:tmpl w:val="43F94463"/>
    <w:lvl w:ilvl="0" w:tentative="0">
      <w:start w:val="1"/>
      <w:numFmt w:val="decimalEnclosedCircleChinese"/>
      <w:suff w:val="nothing"/>
      <w:lvlText w:val="%1　"/>
      <w:lvlJc w:val="left"/>
      <w:pPr>
        <w:ind w:left="0" w:firstLine="1134"/>
      </w:pPr>
      <w:rPr>
        <w:rFonts w:hint="eastAsia"/>
      </w:rPr>
    </w:lvl>
  </w:abstractNum>
  <w:abstractNum w:abstractNumId="28">
    <w:nsid w:val="466C6E1F"/>
    <w:multiLevelType w:val="multilevel"/>
    <w:tmpl w:val="466C6E1F"/>
    <w:lvl w:ilvl="0" w:tentative="0">
      <w:start w:val="1"/>
      <w:numFmt w:val="upperLetter"/>
      <w:pStyle w:val="6"/>
      <w:lvlText w:val="%1、"/>
      <w:lvlJc w:val="left"/>
      <w:pPr>
        <w:tabs>
          <w:tab w:val="left" w:pos="1275"/>
        </w:tabs>
        <w:ind w:left="1275" w:hanging="720"/>
      </w:pPr>
      <w:rPr>
        <w:rFonts w:hint="eastAsia" w:hAnsi="宋体"/>
      </w:rPr>
    </w:lvl>
    <w:lvl w:ilvl="1" w:tentative="0">
      <w:start w:val="1"/>
      <w:numFmt w:val="decimalEnclosedCircle"/>
      <w:lvlText w:val="%2"/>
      <w:lvlJc w:val="left"/>
      <w:pPr>
        <w:tabs>
          <w:tab w:val="left" w:pos="1335"/>
        </w:tabs>
        <w:ind w:left="1335" w:hanging="360"/>
      </w:pPr>
      <w:rPr>
        <w:rFonts w:hint="eastAsia" w:hAnsi="宋体"/>
      </w:rPr>
    </w:lvl>
    <w:lvl w:ilvl="2" w:tentative="0">
      <w:start w:val="1"/>
      <w:numFmt w:val="lowerRoman"/>
      <w:lvlText w:val="%3."/>
      <w:lvlJc w:val="right"/>
      <w:pPr>
        <w:tabs>
          <w:tab w:val="left" w:pos="1815"/>
        </w:tabs>
        <w:ind w:left="1815" w:hanging="420"/>
      </w:pPr>
    </w:lvl>
    <w:lvl w:ilvl="3" w:tentative="0">
      <w:start w:val="1"/>
      <w:numFmt w:val="decimal"/>
      <w:lvlText w:val="%4."/>
      <w:lvlJc w:val="left"/>
      <w:pPr>
        <w:tabs>
          <w:tab w:val="left" w:pos="2235"/>
        </w:tabs>
        <w:ind w:left="2235" w:hanging="420"/>
      </w:pPr>
    </w:lvl>
    <w:lvl w:ilvl="4" w:tentative="0">
      <w:start w:val="1"/>
      <w:numFmt w:val="lowerLetter"/>
      <w:lvlText w:val="%5)"/>
      <w:lvlJc w:val="left"/>
      <w:pPr>
        <w:tabs>
          <w:tab w:val="left" w:pos="2655"/>
        </w:tabs>
        <w:ind w:left="2655" w:hanging="420"/>
      </w:pPr>
    </w:lvl>
    <w:lvl w:ilvl="5" w:tentative="0">
      <w:start w:val="1"/>
      <w:numFmt w:val="lowerRoman"/>
      <w:lvlText w:val="%6."/>
      <w:lvlJc w:val="right"/>
      <w:pPr>
        <w:tabs>
          <w:tab w:val="left" w:pos="3075"/>
        </w:tabs>
        <w:ind w:left="3075" w:hanging="420"/>
      </w:pPr>
    </w:lvl>
    <w:lvl w:ilvl="6" w:tentative="0">
      <w:start w:val="1"/>
      <w:numFmt w:val="decimal"/>
      <w:lvlText w:val="%7."/>
      <w:lvlJc w:val="left"/>
      <w:pPr>
        <w:tabs>
          <w:tab w:val="left" w:pos="3495"/>
        </w:tabs>
        <w:ind w:left="3495" w:hanging="420"/>
      </w:pPr>
    </w:lvl>
    <w:lvl w:ilvl="7" w:tentative="0">
      <w:start w:val="1"/>
      <w:numFmt w:val="lowerLetter"/>
      <w:lvlText w:val="%8)"/>
      <w:lvlJc w:val="left"/>
      <w:pPr>
        <w:tabs>
          <w:tab w:val="left" w:pos="3915"/>
        </w:tabs>
        <w:ind w:left="3915" w:hanging="420"/>
      </w:pPr>
    </w:lvl>
    <w:lvl w:ilvl="8" w:tentative="0">
      <w:start w:val="1"/>
      <w:numFmt w:val="lowerRoman"/>
      <w:lvlText w:val="%9."/>
      <w:lvlJc w:val="right"/>
      <w:pPr>
        <w:tabs>
          <w:tab w:val="left" w:pos="4335"/>
        </w:tabs>
        <w:ind w:left="4335" w:hanging="420"/>
      </w:pPr>
    </w:lvl>
  </w:abstractNum>
  <w:abstractNum w:abstractNumId="29">
    <w:nsid w:val="4D4A2151"/>
    <w:multiLevelType w:val="singleLevel"/>
    <w:tmpl w:val="4D4A2151"/>
    <w:lvl w:ilvl="0" w:tentative="0">
      <w:start w:val="1"/>
      <w:numFmt w:val="decimal"/>
      <w:suff w:val="nothing"/>
      <w:lvlText w:val="%1．"/>
      <w:lvlJc w:val="left"/>
      <w:pPr>
        <w:ind w:left="0" w:firstLine="397"/>
      </w:pPr>
      <w:rPr>
        <w:rFonts w:hint="default"/>
      </w:rPr>
    </w:lvl>
  </w:abstractNum>
  <w:abstractNum w:abstractNumId="30">
    <w:nsid w:val="4FCF32EC"/>
    <w:multiLevelType w:val="singleLevel"/>
    <w:tmpl w:val="4FCF32EC"/>
    <w:lvl w:ilvl="0" w:tentative="0">
      <w:start w:val="1"/>
      <w:numFmt w:val="decimalEnclosedCircleChinese"/>
      <w:suff w:val="nothing"/>
      <w:lvlText w:val="%1　"/>
      <w:lvlJc w:val="left"/>
      <w:pPr>
        <w:ind w:left="0" w:firstLine="1134"/>
      </w:pPr>
      <w:rPr>
        <w:rFonts w:hint="eastAsia"/>
      </w:rPr>
    </w:lvl>
  </w:abstractNum>
  <w:abstractNum w:abstractNumId="31">
    <w:nsid w:val="5541E354"/>
    <w:multiLevelType w:val="singleLevel"/>
    <w:tmpl w:val="5541E354"/>
    <w:lvl w:ilvl="0" w:tentative="0">
      <w:start w:val="1"/>
      <w:numFmt w:val="decimal"/>
      <w:suff w:val="nothing"/>
      <w:lvlText w:val="24.17.%1 "/>
      <w:lvlJc w:val="left"/>
      <w:pPr>
        <w:tabs>
          <w:tab w:val="left" w:pos="0"/>
        </w:tabs>
        <w:ind w:left="0" w:firstLine="40"/>
      </w:pPr>
      <w:rPr>
        <w:rFonts w:hint="default" w:ascii="宋体" w:hAnsi="宋体" w:eastAsia="宋体" w:cs="宋体"/>
      </w:rPr>
    </w:lvl>
  </w:abstractNum>
  <w:abstractNum w:abstractNumId="32">
    <w:nsid w:val="55CD0BBE"/>
    <w:multiLevelType w:val="singleLevel"/>
    <w:tmpl w:val="55CD0BBE"/>
    <w:lvl w:ilvl="0" w:tentative="0">
      <w:start w:val="1"/>
      <w:numFmt w:val="decimalEnclosedCircleChinese"/>
      <w:suff w:val="nothing"/>
      <w:lvlText w:val="%1　"/>
      <w:lvlJc w:val="left"/>
      <w:pPr>
        <w:ind w:left="0" w:firstLine="400"/>
      </w:pPr>
      <w:rPr>
        <w:rFonts w:hint="eastAsia"/>
      </w:rPr>
    </w:lvl>
  </w:abstractNum>
  <w:abstractNum w:abstractNumId="33">
    <w:nsid w:val="56581EFE"/>
    <w:multiLevelType w:val="singleLevel"/>
    <w:tmpl w:val="56581EFE"/>
    <w:lvl w:ilvl="0" w:tentative="0">
      <w:start w:val="1"/>
      <w:numFmt w:val="decimal"/>
      <w:suff w:val="nothing"/>
      <w:lvlText w:val="24.%1 "/>
      <w:lvlJc w:val="left"/>
      <w:pPr>
        <w:ind w:left="0" w:firstLine="397"/>
      </w:pPr>
      <w:rPr>
        <w:rFonts w:hint="default"/>
      </w:rPr>
    </w:lvl>
  </w:abstractNum>
  <w:abstractNum w:abstractNumId="34">
    <w:nsid w:val="62705028"/>
    <w:multiLevelType w:val="singleLevel"/>
    <w:tmpl w:val="62705028"/>
    <w:lvl w:ilvl="0" w:tentative="0">
      <w:start w:val="1"/>
      <w:numFmt w:val="decimalEnclosedCircleChinese"/>
      <w:suff w:val="nothing"/>
      <w:lvlText w:val="%1　"/>
      <w:lvlJc w:val="left"/>
      <w:pPr>
        <w:ind w:left="0" w:firstLine="397"/>
      </w:pPr>
      <w:rPr>
        <w:rFonts w:hint="eastAsia"/>
      </w:rPr>
    </w:lvl>
  </w:abstractNum>
  <w:abstractNum w:abstractNumId="35">
    <w:nsid w:val="6271A596"/>
    <w:multiLevelType w:val="singleLevel"/>
    <w:tmpl w:val="6271A596"/>
    <w:lvl w:ilvl="0" w:tentative="0">
      <w:start w:val="1"/>
      <w:numFmt w:val="decimal"/>
      <w:suff w:val="nothing"/>
      <w:lvlText w:val="5.%1 "/>
      <w:lvlJc w:val="left"/>
      <w:pPr>
        <w:tabs>
          <w:tab w:val="left" w:pos="0"/>
        </w:tabs>
        <w:ind w:left="0" w:firstLine="40"/>
      </w:pPr>
      <w:rPr>
        <w:rFonts w:hint="default" w:ascii="宋体" w:hAnsi="宋体" w:eastAsia="宋体" w:cs="宋体"/>
      </w:rPr>
    </w:lvl>
  </w:abstractNum>
  <w:abstractNum w:abstractNumId="36">
    <w:nsid w:val="63557B35"/>
    <w:multiLevelType w:val="singleLevel"/>
    <w:tmpl w:val="63557B35"/>
    <w:lvl w:ilvl="0" w:tentative="0">
      <w:start w:val="1"/>
      <w:numFmt w:val="upperLetter"/>
      <w:pStyle w:val="2"/>
      <w:lvlText w:val="%1、"/>
      <w:lvlJc w:val="left"/>
      <w:pPr>
        <w:tabs>
          <w:tab w:val="left" w:pos="1035"/>
        </w:tabs>
        <w:ind w:left="1035" w:hanging="420"/>
      </w:pPr>
      <w:rPr>
        <w:rFonts w:hint="eastAsia"/>
      </w:rPr>
    </w:lvl>
  </w:abstractNum>
  <w:abstractNum w:abstractNumId="37">
    <w:nsid w:val="687D998E"/>
    <w:multiLevelType w:val="singleLevel"/>
    <w:tmpl w:val="687D998E"/>
    <w:lvl w:ilvl="0" w:tentative="0">
      <w:start w:val="1"/>
      <w:numFmt w:val="decimalEnclosedCircleChinese"/>
      <w:suff w:val="nothing"/>
      <w:lvlText w:val="%1　"/>
      <w:lvlJc w:val="left"/>
      <w:pPr>
        <w:ind w:left="0" w:firstLine="400"/>
      </w:pPr>
      <w:rPr>
        <w:rFonts w:hint="eastAsia"/>
      </w:rPr>
    </w:lvl>
  </w:abstractNum>
  <w:abstractNum w:abstractNumId="38">
    <w:nsid w:val="6EF32394"/>
    <w:multiLevelType w:val="singleLevel"/>
    <w:tmpl w:val="6EF32394"/>
    <w:lvl w:ilvl="0" w:tentative="0">
      <w:start w:val="1"/>
      <w:numFmt w:val="decimal"/>
      <w:suff w:val="nothing"/>
      <w:lvlText w:val="7.%1 "/>
      <w:lvlJc w:val="left"/>
      <w:pPr>
        <w:tabs>
          <w:tab w:val="left" w:pos="0"/>
        </w:tabs>
        <w:ind w:left="0" w:firstLine="40"/>
      </w:pPr>
      <w:rPr>
        <w:rFonts w:hint="default" w:ascii="宋体" w:hAnsi="宋体" w:eastAsia="宋体" w:cs="宋体"/>
      </w:rPr>
    </w:lvl>
  </w:abstractNum>
  <w:abstractNum w:abstractNumId="39">
    <w:nsid w:val="6F596645"/>
    <w:multiLevelType w:val="singleLevel"/>
    <w:tmpl w:val="6F596645"/>
    <w:lvl w:ilvl="0" w:tentative="0">
      <w:start w:val="1"/>
      <w:numFmt w:val="decimal"/>
      <w:suff w:val="nothing"/>
      <w:lvlText w:val="27.%1 "/>
      <w:lvlJc w:val="left"/>
      <w:pPr>
        <w:tabs>
          <w:tab w:val="left" w:pos="0"/>
        </w:tabs>
        <w:ind w:left="0" w:firstLine="40"/>
      </w:pPr>
      <w:rPr>
        <w:rFonts w:hint="default" w:ascii="宋体" w:hAnsi="宋体" w:eastAsia="宋体" w:cs="宋体"/>
      </w:rPr>
    </w:lvl>
  </w:abstractNum>
  <w:abstractNum w:abstractNumId="40">
    <w:nsid w:val="7B2826C6"/>
    <w:multiLevelType w:val="singleLevel"/>
    <w:tmpl w:val="7B2826C6"/>
    <w:lvl w:ilvl="0" w:tentative="0">
      <w:start w:val="1"/>
      <w:numFmt w:val="decimal"/>
      <w:suff w:val="nothing"/>
      <w:lvlText w:val="%1．"/>
      <w:lvlJc w:val="left"/>
      <w:pPr>
        <w:ind w:left="0" w:firstLine="397"/>
      </w:pPr>
      <w:rPr>
        <w:rFonts w:hint="default"/>
      </w:rPr>
    </w:lvl>
  </w:abstractNum>
  <w:num w:numId="1">
    <w:abstractNumId w:val="28"/>
  </w:num>
  <w:num w:numId="2">
    <w:abstractNumId w:val="36"/>
  </w:num>
  <w:num w:numId="3">
    <w:abstractNumId w:val="7"/>
  </w:num>
  <w:num w:numId="4">
    <w:abstractNumId w:val="29"/>
  </w:num>
  <w:num w:numId="5">
    <w:abstractNumId w:val="18"/>
  </w:num>
  <w:num w:numId="6">
    <w:abstractNumId w:val="40"/>
  </w:num>
  <w:num w:numId="7">
    <w:abstractNumId w:val="19"/>
  </w:num>
  <w:num w:numId="8">
    <w:abstractNumId w:val="34"/>
  </w:num>
  <w:num w:numId="9">
    <w:abstractNumId w:val="0"/>
  </w:num>
  <w:num w:numId="10">
    <w:abstractNumId w:val="23"/>
  </w:num>
  <w:num w:numId="11">
    <w:abstractNumId w:val="4"/>
  </w:num>
  <w:num w:numId="12">
    <w:abstractNumId w:val="5"/>
  </w:num>
  <w:num w:numId="13">
    <w:abstractNumId w:val="16"/>
  </w:num>
  <w:num w:numId="14">
    <w:abstractNumId w:val="35"/>
  </w:num>
  <w:num w:numId="15">
    <w:abstractNumId w:val="10"/>
  </w:num>
  <w:num w:numId="16">
    <w:abstractNumId w:val="38"/>
  </w:num>
  <w:num w:numId="17">
    <w:abstractNumId w:val="17"/>
  </w:num>
  <w:num w:numId="18">
    <w:abstractNumId w:val="32"/>
  </w:num>
  <w:num w:numId="19">
    <w:abstractNumId w:val="27"/>
  </w:num>
  <w:num w:numId="20">
    <w:abstractNumId w:val="11"/>
  </w:num>
  <w:num w:numId="21">
    <w:abstractNumId w:val="2"/>
  </w:num>
  <w:num w:numId="22">
    <w:abstractNumId w:val="22"/>
  </w:num>
  <w:num w:numId="23">
    <w:abstractNumId w:val="15"/>
  </w:num>
  <w:num w:numId="24">
    <w:abstractNumId w:val="3"/>
  </w:num>
  <w:num w:numId="25">
    <w:abstractNumId w:val="20"/>
  </w:num>
  <w:num w:numId="26">
    <w:abstractNumId w:val="25"/>
  </w:num>
  <w:num w:numId="27">
    <w:abstractNumId w:val="13"/>
  </w:num>
  <w:num w:numId="28">
    <w:abstractNumId w:val="8"/>
  </w:num>
  <w:num w:numId="29">
    <w:abstractNumId w:val="26"/>
  </w:num>
  <w:num w:numId="30">
    <w:abstractNumId w:val="9"/>
  </w:num>
  <w:num w:numId="31">
    <w:abstractNumId w:val="24"/>
  </w:num>
  <w:num w:numId="32">
    <w:abstractNumId w:val="33"/>
  </w:num>
  <w:num w:numId="33">
    <w:abstractNumId w:val="31"/>
  </w:num>
  <w:num w:numId="34">
    <w:abstractNumId w:val="12"/>
  </w:num>
  <w:num w:numId="35">
    <w:abstractNumId w:val="21"/>
  </w:num>
  <w:num w:numId="36">
    <w:abstractNumId w:val="39"/>
  </w:num>
  <w:num w:numId="37">
    <w:abstractNumId w:val="1"/>
  </w:num>
  <w:num w:numId="38">
    <w:abstractNumId w:val="6"/>
  </w:num>
  <w:num w:numId="39">
    <w:abstractNumId w:val="14"/>
  </w:num>
  <w:num w:numId="40">
    <w:abstractNumId w:val="37"/>
  </w:num>
  <w:num w:numId="41">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RiMDJjNTNlNTc2YzA4MDFhZDc2ZTliMzY5YjA3OTMifQ=="/>
  </w:docVars>
  <w:rsids>
    <w:rsidRoot w:val="004B0811"/>
    <w:rsid w:val="00001DA3"/>
    <w:rsid w:val="00006818"/>
    <w:rsid w:val="000075DA"/>
    <w:rsid w:val="000077D0"/>
    <w:rsid w:val="000148D6"/>
    <w:rsid w:val="00015D59"/>
    <w:rsid w:val="00017390"/>
    <w:rsid w:val="00017802"/>
    <w:rsid w:val="00020033"/>
    <w:rsid w:val="000213B6"/>
    <w:rsid w:val="00024B66"/>
    <w:rsid w:val="00027239"/>
    <w:rsid w:val="000328AC"/>
    <w:rsid w:val="00045CF2"/>
    <w:rsid w:val="000464E5"/>
    <w:rsid w:val="0004792A"/>
    <w:rsid w:val="0004794A"/>
    <w:rsid w:val="00050858"/>
    <w:rsid w:val="000510A3"/>
    <w:rsid w:val="00052D30"/>
    <w:rsid w:val="00053264"/>
    <w:rsid w:val="000536AD"/>
    <w:rsid w:val="00055F1C"/>
    <w:rsid w:val="00056840"/>
    <w:rsid w:val="000611ED"/>
    <w:rsid w:val="00063E4F"/>
    <w:rsid w:val="00067276"/>
    <w:rsid w:val="00070161"/>
    <w:rsid w:val="000708A0"/>
    <w:rsid w:val="00070FE2"/>
    <w:rsid w:val="00071029"/>
    <w:rsid w:val="00071C5B"/>
    <w:rsid w:val="00074863"/>
    <w:rsid w:val="00076F53"/>
    <w:rsid w:val="000912C7"/>
    <w:rsid w:val="0009279F"/>
    <w:rsid w:val="0009767A"/>
    <w:rsid w:val="00097953"/>
    <w:rsid w:val="000A241D"/>
    <w:rsid w:val="000A5490"/>
    <w:rsid w:val="000B0DE4"/>
    <w:rsid w:val="000B1CDD"/>
    <w:rsid w:val="000B3611"/>
    <w:rsid w:val="000B4627"/>
    <w:rsid w:val="000B5F6E"/>
    <w:rsid w:val="000C2631"/>
    <w:rsid w:val="000C2AC6"/>
    <w:rsid w:val="000C663A"/>
    <w:rsid w:val="000C6E71"/>
    <w:rsid w:val="000D05CC"/>
    <w:rsid w:val="000D263B"/>
    <w:rsid w:val="000D2BAD"/>
    <w:rsid w:val="000D3604"/>
    <w:rsid w:val="000D3E6D"/>
    <w:rsid w:val="000D4E3C"/>
    <w:rsid w:val="000D504A"/>
    <w:rsid w:val="000E136C"/>
    <w:rsid w:val="000E1A92"/>
    <w:rsid w:val="000E1D06"/>
    <w:rsid w:val="000E21F5"/>
    <w:rsid w:val="000E38B1"/>
    <w:rsid w:val="000E4664"/>
    <w:rsid w:val="000E4978"/>
    <w:rsid w:val="000E526A"/>
    <w:rsid w:val="000E5496"/>
    <w:rsid w:val="000E57E4"/>
    <w:rsid w:val="000E730F"/>
    <w:rsid w:val="000F02FC"/>
    <w:rsid w:val="000F1FF4"/>
    <w:rsid w:val="000F45D5"/>
    <w:rsid w:val="000F50EA"/>
    <w:rsid w:val="000F5F2A"/>
    <w:rsid w:val="000F7138"/>
    <w:rsid w:val="000F7272"/>
    <w:rsid w:val="000F7D1F"/>
    <w:rsid w:val="00102B8C"/>
    <w:rsid w:val="001049C2"/>
    <w:rsid w:val="0010598A"/>
    <w:rsid w:val="00106DAD"/>
    <w:rsid w:val="00107709"/>
    <w:rsid w:val="00116DAA"/>
    <w:rsid w:val="001207CD"/>
    <w:rsid w:val="00120FD6"/>
    <w:rsid w:val="0012256C"/>
    <w:rsid w:val="001239D4"/>
    <w:rsid w:val="001306A4"/>
    <w:rsid w:val="00130B31"/>
    <w:rsid w:val="00131F44"/>
    <w:rsid w:val="00132490"/>
    <w:rsid w:val="001330B0"/>
    <w:rsid w:val="001346A9"/>
    <w:rsid w:val="00136306"/>
    <w:rsid w:val="00141DA5"/>
    <w:rsid w:val="00145D2A"/>
    <w:rsid w:val="00145DEA"/>
    <w:rsid w:val="001468A0"/>
    <w:rsid w:val="00154F16"/>
    <w:rsid w:val="00157B09"/>
    <w:rsid w:val="00164064"/>
    <w:rsid w:val="00167BCB"/>
    <w:rsid w:val="0017220F"/>
    <w:rsid w:val="0017302D"/>
    <w:rsid w:val="00175A80"/>
    <w:rsid w:val="00181AB5"/>
    <w:rsid w:val="001840F0"/>
    <w:rsid w:val="0018546D"/>
    <w:rsid w:val="00185753"/>
    <w:rsid w:val="00186A09"/>
    <w:rsid w:val="00187DD3"/>
    <w:rsid w:val="00191FD8"/>
    <w:rsid w:val="001940F2"/>
    <w:rsid w:val="00194D4C"/>
    <w:rsid w:val="0019559D"/>
    <w:rsid w:val="00196875"/>
    <w:rsid w:val="001A09BA"/>
    <w:rsid w:val="001A1935"/>
    <w:rsid w:val="001A493D"/>
    <w:rsid w:val="001A5F98"/>
    <w:rsid w:val="001B260D"/>
    <w:rsid w:val="001B2755"/>
    <w:rsid w:val="001B4867"/>
    <w:rsid w:val="001B6049"/>
    <w:rsid w:val="001B71A5"/>
    <w:rsid w:val="001B7285"/>
    <w:rsid w:val="001C22F6"/>
    <w:rsid w:val="001C26B1"/>
    <w:rsid w:val="001C462F"/>
    <w:rsid w:val="001C48E8"/>
    <w:rsid w:val="001C53F8"/>
    <w:rsid w:val="001C6443"/>
    <w:rsid w:val="001C770C"/>
    <w:rsid w:val="001D0151"/>
    <w:rsid w:val="001D0B98"/>
    <w:rsid w:val="001D3140"/>
    <w:rsid w:val="001E32A6"/>
    <w:rsid w:val="001E48F2"/>
    <w:rsid w:val="001E65BA"/>
    <w:rsid w:val="001E7840"/>
    <w:rsid w:val="001F0C21"/>
    <w:rsid w:val="001F201E"/>
    <w:rsid w:val="001F4C6E"/>
    <w:rsid w:val="001F596D"/>
    <w:rsid w:val="001F5E72"/>
    <w:rsid w:val="001F63FD"/>
    <w:rsid w:val="00201ADE"/>
    <w:rsid w:val="00204834"/>
    <w:rsid w:val="002054EF"/>
    <w:rsid w:val="00207B4A"/>
    <w:rsid w:val="0022084E"/>
    <w:rsid w:val="0022104A"/>
    <w:rsid w:val="00221186"/>
    <w:rsid w:val="00221F74"/>
    <w:rsid w:val="00226C15"/>
    <w:rsid w:val="00233994"/>
    <w:rsid w:val="002364CF"/>
    <w:rsid w:val="00236ADE"/>
    <w:rsid w:val="002375BB"/>
    <w:rsid w:val="0024409C"/>
    <w:rsid w:val="00244106"/>
    <w:rsid w:val="00245C61"/>
    <w:rsid w:val="00247E15"/>
    <w:rsid w:val="00252A03"/>
    <w:rsid w:val="00254070"/>
    <w:rsid w:val="0025652F"/>
    <w:rsid w:val="002606EC"/>
    <w:rsid w:val="00260EDD"/>
    <w:rsid w:val="00270E2D"/>
    <w:rsid w:val="002737DE"/>
    <w:rsid w:val="00274F9A"/>
    <w:rsid w:val="00275072"/>
    <w:rsid w:val="00275157"/>
    <w:rsid w:val="002751D8"/>
    <w:rsid w:val="00280D86"/>
    <w:rsid w:val="00284635"/>
    <w:rsid w:val="00285F7E"/>
    <w:rsid w:val="0029041C"/>
    <w:rsid w:val="0029087D"/>
    <w:rsid w:val="002916B1"/>
    <w:rsid w:val="00295155"/>
    <w:rsid w:val="00296D5E"/>
    <w:rsid w:val="002972FE"/>
    <w:rsid w:val="002A2ACF"/>
    <w:rsid w:val="002A50C8"/>
    <w:rsid w:val="002A64CA"/>
    <w:rsid w:val="002B17BF"/>
    <w:rsid w:val="002B7653"/>
    <w:rsid w:val="002C5223"/>
    <w:rsid w:val="002C7A2D"/>
    <w:rsid w:val="002D11D9"/>
    <w:rsid w:val="002D6B41"/>
    <w:rsid w:val="002E2739"/>
    <w:rsid w:val="002E35E9"/>
    <w:rsid w:val="002F08B1"/>
    <w:rsid w:val="002F097F"/>
    <w:rsid w:val="002F2E8D"/>
    <w:rsid w:val="002F378A"/>
    <w:rsid w:val="002F4F8D"/>
    <w:rsid w:val="003072EC"/>
    <w:rsid w:val="0031129B"/>
    <w:rsid w:val="00311554"/>
    <w:rsid w:val="00317185"/>
    <w:rsid w:val="0032106B"/>
    <w:rsid w:val="0032607A"/>
    <w:rsid w:val="00327130"/>
    <w:rsid w:val="0033593F"/>
    <w:rsid w:val="00335F6A"/>
    <w:rsid w:val="00336801"/>
    <w:rsid w:val="00343AD4"/>
    <w:rsid w:val="00346F9B"/>
    <w:rsid w:val="003503F3"/>
    <w:rsid w:val="003510DB"/>
    <w:rsid w:val="0035370E"/>
    <w:rsid w:val="00354D93"/>
    <w:rsid w:val="00355E84"/>
    <w:rsid w:val="00355E89"/>
    <w:rsid w:val="00361B43"/>
    <w:rsid w:val="00363BE4"/>
    <w:rsid w:val="0036471B"/>
    <w:rsid w:val="00365265"/>
    <w:rsid w:val="00365DEC"/>
    <w:rsid w:val="00366048"/>
    <w:rsid w:val="003666A9"/>
    <w:rsid w:val="00370309"/>
    <w:rsid w:val="0037377A"/>
    <w:rsid w:val="0038062E"/>
    <w:rsid w:val="00380EBB"/>
    <w:rsid w:val="00381BBB"/>
    <w:rsid w:val="00383AA4"/>
    <w:rsid w:val="00392324"/>
    <w:rsid w:val="00392CCA"/>
    <w:rsid w:val="00395EFF"/>
    <w:rsid w:val="003B254E"/>
    <w:rsid w:val="003B5E1A"/>
    <w:rsid w:val="003C045D"/>
    <w:rsid w:val="003C05AC"/>
    <w:rsid w:val="003C2615"/>
    <w:rsid w:val="003C2BEF"/>
    <w:rsid w:val="003D54F9"/>
    <w:rsid w:val="003E03D0"/>
    <w:rsid w:val="003E0923"/>
    <w:rsid w:val="003E2076"/>
    <w:rsid w:val="003E4A85"/>
    <w:rsid w:val="003E650C"/>
    <w:rsid w:val="003E724B"/>
    <w:rsid w:val="003E75CD"/>
    <w:rsid w:val="003F6C24"/>
    <w:rsid w:val="00403983"/>
    <w:rsid w:val="00411B98"/>
    <w:rsid w:val="00412A01"/>
    <w:rsid w:val="0042158E"/>
    <w:rsid w:val="00423F56"/>
    <w:rsid w:val="00431075"/>
    <w:rsid w:val="0043130F"/>
    <w:rsid w:val="00432945"/>
    <w:rsid w:val="00432A66"/>
    <w:rsid w:val="0043576F"/>
    <w:rsid w:val="0044078E"/>
    <w:rsid w:val="00442E77"/>
    <w:rsid w:val="00445CAB"/>
    <w:rsid w:val="0044612F"/>
    <w:rsid w:val="004544B9"/>
    <w:rsid w:val="00455B4C"/>
    <w:rsid w:val="00463657"/>
    <w:rsid w:val="00464C4C"/>
    <w:rsid w:val="00465A05"/>
    <w:rsid w:val="004707ED"/>
    <w:rsid w:val="00470C83"/>
    <w:rsid w:val="004738DF"/>
    <w:rsid w:val="00477C97"/>
    <w:rsid w:val="00480341"/>
    <w:rsid w:val="004811FE"/>
    <w:rsid w:val="00481376"/>
    <w:rsid w:val="00481EE1"/>
    <w:rsid w:val="00482174"/>
    <w:rsid w:val="004821D3"/>
    <w:rsid w:val="00483ECB"/>
    <w:rsid w:val="00484007"/>
    <w:rsid w:val="004840E1"/>
    <w:rsid w:val="00485252"/>
    <w:rsid w:val="00487344"/>
    <w:rsid w:val="004875E1"/>
    <w:rsid w:val="0049055D"/>
    <w:rsid w:val="00490DDE"/>
    <w:rsid w:val="00490F49"/>
    <w:rsid w:val="0049797C"/>
    <w:rsid w:val="004A4142"/>
    <w:rsid w:val="004A6F58"/>
    <w:rsid w:val="004B05F4"/>
    <w:rsid w:val="004B0811"/>
    <w:rsid w:val="004B3910"/>
    <w:rsid w:val="004B46C4"/>
    <w:rsid w:val="004B5330"/>
    <w:rsid w:val="004B6001"/>
    <w:rsid w:val="004B6A5A"/>
    <w:rsid w:val="004B7EA3"/>
    <w:rsid w:val="004C1318"/>
    <w:rsid w:val="004C1BA6"/>
    <w:rsid w:val="004C267F"/>
    <w:rsid w:val="004D35C6"/>
    <w:rsid w:val="004D57AE"/>
    <w:rsid w:val="004E3A69"/>
    <w:rsid w:val="004E3F19"/>
    <w:rsid w:val="004E52B0"/>
    <w:rsid w:val="004E60DF"/>
    <w:rsid w:val="004E616D"/>
    <w:rsid w:val="004F1B98"/>
    <w:rsid w:val="004F1EF6"/>
    <w:rsid w:val="004F4A0C"/>
    <w:rsid w:val="004F675C"/>
    <w:rsid w:val="004F6D1A"/>
    <w:rsid w:val="00500D57"/>
    <w:rsid w:val="00503B44"/>
    <w:rsid w:val="00503EAE"/>
    <w:rsid w:val="00511898"/>
    <w:rsid w:val="00511D3E"/>
    <w:rsid w:val="00517C29"/>
    <w:rsid w:val="00521532"/>
    <w:rsid w:val="005245BA"/>
    <w:rsid w:val="00525303"/>
    <w:rsid w:val="00525C33"/>
    <w:rsid w:val="0052677F"/>
    <w:rsid w:val="005306F4"/>
    <w:rsid w:val="00531CDE"/>
    <w:rsid w:val="00532809"/>
    <w:rsid w:val="00533931"/>
    <w:rsid w:val="00533DC9"/>
    <w:rsid w:val="00536C08"/>
    <w:rsid w:val="00537173"/>
    <w:rsid w:val="005378CB"/>
    <w:rsid w:val="005404A5"/>
    <w:rsid w:val="00540CB5"/>
    <w:rsid w:val="005445DF"/>
    <w:rsid w:val="00546A76"/>
    <w:rsid w:val="005500A4"/>
    <w:rsid w:val="005514E6"/>
    <w:rsid w:val="00554E93"/>
    <w:rsid w:val="00557696"/>
    <w:rsid w:val="00560B4F"/>
    <w:rsid w:val="00560EA2"/>
    <w:rsid w:val="00561E6A"/>
    <w:rsid w:val="005648E0"/>
    <w:rsid w:val="00564E8F"/>
    <w:rsid w:val="00571B49"/>
    <w:rsid w:val="0057210E"/>
    <w:rsid w:val="00575F6F"/>
    <w:rsid w:val="00577904"/>
    <w:rsid w:val="0058006C"/>
    <w:rsid w:val="00581BE5"/>
    <w:rsid w:val="00582FCE"/>
    <w:rsid w:val="0058535A"/>
    <w:rsid w:val="005853D2"/>
    <w:rsid w:val="005900B5"/>
    <w:rsid w:val="00591734"/>
    <w:rsid w:val="00591FA1"/>
    <w:rsid w:val="00592DF2"/>
    <w:rsid w:val="00594041"/>
    <w:rsid w:val="00594F19"/>
    <w:rsid w:val="00594F8E"/>
    <w:rsid w:val="005965F2"/>
    <w:rsid w:val="005A02D2"/>
    <w:rsid w:val="005A61F4"/>
    <w:rsid w:val="005A6DCA"/>
    <w:rsid w:val="005B61AE"/>
    <w:rsid w:val="005B7C66"/>
    <w:rsid w:val="005C1EDC"/>
    <w:rsid w:val="005C40A5"/>
    <w:rsid w:val="005C515B"/>
    <w:rsid w:val="005C7DA4"/>
    <w:rsid w:val="005D3369"/>
    <w:rsid w:val="005D44DD"/>
    <w:rsid w:val="005D4538"/>
    <w:rsid w:val="005D509B"/>
    <w:rsid w:val="005D59F7"/>
    <w:rsid w:val="005D6FDE"/>
    <w:rsid w:val="005E2379"/>
    <w:rsid w:val="005E435B"/>
    <w:rsid w:val="005E45D4"/>
    <w:rsid w:val="005E5B93"/>
    <w:rsid w:val="005E781A"/>
    <w:rsid w:val="005F0902"/>
    <w:rsid w:val="005F20C3"/>
    <w:rsid w:val="005F3EA6"/>
    <w:rsid w:val="005F4076"/>
    <w:rsid w:val="005F5C9B"/>
    <w:rsid w:val="005F7D07"/>
    <w:rsid w:val="0060337E"/>
    <w:rsid w:val="006037E7"/>
    <w:rsid w:val="00605B60"/>
    <w:rsid w:val="00605B63"/>
    <w:rsid w:val="00607067"/>
    <w:rsid w:val="00607DF3"/>
    <w:rsid w:val="006108E4"/>
    <w:rsid w:val="00610BEB"/>
    <w:rsid w:val="00626AD6"/>
    <w:rsid w:val="0062753E"/>
    <w:rsid w:val="00627BE7"/>
    <w:rsid w:val="00627CD0"/>
    <w:rsid w:val="00627E2D"/>
    <w:rsid w:val="0063140B"/>
    <w:rsid w:val="00633569"/>
    <w:rsid w:val="00635132"/>
    <w:rsid w:val="00642080"/>
    <w:rsid w:val="006435A9"/>
    <w:rsid w:val="00644CB6"/>
    <w:rsid w:val="006503B5"/>
    <w:rsid w:val="0065060D"/>
    <w:rsid w:val="00657F9C"/>
    <w:rsid w:val="00665413"/>
    <w:rsid w:val="006708AA"/>
    <w:rsid w:val="00670DA8"/>
    <w:rsid w:val="006733B7"/>
    <w:rsid w:val="00684CC6"/>
    <w:rsid w:val="00684E9E"/>
    <w:rsid w:val="00691327"/>
    <w:rsid w:val="00692449"/>
    <w:rsid w:val="00693E45"/>
    <w:rsid w:val="006951A4"/>
    <w:rsid w:val="00695EAD"/>
    <w:rsid w:val="006974EF"/>
    <w:rsid w:val="006A1152"/>
    <w:rsid w:val="006A545D"/>
    <w:rsid w:val="006B16D2"/>
    <w:rsid w:val="006B18A5"/>
    <w:rsid w:val="006B464F"/>
    <w:rsid w:val="006B5750"/>
    <w:rsid w:val="006B6948"/>
    <w:rsid w:val="006B6E7A"/>
    <w:rsid w:val="006C0A94"/>
    <w:rsid w:val="006C0D27"/>
    <w:rsid w:val="006C252F"/>
    <w:rsid w:val="006C7BC3"/>
    <w:rsid w:val="006D0D78"/>
    <w:rsid w:val="006D127E"/>
    <w:rsid w:val="006D31BD"/>
    <w:rsid w:val="006D6D42"/>
    <w:rsid w:val="006D79C2"/>
    <w:rsid w:val="006E03F0"/>
    <w:rsid w:val="006E132F"/>
    <w:rsid w:val="006E5766"/>
    <w:rsid w:val="006E62AA"/>
    <w:rsid w:val="006F16AA"/>
    <w:rsid w:val="006F770E"/>
    <w:rsid w:val="00702AEC"/>
    <w:rsid w:val="00703C8C"/>
    <w:rsid w:val="00703F26"/>
    <w:rsid w:val="00704022"/>
    <w:rsid w:val="00705C4B"/>
    <w:rsid w:val="0071043E"/>
    <w:rsid w:val="007120A5"/>
    <w:rsid w:val="0071212F"/>
    <w:rsid w:val="00720140"/>
    <w:rsid w:val="00720ECC"/>
    <w:rsid w:val="00722047"/>
    <w:rsid w:val="007266DF"/>
    <w:rsid w:val="007317F3"/>
    <w:rsid w:val="007318D9"/>
    <w:rsid w:val="00732283"/>
    <w:rsid w:val="00733A0A"/>
    <w:rsid w:val="0073530B"/>
    <w:rsid w:val="007353C8"/>
    <w:rsid w:val="00735F37"/>
    <w:rsid w:val="007400BE"/>
    <w:rsid w:val="00741801"/>
    <w:rsid w:val="0074230B"/>
    <w:rsid w:val="00743CE7"/>
    <w:rsid w:val="00745BBA"/>
    <w:rsid w:val="00750AE3"/>
    <w:rsid w:val="00751C16"/>
    <w:rsid w:val="00752348"/>
    <w:rsid w:val="00753F62"/>
    <w:rsid w:val="0075462D"/>
    <w:rsid w:val="00757337"/>
    <w:rsid w:val="00757800"/>
    <w:rsid w:val="00757915"/>
    <w:rsid w:val="00762B3D"/>
    <w:rsid w:val="00766552"/>
    <w:rsid w:val="00770F92"/>
    <w:rsid w:val="00771B65"/>
    <w:rsid w:val="007731A3"/>
    <w:rsid w:val="007742D0"/>
    <w:rsid w:val="00776940"/>
    <w:rsid w:val="007800A5"/>
    <w:rsid w:val="00780F42"/>
    <w:rsid w:val="00785BE9"/>
    <w:rsid w:val="00786247"/>
    <w:rsid w:val="00786F83"/>
    <w:rsid w:val="007877D6"/>
    <w:rsid w:val="00796F96"/>
    <w:rsid w:val="00797CAE"/>
    <w:rsid w:val="007A5FA8"/>
    <w:rsid w:val="007B2FF7"/>
    <w:rsid w:val="007B33BF"/>
    <w:rsid w:val="007B70B3"/>
    <w:rsid w:val="007C2B64"/>
    <w:rsid w:val="007C5553"/>
    <w:rsid w:val="007D16EC"/>
    <w:rsid w:val="007D3620"/>
    <w:rsid w:val="007D4799"/>
    <w:rsid w:val="007E3946"/>
    <w:rsid w:val="007E4563"/>
    <w:rsid w:val="007E66C4"/>
    <w:rsid w:val="007F3D48"/>
    <w:rsid w:val="007F455F"/>
    <w:rsid w:val="0080010D"/>
    <w:rsid w:val="0080289B"/>
    <w:rsid w:val="0080361E"/>
    <w:rsid w:val="008068C4"/>
    <w:rsid w:val="008112C2"/>
    <w:rsid w:val="0081686A"/>
    <w:rsid w:val="00817FD3"/>
    <w:rsid w:val="00824F2B"/>
    <w:rsid w:val="0083040C"/>
    <w:rsid w:val="00833198"/>
    <w:rsid w:val="00833BF9"/>
    <w:rsid w:val="008341CE"/>
    <w:rsid w:val="0083519D"/>
    <w:rsid w:val="00836471"/>
    <w:rsid w:val="00843413"/>
    <w:rsid w:val="008509B5"/>
    <w:rsid w:val="00851F7A"/>
    <w:rsid w:val="00856F40"/>
    <w:rsid w:val="00865AF7"/>
    <w:rsid w:val="008660C6"/>
    <w:rsid w:val="008705F0"/>
    <w:rsid w:val="00876D91"/>
    <w:rsid w:val="00881169"/>
    <w:rsid w:val="00881590"/>
    <w:rsid w:val="00882269"/>
    <w:rsid w:val="00884273"/>
    <w:rsid w:val="0089235D"/>
    <w:rsid w:val="00894884"/>
    <w:rsid w:val="008948CC"/>
    <w:rsid w:val="00894E12"/>
    <w:rsid w:val="008963A2"/>
    <w:rsid w:val="008964D5"/>
    <w:rsid w:val="008A02CC"/>
    <w:rsid w:val="008A19FB"/>
    <w:rsid w:val="008A220C"/>
    <w:rsid w:val="008B0B06"/>
    <w:rsid w:val="008B598D"/>
    <w:rsid w:val="008C0D07"/>
    <w:rsid w:val="008C2010"/>
    <w:rsid w:val="008C429A"/>
    <w:rsid w:val="008C516E"/>
    <w:rsid w:val="008C6CE7"/>
    <w:rsid w:val="008C767C"/>
    <w:rsid w:val="008D11F5"/>
    <w:rsid w:val="008E1011"/>
    <w:rsid w:val="008E1905"/>
    <w:rsid w:val="008E2A88"/>
    <w:rsid w:val="008E57DF"/>
    <w:rsid w:val="008E6CC5"/>
    <w:rsid w:val="008F0B77"/>
    <w:rsid w:val="008F290B"/>
    <w:rsid w:val="008F62A7"/>
    <w:rsid w:val="00904FB2"/>
    <w:rsid w:val="009072F4"/>
    <w:rsid w:val="00913166"/>
    <w:rsid w:val="009210AE"/>
    <w:rsid w:val="00922517"/>
    <w:rsid w:val="009227B3"/>
    <w:rsid w:val="00925172"/>
    <w:rsid w:val="0093191A"/>
    <w:rsid w:val="00933187"/>
    <w:rsid w:val="009332A3"/>
    <w:rsid w:val="009373F5"/>
    <w:rsid w:val="00937B5B"/>
    <w:rsid w:val="0094293E"/>
    <w:rsid w:val="009444C8"/>
    <w:rsid w:val="00953B72"/>
    <w:rsid w:val="00955691"/>
    <w:rsid w:val="009557E9"/>
    <w:rsid w:val="00956B6F"/>
    <w:rsid w:val="00963254"/>
    <w:rsid w:val="009636B7"/>
    <w:rsid w:val="00967340"/>
    <w:rsid w:val="009701C5"/>
    <w:rsid w:val="009702FB"/>
    <w:rsid w:val="00970487"/>
    <w:rsid w:val="00970B38"/>
    <w:rsid w:val="0097133A"/>
    <w:rsid w:val="0097423A"/>
    <w:rsid w:val="00977D16"/>
    <w:rsid w:val="0098205C"/>
    <w:rsid w:val="0098388D"/>
    <w:rsid w:val="00983B0B"/>
    <w:rsid w:val="00984340"/>
    <w:rsid w:val="009932DC"/>
    <w:rsid w:val="00993C5B"/>
    <w:rsid w:val="00993D04"/>
    <w:rsid w:val="009944AC"/>
    <w:rsid w:val="0099788C"/>
    <w:rsid w:val="009A1276"/>
    <w:rsid w:val="009A194B"/>
    <w:rsid w:val="009A588B"/>
    <w:rsid w:val="009B0797"/>
    <w:rsid w:val="009B19A2"/>
    <w:rsid w:val="009B1A96"/>
    <w:rsid w:val="009C05E8"/>
    <w:rsid w:val="009C4D08"/>
    <w:rsid w:val="009C5701"/>
    <w:rsid w:val="009C663B"/>
    <w:rsid w:val="009C7B33"/>
    <w:rsid w:val="009D0791"/>
    <w:rsid w:val="009D20A7"/>
    <w:rsid w:val="009D219F"/>
    <w:rsid w:val="009D258E"/>
    <w:rsid w:val="009D2BEA"/>
    <w:rsid w:val="009D4EFC"/>
    <w:rsid w:val="009E227A"/>
    <w:rsid w:val="009E5D1E"/>
    <w:rsid w:val="009E79A0"/>
    <w:rsid w:val="009F0C7C"/>
    <w:rsid w:val="009F1C9F"/>
    <w:rsid w:val="009F3362"/>
    <w:rsid w:val="009F50B7"/>
    <w:rsid w:val="009F75D9"/>
    <w:rsid w:val="00A0323C"/>
    <w:rsid w:val="00A032AD"/>
    <w:rsid w:val="00A04CD8"/>
    <w:rsid w:val="00A0624B"/>
    <w:rsid w:val="00A0765D"/>
    <w:rsid w:val="00A11C4E"/>
    <w:rsid w:val="00A14C4D"/>
    <w:rsid w:val="00A165B8"/>
    <w:rsid w:val="00A16B1D"/>
    <w:rsid w:val="00A20580"/>
    <w:rsid w:val="00A20B8C"/>
    <w:rsid w:val="00A242F2"/>
    <w:rsid w:val="00A317D3"/>
    <w:rsid w:val="00A32040"/>
    <w:rsid w:val="00A32A2B"/>
    <w:rsid w:val="00A3757F"/>
    <w:rsid w:val="00A42993"/>
    <w:rsid w:val="00A44BBB"/>
    <w:rsid w:val="00A44E69"/>
    <w:rsid w:val="00A4589E"/>
    <w:rsid w:val="00A46C58"/>
    <w:rsid w:val="00A477A6"/>
    <w:rsid w:val="00A4785E"/>
    <w:rsid w:val="00A52293"/>
    <w:rsid w:val="00A5304B"/>
    <w:rsid w:val="00A53BE4"/>
    <w:rsid w:val="00A55163"/>
    <w:rsid w:val="00A556D4"/>
    <w:rsid w:val="00A56108"/>
    <w:rsid w:val="00A5762D"/>
    <w:rsid w:val="00A6065D"/>
    <w:rsid w:val="00A606DD"/>
    <w:rsid w:val="00A610E5"/>
    <w:rsid w:val="00A61583"/>
    <w:rsid w:val="00A624EC"/>
    <w:rsid w:val="00A62BB5"/>
    <w:rsid w:val="00A653FA"/>
    <w:rsid w:val="00A67145"/>
    <w:rsid w:val="00A755D2"/>
    <w:rsid w:val="00A82586"/>
    <w:rsid w:val="00A82743"/>
    <w:rsid w:val="00A8307D"/>
    <w:rsid w:val="00A85F63"/>
    <w:rsid w:val="00A87E79"/>
    <w:rsid w:val="00A90C66"/>
    <w:rsid w:val="00A927FA"/>
    <w:rsid w:val="00A95870"/>
    <w:rsid w:val="00A974CC"/>
    <w:rsid w:val="00AA4B4A"/>
    <w:rsid w:val="00AB0897"/>
    <w:rsid w:val="00AB102C"/>
    <w:rsid w:val="00AB2FF7"/>
    <w:rsid w:val="00AB5CA2"/>
    <w:rsid w:val="00AB6F1F"/>
    <w:rsid w:val="00AC092A"/>
    <w:rsid w:val="00AD26A9"/>
    <w:rsid w:val="00AD43C6"/>
    <w:rsid w:val="00AD4406"/>
    <w:rsid w:val="00AD5D1C"/>
    <w:rsid w:val="00AD7E80"/>
    <w:rsid w:val="00AE3C10"/>
    <w:rsid w:val="00AE5BC0"/>
    <w:rsid w:val="00AE5DA8"/>
    <w:rsid w:val="00AE73C1"/>
    <w:rsid w:val="00AF1A06"/>
    <w:rsid w:val="00AF3BED"/>
    <w:rsid w:val="00AF4C7A"/>
    <w:rsid w:val="00AF593E"/>
    <w:rsid w:val="00AF62F6"/>
    <w:rsid w:val="00B00DB3"/>
    <w:rsid w:val="00B0166D"/>
    <w:rsid w:val="00B01E5E"/>
    <w:rsid w:val="00B045E2"/>
    <w:rsid w:val="00B05835"/>
    <w:rsid w:val="00B11163"/>
    <w:rsid w:val="00B146C2"/>
    <w:rsid w:val="00B238AF"/>
    <w:rsid w:val="00B33CCF"/>
    <w:rsid w:val="00B354EC"/>
    <w:rsid w:val="00B4109D"/>
    <w:rsid w:val="00B42597"/>
    <w:rsid w:val="00B43764"/>
    <w:rsid w:val="00B445CF"/>
    <w:rsid w:val="00B463C0"/>
    <w:rsid w:val="00B4652A"/>
    <w:rsid w:val="00B4657A"/>
    <w:rsid w:val="00B54777"/>
    <w:rsid w:val="00B54848"/>
    <w:rsid w:val="00B5518D"/>
    <w:rsid w:val="00B565DB"/>
    <w:rsid w:val="00B56E8A"/>
    <w:rsid w:val="00B57128"/>
    <w:rsid w:val="00B5726D"/>
    <w:rsid w:val="00B574CB"/>
    <w:rsid w:val="00B5798E"/>
    <w:rsid w:val="00B60381"/>
    <w:rsid w:val="00B61F4E"/>
    <w:rsid w:val="00B6276A"/>
    <w:rsid w:val="00B62B53"/>
    <w:rsid w:val="00B63F41"/>
    <w:rsid w:val="00B64F6F"/>
    <w:rsid w:val="00B74938"/>
    <w:rsid w:val="00B75C85"/>
    <w:rsid w:val="00B7625E"/>
    <w:rsid w:val="00B774BB"/>
    <w:rsid w:val="00B81257"/>
    <w:rsid w:val="00B81D00"/>
    <w:rsid w:val="00B83083"/>
    <w:rsid w:val="00B836F0"/>
    <w:rsid w:val="00B83F65"/>
    <w:rsid w:val="00B84B09"/>
    <w:rsid w:val="00B86D8A"/>
    <w:rsid w:val="00B91637"/>
    <w:rsid w:val="00B91765"/>
    <w:rsid w:val="00B91C43"/>
    <w:rsid w:val="00B922A9"/>
    <w:rsid w:val="00B92D96"/>
    <w:rsid w:val="00B9312D"/>
    <w:rsid w:val="00B9367D"/>
    <w:rsid w:val="00B93C16"/>
    <w:rsid w:val="00B95556"/>
    <w:rsid w:val="00B97E0A"/>
    <w:rsid w:val="00BA05F5"/>
    <w:rsid w:val="00BA06A5"/>
    <w:rsid w:val="00BB6002"/>
    <w:rsid w:val="00BC1753"/>
    <w:rsid w:val="00BC2423"/>
    <w:rsid w:val="00BC3EB7"/>
    <w:rsid w:val="00BC42E7"/>
    <w:rsid w:val="00BC6A23"/>
    <w:rsid w:val="00BD0B30"/>
    <w:rsid w:val="00BD1053"/>
    <w:rsid w:val="00BD1B50"/>
    <w:rsid w:val="00BD306A"/>
    <w:rsid w:val="00BD37A0"/>
    <w:rsid w:val="00BD4A1A"/>
    <w:rsid w:val="00BD5A7B"/>
    <w:rsid w:val="00BD5A9C"/>
    <w:rsid w:val="00BE0BE0"/>
    <w:rsid w:val="00BE5318"/>
    <w:rsid w:val="00BE58B5"/>
    <w:rsid w:val="00BE5A1F"/>
    <w:rsid w:val="00BE5F32"/>
    <w:rsid w:val="00BE6365"/>
    <w:rsid w:val="00BE723C"/>
    <w:rsid w:val="00BE7689"/>
    <w:rsid w:val="00BF1D92"/>
    <w:rsid w:val="00BF3D26"/>
    <w:rsid w:val="00BF579F"/>
    <w:rsid w:val="00BF57DA"/>
    <w:rsid w:val="00C03E5B"/>
    <w:rsid w:val="00C04267"/>
    <w:rsid w:val="00C050B7"/>
    <w:rsid w:val="00C0689F"/>
    <w:rsid w:val="00C071CF"/>
    <w:rsid w:val="00C1315D"/>
    <w:rsid w:val="00C15AF4"/>
    <w:rsid w:val="00C17640"/>
    <w:rsid w:val="00C21BD6"/>
    <w:rsid w:val="00C237B0"/>
    <w:rsid w:val="00C23838"/>
    <w:rsid w:val="00C26131"/>
    <w:rsid w:val="00C27086"/>
    <w:rsid w:val="00C3078D"/>
    <w:rsid w:val="00C3475E"/>
    <w:rsid w:val="00C34A70"/>
    <w:rsid w:val="00C35FF3"/>
    <w:rsid w:val="00C367BC"/>
    <w:rsid w:val="00C43F77"/>
    <w:rsid w:val="00C50119"/>
    <w:rsid w:val="00C53A8C"/>
    <w:rsid w:val="00C54622"/>
    <w:rsid w:val="00C55F10"/>
    <w:rsid w:val="00C56885"/>
    <w:rsid w:val="00C6104B"/>
    <w:rsid w:val="00C6418C"/>
    <w:rsid w:val="00C645E3"/>
    <w:rsid w:val="00C6664C"/>
    <w:rsid w:val="00C8309F"/>
    <w:rsid w:val="00C847E4"/>
    <w:rsid w:val="00C85369"/>
    <w:rsid w:val="00C85F20"/>
    <w:rsid w:val="00C86D93"/>
    <w:rsid w:val="00C92459"/>
    <w:rsid w:val="00C93AF7"/>
    <w:rsid w:val="00C94501"/>
    <w:rsid w:val="00C95CBB"/>
    <w:rsid w:val="00C95FF4"/>
    <w:rsid w:val="00CA599F"/>
    <w:rsid w:val="00CA5DCF"/>
    <w:rsid w:val="00CA6A63"/>
    <w:rsid w:val="00CB5F36"/>
    <w:rsid w:val="00CC276A"/>
    <w:rsid w:val="00CD022A"/>
    <w:rsid w:val="00CD4DC4"/>
    <w:rsid w:val="00CD518F"/>
    <w:rsid w:val="00CD5B6D"/>
    <w:rsid w:val="00CD68FE"/>
    <w:rsid w:val="00CD7C7A"/>
    <w:rsid w:val="00CE1964"/>
    <w:rsid w:val="00CE3ED8"/>
    <w:rsid w:val="00CF0E38"/>
    <w:rsid w:val="00CF0E55"/>
    <w:rsid w:val="00CF2226"/>
    <w:rsid w:val="00CF2712"/>
    <w:rsid w:val="00D0165B"/>
    <w:rsid w:val="00D01A14"/>
    <w:rsid w:val="00D036E4"/>
    <w:rsid w:val="00D0576E"/>
    <w:rsid w:val="00D1174A"/>
    <w:rsid w:val="00D12C4D"/>
    <w:rsid w:val="00D20B2B"/>
    <w:rsid w:val="00D228FE"/>
    <w:rsid w:val="00D229E6"/>
    <w:rsid w:val="00D23330"/>
    <w:rsid w:val="00D23990"/>
    <w:rsid w:val="00D251F6"/>
    <w:rsid w:val="00D3456D"/>
    <w:rsid w:val="00D35025"/>
    <w:rsid w:val="00D35822"/>
    <w:rsid w:val="00D3624E"/>
    <w:rsid w:val="00D37FD7"/>
    <w:rsid w:val="00D41189"/>
    <w:rsid w:val="00D41480"/>
    <w:rsid w:val="00D45133"/>
    <w:rsid w:val="00D45255"/>
    <w:rsid w:val="00D4583C"/>
    <w:rsid w:val="00D46EE0"/>
    <w:rsid w:val="00D47747"/>
    <w:rsid w:val="00D503DD"/>
    <w:rsid w:val="00D523E4"/>
    <w:rsid w:val="00D53CC4"/>
    <w:rsid w:val="00D56715"/>
    <w:rsid w:val="00D56D0C"/>
    <w:rsid w:val="00D57D37"/>
    <w:rsid w:val="00D57D6E"/>
    <w:rsid w:val="00D641C9"/>
    <w:rsid w:val="00D70B53"/>
    <w:rsid w:val="00D72882"/>
    <w:rsid w:val="00D75178"/>
    <w:rsid w:val="00D75556"/>
    <w:rsid w:val="00D76264"/>
    <w:rsid w:val="00D765E6"/>
    <w:rsid w:val="00D8416F"/>
    <w:rsid w:val="00D859BC"/>
    <w:rsid w:val="00D8634B"/>
    <w:rsid w:val="00D87875"/>
    <w:rsid w:val="00D92227"/>
    <w:rsid w:val="00D94783"/>
    <w:rsid w:val="00D9530D"/>
    <w:rsid w:val="00D978B3"/>
    <w:rsid w:val="00DA124D"/>
    <w:rsid w:val="00DA18FA"/>
    <w:rsid w:val="00DA32AB"/>
    <w:rsid w:val="00DA54A3"/>
    <w:rsid w:val="00DA720F"/>
    <w:rsid w:val="00DB1105"/>
    <w:rsid w:val="00DB1B29"/>
    <w:rsid w:val="00DB6309"/>
    <w:rsid w:val="00DC0050"/>
    <w:rsid w:val="00DC0FBD"/>
    <w:rsid w:val="00DC2CC3"/>
    <w:rsid w:val="00DC4473"/>
    <w:rsid w:val="00DD3B2B"/>
    <w:rsid w:val="00DD7A26"/>
    <w:rsid w:val="00DE0587"/>
    <w:rsid w:val="00DE1AF9"/>
    <w:rsid w:val="00DE230E"/>
    <w:rsid w:val="00DE5804"/>
    <w:rsid w:val="00DE6D72"/>
    <w:rsid w:val="00DF0906"/>
    <w:rsid w:val="00DF35CA"/>
    <w:rsid w:val="00DF521F"/>
    <w:rsid w:val="00DF5D57"/>
    <w:rsid w:val="00DF60A0"/>
    <w:rsid w:val="00E030DA"/>
    <w:rsid w:val="00E03173"/>
    <w:rsid w:val="00E049D9"/>
    <w:rsid w:val="00E04B46"/>
    <w:rsid w:val="00E109E1"/>
    <w:rsid w:val="00E16EDD"/>
    <w:rsid w:val="00E16F3D"/>
    <w:rsid w:val="00E172C2"/>
    <w:rsid w:val="00E219AA"/>
    <w:rsid w:val="00E22793"/>
    <w:rsid w:val="00E25BD8"/>
    <w:rsid w:val="00E25C36"/>
    <w:rsid w:val="00E2645F"/>
    <w:rsid w:val="00E2696D"/>
    <w:rsid w:val="00E30DB3"/>
    <w:rsid w:val="00E332DC"/>
    <w:rsid w:val="00E37368"/>
    <w:rsid w:val="00E4084C"/>
    <w:rsid w:val="00E42EC5"/>
    <w:rsid w:val="00E50A7F"/>
    <w:rsid w:val="00E51FBF"/>
    <w:rsid w:val="00E52540"/>
    <w:rsid w:val="00E542E0"/>
    <w:rsid w:val="00E55034"/>
    <w:rsid w:val="00E664F1"/>
    <w:rsid w:val="00E76BC1"/>
    <w:rsid w:val="00E84803"/>
    <w:rsid w:val="00E851BE"/>
    <w:rsid w:val="00E8674F"/>
    <w:rsid w:val="00E943A5"/>
    <w:rsid w:val="00E960B8"/>
    <w:rsid w:val="00E967F2"/>
    <w:rsid w:val="00EA1381"/>
    <w:rsid w:val="00EA4340"/>
    <w:rsid w:val="00EB0543"/>
    <w:rsid w:val="00EB32B5"/>
    <w:rsid w:val="00EC1976"/>
    <w:rsid w:val="00EC2995"/>
    <w:rsid w:val="00EC670D"/>
    <w:rsid w:val="00ED0948"/>
    <w:rsid w:val="00ED1489"/>
    <w:rsid w:val="00ED3018"/>
    <w:rsid w:val="00ED5FE2"/>
    <w:rsid w:val="00ED7899"/>
    <w:rsid w:val="00EE0A8D"/>
    <w:rsid w:val="00EE4218"/>
    <w:rsid w:val="00EE447F"/>
    <w:rsid w:val="00EE5DCB"/>
    <w:rsid w:val="00EE74D4"/>
    <w:rsid w:val="00EF03DF"/>
    <w:rsid w:val="00F0176E"/>
    <w:rsid w:val="00F01C18"/>
    <w:rsid w:val="00F032AD"/>
    <w:rsid w:val="00F03993"/>
    <w:rsid w:val="00F12CA2"/>
    <w:rsid w:val="00F13964"/>
    <w:rsid w:val="00F14408"/>
    <w:rsid w:val="00F16A4E"/>
    <w:rsid w:val="00F17B15"/>
    <w:rsid w:val="00F2370C"/>
    <w:rsid w:val="00F24468"/>
    <w:rsid w:val="00F2693B"/>
    <w:rsid w:val="00F27222"/>
    <w:rsid w:val="00F319C7"/>
    <w:rsid w:val="00F31F40"/>
    <w:rsid w:val="00F3330E"/>
    <w:rsid w:val="00F35275"/>
    <w:rsid w:val="00F3782F"/>
    <w:rsid w:val="00F37C74"/>
    <w:rsid w:val="00F40C38"/>
    <w:rsid w:val="00F42B6B"/>
    <w:rsid w:val="00F4329C"/>
    <w:rsid w:val="00F439FF"/>
    <w:rsid w:val="00F43EC8"/>
    <w:rsid w:val="00F511A3"/>
    <w:rsid w:val="00F54D4C"/>
    <w:rsid w:val="00F5718E"/>
    <w:rsid w:val="00F57A53"/>
    <w:rsid w:val="00F60D25"/>
    <w:rsid w:val="00F66168"/>
    <w:rsid w:val="00F6758C"/>
    <w:rsid w:val="00F6784C"/>
    <w:rsid w:val="00F703CA"/>
    <w:rsid w:val="00F72E39"/>
    <w:rsid w:val="00F74C4C"/>
    <w:rsid w:val="00F754A9"/>
    <w:rsid w:val="00F76235"/>
    <w:rsid w:val="00F76AE2"/>
    <w:rsid w:val="00F76F09"/>
    <w:rsid w:val="00F76F45"/>
    <w:rsid w:val="00F8178D"/>
    <w:rsid w:val="00F84444"/>
    <w:rsid w:val="00F8526C"/>
    <w:rsid w:val="00F8799E"/>
    <w:rsid w:val="00F91AD6"/>
    <w:rsid w:val="00F93C2E"/>
    <w:rsid w:val="00F93CCD"/>
    <w:rsid w:val="00F967F2"/>
    <w:rsid w:val="00FB2B85"/>
    <w:rsid w:val="00FB61C1"/>
    <w:rsid w:val="00FC2987"/>
    <w:rsid w:val="00FC6A2D"/>
    <w:rsid w:val="00FC76DA"/>
    <w:rsid w:val="00FC7A6E"/>
    <w:rsid w:val="00FD0622"/>
    <w:rsid w:val="00FD26FC"/>
    <w:rsid w:val="00FD7A6D"/>
    <w:rsid w:val="00FE0BD4"/>
    <w:rsid w:val="00FE1C26"/>
    <w:rsid w:val="00FE2073"/>
    <w:rsid w:val="00FE20F7"/>
    <w:rsid w:val="00FE42AB"/>
    <w:rsid w:val="00FE5C9D"/>
    <w:rsid w:val="00FE5DF6"/>
    <w:rsid w:val="00FE71A9"/>
    <w:rsid w:val="00FF2C73"/>
    <w:rsid w:val="00FF6BAA"/>
    <w:rsid w:val="00FF6C58"/>
    <w:rsid w:val="01132522"/>
    <w:rsid w:val="01143E5D"/>
    <w:rsid w:val="01245C17"/>
    <w:rsid w:val="01A85D51"/>
    <w:rsid w:val="01B91D0C"/>
    <w:rsid w:val="01D32DCE"/>
    <w:rsid w:val="01DF5C17"/>
    <w:rsid w:val="020636EB"/>
    <w:rsid w:val="02072A78"/>
    <w:rsid w:val="02447828"/>
    <w:rsid w:val="03791753"/>
    <w:rsid w:val="03863E70"/>
    <w:rsid w:val="03A00A3F"/>
    <w:rsid w:val="03A10CAA"/>
    <w:rsid w:val="03EA08A3"/>
    <w:rsid w:val="048A2AE0"/>
    <w:rsid w:val="048F6CC6"/>
    <w:rsid w:val="049024F0"/>
    <w:rsid w:val="04AB3B8E"/>
    <w:rsid w:val="04CB4231"/>
    <w:rsid w:val="04D035F5"/>
    <w:rsid w:val="0580501B"/>
    <w:rsid w:val="05C8750C"/>
    <w:rsid w:val="05CD5D86"/>
    <w:rsid w:val="05E57574"/>
    <w:rsid w:val="05E732EC"/>
    <w:rsid w:val="062E4A77"/>
    <w:rsid w:val="06334523"/>
    <w:rsid w:val="06A27213"/>
    <w:rsid w:val="06E31D05"/>
    <w:rsid w:val="06E91E61"/>
    <w:rsid w:val="06FC64D3"/>
    <w:rsid w:val="0701192F"/>
    <w:rsid w:val="07034156"/>
    <w:rsid w:val="07106873"/>
    <w:rsid w:val="07A019A5"/>
    <w:rsid w:val="07B611C8"/>
    <w:rsid w:val="07C057CB"/>
    <w:rsid w:val="084542FA"/>
    <w:rsid w:val="085B3B1D"/>
    <w:rsid w:val="08A72892"/>
    <w:rsid w:val="08E46FFA"/>
    <w:rsid w:val="08E753B1"/>
    <w:rsid w:val="08F21980"/>
    <w:rsid w:val="09095327"/>
    <w:rsid w:val="090E293E"/>
    <w:rsid w:val="0925511C"/>
    <w:rsid w:val="09AD03A9"/>
    <w:rsid w:val="09D41DD9"/>
    <w:rsid w:val="0A782AE6"/>
    <w:rsid w:val="0AAF1EFF"/>
    <w:rsid w:val="0AB13EC9"/>
    <w:rsid w:val="0AB614DF"/>
    <w:rsid w:val="0AC00944"/>
    <w:rsid w:val="0AD5676B"/>
    <w:rsid w:val="0AF66E6E"/>
    <w:rsid w:val="0B9F1F73"/>
    <w:rsid w:val="0BC1013B"/>
    <w:rsid w:val="0BE107DE"/>
    <w:rsid w:val="0BEA58E4"/>
    <w:rsid w:val="0C060244"/>
    <w:rsid w:val="0C4D7C21"/>
    <w:rsid w:val="0C5808DC"/>
    <w:rsid w:val="0C66483F"/>
    <w:rsid w:val="0C8726F3"/>
    <w:rsid w:val="0CBF689E"/>
    <w:rsid w:val="0CE579D3"/>
    <w:rsid w:val="0D4A316C"/>
    <w:rsid w:val="0D562103"/>
    <w:rsid w:val="0D70006B"/>
    <w:rsid w:val="0D86163D"/>
    <w:rsid w:val="0D9F625A"/>
    <w:rsid w:val="0DA10224"/>
    <w:rsid w:val="0DA92A95"/>
    <w:rsid w:val="0E2308C2"/>
    <w:rsid w:val="0E6A4ABA"/>
    <w:rsid w:val="0E6D0107"/>
    <w:rsid w:val="0E9953A0"/>
    <w:rsid w:val="0E9D4E90"/>
    <w:rsid w:val="0ED17DB9"/>
    <w:rsid w:val="0ED434D5"/>
    <w:rsid w:val="0F0F5662"/>
    <w:rsid w:val="0F2C7CDB"/>
    <w:rsid w:val="0F2D1F0B"/>
    <w:rsid w:val="0F346ECB"/>
    <w:rsid w:val="0F360E40"/>
    <w:rsid w:val="0F7F4595"/>
    <w:rsid w:val="0F956C90"/>
    <w:rsid w:val="0FB2073E"/>
    <w:rsid w:val="0FE85723"/>
    <w:rsid w:val="0FFE6A1E"/>
    <w:rsid w:val="1007251B"/>
    <w:rsid w:val="10234F21"/>
    <w:rsid w:val="10463305"/>
    <w:rsid w:val="10563694"/>
    <w:rsid w:val="107734BE"/>
    <w:rsid w:val="10897BD2"/>
    <w:rsid w:val="10D4446D"/>
    <w:rsid w:val="10F60887"/>
    <w:rsid w:val="1100110B"/>
    <w:rsid w:val="112C1DDE"/>
    <w:rsid w:val="11AC0F46"/>
    <w:rsid w:val="11BF511D"/>
    <w:rsid w:val="11D5049D"/>
    <w:rsid w:val="120E6DBF"/>
    <w:rsid w:val="121511E1"/>
    <w:rsid w:val="1232350F"/>
    <w:rsid w:val="123676F6"/>
    <w:rsid w:val="12584AF5"/>
    <w:rsid w:val="12A130B7"/>
    <w:rsid w:val="12CA1FCB"/>
    <w:rsid w:val="12E658A9"/>
    <w:rsid w:val="12F21B5B"/>
    <w:rsid w:val="12F66148"/>
    <w:rsid w:val="12F72695"/>
    <w:rsid w:val="134E49AB"/>
    <w:rsid w:val="140C03C2"/>
    <w:rsid w:val="140E0142"/>
    <w:rsid w:val="14103A0E"/>
    <w:rsid w:val="145F4995"/>
    <w:rsid w:val="14B44CE1"/>
    <w:rsid w:val="14D12EDA"/>
    <w:rsid w:val="15437E13"/>
    <w:rsid w:val="155950DF"/>
    <w:rsid w:val="15681D19"/>
    <w:rsid w:val="156A53A0"/>
    <w:rsid w:val="15A2155B"/>
    <w:rsid w:val="15EF58A5"/>
    <w:rsid w:val="160457F4"/>
    <w:rsid w:val="161861DE"/>
    <w:rsid w:val="163C4F8E"/>
    <w:rsid w:val="1707280A"/>
    <w:rsid w:val="175C3BA1"/>
    <w:rsid w:val="175E2CE2"/>
    <w:rsid w:val="179E57D5"/>
    <w:rsid w:val="17C214C3"/>
    <w:rsid w:val="180C273E"/>
    <w:rsid w:val="18BF5A03"/>
    <w:rsid w:val="195E16BF"/>
    <w:rsid w:val="19793E03"/>
    <w:rsid w:val="19AF2F90"/>
    <w:rsid w:val="1A0C2356"/>
    <w:rsid w:val="1A1911FD"/>
    <w:rsid w:val="1A2024D1"/>
    <w:rsid w:val="1AC123F5"/>
    <w:rsid w:val="1AFA150E"/>
    <w:rsid w:val="1AFC6A9A"/>
    <w:rsid w:val="1B27238F"/>
    <w:rsid w:val="1B590390"/>
    <w:rsid w:val="1B721452"/>
    <w:rsid w:val="1B776A68"/>
    <w:rsid w:val="1B801D2C"/>
    <w:rsid w:val="1B9C64CF"/>
    <w:rsid w:val="1BB47375"/>
    <w:rsid w:val="1BFC314F"/>
    <w:rsid w:val="1C9E1B58"/>
    <w:rsid w:val="1CCA5DFB"/>
    <w:rsid w:val="1CE11AE5"/>
    <w:rsid w:val="1D1C08BA"/>
    <w:rsid w:val="1D330891"/>
    <w:rsid w:val="1D8B67FB"/>
    <w:rsid w:val="1DB63878"/>
    <w:rsid w:val="1DF63C75"/>
    <w:rsid w:val="1EB75C39"/>
    <w:rsid w:val="1EFD7285"/>
    <w:rsid w:val="1F390158"/>
    <w:rsid w:val="1F417171"/>
    <w:rsid w:val="1FA94357"/>
    <w:rsid w:val="202B56F7"/>
    <w:rsid w:val="20A025BE"/>
    <w:rsid w:val="20AC2D10"/>
    <w:rsid w:val="20B108E3"/>
    <w:rsid w:val="20F85F56"/>
    <w:rsid w:val="211A2370"/>
    <w:rsid w:val="21456A1F"/>
    <w:rsid w:val="21BF0647"/>
    <w:rsid w:val="21CA7B33"/>
    <w:rsid w:val="21E604A4"/>
    <w:rsid w:val="220B7F0B"/>
    <w:rsid w:val="22131B6D"/>
    <w:rsid w:val="222A65E3"/>
    <w:rsid w:val="22342FBD"/>
    <w:rsid w:val="22517CB1"/>
    <w:rsid w:val="225E730C"/>
    <w:rsid w:val="22804455"/>
    <w:rsid w:val="228E4DC3"/>
    <w:rsid w:val="22963C78"/>
    <w:rsid w:val="22BD1E87"/>
    <w:rsid w:val="22F66B74"/>
    <w:rsid w:val="231150AD"/>
    <w:rsid w:val="231828DF"/>
    <w:rsid w:val="2342795C"/>
    <w:rsid w:val="237F64BA"/>
    <w:rsid w:val="238D507B"/>
    <w:rsid w:val="23AC2606"/>
    <w:rsid w:val="23B1063E"/>
    <w:rsid w:val="23BF0E1F"/>
    <w:rsid w:val="23C12F77"/>
    <w:rsid w:val="23EE50C5"/>
    <w:rsid w:val="23FC3B97"/>
    <w:rsid w:val="244424B4"/>
    <w:rsid w:val="244A2186"/>
    <w:rsid w:val="24863E3C"/>
    <w:rsid w:val="249540DA"/>
    <w:rsid w:val="24AA57B9"/>
    <w:rsid w:val="24D85EE9"/>
    <w:rsid w:val="25070E5D"/>
    <w:rsid w:val="252E7B8D"/>
    <w:rsid w:val="2533755C"/>
    <w:rsid w:val="256E67E6"/>
    <w:rsid w:val="257B2D60"/>
    <w:rsid w:val="25F807A6"/>
    <w:rsid w:val="25FC3DF2"/>
    <w:rsid w:val="26217CFD"/>
    <w:rsid w:val="26AC3A6A"/>
    <w:rsid w:val="26CD196A"/>
    <w:rsid w:val="26E31456"/>
    <w:rsid w:val="26FC7CDF"/>
    <w:rsid w:val="27171126"/>
    <w:rsid w:val="27190CAB"/>
    <w:rsid w:val="27550FA4"/>
    <w:rsid w:val="275C532C"/>
    <w:rsid w:val="27705E61"/>
    <w:rsid w:val="27734588"/>
    <w:rsid w:val="27832B59"/>
    <w:rsid w:val="279664C8"/>
    <w:rsid w:val="27FC27CF"/>
    <w:rsid w:val="28213FE4"/>
    <w:rsid w:val="283E55A9"/>
    <w:rsid w:val="28500425"/>
    <w:rsid w:val="289C7B0E"/>
    <w:rsid w:val="28E84B02"/>
    <w:rsid w:val="29030EDA"/>
    <w:rsid w:val="290A4C20"/>
    <w:rsid w:val="291853E7"/>
    <w:rsid w:val="294855A0"/>
    <w:rsid w:val="298A3E0B"/>
    <w:rsid w:val="299C48AD"/>
    <w:rsid w:val="29A22F02"/>
    <w:rsid w:val="29A23BD4"/>
    <w:rsid w:val="29B11398"/>
    <w:rsid w:val="29C9293B"/>
    <w:rsid w:val="29CE1F49"/>
    <w:rsid w:val="29E67293"/>
    <w:rsid w:val="29F62207"/>
    <w:rsid w:val="2A251233"/>
    <w:rsid w:val="2A4E6BE6"/>
    <w:rsid w:val="2A6D04C4"/>
    <w:rsid w:val="2AB949A8"/>
    <w:rsid w:val="2AC82E3D"/>
    <w:rsid w:val="2B27650D"/>
    <w:rsid w:val="2B342280"/>
    <w:rsid w:val="2BA01B00"/>
    <w:rsid w:val="2BAC62BA"/>
    <w:rsid w:val="2BB1567F"/>
    <w:rsid w:val="2BB92785"/>
    <w:rsid w:val="2BF54A7B"/>
    <w:rsid w:val="2C37335C"/>
    <w:rsid w:val="2C45620F"/>
    <w:rsid w:val="2C5A5D16"/>
    <w:rsid w:val="2C5C3886"/>
    <w:rsid w:val="2CBF08D0"/>
    <w:rsid w:val="2CC969F8"/>
    <w:rsid w:val="2D376058"/>
    <w:rsid w:val="2D834DF9"/>
    <w:rsid w:val="2DD54E04"/>
    <w:rsid w:val="2DE24215"/>
    <w:rsid w:val="2DE67921"/>
    <w:rsid w:val="2DEE4968"/>
    <w:rsid w:val="2E056583"/>
    <w:rsid w:val="2E2D19E1"/>
    <w:rsid w:val="2E357C8D"/>
    <w:rsid w:val="2E67471B"/>
    <w:rsid w:val="2E84707B"/>
    <w:rsid w:val="2E9115A6"/>
    <w:rsid w:val="2E954E11"/>
    <w:rsid w:val="2EAE2349"/>
    <w:rsid w:val="2ECE02F6"/>
    <w:rsid w:val="2EFF5261"/>
    <w:rsid w:val="2F2041C5"/>
    <w:rsid w:val="2F733FFF"/>
    <w:rsid w:val="2F8B61E7"/>
    <w:rsid w:val="2F911A4F"/>
    <w:rsid w:val="2FB63264"/>
    <w:rsid w:val="2FC11C09"/>
    <w:rsid w:val="2FD63906"/>
    <w:rsid w:val="2FF124EE"/>
    <w:rsid w:val="2FF81ACE"/>
    <w:rsid w:val="304113D5"/>
    <w:rsid w:val="304F6E45"/>
    <w:rsid w:val="30A6777C"/>
    <w:rsid w:val="30FE666C"/>
    <w:rsid w:val="312A215B"/>
    <w:rsid w:val="31655605"/>
    <w:rsid w:val="3196072F"/>
    <w:rsid w:val="319C46DB"/>
    <w:rsid w:val="31A16195"/>
    <w:rsid w:val="31BB6937"/>
    <w:rsid w:val="31F167D5"/>
    <w:rsid w:val="31FF0879"/>
    <w:rsid w:val="320209E2"/>
    <w:rsid w:val="324C60D4"/>
    <w:rsid w:val="324F1054"/>
    <w:rsid w:val="327F4D4C"/>
    <w:rsid w:val="329A50BF"/>
    <w:rsid w:val="32B22908"/>
    <w:rsid w:val="32D85BE7"/>
    <w:rsid w:val="32DD144F"/>
    <w:rsid w:val="32F04CDF"/>
    <w:rsid w:val="332E0024"/>
    <w:rsid w:val="337C76E9"/>
    <w:rsid w:val="33837E11"/>
    <w:rsid w:val="33C148CD"/>
    <w:rsid w:val="33E06739"/>
    <w:rsid w:val="342200CF"/>
    <w:rsid w:val="342A07E1"/>
    <w:rsid w:val="34806536"/>
    <w:rsid w:val="348576A9"/>
    <w:rsid w:val="34860130"/>
    <w:rsid w:val="34F97AD0"/>
    <w:rsid w:val="35624D04"/>
    <w:rsid w:val="3592207D"/>
    <w:rsid w:val="359F0F01"/>
    <w:rsid w:val="35A836FB"/>
    <w:rsid w:val="35A85D44"/>
    <w:rsid w:val="35AE3E83"/>
    <w:rsid w:val="35CE1576"/>
    <w:rsid w:val="35D901BD"/>
    <w:rsid w:val="363B60FF"/>
    <w:rsid w:val="36461ED7"/>
    <w:rsid w:val="365B4B65"/>
    <w:rsid w:val="365E4655"/>
    <w:rsid w:val="36DC3513"/>
    <w:rsid w:val="37092813"/>
    <w:rsid w:val="370C42F2"/>
    <w:rsid w:val="374C2700"/>
    <w:rsid w:val="37792110"/>
    <w:rsid w:val="37906A90"/>
    <w:rsid w:val="37E45315"/>
    <w:rsid w:val="38080218"/>
    <w:rsid w:val="381A45AC"/>
    <w:rsid w:val="384C284D"/>
    <w:rsid w:val="386D4BCC"/>
    <w:rsid w:val="38AC78FA"/>
    <w:rsid w:val="38C31508"/>
    <w:rsid w:val="38F82B3F"/>
    <w:rsid w:val="393557C2"/>
    <w:rsid w:val="395B30CE"/>
    <w:rsid w:val="398C3287"/>
    <w:rsid w:val="39942EF0"/>
    <w:rsid w:val="399D36E6"/>
    <w:rsid w:val="399D5494"/>
    <w:rsid w:val="39A9208B"/>
    <w:rsid w:val="39D75F4E"/>
    <w:rsid w:val="39EB4452"/>
    <w:rsid w:val="3A137505"/>
    <w:rsid w:val="3A241712"/>
    <w:rsid w:val="3A43603C"/>
    <w:rsid w:val="3A571AE7"/>
    <w:rsid w:val="3A9E3272"/>
    <w:rsid w:val="3AA868F8"/>
    <w:rsid w:val="3AD34569"/>
    <w:rsid w:val="3B223EA3"/>
    <w:rsid w:val="3B232C7E"/>
    <w:rsid w:val="3B420FC7"/>
    <w:rsid w:val="3B81506E"/>
    <w:rsid w:val="3B8C57C0"/>
    <w:rsid w:val="3B9A6C07"/>
    <w:rsid w:val="3BD31641"/>
    <w:rsid w:val="3BD72577"/>
    <w:rsid w:val="3BD7566A"/>
    <w:rsid w:val="3C0D25BB"/>
    <w:rsid w:val="3C1A7662"/>
    <w:rsid w:val="3C21415B"/>
    <w:rsid w:val="3C5462DE"/>
    <w:rsid w:val="3C5F4C83"/>
    <w:rsid w:val="3CBC20D5"/>
    <w:rsid w:val="3CC1149A"/>
    <w:rsid w:val="3CE2587C"/>
    <w:rsid w:val="3D0E0B83"/>
    <w:rsid w:val="3D1F48FB"/>
    <w:rsid w:val="3D294FD4"/>
    <w:rsid w:val="3D29776B"/>
    <w:rsid w:val="3D2A703F"/>
    <w:rsid w:val="3D3711B6"/>
    <w:rsid w:val="3D7824A0"/>
    <w:rsid w:val="3DB153FE"/>
    <w:rsid w:val="3DB50FFF"/>
    <w:rsid w:val="3DD7166E"/>
    <w:rsid w:val="3DF87E6E"/>
    <w:rsid w:val="3E2E0DB1"/>
    <w:rsid w:val="3E3208A1"/>
    <w:rsid w:val="3E432AAE"/>
    <w:rsid w:val="3E691DE9"/>
    <w:rsid w:val="3E9418D5"/>
    <w:rsid w:val="3EA04FF3"/>
    <w:rsid w:val="3F31580E"/>
    <w:rsid w:val="3F395C5F"/>
    <w:rsid w:val="3F3E7126"/>
    <w:rsid w:val="3FB47094"/>
    <w:rsid w:val="3FBE3F16"/>
    <w:rsid w:val="40017E11"/>
    <w:rsid w:val="400F37BF"/>
    <w:rsid w:val="401364B0"/>
    <w:rsid w:val="402B6735"/>
    <w:rsid w:val="402E5098"/>
    <w:rsid w:val="403E301D"/>
    <w:rsid w:val="404C551E"/>
    <w:rsid w:val="404E573A"/>
    <w:rsid w:val="4057639D"/>
    <w:rsid w:val="4061721C"/>
    <w:rsid w:val="40B43400"/>
    <w:rsid w:val="40B557B9"/>
    <w:rsid w:val="40C352CE"/>
    <w:rsid w:val="40D16DF1"/>
    <w:rsid w:val="40E72E1D"/>
    <w:rsid w:val="41197AF6"/>
    <w:rsid w:val="41232676"/>
    <w:rsid w:val="412D70FE"/>
    <w:rsid w:val="41320BB8"/>
    <w:rsid w:val="415154E2"/>
    <w:rsid w:val="419C0EF3"/>
    <w:rsid w:val="41BC7C51"/>
    <w:rsid w:val="41D956CC"/>
    <w:rsid w:val="420E33D3"/>
    <w:rsid w:val="42366486"/>
    <w:rsid w:val="429F2355"/>
    <w:rsid w:val="42B555FD"/>
    <w:rsid w:val="42C121F4"/>
    <w:rsid w:val="42CE66BF"/>
    <w:rsid w:val="42FF4ACA"/>
    <w:rsid w:val="43394480"/>
    <w:rsid w:val="43574906"/>
    <w:rsid w:val="436F7DD9"/>
    <w:rsid w:val="43736A00"/>
    <w:rsid w:val="437C436D"/>
    <w:rsid w:val="43AE272A"/>
    <w:rsid w:val="43B90901"/>
    <w:rsid w:val="440E3217"/>
    <w:rsid w:val="443D1D4E"/>
    <w:rsid w:val="444529B0"/>
    <w:rsid w:val="44572895"/>
    <w:rsid w:val="44641089"/>
    <w:rsid w:val="44712861"/>
    <w:rsid w:val="44D426B2"/>
    <w:rsid w:val="44F71EFD"/>
    <w:rsid w:val="45592BB7"/>
    <w:rsid w:val="45B86092"/>
    <w:rsid w:val="45CC5137"/>
    <w:rsid w:val="45EA2C71"/>
    <w:rsid w:val="462C5BD6"/>
    <w:rsid w:val="463D7DE3"/>
    <w:rsid w:val="46454EEA"/>
    <w:rsid w:val="46A00FA6"/>
    <w:rsid w:val="46BA7686"/>
    <w:rsid w:val="46EC7171"/>
    <w:rsid w:val="46F63E3C"/>
    <w:rsid w:val="46FC0DD5"/>
    <w:rsid w:val="470B7EE1"/>
    <w:rsid w:val="47222787"/>
    <w:rsid w:val="47262F6D"/>
    <w:rsid w:val="473652D6"/>
    <w:rsid w:val="4799373F"/>
    <w:rsid w:val="480D19CC"/>
    <w:rsid w:val="4812704D"/>
    <w:rsid w:val="48266846"/>
    <w:rsid w:val="482A4397"/>
    <w:rsid w:val="484418FD"/>
    <w:rsid w:val="487A531F"/>
    <w:rsid w:val="48C04CFB"/>
    <w:rsid w:val="48C06C85"/>
    <w:rsid w:val="48C7608A"/>
    <w:rsid w:val="48DF5E07"/>
    <w:rsid w:val="49005330"/>
    <w:rsid w:val="494029CE"/>
    <w:rsid w:val="4968786D"/>
    <w:rsid w:val="49891591"/>
    <w:rsid w:val="49CF3448"/>
    <w:rsid w:val="4A032FCD"/>
    <w:rsid w:val="4A08695A"/>
    <w:rsid w:val="4A216DB7"/>
    <w:rsid w:val="4A381CE6"/>
    <w:rsid w:val="4A392FB7"/>
    <w:rsid w:val="4A4F4589"/>
    <w:rsid w:val="4A5A3216"/>
    <w:rsid w:val="4AD9745F"/>
    <w:rsid w:val="4B201A81"/>
    <w:rsid w:val="4B3A2B43"/>
    <w:rsid w:val="4B910F90"/>
    <w:rsid w:val="4B991F60"/>
    <w:rsid w:val="4BBD5522"/>
    <w:rsid w:val="4BEE0F7D"/>
    <w:rsid w:val="4C2F6420"/>
    <w:rsid w:val="4CA23096"/>
    <w:rsid w:val="4CE76CFB"/>
    <w:rsid w:val="4D027691"/>
    <w:rsid w:val="4D065613"/>
    <w:rsid w:val="4D096C71"/>
    <w:rsid w:val="4D381CBD"/>
    <w:rsid w:val="4D4974B5"/>
    <w:rsid w:val="4D6825F5"/>
    <w:rsid w:val="4D844549"/>
    <w:rsid w:val="4D9C1893"/>
    <w:rsid w:val="4E1F107E"/>
    <w:rsid w:val="4E9904C8"/>
    <w:rsid w:val="4EA17396"/>
    <w:rsid w:val="4ED35788"/>
    <w:rsid w:val="4EDB463D"/>
    <w:rsid w:val="4EDF3A83"/>
    <w:rsid w:val="4EE169FF"/>
    <w:rsid w:val="4F1C5139"/>
    <w:rsid w:val="4F3D5FFB"/>
    <w:rsid w:val="4F564B0B"/>
    <w:rsid w:val="4F61304F"/>
    <w:rsid w:val="4F6A776F"/>
    <w:rsid w:val="4F7F146C"/>
    <w:rsid w:val="4FAE58AE"/>
    <w:rsid w:val="4FCF06B5"/>
    <w:rsid w:val="4FFF3D21"/>
    <w:rsid w:val="50B415EA"/>
    <w:rsid w:val="50C35389"/>
    <w:rsid w:val="50C7131D"/>
    <w:rsid w:val="51043ACA"/>
    <w:rsid w:val="511A51B3"/>
    <w:rsid w:val="51295B34"/>
    <w:rsid w:val="512F0C70"/>
    <w:rsid w:val="51312C3A"/>
    <w:rsid w:val="51491D32"/>
    <w:rsid w:val="51A82E25"/>
    <w:rsid w:val="51B804CE"/>
    <w:rsid w:val="51D04201"/>
    <w:rsid w:val="520C7D4A"/>
    <w:rsid w:val="525564B4"/>
    <w:rsid w:val="527E43B1"/>
    <w:rsid w:val="5294522F"/>
    <w:rsid w:val="52BC29D7"/>
    <w:rsid w:val="52C40803"/>
    <w:rsid w:val="52D47449"/>
    <w:rsid w:val="534A70A8"/>
    <w:rsid w:val="534D6540"/>
    <w:rsid w:val="53620E89"/>
    <w:rsid w:val="53780771"/>
    <w:rsid w:val="53837051"/>
    <w:rsid w:val="539D0113"/>
    <w:rsid w:val="539E07FC"/>
    <w:rsid w:val="53A40654"/>
    <w:rsid w:val="53B813F1"/>
    <w:rsid w:val="53E3487C"/>
    <w:rsid w:val="541A1764"/>
    <w:rsid w:val="542C72E8"/>
    <w:rsid w:val="545F361A"/>
    <w:rsid w:val="548E3F00"/>
    <w:rsid w:val="54C16083"/>
    <w:rsid w:val="54D9161F"/>
    <w:rsid w:val="54F2623D"/>
    <w:rsid w:val="552F5A99"/>
    <w:rsid w:val="554D0BCB"/>
    <w:rsid w:val="55690BF5"/>
    <w:rsid w:val="55AC6D33"/>
    <w:rsid w:val="55CF657E"/>
    <w:rsid w:val="55DF0EB7"/>
    <w:rsid w:val="55F6681C"/>
    <w:rsid w:val="56026953"/>
    <w:rsid w:val="564E1B99"/>
    <w:rsid w:val="56552F27"/>
    <w:rsid w:val="565A678F"/>
    <w:rsid w:val="568061E5"/>
    <w:rsid w:val="569357FD"/>
    <w:rsid w:val="56970D0F"/>
    <w:rsid w:val="569C1F32"/>
    <w:rsid w:val="56E10C5F"/>
    <w:rsid w:val="571A77DF"/>
    <w:rsid w:val="572D508C"/>
    <w:rsid w:val="57654A31"/>
    <w:rsid w:val="57886AF0"/>
    <w:rsid w:val="578E53C8"/>
    <w:rsid w:val="57BA3436"/>
    <w:rsid w:val="57C9597B"/>
    <w:rsid w:val="57E52089"/>
    <w:rsid w:val="57FF75EE"/>
    <w:rsid w:val="580E264B"/>
    <w:rsid w:val="582C415B"/>
    <w:rsid w:val="588418A2"/>
    <w:rsid w:val="588E44CE"/>
    <w:rsid w:val="58AB32D2"/>
    <w:rsid w:val="58BD6B62"/>
    <w:rsid w:val="59014FF7"/>
    <w:rsid w:val="591744C4"/>
    <w:rsid w:val="59266DFD"/>
    <w:rsid w:val="594E7704"/>
    <w:rsid w:val="59825B0C"/>
    <w:rsid w:val="598729A5"/>
    <w:rsid w:val="598B0DDF"/>
    <w:rsid w:val="59DA3ECF"/>
    <w:rsid w:val="59F82547"/>
    <w:rsid w:val="59FE51CE"/>
    <w:rsid w:val="5A386DE8"/>
    <w:rsid w:val="5AAD1584"/>
    <w:rsid w:val="5ACB37B8"/>
    <w:rsid w:val="5B135597"/>
    <w:rsid w:val="5B1F3B03"/>
    <w:rsid w:val="5B22484B"/>
    <w:rsid w:val="5B2A2BD4"/>
    <w:rsid w:val="5B356EE0"/>
    <w:rsid w:val="5B3D3F8A"/>
    <w:rsid w:val="5B4B5BCA"/>
    <w:rsid w:val="5B57329D"/>
    <w:rsid w:val="5B7406A2"/>
    <w:rsid w:val="5B9333DF"/>
    <w:rsid w:val="5B955B74"/>
    <w:rsid w:val="5BB22859"/>
    <w:rsid w:val="5C1275A8"/>
    <w:rsid w:val="5C171C63"/>
    <w:rsid w:val="5C3B7A1B"/>
    <w:rsid w:val="5C512D32"/>
    <w:rsid w:val="5C5F6ECB"/>
    <w:rsid w:val="5C693D90"/>
    <w:rsid w:val="5C844566"/>
    <w:rsid w:val="5C9B21DE"/>
    <w:rsid w:val="5CC11316"/>
    <w:rsid w:val="5CE46DB3"/>
    <w:rsid w:val="5CF179B0"/>
    <w:rsid w:val="5D2D23B6"/>
    <w:rsid w:val="5D600B2F"/>
    <w:rsid w:val="5D7243BE"/>
    <w:rsid w:val="5E211941"/>
    <w:rsid w:val="5E287173"/>
    <w:rsid w:val="5E2F22B0"/>
    <w:rsid w:val="5E710B1A"/>
    <w:rsid w:val="5E8720EC"/>
    <w:rsid w:val="5E875C48"/>
    <w:rsid w:val="5F4E2C09"/>
    <w:rsid w:val="5F530220"/>
    <w:rsid w:val="5F630AD3"/>
    <w:rsid w:val="5F6E5059"/>
    <w:rsid w:val="5F9A5D46"/>
    <w:rsid w:val="5FA345E7"/>
    <w:rsid w:val="5FD650D9"/>
    <w:rsid w:val="5FDB3278"/>
    <w:rsid w:val="5FF76DFD"/>
    <w:rsid w:val="60002155"/>
    <w:rsid w:val="601E1FA3"/>
    <w:rsid w:val="605D0E03"/>
    <w:rsid w:val="60616135"/>
    <w:rsid w:val="60B357D4"/>
    <w:rsid w:val="60B60A66"/>
    <w:rsid w:val="60E03D35"/>
    <w:rsid w:val="613227E3"/>
    <w:rsid w:val="613A51F3"/>
    <w:rsid w:val="613D1187"/>
    <w:rsid w:val="6166423A"/>
    <w:rsid w:val="617A1A94"/>
    <w:rsid w:val="61811074"/>
    <w:rsid w:val="61CB6793"/>
    <w:rsid w:val="61FA4982"/>
    <w:rsid w:val="62005F1E"/>
    <w:rsid w:val="620A72BB"/>
    <w:rsid w:val="624D041E"/>
    <w:rsid w:val="62764951"/>
    <w:rsid w:val="62AD08FA"/>
    <w:rsid w:val="62AE40EB"/>
    <w:rsid w:val="62B45479"/>
    <w:rsid w:val="634467FD"/>
    <w:rsid w:val="635D166D"/>
    <w:rsid w:val="63617019"/>
    <w:rsid w:val="638A0A2F"/>
    <w:rsid w:val="63C40913"/>
    <w:rsid w:val="63D551B0"/>
    <w:rsid w:val="63E47647"/>
    <w:rsid w:val="6428747C"/>
    <w:rsid w:val="6441618F"/>
    <w:rsid w:val="644A1BF1"/>
    <w:rsid w:val="644A7263"/>
    <w:rsid w:val="646F1658"/>
    <w:rsid w:val="65063A90"/>
    <w:rsid w:val="6530528B"/>
    <w:rsid w:val="655820EC"/>
    <w:rsid w:val="657C6AA7"/>
    <w:rsid w:val="65827169"/>
    <w:rsid w:val="66061B48"/>
    <w:rsid w:val="663012BB"/>
    <w:rsid w:val="66342B59"/>
    <w:rsid w:val="6635242D"/>
    <w:rsid w:val="6637200F"/>
    <w:rsid w:val="66456B14"/>
    <w:rsid w:val="666450E8"/>
    <w:rsid w:val="66872F76"/>
    <w:rsid w:val="668F1B3D"/>
    <w:rsid w:val="6692787F"/>
    <w:rsid w:val="66974E96"/>
    <w:rsid w:val="66A44562"/>
    <w:rsid w:val="66F568E3"/>
    <w:rsid w:val="670A5668"/>
    <w:rsid w:val="671375EC"/>
    <w:rsid w:val="672C7CD4"/>
    <w:rsid w:val="67EB5499"/>
    <w:rsid w:val="67F0485E"/>
    <w:rsid w:val="67FD341E"/>
    <w:rsid w:val="68190258"/>
    <w:rsid w:val="682E2EC8"/>
    <w:rsid w:val="68307A21"/>
    <w:rsid w:val="68330A3C"/>
    <w:rsid w:val="6877748A"/>
    <w:rsid w:val="689478DF"/>
    <w:rsid w:val="68955405"/>
    <w:rsid w:val="68A73651"/>
    <w:rsid w:val="68D8181C"/>
    <w:rsid w:val="68F22D2E"/>
    <w:rsid w:val="69166546"/>
    <w:rsid w:val="691E6A93"/>
    <w:rsid w:val="694113E1"/>
    <w:rsid w:val="69472D1F"/>
    <w:rsid w:val="694C01BA"/>
    <w:rsid w:val="695A0B28"/>
    <w:rsid w:val="698D33D2"/>
    <w:rsid w:val="69DA49A1"/>
    <w:rsid w:val="69F525FF"/>
    <w:rsid w:val="6A263282"/>
    <w:rsid w:val="6A430DFE"/>
    <w:rsid w:val="6A576E16"/>
    <w:rsid w:val="6A811E42"/>
    <w:rsid w:val="6A8676FB"/>
    <w:rsid w:val="6AB30C77"/>
    <w:rsid w:val="6AEC44EE"/>
    <w:rsid w:val="6AED32D6"/>
    <w:rsid w:val="6B016D82"/>
    <w:rsid w:val="6B3D24B0"/>
    <w:rsid w:val="6B4F481A"/>
    <w:rsid w:val="6BB32772"/>
    <w:rsid w:val="6BB73E72"/>
    <w:rsid w:val="6BCE135A"/>
    <w:rsid w:val="6BD55655"/>
    <w:rsid w:val="6C0B71D9"/>
    <w:rsid w:val="6C223454"/>
    <w:rsid w:val="6C2B67AC"/>
    <w:rsid w:val="6C6E3FED"/>
    <w:rsid w:val="6C6E6699"/>
    <w:rsid w:val="6C89702F"/>
    <w:rsid w:val="6C9205D9"/>
    <w:rsid w:val="6CCB64FE"/>
    <w:rsid w:val="6D033285"/>
    <w:rsid w:val="6D513FF0"/>
    <w:rsid w:val="6DC56E75"/>
    <w:rsid w:val="6DE8171F"/>
    <w:rsid w:val="6DF13761"/>
    <w:rsid w:val="6DF40E20"/>
    <w:rsid w:val="6E221A17"/>
    <w:rsid w:val="6E2E60E0"/>
    <w:rsid w:val="6E3556C0"/>
    <w:rsid w:val="6E3D27C7"/>
    <w:rsid w:val="6E531FEA"/>
    <w:rsid w:val="6E5F2811"/>
    <w:rsid w:val="6E863529"/>
    <w:rsid w:val="6EB26D11"/>
    <w:rsid w:val="6ED749C9"/>
    <w:rsid w:val="6ED93E30"/>
    <w:rsid w:val="6EE90259"/>
    <w:rsid w:val="6F053B1A"/>
    <w:rsid w:val="6F091D13"/>
    <w:rsid w:val="6F321E6A"/>
    <w:rsid w:val="6F4D6995"/>
    <w:rsid w:val="6F513699"/>
    <w:rsid w:val="6F7C2BCA"/>
    <w:rsid w:val="6F854425"/>
    <w:rsid w:val="6FBB7E47"/>
    <w:rsid w:val="6FC50CC6"/>
    <w:rsid w:val="6FC62348"/>
    <w:rsid w:val="6FCA008A"/>
    <w:rsid w:val="6FD66A2F"/>
    <w:rsid w:val="703642F5"/>
    <w:rsid w:val="70447E3C"/>
    <w:rsid w:val="704F5BE2"/>
    <w:rsid w:val="705B0CE2"/>
    <w:rsid w:val="70607547"/>
    <w:rsid w:val="706978A3"/>
    <w:rsid w:val="7089584F"/>
    <w:rsid w:val="709D754D"/>
    <w:rsid w:val="70EA2C9F"/>
    <w:rsid w:val="70ED2282"/>
    <w:rsid w:val="70F01D72"/>
    <w:rsid w:val="71155335"/>
    <w:rsid w:val="717E737E"/>
    <w:rsid w:val="71AF12E6"/>
    <w:rsid w:val="71B66B18"/>
    <w:rsid w:val="71EA50EF"/>
    <w:rsid w:val="720F7FD6"/>
    <w:rsid w:val="723A0D6C"/>
    <w:rsid w:val="726522EC"/>
    <w:rsid w:val="72A4003F"/>
    <w:rsid w:val="72A76602"/>
    <w:rsid w:val="72B072F2"/>
    <w:rsid w:val="72B8241C"/>
    <w:rsid w:val="72BB74BB"/>
    <w:rsid w:val="72BC5B19"/>
    <w:rsid w:val="72CE60E3"/>
    <w:rsid w:val="72FC4EBC"/>
    <w:rsid w:val="73104006"/>
    <w:rsid w:val="73216213"/>
    <w:rsid w:val="73441F01"/>
    <w:rsid w:val="734E3FF8"/>
    <w:rsid w:val="734F6ADC"/>
    <w:rsid w:val="735F4F8D"/>
    <w:rsid w:val="736507F6"/>
    <w:rsid w:val="74244D95"/>
    <w:rsid w:val="74681C20"/>
    <w:rsid w:val="746F2FAE"/>
    <w:rsid w:val="74AE1D28"/>
    <w:rsid w:val="74B27BCC"/>
    <w:rsid w:val="74C01A5C"/>
    <w:rsid w:val="74C32593"/>
    <w:rsid w:val="74D86FD2"/>
    <w:rsid w:val="75436915"/>
    <w:rsid w:val="7548217D"/>
    <w:rsid w:val="754C37D8"/>
    <w:rsid w:val="756560C4"/>
    <w:rsid w:val="75B467ED"/>
    <w:rsid w:val="76206C56"/>
    <w:rsid w:val="764676FA"/>
    <w:rsid w:val="76484006"/>
    <w:rsid w:val="76553B71"/>
    <w:rsid w:val="76875FA1"/>
    <w:rsid w:val="768D1F11"/>
    <w:rsid w:val="76D65566"/>
    <w:rsid w:val="77022837"/>
    <w:rsid w:val="770714BD"/>
    <w:rsid w:val="77086AC8"/>
    <w:rsid w:val="77334767"/>
    <w:rsid w:val="77525D78"/>
    <w:rsid w:val="77620652"/>
    <w:rsid w:val="779C1096"/>
    <w:rsid w:val="781C0757"/>
    <w:rsid w:val="781E5417"/>
    <w:rsid w:val="78327A5B"/>
    <w:rsid w:val="78340796"/>
    <w:rsid w:val="78A81CCB"/>
    <w:rsid w:val="78DC76BA"/>
    <w:rsid w:val="79154E31"/>
    <w:rsid w:val="792A5615"/>
    <w:rsid w:val="79590464"/>
    <w:rsid w:val="79694470"/>
    <w:rsid w:val="79E968A0"/>
    <w:rsid w:val="79F301DD"/>
    <w:rsid w:val="7A0E1947"/>
    <w:rsid w:val="7AB01CA9"/>
    <w:rsid w:val="7ADB139D"/>
    <w:rsid w:val="7AE30252"/>
    <w:rsid w:val="7AFB0585"/>
    <w:rsid w:val="7B28363D"/>
    <w:rsid w:val="7B346CFF"/>
    <w:rsid w:val="7B4351E9"/>
    <w:rsid w:val="7B587DC7"/>
    <w:rsid w:val="7B7758D8"/>
    <w:rsid w:val="7BBE032D"/>
    <w:rsid w:val="7C031902"/>
    <w:rsid w:val="7C2E374F"/>
    <w:rsid w:val="7C372603"/>
    <w:rsid w:val="7C3A0345"/>
    <w:rsid w:val="7C3D0F57"/>
    <w:rsid w:val="7C480CB4"/>
    <w:rsid w:val="7C561F60"/>
    <w:rsid w:val="7C605FFE"/>
    <w:rsid w:val="7C665B94"/>
    <w:rsid w:val="7CB451DB"/>
    <w:rsid w:val="7CE97E0A"/>
    <w:rsid w:val="7CF52524"/>
    <w:rsid w:val="7D480840"/>
    <w:rsid w:val="7D54702D"/>
    <w:rsid w:val="7D5D77BB"/>
    <w:rsid w:val="7DB400CB"/>
    <w:rsid w:val="7DBF4249"/>
    <w:rsid w:val="7DC0487A"/>
    <w:rsid w:val="7DDD367E"/>
    <w:rsid w:val="7DE14F1D"/>
    <w:rsid w:val="7DF10ED8"/>
    <w:rsid w:val="7E0B2713"/>
    <w:rsid w:val="7E0E1A8A"/>
    <w:rsid w:val="7E1507E5"/>
    <w:rsid w:val="7E1C15AE"/>
    <w:rsid w:val="7E2968C4"/>
    <w:rsid w:val="7E301A00"/>
    <w:rsid w:val="7E7E276B"/>
    <w:rsid w:val="7EA45F4A"/>
    <w:rsid w:val="7EAA17B2"/>
    <w:rsid w:val="7ECB34D7"/>
    <w:rsid w:val="7F043992"/>
    <w:rsid w:val="7F0C5FC9"/>
    <w:rsid w:val="7F233313"/>
    <w:rsid w:val="7F346099"/>
    <w:rsid w:val="7F4A4D43"/>
    <w:rsid w:val="7F924BEC"/>
    <w:rsid w:val="7F930498"/>
    <w:rsid w:val="7FA2248A"/>
    <w:rsid w:val="7FB8716E"/>
    <w:rsid w:val="7FE500F3"/>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nhideWhenUsed="0" w:uiPriority="0" w:semiHidden="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name="toc 1"/>
    <w:lsdException w:qFormat="1" w:unhideWhenUsed="0" w:uiPriority="0" w:name="toc 2"/>
    <w:lsdException w:qFormat="1" w:unhideWhenUsed="0" w:uiPriority="0" w:name="toc 3"/>
    <w:lsdException w:qFormat="1" w:unhideWhenUsed="0" w:uiPriority="0" w:name="toc 4"/>
    <w:lsdException w:qFormat="1" w:unhideWhenUsed="0" w:uiPriority="0" w:name="toc 5"/>
    <w:lsdException w:qFormat="1" w:unhideWhenUsed="0" w:uiPriority="0" w:name="toc 6"/>
    <w:lsdException w:qFormat="1" w:unhideWhenUsed="0" w:uiPriority="0" w:name="toc 7"/>
    <w:lsdException w:qFormat="1" w:unhideWhenUsed="0" w:uiPriority="0" w:name="toc 8"/>
    <w:lsdException w:qFormat="1" w:unhideWhenUsed="0" w:uiPriority="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99"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35"/>
    <w:autoRedefine/>
    <w:qFormat/>
    <w:uiPriority w:val="0"/>
    <w:pPr>
      <w:keepNext/>
      <w:spacing w:line="216" w:lineRule="auto"/>
      <w:jc w:val="center"/>
      <w:outlineLvl w:val="0"/>
    </w:pPr>
    <w:rPr>
      <w:rFonts w:ascii="宋体" w:hAnsi="宋体"/>
      <w:b/>
      <w:sz w:val="30"/>
      <w:szCs w:val="20"/>
    </w:rPr>
  </w:style>
  <w:style w:type="paragraph" w:styleId="4">
    <w:name w:val="heading 2"/>
    <w:basedOn w:val="1"/>
    <w:next w:val="5"/>
    <w:link w:val="36"/>
    <w:qFormat/>
    <w:uiPriority w:val="0"/>
    <w:pPr>
      <w:keepNext/>
      <w:spacing w:line="216" w:lineRule="auto"/>
      <w:outlineLvl w:val="1"/>
    </w:pPr>
    <w:rPr>
      <w:rFonts w:ascii="宋体"/>
      <w:b/>
      <w:sz w:val="28"/>
      <w:szCs w:val="20"/>
    </w:rPr>
  </w:style>
  <w:style w:type="paragraph" w:styleId="6">
    <w:name w:val="heading 3"/>
    <w:basedOn w:val="1"/>
    <w:next w:val="1"/>
    <w:autoRedefine/>
    <w:qFormat/>
    <w:uiPriority w:val="0"/>
    <w:pPr>
      <w:keepNext/>
      <w:numPr>
        <w:ilvl w:val="0"/>
        <w:numId w:val="1"/>
      </w:numPr>
      <w:spacing w:line="216" w:lineRule="auto"/>
      <w:outlineLvl w:val="2"/>
    </w:pPr>
    <w:rPr>
      <w:rFonts w:ascii="宋体"/>
      <w:b/>
      <w:bCs/>
      <w:sz w:val="28"/>
      <w:szCs w:val="20"/>
    </w:rPr>
  </w:style>
  <w:style w:type="paragraph" w:styleId="2">
    <w:name w:val="heading 4"/>
    <w:basedOn w:val="1"/>
    <w:next w:val="1"/>
    <w:autoRedefine/>
    <w:qFormat/>
    <w:uiPriority w:val="0"/>
    <w:pPr>
      <w:keepNext/>
      <w:numPr>
        <w:ilvl w:val="0"/>
        <w:numId w:val="2"/>
      </w:numPr>
      <w:spacing w:line="216" w:lineRule="auto"/>
      <w:outlineLvl w:val="3"/>
    </w:pPr>
    <w:rPr>
      <w:rFonts w:ascii="黑体" w:eastAsia="黑体"/>
      <w:b/>
      <w:sz w:val="24"/>
      <w:szCs w:val="20"/>
    </w:rPr>
  </w:style>
  <w:style w:type="paragraph" w:styleId="7">
    <w:name w:val="heading 6"/>
    <w:basedOn w:val="1"/>
    <w:next w:val="1"/>
    <w:qFormat/>
    <w:uiPriority w:val="0"/>
    <w:pPr>
      <w:keepNext/>
      <w:keepLines/>
      <w:spacing w:before="240" w:after="64" w:line="317" w:lineRule="auto"/>
      <w:outlineLvl w:val="5"/>
    </w:pPr>
    <w:rPr>
      <w:rFonts w:ascii="Cambria" w:hAnsi="Cambria"/>
      <w:b/>
      <w:bCs/>
      <w:sz w:val="24"/>
      <w:szCs w:val="24"/>
    </w:rPr>
  </w:style>
  <w:style w:type="character" w:default="1" w:styleId="31">
    <w:name w:val="Default Paragraph Font"/>
    <w:autoRedefine/>
    <w:semiHidden/>
    <w:qFormat/>
    <w:uiPriority w:val="0"/>
  </w:style>
  <w:style w:type="table" w:default="1" w:styleId="30">
    <w:name w:val="Normal Table"/>
    <w:autoRedefine/>
    <w:semiHidden/>
    <w:qFormat/>
    <w:uiPriority w:val="0"/>
    <w:tblPr>
      <w:tblCellMar>
        <w:top w:w="0" w:type="dxa"/>
        <w:left w:w="108" w:type="dxa"/>
        <w:bottom w:w="0" w:type="dxa"/>
        <w:right w:w="108" w:type="dxa"/>
      </w:tblCellMar>
    </w:tblPr>
  </w:style>
  <w:style w:type="paragraph" w:styleId="5">
    <w:name w:val="Normal Indent"/>
    <w:basedOn w:val="1"/>
    <w:autoRedefine/>
    <w:qFormat/>
    <w:uiPriority w:val="0"/>
    <w:pPr>
      <w:ind w:firstLine="420"/>
    </w:pPr>
    <w:rPr>
      <w:szCs w:val="20"/>
    </w:rPr>
  </w:style>
  <w:style w:type="paragraph" w:styleId="8">
    <w:name w:val="toc 7"/>
    <w:basedOn w:val="1"/>
    <w:next w:val="1"/>
    <w:autoRedefine/>
    <w:semiHidden/>
    <w:qFormat/>
    <w:uiPriority w:val="0"/>
    <w:pPr>
      <w:ind w:left="2520" w:leftChars="1200"/>
    </w:pPr>
  </w:style>
  <w:style w:type="paragraph" w:styleId="9">
    <w:name w:val="annotation text"/>
    <w:basedOn w:val="1"/>
    <w:link w:val="37"/>
    <w:autoRedefine/>
    <w:qFormat/>
    <w:uiPriority w:val="0"/>
    <w:pPr>
      <w:adjustRightInd w:val="0"/>
      <w:jc w:val="left"/>
    </w:pPr>
  </w:style>
  <w:style w:type="paragraph" w:styleId="10">
    <w:name w:val="Body Text"/>
    <w:basedOn w:val="1"/>
    <w:next w:val="11"/>
    <w:autoRedefine/>
    <w:qFormat/>
    <w:uiPriority w:val="0"/>
    <w:pPr>
      <w:autoSpaceDE w:val="0"/>
      <w:autoSpaceDN w:val="0"/>
      <w:adjustRightInd w:val="0"/>
      <w:spacing w:line="360" w:lineRule="auto"/>
    </w:pPr>
    <w:rPr>
      <w:rFonts w:ascii="宋体" w:hAnsi="Arial" w:cs="Arial"/>
      <w:snapToGrid w:val="0"/>
      <w:sz w:val="24"/>
      <w:szCs w:val="21"/>
      <w:lang w:val="zh-CN"/>
    </w:rPr>
  </w:style>
  <w:style w:type="paragraph" w:styleId="11">
    <w:name w:val="Body Text First Indent"/>
    <w:basedOn w:val="10"/>
    <w:next w:val="12"/>
    <w:autoRedefine/>
    <w:qFormat/>
    <w:uiPriority w:val="99"/>
    <w:pPr>
      <w:ind w:firstLine="420" w:firstLineChars="100"/>
    </w:pPr>
  </w:style>
  <w:style w:type="paragraph" w:styleId="12">
    <w:name w:val="toc 6"/>
    <w:basedOn w:val="1"/>
    <w:next w:val="1"/>
    <w:autoRedefine/>
    <w:semiHidden/>
    <w:qFormat/>
    <w:uiPriority w:val="0"/>
    <w:pPr>
      <w:ind w:left="2100" w:leftChars="1000"/>
    </w:pPr>
  </w:style>
  <w:style w:type="paragraph" w:styleId="13">
    <w:name w:val="Body Text Indent"/>
    <w:basedOn w:val="1"/>
    <w:next w:val="1"/>
    <w:link w:val="38"/>
    <w:autoRedefine/>
    <w:qFormat/>
    <w:uiPriority w:val="0"/>
    <w:pPr>
      <w:spacing w:after="120"/>
      <w:ind w:left="420" w:leftChars="200"/>
    </w:pPr>
  </w:style>
  <w:style w:type="paragraph" w:styleId="14">
    <w:name w:val="toc 5"/>
    <w:basedOn w:val="1"/>
    <w:next w:val="1"/>
    <w:autoRedefine/>
    <w:semiHidden/>
    <w:qFormat/>
    <w:uiPriority w:val="0"/>
    <w:pPr>
      <w:ind w:left="1680" w:leftChars="800"/>
    </w:pPr>
  </w:style>
  <w:style w:type="paragraph" w:styleId="15">
    <w:name w:val="toc 3"/>
    <w:basedOn w:val="1"/>
    <w:next w:val="1"/>
    <w:autoRedefine/>
    <w:semiHidden/>
    <w:qFormat/>
    <w:uiPriority w:val="0"/>
    <w:pPr>
      <w:ind w:left="840" w:leftChars="400"/>
    </w:pPr>
  </w:style>
  <w:style w:type="paragraph" w:styleId="16">
    <w:name w:val="Plain Text"/>
    <w:basedOn w:val="1"/>
    <w:next w:val="1"/>
    <w:link w:val="39"/>
    <w:autoRedefine/>
    <w:qFormat/>
    <w:uiPriority w:val="0"/>
    <w:rPr>
      <w:rFonts w:ascii="宋体" w:hAnsi="Courier New" w:cs="Courier New"/>
      <w:szCs w:val="21"/>
    </w:rPr>
  </w:style>
  <w:style w:type="paragraph" w:styleId="17">
    <w:name w:val="toc 8"/>
    <w:basedOn w:val="1"/>
    <w:next w:val="1"/>
    <w:autoRedefine/>
    <w:semiHidden/>
    <w:qFormat/>
    <w:uiPriority w:val="0"/>
    <w:pPr>
      <w:ind w:left="2940" w:leftChars="1400"/>
    </w:pPr>
  </w:style>
  <w:style w:type="paragraph" w:styleId="18">
    <w:name w:val="Date"/>
    <w:basedOn w:val="1"/>
    <w:next w:val="1"/>
    <w:autoRedefine/>
    <w:qFormat/>
    <w:uiPriority w:val="0"/>
    <w:pPr>
      <w:ind w:left="100" w:leftChars="2500"/>
    </w:pPr>
    <w:rPr>
      <w:rFonts w:ascii="宋体" w:hAnsi="宋体"/>
      <w:color w:val="000000"/>
      <w:sz w:val="24"/>
    </w:rPr>
  </w:style>
  <w:style w:type="paragraph" w:styleId="19">
    <w:name w:val="Balloon Text"/>
    <w:basedOn w:val="1"/>
    <w:autoRedefine/>
    <w:semiHidden/>
    <w:qFormat/>
    <w:uiPriority w:val="0"/>
    <w:rPr>
      <w:sz w:val="18"/>
      <w:szCs w:val="18"/>
    </w:rPr>
  </w:style>
  <w:style w:type="paragraph" w:styleId="20">
    <w:name w:val="footer"/>
    <w:basedOn w:val="1"/>
    <w:autoRedefine/>
    <w:qFormat/>
    <w:uiPriority w:val="0"/>
    <w:pPr>
      <w:tabs>
        <w:tab w:val="center" w:pos="4153"/>
        <w:tab w:val="right" w:pos="8306"/>
      </w:tabs>
      <w:snapToGrid w:val="0"/>
      <w:jc w:val="left"/>
    </w:pPr>
    <w:rPr>
      <w:sz w:val="18"/>
      <w:szCs w:val="18"/>
    </w:rPr>
  </w:style>
  <w:style w:type="paragraph" w:styleId="21">
    <w:name w:val="header"/>
    <w:basedOn w:val="1"/>
    <w:autoRedefine/>
    <w:qFormat/>
    <w:uiPriority w:val="0"/>
    <w:pPr>
      <w:pBdr>
        <w:bottom w:val="single" w:color="auto" w:sz="6" w:space="1"/>
      </w:pBdr>
      <w:tabs>
        <w:tab w:val="center" w:pos="4153"/>
        <w:tab w:val="right" w:pos="8306"/>
      </w:tabs>
      <w:adjustRightInd w:val="0"/>
      <w:snapToGrid w:val="0"/>
      <w:spacing w:line="240" w:lineRule="atLeast"/>
      <w:jc w:val="center"/>
      <w:textAlignment w:val="baseline"/>
    </w:pPr>
    <w:rPr>
      <w:rFonts w:ascii="宋体"/>
      <w:kern w:val="0"/>
      <w:sz w:val="18"/>
      <w:szCs w:val="20"/>
    </w:rPr>
  </w:style>
  <w:style w:type="paragraph" w:styleId="22">
    <w:name w:val="toc 1"/>
    <w:basedOn w:val="1"/>
    <w:next w:val="1"/>
    <w:autoRedefine/>
    <w:semiHidden/>
    <w:qFormat/>
    <w:uiPriority w:val="0"/>
  </w:style>
  <w:style w:type="paragraph" w:styleId="23">
    <w:name w:val="toc 4"/>
    <w:basedOn w:val="1"/>
    <w:next w:val="1"/>
    <w:autoRedefine/>
    <w:semiHidden/>
    <w:qFormat/>
    <w:uiPriority w:val="0"/>
    <w:pPr>
      <w:ind w:left="1260" w:leftChars="600"/>
    </w:pPr>
  </w:style>
  <w:style w:type="paragraph" w:styleId="24">
    <w:name w:val="Body Text Indent 3"/>
    <w:basedOn w:val="1"/>
    <w:autoRedefine/>
    <w:qFormat/>
    <w:uiPriority w:val="0"/>
    <w:pPr>
      <w:spacing w:after="120"/>
      <w:ind w:left="420" w:leftChars="200"/>
    </w:pPr>
    <w:rPr>
      <w:sz w:val="16"/>
      <w:szCs w:val="16"/>
    </w:rPr>
  </w:style>
  <w:style w:type="paragraph" w:styleId="25">
    <w:name w:val="toc 2"/>
    <w:basedOn w:val="1"/>
    <w:next w:val="1"/>
    <w:autoRedefine/>
    <w:semiHidden/>
    <w:qFormat/>
    <w:uiPriority w:val="0"/>
    <w:pPr>
      <w:ind w:left="420" w:leftChars="200"/>
    </w:pPr>
  </w:style>
  <w:style w:type="paragraph" w:styleId="26">
    <w:name w:val="toc 9"/>
    <w:basedOn w:val="1"/>
    <w:next w:val="1"/>
    <w:autoRedefine/>
    <w:semiHidden/>
    <w:qFormat/>
    <w:uiPriority w:val="0"/>
    <w:pPr>
      <w:ind w:left="3360" w:leftChars="1600"/>
    </w:pPr>
  </w:style>
  <w:style w:type="paragraph" w:styleId="27">
    <w:name w:val="Normal (Web)"/>
    <w:basedOn w:val="1"/>
    <w:autoRedefine/>
    <w:qFormat/>
    <w:uiPriority w:val="99"/>
    <w:pPr>
      <w:widowControl/>
      <w:spacing w:before="100" w:beforeAutospacing="1" w:after="100" w:afterAutospacing="1"/>
      <w:jc w:val="left"/>
    </w:pPr>
    <w:rPr>
      <w:rFonts w:ascii="宋体" w:hAnsi="宋体" w:cs="宋体"/>
      <w:kern w:val="0"/>
      <w:sz w:val="24"/>
    </w:rPr>
  </w:style>
  <w:style w:type="paragraph" w:styleId="28">
    <w:name w:val="Title"/>
    <w:basedOn w:val="1"/>
    <w:autoRedefine/>
    <w:qFormat/>
    <w:uiPriority w:val="0"/>
    <w:pPr>
      <w:widowControl/>
      <w:overflowPunct w:val="0"/>
      <w:autoSpaceDE w:val="0"/>
      <w:autoSpaceDN w:val="0"/>
      <w:adjustRightInd w:val="0"/>
      <w:jc w:val="center"/>
      <w:textAlignment w:val="baseline"/>
    </w:pPr>
    <w:rPr>
      <w:b/>
      <w:kern w:val="0"/>
      <w:sz w:val="24"/>
      <w:szCs w:val="20"/>
      <w:lang w:val="en-GB"/>
    </w:rPr>
  </w:style>
  <w:style w:type="paragraph" w:styleId="29">
    <w:name w:val="Body Text First Indent 2"/>
    <w:basedOn w:val="13"/>
    <w:next w:val="11"/>
    <w:link w:val="40"/>
    <w:autoRedefine/>
    <w:qFormat/>
    <w:uiPriority w:val="0"/>
    <w:pPr>
      <w:ind w:firstLine="420" w:firstLineChars="200"/>
    </w:pPr>
  </w:style>
  <w:style w:type="character" w:styleId="32">
    <w:name w:val="page number"/>
    <w:basedOn w:val="31"/>
    <w:autoRedefine/>
    <w:qFormat/>
    <w:uiPriority w:val="0"/>
  </w:style>
  <w:style w:type="character" w:styleId="33">
    <w:name w:val="FollowedHyperlink"/>
    <w:autoRedefine/>
    <w:qFormat/>
    <w:uiPriority w:val="0"/>
    <w:rPr>
      <w:color w:val="800080"/>
      <w:u w:val="single"/>
    </w:rPr>
  </w:style>
  <w:style w:type="character" w:styleId="34">
    <w:name w:val="Hyperlink"/>
    <w:autoRedefine/>
    <w:qFormat/>
    <w:uiPriority w:val="0"/>
    <w:rPr>
      <w:color w:val="0000FF"/>
      <w:u w:val="single"/>
    </w:rPr>
  </w:style>
  <w:style w:type="character" w:customStyle="1" w:styleId="35">
    <w:name w:val="标题 1 Char"/>
    <w:basedOn w:val="31"/>
    <w:link w:val="3"/>
    <w:autoRedefine/>
    <w:qFormat/>
    <w:uiPriority w:val="0"/>
    <w:rPr>
      <w:rFonts w:ascii="宋体" w:hAnsi="宋体"/>
      <w:b/>
      <w:kern w:val="2"/>
      <w:sz w:val="30"/>
    </w:rPr>
  </w:style>
  <w:style w:type="character" w:customStyle="1" w:styleId="36">
    <w:name w:val="标题 2 Char"/>
    <w:basedOn w:val="31"/>
    <w:link w:val="4"/>
    <w:autoRedefine/>
    <w:qFormat/>
    <w:uiPriority w:val="0"/>
    <w:rPr>
      <w:rFonts w:ascii="宋体"/>
      <w:b/>
      <w:kern w:val="2"/>
      <w:sz w:val="28"/>
    </w:rPr>
  </w:style>
  <w:style w:type="character" w:customStyle="1" w:styleId="37">
    <w:name w:val="批注文字 Char"/>
    <w:link w:val="9"/>
    <w:autoRedefine/>
    <w:qFormat/>
    <w:uiPriority w:val="0"/>
    <w:rPr>
      <w:kern w:val="2"/>
      <w:sz w:val="21"/>
      <w:szCs w:val="24"/>
      <w:lang w:bidi="ar-SA"/>
    </w:rPr>
  </w:style>
  <w:style w:type="character" w:customStyle="1" w:styleId="38">
    <w:name w:val="正文文本缩进 Char"/>
    <w:basedOn w:val="31"/>
    <w:link w:val="13"/>
    <w:autoRedefine/>
    <w:qFormat/>
    <w:uiPriority w:val="0"/>
    <w:rPr>
      <w:kern w:val="2"/>
      <w:sz w:val="21"/>
      <w:szCs w:val="24"/>
    </w:rPr>
  </w:style>
  <w:style w:type="character" w:customStyle="1" w:styleId="39">
    <w:name w:val="纯文本 Char"/>
    <w:link w:val="16"/>
    <w:autoRedefine/>
    <w:qFormat/>
    <w:locked/>
    <w:uiPriority w:val="0"/>
    <w:rPr>
      <w:rFonts w:ascii="宋体" w:hAnsi="Courier New" w:eastAsia="宋体" w:cs="Courier New"/>
      <w:kern w:val="2"/>
      <w:sz w:val="21"/>
      <w:szCs w:val="21"/>
      <w:lang w:val="en-US" w:eastAsia="zh-CN" w:bidi="ar-SA"/>
    </w:rPr>
  </w:style>
  <w:style w:type="character" w:customStyle="1" w:styleId="40">
    <w:name w:val="正文首行缩进 2 Char"/>
    <w:basedOn w:val="38"/>
    <w:link w:val="29"/>
    <w:autoRedefine/>
    <w:qFormat/>
    <w:uiPriority w:val="0"/>
  </w:style>
  <w:style w:type="character" w:customStyle="1" w:styleId="41">
    <w:name w:val=" Char Char26"/>
    <w:autoRedefine/>
    <w:qFormat/>
    <w:uiPriority w:val="0"/>
    <w:rPr>
      <w:rFonts w:ascii="宋体" w:hAnsi="Courier New" w:eastAsia="宋体" w:cs="Arial"/>
      <w:snapToGrid w:val="0"/>
      <w:kern w:val="2"/>
      <w:sz w:val="21"/>
      <w:szCs w:val="21"/>
      <w:lang w:val="en-US" w:eastAsia="zh-CN" w:bidi="ar-SA"/>
    </w:rPr>
  </w:style>
  <w:style w:type="character" w:customStyle="1" w:styleId="42">
    <w:name w:val="正文2 Char Char"/>
    <w:link w:val="43"/>
    <w:autoRedefine/>
    <w:qFormat/>
    <w:uiPriority w:val="0"/>
    <w:rPr>
      <w:rFonts w:eastAsia="宋体"/>
      <w:kern w:val="2"/>
      <w:sz w:val="24"/>
      <w:lang w:val="en-US" w:eastAsia="zh-CN" w:bidi="ar-SA"/>
    </w:rPr>
  </w:style>
  <w:style w:type="paragraph" w:customStyle="1" w:styleId="43">
    <w:name w:val="正文2"/>
    <w:basedOn w:val="1"/>
    <w:link w:val="42"/>
    <w:autoRedefine/>
    <w:qFormat/>
    <w:uiPriority w:val="0"/>
    <w:pPr>
      <w:adjustRightInd w:val="0"/>
      <w:spacing w:before="156" w:line="360" w:lineRule="auto"/>
      <w:ind w:firstLine="510" w:firstLineChars="200"/>
    </w:pPr>
    <w:rPr>
      <w:sz w:val="24"/>
      <w:szCs w:val="20"/>
    </w:rPr>
  </w:style>
  <w:style w:type="character" w:customStyle="1" w:styleId="44">
    <w:name w:val="普通文字 Char Char Char1"/>
    <w:autoRedefine/>
    <w:qFormat/>
    <w:uiPriority w:val="0"/>
    <w:rPr>
      <w:rFonts w:ascii="宋体" w:hAnsi="Courier New" w:eastAsia="宋体"/>
      <w:kern w:val="2"/>
      <w:sz w:val="21"/>
      <w:lang w:val="en-US" w:eastAsia="zh-CN" w:bidi="ar-SA"/>
    </w:rPr>
  </w:style>
  <w:style w:type="paragraph" w:customStyle="1" w:styleId="45">
    <w:name w:val="Char Char Char Char1"/>
    <w:basedOn w:val="1"/>
    <w:autoRedefine/>
    <w:qFormat/>
    <w:uiPriority w:val="0"/>
    <w:rPr>
      <w:rFonts w:ascii="Tahoma" w:hAnsi="Tahoma"/>
      <w:sz w:val="24"/>
      <w:szCs w:val="20"/>
    </w:rPr>
  </w:style>
  <w:style w:type="paragraph" w:customStyle="1" w:styleId="46">
    <w:name w:val="Normal"/>
    <w:basedOn w:val="1"/>
    <w:autoRedefine/>
    <w:qFormat/>
    <w:uiPriority w:val="0"/>
    <w:rPr>
      <w:rFonts w:ascii="宋体" w:hAnsi="宋体" w:cs="宋体"/>
      <w:szCs w:val="21"/>
    </w:rPr>
  </w:style>
  <w:style w:type="character" w:customStyle="1" w:styleId="47">
    <w:name w:val="NormalCharacter"/>
    <w:autoRedefine/>
    <w:semiHidden/>
    <w:qFormat/>
    <w:uiPriority w:val="0"/>
  </w:style>
  <w:style w:type="paragraph" w:customStyle="1" w:styleId="48">
    <w:name w:val="List Paragraph"/>
    <w:basedOn w:val="1"/>
    <w:autoRedefine/>
    <w:qFormat/>
    <w:uiPriority w:val="0"/>
    <w:pPr>
      <w:ind w:firstLine="420" w:firstLineChars="200"/>
    </w:pPr>
    <w:rPr>
      <w:rFonts w:ascii="Calibri" w:hAnsi="Calibri"/>
      <w:szCs w:val="21"/>
    </w:rPr>
  </w:style>
  <w:style w:type="paragraph" w:customStyle="1" w:styleId="49">
    <w:name w:val="xl53"/>
    <w:basedOn w:val="1"/>
    <w:autoRedefine/>
    <w:qFormat/>
    <w:uiPriority w:val="0"/>
    <w:pPr>
      <w:pBdr>
        <w:top w:val="single" w:color="auto" w:sz="4" w:space="0"/>
        <w:left w:val="single" w:color="auto" w:sz="8" w:space="0"/>
        <w:bottom w:val="single" w:color="auto" w:sz="8" w:space="0"/>
        <w:right w:val="single" w:color="auto" w:sz="4" w:space="0"/>
      </w:pBdr>
      <w:spacing w:before="100" w:beforeAutospacing="1" w:after="100" w:afterAutospacing="1" w:line="100" w:lineRule="exact"/>
      <w:jc w:val="center"/>
    </w:pPr>
    <w:rPr>
      <w:rFonts w:ascii="宋体" w:hAnsi="宋体"/>
      <w:b/>
      <w:bCs/>
      <w:sz w:val="20"/>
    </w:rPr>
  </w:style>
  <w:style w:type="paragraph" w:customStyle="1" w:styleId="50">
    <w:name w:val="*正文"/>
    <w:basedOn w:val="1"/>
    <w:autoRedefine/>
    <w:qFormat/>
    <w:uiPriority w:val="0"/>
    <w:pPr>
      <w:spacing w:line="300" w:lineRule="auto"/>
      <w:ind w:firstLine="480"/>
    </w:pPr>
    <w:rPr>
      <w:rFonts w:ascii="宋体" w:hAnsi="宋体" w:cs="仿宋_GB2312"/>
      <w:kern w:val="0"/>
      <w:sz w:val="20"/>
      <w:szCs w:val="21"/>
    </w:rPr>
  </w:style>
  <w:style w:type="character" w:customStyle="1" w:styleId="51">
    <w:name w:val="font21"/>
    <w:basedOn w:val="31"/>
    <w:autoRedefine/>
    <w:qFormat/>
    <w:uiPriority w:val="0"/>
    <w:rPr>
      <w:rFonts w:hint="eastAsia" w:ascii="宋体" w:hAnsi="宋体" w:eastAsia="宋体" w:cs="宋体"/>
      <w:color w:val="FF0000"/>
      <w:sz w:val="22"/>
      <w:szCs w:val="22"/>
      <w:u w:val="none"/>
    </w:rPr>
  </w:style>
  <w:style w:type="character" w:customStyle="1" w:styleId="52">
    <w:name w:val="font11"/>
    <w:basedOn w:val="31"/>
    <w:autoRedefine/>
    <w:qFormat/>
    <w:uiPriority w:val="0"/>
    <w:rPr>
      <w:rFonts w:hint="eastAsia" w:ascii="宋体" w:hAnsi="宋体" w:eastAsia="宋体" w:cs="宋体"/>
      <w:color w:val="FF0000"/>
      <w:sz w:val="20"/>
      <w:szCs w:val="20"/>
      <w:u w:val="none"/>
    </w:rPr>
  </w:style>
  <w:style w:type="paragraph" w:customStyle="1" w:styleId="53">
    <w:name w:val="列出段落"/>
    <w:basedOn w:val="1"/>
    <w:autoRedefine/>
    <w:qFormat/>
    <w:uiPriority w:val="34"/>
    <w:pPr>
      <w:widowControl/>
      <w:spacing w:before="100" w:beforeAutospacing="1" w:after="100" w:afterAutospacing="1"/>
      <w:jc w:val="left"/>
    </w:pPr>
    <w:rPr>
      <w:rFonts w:ascii="黑体" w:hAnsi="黑体" w:eastAsia="黑体"/>
      <w:color w:val="000000"/>
      <w:kern w:val="0"/>
      <w:sz w:val="24"/>
    </w:rPr>
  </w:style>
  <w:style w:type="paragraph" w:customStyle="1" w:styleId="54">
    <w:name w:val="WPSOffice手动目录 1"/>
    <w:autoRedefine/>
    <w:qFormat/>
    <w:uiPriority w:val="0"/>
    <w:pPr>
      <w:ind w:leftChars="0"/>
    </w:pPr>
    <w:rPr>
      <w:rFonts w:ascii="Times New Roman" w:hAnsi="Times New Roman" w:eastAsia="宋体" w:cs="Times New Roman"/>
      <w:sz w:val="20"/>
      <w:szCs w:val="20"/>
    </w:rPr>
  </w:style>
  <w:style w:type="paragraph" w:customStyle="1" w:styleId="55">
    <w:name w:val="WPSOffice手动目录 2"/>
    <w:autoRedefine/>
    <w:qFormat/>
    <w:uiPriority w:val="0"/>
    <w:pPr>
      <w:ind w:leftChars="200"/>
    </w:pPr>
    <w:rPr>
      <w:rFonts w:ascii="Times New Roman" w:hAnsi="Times New Roman" w:eastAsia="宋体" w:cs="Times New Roman"/>
      <w:sz w:val="20"/>
      <w:szCs w:val="20"/>
    </w:rPr>
  </w:style>
  <w:style w:type="paragraph" w:customStyle="1" w:styleId="56">
    <w:name w:val="WPSOffice手动目录 3"/>
    <w:autoRedefine/>
    <w:qFormat/>
    <w:uiPriority w:val="0"/>
    <w:pPr>
      <w:ind w:leftChars="400"/>
    </w:pPr>
    <w:rPr>
      <w:rFonts w:ascii="Times New Roman" w:hAnsi="Times New Roman" w:eastAsia="宋体" w:cs="Times New Roman"/>
      <w:sz w:val="20"/>
      <w:szCs w:val="20"/>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 China</Company>
  <Pages>55</Pages>
  <Words>17309</Words>
  <Characters>18071</Characters>
  <Lines>181</Lines>
  <Paragraphs>51</Paragraphs>
  <TotalTime>98</TotalTime>
  <ScaleCrop>false</ScaleCrop>
  <LinksUpToDate>false</LinksUpToDate>
  <CharactersWithSpaces>18330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2019-06-26T06:49:00Z</dcterms:created>
  <dc:creator>wxg</dc:creator>
  <cp:lastModifiedBy>WPS_1645508842</cp:lastModifiedBy>
  <cp:lastPrinted>2023-03-27T06:56:00Z</cp:lastPrinted>
  <dcterms:modified xsi:type="dcterms:W3CDTF">2025-04-01T06:25:19Z</dcterms:modified>
  <dc:title>采购单位：</dc:title>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66163FA982FD4D3AA85F829EEAC5F2E5</vt:lpwstr>
  </property>
  <property fmtid="{D5CDD505-2E9C-101B-9397-08002B2CF9AE}" pid="4" name="KSOTemplateDocerSaveRecord">
    <vt:lpwstr>eyJoZGlkIjoiNDI4ODM3ZGRhMGY3NjI1YWI2NTBjZWJiNjNkMzg1MmIiLCJ1c2VySWQiOiIxMzM2ODExMzEzIn0=</vt:lpwstr>
  </property>
</Properties>
</file>