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631E5">
      <w:pPr>
        <w:spacing w:line="360" w:lineRule="auto"/>
        <w:jc w:val="center"/>
        <w:rPr>
          <w:rFonts w:hint="eastAsia" w:ascii="宋体" w:hAnsi="宋体" w:eastAsia="宋体" w:cs="宋体"/>
          <w:b/>
          <w:bCs/>
          <w:sz w:val="56"/>
          <w:szCs w:val="56"/>
          <w:highlight w:val="none"/>
        </w:rPr>
      </w:pPr>
    </w:p>
    <w:p w14:paraId="11E06B4B">
      <w:pPr>
        <w:spacing w:line="360" w:lineRule="auto"/>
        <w:jc w:val="center"/>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eastAsia="zh-CN"/>
        </w:rPr>
        <w:t>崇仁镇新官桥</w:t>
      </w:r>
      <w:r>
        <w:rPr>
          <w:rFonts w:hint="eastAsia" w:ascii="宋体" w:hAnsi="宋体" w:cs="宋体"/>
          <w:b/>
          <w:bCs/>
          <w:sz w:val="56"/>
          <w:szCs w:val="56"/>
          <w:highlight w:val="none"/>
          <w:lang w:val="en-US" w:eastAsia="zh-CN"/>
        </w:rPr>
        <w:t>~</w:t>
      </w:r>
      <w:r>
        <w:rPr>
          <w:rFonts w:hint="eastAsia" w:ascii="宋体" w:hAnsi="宋体" w:eastAsia="宋体" w:cs="宋体"/>
          <w:b/>
          <w:bCs/>
          <w:sz w:val="56"/>
          <w:szCs w:val="56"/>
          <w:highlight w:val="none"/>
          <w:lang w:eastAsia="zh-CN"/>
        </w:rPr>
        <w:t>东大湾增压泵新建工程——材料设备采购项目</w:t>
      </w:r>
    </w:p>
    <w:p w14:paraId="02A0EBB7">
      <w:pPr>
        <w:snapToGrid w:val="0"/>
        <w:spacing w:line="360" w:lineRule="auto"/>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国企采购</w:t>
      </w:r>
    </w:p>
    <w:p w14:paraId="392D98EC">
      <w:pPr>
        <w:snapToGrid w:val="0"/>
        <w:spacing w:line="360" w:lineRule="auto"/>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rPr>
        <w:t>项目编号：JCSZ[2024]D061</w:t>
      </w:r>
    </w:p>
    <w:p w14:paraId="347693AB">
      <w:pPr>
        <w:pStyle w:val="6"/>
        <w:rPr>
          <w:rFonts w:hint="eastAsia" w:ascii="宋体" w:hAnsi="宋体" w:eastAsia="宋体" w:cs="宋体"/>
          <w:b/>
          <w:bCs/>
          <w:sz w:val="44"/>
          <w:szCs w:val="44"/>
          <w:highlight w:val="none"/>
        </w:rPr>
      </w:pPr>
    </w:p>
    <w:p w14:paraId="7DB1315D">
      <w:pPr>
        <w:pStyle w:val="6"/>
        <w:rPr>
          <w:rFonts w:hint="eastAsia" w:ascii="宋体" w:hAnsi="宋体" w:eastAsia="宋体" w:cs="宋体"/>
          <w:highlight w:val="none"/>
        </w:rPr>
      </w:pPr>
    </w:p>
    <w:p w14:paraId="4461AC4D">
      <w:pPr>
        <w:spacing w:line="360" w:lineRule="auto"/>
        <w:jc w:val="center"/>
        <w:rPr>
          <w:rFonts w:hint="eastAsia" w:ascii="宋体" w:hAnsi="宋体" w:eastAsia="宋体" w:cs="宋体"/>
          <w:b/>
          <w:bCs/>
          <w:sz w:val="72"/>
          <w:szCs w:val="72"/>
          <w:highlight w:val="none"/>
        </w:rPr>
      </w:pPr>
    </w:p>
    <w:p w14:paraId="2E21A7E7">
      <w:pPr>
        <w:spacing w:line="360" w:lineRule="auto"/>
        <w:jc w:val="center"/>
        <w:rPr>
          <w:rFonts w:hint="eastAsia" w:ascii="宋体" w:hAnsi="宋体" w:eastAsia="宋体" w:cs="宋体"/>
          <w:b/>
          <w:bCs/>
          <w:sz w:val="72"/>
          <w:szCs w:val="72"/>
          <w:highlight w:val="none"/>
        </w:rPr>
      </w:pPr>
    </w:p>
    <w:p w14:paraId="223B028C">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72"/>
          <w:szCs w:val="72"/>
          <w:highlight w:val="none"/>
        </w:rPr>
        <w:t>询价文件</w:t>
      </w:r>
    </w:p>
    <w:p w14:paraId="50633A65">
      <w:pPr>
        <w:spacing w:line="360" w:lineRule="auto"/>
        <w:jc w:val="center"/>
        <w:rPr>
          <w:rFonts w:hint="eastAsia" w:ascii="宋体" w:hAnsi="宋体" w:eastAsia="宋体" w:cs="宋体"/>
          <w:b/>
          <w:bCs/>
          <w:sz w:val="24"/>
          <w:szCs w:val="24"/>
          <w:highlight w:val="none"/>
        </w:rPr>
      </w:pPr>
    </w:p>
    <w:p w14:paraId="15500001">
      <w:pPr>
        <w:spacing w:line="360" w:lineRule="auto"/>
        <w:rPr>
          <w:rFonts w:hint="eastAsia" w:ascii="宋体" w:hAnsi="宋体" w:eastAsia="宋体" w:cs="宋体"/>
          <w:sz w:val="28"/>
          <w:szCs w:val="28"/>
          <w:highlight w:val="none"/>
        </w:rPr>
      </w:pPr>
    </w:p>
    <w:p w14:paraId="25C1AF3E">
      <w:pPr>
        <w:rPr>
          <w:rFonts w:hint="eastAsia" w:ascii="宋体" w:hAnsi="宋体" w:eastAsia="宋体" w:cs="宋体"/>
          <w:sz w:val="24"/>
          <w:szCs w:val="24"/>
          <w:highlight w:val="none"/>
        </w:rPr>
      </w:pPr>
    </w:p>
    <w:p w14:paraId="57EAC000">
      <w:pPr>
        <w:pStyle w:val="2"/>
        <w:rPr>
          <w:rFonts w:hint="eastAsia" w:ascii="宋体" w:hAnsi="宋体" w:eastAsia="宋体" w:cs="宋体"/>
          <w:highlight w:val="none"/>
        </w:rPr>
      </w:pPr>
    </w:p>
    <w:p w14:paraId="01E833C6">
      <w:pPr>
        <w:pStyle w:val="5"/>
        <w:rPr>
          <w:rFonts w:hint="eastAsia" w:ascii="宋体" w:hAnsi="宋体" w:eastAsia="宋体" w:cs="宋体"/>
          <w:highlight w:val="none"/>
        </w:rPr>
      </w:pPr>
    </w:p>
    <w:p w14:paraId="71B71C48">
      <w:pPr>
        <w:spacing w:line="360" w:lineRule="auto"/>
        <w:jc w:val="center"/>
        <w:rPr>
          <w:rFonts w:hint="eastAsia" w:ascii="宋体" w:hAnsi="宋体" w:eastAsia="宋体" w:cs="宋体"/>
          <w:sz w:val="24"/>
          <w:szCs w:val="24"/>
          <w:highlight w:val="none"/>
        </w:rPr>
      </w:pPr>
    </w:p>
    <w:p w14:paraId="189B9B96">
      <w:pPr>
        <w:snapToGrid w:val="0"/>
        <w:spacing w:line="360" w:lineRule="auto"/>
        <w:jc w:val="center"/>
        <w:rPr>
          <w:rFonts w:hint="eastAsia" w:ascii="宋体" w:hAnsi="宋体" w:eastAsia="宋体" w:cs="宋体"/>
          <w:sz w:val="24"/>
          <w:szCs w:val="24"/>
          <w:highlight w:val="none"/>
        </w:rPr>
      </w:pPr>
    </w:p>
    <w:p w14:paraId="7DF7031C">
      <w:pPr>
        <w:snapToGrid w:val="0"/>
        <w:spacing w:line="360" w:lineRule="auto"/>
        <w:jc w:val="left"/>
        <w:rPr>
          <w:rFonts w:hint="eastAsia" w:ascii="宋体" w:hAnsi="宋体" w:eastAsia="宋体" w:cs="宋体"/>
          <w:highlight w:val="none"/>
          <w:u w:val="single"/>
          <w:lang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30"/>
          <w:szCs w:val="30"/>
          <w:highlight w:val="none"/>
        </w:rPr>
        <w:t>采购人：</w:t>
      </w:r>
      <w:r>
        <w:rPr>
          <w:rFonts w:hint="eastAsia" w:ascii="宋体" w:hAnsi="宋体" w:eastAsia="宋体" w:cs="宋体"/>
          <w:sz w:val="30"/>
          <w:szCs w:val="30"/>
          <w:highlight w:val="none"/>
          <w:lang w:eastAsia="zh-CN"/>
        </w:rPr>
        <w:t>嵊州市水联贸易有限公司</w:t>
      </w:r>
    </w:p>
    <w:p w14:paraId="7AA295ED">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采购代理机构：</w:t>
      </w:r>
      <w:r>
        <w:rPr>
          <w:rFonts w:hint="eastAsia" w:ascii="宋体" w:hAnsi="宋体" w:eastAsia="宋体" w:cs="宋体"/>
          <w:sz w:val="30"/>
          <w:szCs w:val="30"/>
          <w:highlight w:val="none"/>
          <w:lang w:eastAsia="zh-CN"/>
        </w:rPr>
        <w:t>浙江建诚工程管理咨询有限公司</w:t>
      </w:r>
    </w:p>
    <w:p w14:paraId="1C9A7BBD">
      <w:pPr>
        <w:spacing w:line="360" w:lineRule="auto"/>
        <w:ind w:firstLine="1200" w:firstLineChars="400"/>
        <w:jc w:val="both"/>
        <w:rPr>
          <w:rFonts w:hint="eastAsia" w:ascii="宋体" w:hAnsi="宋体" w:eastAsia="宋体" w:cs="宋体"/>
          <w:sz w:val="30"/>
          <w:szCs w:val="30"/>
          <w:highlight w:val="none"/>
        </w:rPr>
      </w:pPr>
      <w:r>
        <w:rPr>
          <w:rFonts w:hint="eastAsia" w:ascii="宋体" w:hAnsi="宋体" w:eastAsia="宋体" w:cs="宋体"/>
          <w:sz w:val="30"/>
          <w:szCs w:val="30"/>
          <w:highlight w:val="none"/>
          <w:lang w:val="en-US" w:eastAsia="zh-CN"/>
        </w:rPr>
        <w:t>日    期：2024</w:t>
      </w:r>
      <w:r>
        <w:rPr>
          <w:rFonts w:hint="eastAsia" w:ascii="宋体" w:hAnsi="宋体" w:eastAsia="宋体" w:cs="宋体"/>
          <w:sz w:val="30"/>
          <w:szCs w:val="30"/>
          <w:highlight w:val="none"/>
        </w:rPr>
        <w:t>年</w:t>
      </w:r>
      <w:r>
        <w:rPr>
          <w:rFonts w:hint="eastAsia" w:ascii="宋体" w:hAnsi="宋体" w:eastAsia="宋体" w:cs="宋体"/>
          <w:sz w:val="30"/>
          <w:szCs w:val="30"/>
          <w:highlight w:val="none"/>
          <w:lang w:val="en-US" w:eastAsia="zh-CN"/>
        </w:rPr>
        <w:t>11</w:t>
      </w:r>
      <w:r>
        <w:rPr>
          <w:rFonts w:hint="eastAsia" w:ascii="宋体" w:hAnsi="宋体" w:eastAsia="宋体" w:cs="宋体"/>
          <w:sz w:val="30"/>
          <w:szCs w:val="30"/>
          <w:highlight w:val="none"/>
        </w:rPr>
        <w:t>月</w:t>
      </w:r>
    </w:p>
    <w:p w14:paraId="4513AD44">
      <w:pPr>
        <w:widowControl/>
        <w:spacing w:line="360" w:lineRule="auto"/>
        <w:jc w:val="center"/>
        <w:rPr>
          <w:rFonts w:hint="eastAsia" w:ascii="宋体" w:hAnsi="宋体" w:eastAsia="宋体" w:cs="宋体"/>
          <w:b/>
          <w:bCs/>
          <w:sz w:val="44"/>
          <w:szCs w:val="44"/>
          <w:highlight w:val="none"/>
        </w:rPr>
      </w:pPr>
      <w:r>
        <w:rPr>
          <w:rFonts w:hint="eastAsia" w:ascii="宋体" w:hAnsi="宋体" w:eastAsia="宋体" w:cs="宋体"/>
          <w:sz w:val="30"/>
          <w:szCs w:val="30"/>
          <w:highlight w:val="none"/>
        </w:rPr>
        <w:br w:type="page"/>
      </w:r>
      <w:r>
        <w:rPr>
          <w:rFonts w:hint="eastAsia" w:ascii="宋体" w:hAnsi="宋体" w:eastAsia="宋体" w:cs="宋体"/>
          <w:b/>
          <w:bCs/>
          <w:sz w:val="44"/>
          <w:szCs w:val="44"/>
          <w:highlight w:val="none"/>
        </w:rPr>
        <w:t>目 录</w:t>
      </w:r>
    </w:p>
    <w:p w14:paraId="1D5044E7">
      <w:pPr>
        <w:pStyle w:val="25"/>
        <w:tabs>
          <w:tab w:val="right" w:leader="dot" w:pos="8296"/>
        </w:tabs>
        <w:spacing w:line="360" w:lineRule="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"_Toc118207744" </w:instrText>
      </w:r>
      <w:r>
        <w:rPr>
          <w:rFonts w:hint="eastAsia" w:ascii="宋体" w:hAnsi="宋体" w:eastAsia="宋体" w:cs="宋体"/>
          <w:highlight w:val="none"/>
        </w:rPr>
        <w:fldChar w:fldCharType="separate"/>
      </w:r>
      <w:r>
        <w:rPr>
          <w:rStyle w:val="37"/>
          <w:rFonts w:hint="eastAsia" w:ascii="宋体" w:hAnsi="宋体" w:eastAsia="宋体" w:cs="宋体"/>
          <w:b/>
          <w:bCs/>
          <w:color w:val="auto"/>
          <w:kern w:val="44"/>
          <w:sz w:val="24"/>
          <w:szCs w:val="24"/>
          <w:highlight w:val="none"/>
        </w:rPr>
        <w:t>第一部分  询价公告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8F25918">
      <w:pPr>
        <w:pStyle w:val="25"/>
        <w:tabs>
          <w:tab w:val="right" w:leader="dot" w:pos="8296"/>
        </w:tabs>
        <w:spacing w:line="360" w:lineRule="auto"/>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"_Toc118207745" </w:instrText>
      </w:r>
      <w:r>
        <w:rPr>
          <w:rFonts w:hint="eastAsia" w:ascii="宋体" w:hAnsi="宋体" w:eastAsia="宋体" w:cs="宋体"/>
          <w:highlight w:val="none"/>
        </w:rPr>
        <w:fldChar w:fldCharType="separate"/>
      </w:r>
      <w:r>
        <w:rPr>
          <w:rStyle w:val="37"/>
          <w:rFonts w:hint="eastAsia" w:ascii="宋体" w:hAnsi="宋体" w:eastAsia="宋体" w:cs="宋体"/>
          <w:b/>
          <w:bCs/>
          <w:color w:val="auto"/>
          <w:kern w:val="44"/>
          <w:sz w:val="24"/>
          <w:szCs w:val="24"/>
          <w:highlight w:val="none"/>
        </w:rPr>
        <w:t>第二部分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_Toc118207745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8A9997A">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"_Toc118207746" </w:instrText>
      </w:r>
      <w:r>
        <w:rPr>
          <w:rFonts w:hint="eastAsia" w:ascii="宋体" w:hAnsi="宋体" w:eastAsia="宋体" w:cs="宋体"/>
          <w:highlight w:val="none"/>
        </w:rPr>
        <w:fldChar w:fldCharType="separate"/>
      </w:r>
      <w:r>
        <w:rPr>
          <w:rStyle w:val="37"/>
          <w:rFonts w:hint="eastAsia" w:ascii="宋体" w:hAnsi="宋体" w:eastAsia="宋体" w:cs="宋体"/>
          <w:b/>
          <w:bCs/>
          <w:snapToGrid w:val="0"/>
          <w:color w:val="auto"/>
          <w:sz w:val="24"/>
          <w:szCs w:val="24"/>
          <w:highlight w:val="none"/>
        </w:rPr>
        <w:t>供应商须知前附表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8A12BBA">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"_Toc118207747"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一、 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9F181EA">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"_Toc118207748"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二、 询价文件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1CE1174">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"_Toc118207749"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三、 询价响应文件的编写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267B62C">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"_Toc118207750"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四、 响应文件的递交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13FCF9E">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"_Toc118207751"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五、 询价无效的情形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0150888">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"_Toc118207752"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六、 采购中止的情形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1ACA7A1">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"_Toc118207753"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七、 授予合同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DFC93E1">
      <w:pPr>
        <w:pStyle w:val="25"/>
        <w:tabs>
          <w:tab w:val="right" w:leader="dot" w:pos="8296"/>
        </w:tabs>
        <w:spacing w:line="360" w:lineRule="auto"/>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"_Toc118207754" </w:instrText>
      </w:r>
      <w:r>
        <w:rPr>
          <w:rFonts w:hint="eastAsia" w:ascii="宋体" w:hAnsi="宋体" w:eastAsia="宋体" w:cs="宋体"/>
          <w:highlight w:val="none"/>
        </w:rPr>
        <w:fldChar w:fldCharType="separate"/>
      </w:r>
      <w:r>
        <w:rPr>
          <w:rStyle w:val="37"/>
          <w:rFonts w:hint="eastAsia" w:ascii="宋体" w:hAnsi="宋体" w:eastAsia="宋体" w:cs="宋体"/>
          <w:b/>
          <w:bCs/>
          <w:color w:val="auto"/>
          <w:kern w:val="44"/>
          <w:sz w:val="24"/>
          <w:szCs w:val="24"/>
          <w:highlight w:val="none"/>
        </w:rPr>
        <w:t>第三部分  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290EEE6">
      <w:pPr>
        <w:pStyle w:val="20"/>
        <w:tabs>
          <w:tab w:val="right" w:leader="dot" w:pos="8296"/>
        </w:tabs>
        <w:spacing w:line="360" w:lineRule="auto"/>
        <w:ind w:left="400"/>
        <w:rPr>
          <w:rFonts w:hint="eastAsia" w:ascii="宋体" w:hAnsi="宋体" w:eastAsia="宋体" w:cs="宋体"/>
          <w:kern w:val="2"/>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"_Toc118207755"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第一章　技术规范及要求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7</w:t>
      </w:r>
    </w:p>
    <w:p w14:paraId="7B1036A6">
      <w:pPr>
        <w:pStyle w:val="20"/>
        <w:tabs>
          <w:tab w:val="right" w:leader="dot" w:pos="8296"/>
        </w:tabs>
        <w:spacing w:line="360" w:lineRule="auto"/>
        <w:ind w:left="400"/>
        <w:rPr>
          <w:rFonts w:hint="eastAsia" w:ascii="宋体" w:hAnsi="宋体" w:eastAsia="宋体" w:cs="宋体"/>
          <w:kern w:val="2"/>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"_Toc118207756"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第二章 主要参数及要求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8</w:t>
      </w:r>
    </w:p>
    <w:p w14:paraId="6FFC71E3">
      <w:pPr>
        <w:pStyle w:val="20"/>
        <w:tabs>
          <w:tab w:val="right" w:leader="dot" w:pos="8296"/>
        </w:tabs>
        <w:spacing w:line="360" w:lineRule="auto"/>
        <w:ind w:left="400"/>
        <w:rPr>
          <w:rFonts w:hint="eastAsia" w:ascii="宋体" w:hAnsi="宋体" w:eastAsia="宋体" w:cs="宋体"/>
          <w:kern w:val="2"/>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"_Toc118207757"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第三章 其他要求</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4</w:t>
      </w:r>
    </w:p>
    <w:p w14:paraId="5D53F0FC">
      <w:pPr>
        <w:pStyle w:val="20"/>
        <w:tabs>
          <w:tab w:val="right" w:leader="dot" w:pos="8296"/>
        </w:tabs>
        <w:spacing w:line="360" w:lineRule="auto"/>
        <w:ind w:left="400"/>
        <w:rPr>
          <w:rFonts w:hint="eastAsia" w:ascii="宋体" w:hAnsi="宋体" w:eastAsia="宋体" w:cs="宋体"/>
          <w:kern w:val="2"/>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"_Toc118207758"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第四章 付款方式及要求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5</w:t>
      </w:r>
    </w:p>
    <w:p w14:paraId="1618C041">
      <w:pPr>
        <w:pStyle w:val="25"/>
        <w:tabs>
          <w:tab w:val="right" w:leader="dot" w:pos="8296"/>
        </w:tabs>
        <w:spacing w:line="360" w:lineRule="auto"/>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"_Toc118207759" </w:instrText>
      </w:r>
      <w:r>
        <w:rPr>
          <w:rFonts w:hint="eastAsia" w:ascii="宋体" w:hAnsi="宋体" w:eastAsia="宋体" w:cs="宋体"/>
          <w:highlight w:val="none"/>
        </w:rPr>
        <w:fldChar w:fldCharType="separate"/>
      </w:r>
      <w:r>
        <w:rPr>
          <w:rStyle w:val="37"/>
          <w:rFonts w:hint="eastAsia" w:ascii="宋体" w:hAnsi="宋体" w:eastAsia="宋体" w:cs="宋体"/>
          <w:b/>
          <w:bCs/>
          <w:color w:val="auto"/>
          <w:kern w:val="44"/>
          <w:sz w:val="24"/>
          <w:szCs w:val="24"/>
          <w:highlight w:val="none"/>
        </w:rPr>
        <w:t>第四部分  询价细则及询价方法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2147132">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"_Toc118207760"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一、 询价原则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3CEF3AC">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"_Toc118207761"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二、 询价程序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26DBABB">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"_Toc118207762"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三、 注意事项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FA94643">
      <w:pPr>
        <w:pStyle w:val="20"/>
        <w:tabs>
          <w:tab w:val="right" w:leader="dot" w:pos="8296"/>
        </w:tabs>
        <w:spacing w:line="360" w:lineRule="auto"/>
        <w:ind w:left="40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"_Toc118207763" </w:instrText>
      </w:r>
      <w:r>
        <w:rPr>
          <w:rFonts w:hint="eastAsia" w:ascii="宋体" w:hAnsi="宋体" w:eastAsia="宋体" w:cs="宋体"/>
          <w:highlight w:val="none"/>
        </w:rPr>
        <w:fldChar w:fldCharType="separate"/>
      </w:r>
      <w:r>
        <w:rPr>
          <w:rStyle w:val="37"/>
          <w:rFonts w:hint="eastAsia" w:ascii="宋体" w:hAnsi="宋体" w:eastAsia="宋体" w:cs="宋体"/>
          <w:color w:val="auto"/>
          <w:sz w:val="24"/>
          <w:szCs w:val="24"/>
          <w:highlight w:val="none"/>
        </w:rPr>
        <w:t>四、 评分细则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8CBE471">
      <w:pPr>
        <w:pStyle w:val="25"/>
        <w:tabs>
          <w:tab w:val="right" w:leader="dot" w:pos="8296"/>
        </w:tabs>
        <w:spacing w:line="360" w:lineRule="auto"/>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"_Toc118207764" </w:instrText>
      </w:r>
      <w:r>
        <w:rPr>
          <w:rFonts w:hint="eastAsia" w:ascii="宋体" w:hAnsi="宋体" w:eastAsia="宋体" w:cs="宋体"/>
          <w:highlight w:val="none"/>
        </w:rPr>
        <w:fldChar w:fldCharType="separate"/>
      </w:r>
      <w:r>
        <w:rPr>
          <w:rStyle w:val="37"/>
          <w:rFonts w:hint="eastAsia" w:ascii="宋体" w:hAnsi="宋体" w:eastAsia="宋体" w:cs="宋体"/>
          <w:b/>
          <w:bCs/>
          <w:color w:val="auto"/>
          <w:kern w:val="44"/>
          <w:sz w:val="24"/>
          <w:szCs w:val="24"/>
          <w:highlight w:val="none"/>
        </w:rPr>
        <w:t>第五部分  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1C9BBE3">
      <w:pPr>
        <w:pStyle w:val="25"/>
        <w:tabs>
          <w:tab w:val="right" w:leader="dot" w:pos="8296"/>
        </w:tabs>
        <w:spacing w:line="360" w:lineRule="auto"/>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"_Toc118207765" </w:instrText>
      </w:r>
      <w:r>
        <w:rPr>
          <w:rFonts w:hint="eastAsia" w:ascii="宋体" w:hAnsi="宋体" w:eastAsia="宋体" w:cs="宋体"/>
          <w:highlight w:val="none"/>
        </w:rPr>
        <w:fldChar w:fldCharType="separate"/>
      </w:r>
      <w:r>
        <w:rPr>
          <w:rStyle w:val="37"/>
          <w:rFonts w:hint="eastAsia" w:ascii="宋体" w:hAnsi="宋体" w:eastAsia="宋体" w:cs="宋体"/>
          <w:b/>
          <w:bCs/>
          <w:color w:val="auto"/>
          <w:kern w:val="44"/>
          <w:sz w:val="24"/>
          <w:szCs w:val="24"/>
          <w:highlight w:val="none"/>
        </w:rPr>
        <w:t>第六部分  应提交的有关格式范例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_Toc118207765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25372A2">
      <w:pPr>
        <w:pStyle w:val="5"/>
        <w:spacing w:line="360" w:lineRule="auto"/>
        <w:rPr>
          <w:rFonts w:hint="eastAsia" w:ascii="宋体" w:hAnsi="宋体" w:eastAsia="宋体" w:cs="宋体"/>
          <w:highlight w:val="none"/>
        </w:rPr>
      </w:pPr>
      <w:r>
        <w:rPr>
          <w:rFonts w:hint="eastAsia" w:ascii="宋体" w:hAnsi="宋体" w:eastAsia="宋体" w:cs="宋体"/>
          <w:sz w:val="24"/>
          <w:szCs w:val="24"/>
          <w:highlight w:val="none"/>
        </w:rPr>
        <w:fldChar w:fldCharType="end"/>
      </w:r>
    </w:p>
    <w:p w14:paraId="1F4A3A62">
      <w:pPr>
        <w:rPr>
          <w:rFonts w:hint="eastAsia" w:ascii="宋体" w:hAnsi="宋体" w:eastAsia="宋体" w:cs="宋体"/>
          <w:highlight w:val="none"/>
        </w:rPr>
      </w:pPr>
    </w:p>
    <w:p w14:paraId="668DD46C">
      <w:pPr>
        <w:rPr>
          <w:rFonts w:hint="eastAsia" w:ascii="宋体" w:hAnsi="宋体" w:eastAsia="宋体" w:cs="宋体"/>
          <w:highlight w:val="none"/>
        </w:rPr>
      </w:pPr>
    </w:p>
    <w:p w14:paraId="2B85EA4E">
      <w:pPr>
        <w:rPr>
          <w:rFonts w:hint="eastAsia" w:ascii="宋体" w:hAnsi="宋体" w:eastAsia="宋体" w:cs="宋体"/>
          <w:highlight w:val="none"/>
        </w:rPr>
      </w:pPr>
    </w:p>
    <w:p w14:paraId="0D2BED59">
      <w:pPr>
        <w:rPr>
          <w:rFonts w:hint="eastAsia" w:ascii="宋体" w:hAnsi="宋体" w:eastAsia="宋体" w:cs="宋体"/>
          <w:highlight w:val="none"/>
        </w:rPr>
      </w:pPr>
    </w:p>
    <w:p w14:paraId="00C8636E">
      <w:pPr>
        <w:tabs>
          <w:tab w:val="left" w:pos="3148"/>
        </w:tabs>
        <w:jc w:val="left"/>
        <w:rPr>
          <w:rFonts w:hint="eastAsia" w:ascii="宋体" w:hAnsi="宋体" w:eastAsia="宋体" w:cs="宋体"/>
          <w:highlight w:val="none"/>
        </w:rPr>
        <w:sectPr>
          <w:pgSz w:w="11906" w:h="16838"/>
          <w:pgMar w:top="1440" w:right="1506"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highlight w:val="none"/>
        </w:rPr>
        <w:tab/>
      </w:r>
    </w:p>
    <w:p w14:paraId="6B67C939">
      <w:pPr>
        <w:pStyle w:val="4"/>
        <w:jc w:val="center"/>
        <w:rPr>
          <w:rFonts w:hint="eastAsia" w:ascii="宋体" w:hAnsi="宋体" w:eastAsia="宋体" w:cs="宋体"/>
          <w:highlight w:val="none"/>
        </w:rPr>
      </w:pPr>
      <w:bookmarkStart w:id="0" w:name="_Toc118207744"/>
      <w:bookmarkStart w:id="1" w:name="_Toc32199"/>
      <w:bookmarkStart w:id="2" w:name="_Toc31034"/>
      <w:bookmarkStart w:id="3" w:name="第二部分"/>
      <w:bookmarkStart w:id="4" w:name="_Toc91899870"/>
      <w:r>
        <w:rPr>
          <w:rFonts w:hint="eastAsia" w:ascii="宋体" w:hAnsi="宋体" w:eastAsia="宋体" w:cs="宋体"/>
          <w:sz w:val="36"/>
          <w:szCs w:val="36"/>
          <w:highlight w:val="none"/>
        </w:rPr>
        <w:t>第一</w:t>
      </w:r>
      <w:r>
        <w:rPr>
          <w:rFonts w:hint="eastAsia" w:ascii="宋体" w:hAnsi="宋体" w:eastAsia="宋体" w:cs="宋体"/>
          <w:sz w:val="36"/>
          <w:szCs w:val="36"/>
          <w:highlight w:val="none"/>
          <w:lang w:val="en-US" w:eastAsia="zh-CN"/>
        </w:rPr>
        <w:t>章</w:t>
      </w:r>
      <w:r>
        <w:rPr>
          <w:rFonts w:hint="eastAsia" w:ascii="宋体" w:hAnsi="宋体" w:eastAsia="宋体" w:cs="宋体"/>
          <w:sz w:val="36"/>
          <w:szCs w:val="36"/>
          <w:highlight w:val="none"/>
        </w:rPr>
        <w:t xml:space="preserve">  询价公告</w:t>
      </w:r>
      <w:bookmarkEnd w:id="0"/>
      <w:bookmarkEnd w:id="1"/>
      <w:bookmarkEnd w:id="2"/>
    </w:p>
    <w:p w14:paraId="3D777C40">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浙江建诚工程管理咨询有限公司</w:t>
      </w:r>
      <w:r>
        <w:rPr>
          <w:rFonts w:hint="eastAsia" w:ascii="宋体" w:hAnsi="宋体" w:eastAsia="宋体" w:cs="宋体"/>
          <w:sz w:val="24"/>
          <w:szCs w:val="24"/>
          <w:highlight w:val="none"/>
        </w:rPr>
        <w:t>受</w:t>
      </w:r>
      <w:r>
        <w:rPr>
          <w:rFonts w:hint="eastAsia" w:ascii="宋体" w:hAnsi="宋体" w:eastAsia="宋体" w:cs="宋体"/>
          <w:sz w:val="24"/>
          <w:szCs w:val="24"/>
          <w:highlight w:val="none"/>
          <w:lang w:eastAsia="zh-CN"/>
        </w:rPr>
        <w:t>嵊州市水联贸易有限公司</w:t>
      </w:r>
      <w:r>
        <w:rPr>
          <w:rFonts w:hint="eastAsia" w:ascii="宋体" w:hAnsi="宋体" w:eastAsia="宋体" w:cs="宋体"/>
          <w:sz w:val="24"/>
          <w:szCs w:val="24"/>
          <w:highlight w:val="none"/>
        </w:rPr>
        <w:t>委托，现就</w:t>
      </w:r>
      <w:r>
        <w:rPr>
          <w:rFonts w:hint="eastAsia" w:ascii="宋体" w:hAnsi="宋体" w:eastAsia="宋体" w:cs="宋体"/>
          <w:sz w:val="24"/>
          <w:szCs w:val="24"/>
          <w:highlight w:val="none"/>
          <w:u w:val="single"/>
          <w:lang w:eastAsia="zh-CN"/>
        </w:rPr>
        <w:t>崇仁镇新官桥~东大湾增压泵新建工程——材料设备采购项目</w:t>
      </w:r>
      <w:r>
        <w:rPr>
          <w:rFonts w:hint="eastAsia" w:ascii="宋体" w:hAnsi="宋体" w:eastAsia="宋体" w:cs="宋体"/>
          <w:sz w:val="24"/>
          <w:szCs w:val="24"/>
          <w:highlight w:val="none"/>
        </w:rPr>
        <w:t>进行询价采购，欢迎国内合格的供应商参加本次采购活动。</w:t>
      </w:r>
    </w:p>
    <w:p w14:paraId="73B1D34E">
      <w:pPr>
        <w:adjustRightInd w:val="0"/>
        <w:spacing w:line="360" w:lineRule="auto"/>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 xml:space="preserve">一.项目编号：JCSZ[2024]D061 </w:t>
      </w:r>
    </w:p>
    <w:p w14:paraId="7424F9B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二．采购组织类型：分散采购-询价 </w:t>
      </w:r>
    </w:p>
    <w:p w14:paraId="2A30ACC9">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三．项目概况:</w:t>
      </w:r>
    </w:p>
    <w:tbl>
      <w:tblPr>
        <w:tblStyle w:val="32"/>
        <w:tblW w:w="868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2552"/>
        <w:gridCol w:w="709"/>
        <w:gridCol w:w="709"/>
        <w:gridCol w:w="1246"/>
        <w:gridCol w:w="2909"/>
      </w:tblGrid>
      <w:tr w14:paraId="56C2C0C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auto" w:sz="4" w:space="0"/>
              <w:left w:val="single" w:color="auto" w:sz="4" w:space="0"/>
            </w:tcBorders>
            <w:vAlign w:val="center"/>
          </w:tcPr>
          <w:p w14:paraId="340D41A1">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552" w:type="dxa"/>
            <w:tcBorders>
              <w:top w:val="single" w:color="auto" w:sz="4" w:space="0"/>
            </w:tcBorders>
            <w:vAlign w:val="center"/>
          </w:tcPr>
          <w:p w14:paraId="227960F6">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09" w:type="dxa"/>
            <w:tcBorders>
              <w:top w:val="single" w:color="auto" w:sz="4" w:space="0"/>
            </w:tcBorders>
            <w:vAlign w:val="center"/>
          </w:tcPr>
          <w:p w14:paraId="5B2E0C06">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709" w:type="dxa"/>
            <w:tcBorders>
              <w:top w:val="single" w:color="auto" w:sz="4" w:space="0"/>
            </w:tcBorders>
            <w:vAlign w:val="center"/>
          </w:tcPr>
          <w:p w14:paraId="7586033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246" w:type="dxa"/>
            <w:tcBorders>
              <w:top w:val="single" w:color="auto" w:sz="4" w:space="0"/>
            </w:tcBorders>
            <w:vAlign w:val="center"/>
          </w:tcPr>
          <w:p w14:paraId="25D8F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预算金额(万元)</w:t>
            </w:r>
          </w:p>
        </w:tc>
        <w:tc>
          <w:tcPr>
            <w:tcW w:w="2909" w:type="dxa"/>
            <w:tcBorders>
              <w:top w:val="single" w:color="auto" w:sz="4" w:space="0"/>
              <w:right w:val="single" w:color="auto" w:sz="4" w:space="0"/>
            </w:tcBorders>
            <w:vAlign w:val="center"/>
          </w:tcPr>
          <w:p w14:paraId="3980CFE2">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简要规格描述或标项基本概况介绍</w:t>
            </w:r>
          </w:p>
        </w:tc>
      </w:tr>
      <w:tr w14:paraId="275B2154">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513" w:hRule="atLeast"/>
          <w:jc w:val="center"/>
        </w:trPr>
        <w:tc>
          <w:tcPr>
            <w:tcW w:w="558" w:type="dxa"/>
            <w:tcBorders>
              <w:left w:val="single" w:color="auto" w:sz="4" w:space="0"/>
              <w:bottom w:val="single" w:color="auto" w:sz="4" w:space="0"/>
            </w:tcBorders>
            <w:vAlign w:val="center"/>
          </w:tcPr>
          <w:p w14:paraId="2B559F0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552" w:type="dxa"/>
            <w:tcBorders>
              <w:bottom w:val="single" w:color="auto" w:sz="4" w:space="0"/>
            </w:tcBorders>
            <w:vAlign w:val="center"/>
          </w:tcPr>
          <w:p w14:paraId="16D56C83">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崇仁镇新官桥~东大湾增压泵新建工程——材料设备采购项目</w:t>
            </w:r>
          </w:p>
        </w:tc>
        <w:tc>
          <w:tcPr>
            <w:tcW w:w="709" w:type="dxa"/>
            <w:tcBorders>
              <w:bottom w:val="single" w:color="auto" w:sz="4" w:space="0"/>
            </w:tcBorders>
            <w:vAlign w:val="center"/>
          </w:tcPr>
          <w:p w14:paraId="54DB2C12">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09" w:type="dxa"/>
            <w:tcBorders>
              <w:bottom w:val="single" w:color="auto" w:sz="4" w:space="0"/>
            </w:tcBorders>
            <w:vAlign w:val="center"/>
          </w:tcPr>
          <w:p w14:paraId="5F6A0906">
            <w:pPr>
              <w:adjustRightIn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批</w:t>
            </w:r>
          </w:p>
        </w:tc>
        <w:tc>
          <w:tcPr>
            <w:tcW w:w="1246" w:type="dxa"/>
            <w:tcBorders>
              <w:bottom w:val="single" w:color="auto" w:sz="4" w:space="0"/>
            </w:tcBorders>
            <w:vAlign w:val="center"/>
          </w:tcPr>
          <w:p w14:paraId="1DCA2F47">
            <w:pPr>
              <w:pStyle w:val="40"/>
              <w:spacing w:line="240" w:lineRule="auto"/>
              <w:ind w:firstLine="0"/>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83</w:t>
            </w:r>
          </w:p>
        </w:tc>
        <w:tc>
          <w:tcPr>
            <w:tcW w:w="2909" w:type="dxa"/>
            <w:tcBorders>
              <w:bottom w:val="single" w:color="auto" w:sz="4" w:space="0"/>
              <w:right w:val="single" w:color="auto" w:sz="4" w:space="0"/>
            </w:tcBorders>
            <w:vAlign w:val="center"/>
          </w:tcPr>
          <w:p w14:paraId="208FD874">
            <w:pPr>
              <w:adjustRightIn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详见采购需求</w:t>
            </w:r>
          </w:p>
        </w:tc>
      </w:tr>
    </w:tbl>
    <w:p w14:paraId="4919066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四．合格供应商资格要求:</w:t>
      </w:r>
    </w:p>
    <w:p w14:paraId="259FA159">
      <w:pPr>
        <w:numPr>
          <w:ilvl w:val="0"/>
          <w:numId w:val="2"/>
        </w:numPr>
        <w:wordWrap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具有独立承担民事责任的能力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具有良好的商业信誉；具有履行合同所必需的设备和专业技术、售后保障等能力；有依法缴纳税收和社会保障资金的良好记录；</w:t>
      </w:r>
    </w:p>
    <w:p w14:paraId="4A76C5B0">
      <w:pPr>
        <w:numPr>
          <w:ilvl w:val="0"/>
          <w:numId w:val="2"/>
        </w:numPr>
        <w:wordWrap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在“信用中国网” (www.creditchina.gov.cn</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中国政府采购网</w:t>
      </w:r>
      <w:r>
        <w:rPr>
          <w:rFonts w:hint="eastAsia" w:ascii="宋体" w:hAnsi="宋体" w:eastAsia="宋体" w:cs="宋体"/>
          <w:sz w:val="24"/>
          <w:szCs w:val="24"/>
          <w:highlight w:val="none"/>
        </w:rPr>
        <w:t>（www.ccgp.gov.cn）被列入失信被执行人、重大税收违法当事人名单、政府采购严重违法失信行为记录名单的投标人，资格审查时不予以通过；</w:t>
      </w:r>
    </w:p>
    <w:p w14:paraId="3CE8CD59">
      <w:pPr>
        <w:numPr>
          <w:ilvl w:val="0"/>
          <w:numId w:val="2"/>
        </w:numPr>
        <w:wordWrap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w:t>
      </w:r>
    </w:p>
    <w:p w14:paraId="44F355E7">
      <w:pPr>
        <w:numPr>
          <w:ilvl w:val="0"/>
          <w:numId w:val="2"/>
        </w:numPr>
        <w:wordWrap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本次招标采用资格后审的审查方式，由询价小组负责审查。</w:t>
      </w:r>
    </w:p>
    <w:p w14:paraId="4C1AA9C4">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五．获取询价文件</w:t>
      </w:r>
    </w:p>
    <w:p w14:paraId="3580B291">
      <w:pPr>
        <w:numPr>
          <w:ilvl w:val="0"/>
          <w:numId w:val="3"/>
        </w:numPr>
        <w:adjustRightInd w:val="0"/>
        <w:spacing w:line="360" w:lineRule="auto"/>
        <w:ind w:firstLine="480" w:firstLineChars="200"/>
        <w:rPr>
          <w:rFonts w:hint="eastAsia" w:ascii="宋体" w:hAnsi="宋体" w:eastAsia="宋体" w:cs="宋体"/>
          <w:sz w:val="24"/>
          <w:szCs w:val="24"/>
          <w:highlight w:val="none"/>
        </w:rPr>
      </w:pPr>
      <w:bookmarkStart w:id="5" w:name="报名开始时间1"/>
      <w:r>
        <w:rPr>
          <w:rFonts w:hint="eastAsia" w:ascii="宋体" w:hAnsi="宋体" w:eastAsia="宋体" w:cs="宋体"/>
          <w:sz w:val="24"/>
          <w:szCs w:val="24"/>
          <w:highlight w:val="none"/>
        </w:rPr>
        <w:t>获取询价文件时间</w:t>
      </w:r>
      <w:r>
        <w:rPr>
          <w:rFonts w:hint="eastAsia" w:ascii="宋体" w:hAnsi="宋体" w:eastAsia="宋体" w:cs="宋体"/>
          <w:b/>
          <w:sz w:val="24"/>
          <w:szCs w:val="24"/>
          <w:highlight w:val="none"/>
        </w:rPr>
        <w:t>:</w:t>
      </w:r>
      <w:bookmarkEnd w:id="5"/>
      <w:r>
        <w:rPr>
          <w:rFonts w:hint="eastAsia" w:ascii="宋体" w:hAnsi="宋体" w:cs="宋体"/>
          <w:b/>
          <w:sz w:val="24"/>
          <w:szCs w:val="24"/>
          <w:highlight w:val="none"/>
          <w:u w:val="single"/>
          <w:lang w:eastAsia="zh-CN"/>
        </w:rPr>
        <w:t>2024 年11月22日</w:t>
      </w:r>
      <w:r>
        <w:rPr>
          <w:rFonts w:hint="eastAsia" w:ascii="宋体" w:hAnsi="宋体" w:eastAsia="宋体" w:cs="宋体"/>
          <w:b/>
          <w:sz w:val="24"/>
          <w:szCs w:val="24"/>
          <w:highlight w:val="none"/>
          <w:u w:val="single"/>
          <w:lang w:val="en-US" w:eastAsia="zh-CN"/>
        </w:rPr>
        <w:t>9：00</w:t>
      </w:r>
      <w:r>
        <w:rPr>
          <w:rFonts w:hint="eastAsia" w:ascii="宋体" w:hAnsi="宋体" w:eastAsia="宋体" w:cs="宋体"/>
          <w:b/>
          <w:sz w:val="24"/>
          <w:szCs w:val="24"/>
          <w:highlight w:val="none"/>
        </w:rPr>
        <w:t>之前获取。</w:t>
      </w:r>
    </w:p>
    <w:p w14:paraId="09783BEC">
      <w:pPr>
        <w:numPr>
          <w:ilvl w:val="0"/>
          <w:numId w:val="3"/>
        </w:num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获取询价文件方式：供应商登陆</w:t>
      </w:r>
      <w:r>
        <w:rPr>
          <w:rFonts w:hint="eastAsia" w:ascii="宋体" w:hAnsi="宋体" w:eastAsia="宋体" w:cs="宋体"/>
          <w:sz w:val="24"/>
          <w:szCs w:val="24"/>
          <w:highlight w:val="none"/>
          <w:lang w:val="en-US" w:eastAsia="zh-CN"/>
        </w:rPr>
        <w:t>乐采</w:t>
      </w:r>
      <w:r>
        <w:rPr>
          <w:rFonts w:hint="eastAsia" w:ascii="宋体" w:hAnsi="宋体" w:eastAsia="宋体" w:cs="宋体"/>
          <w:sz w:val="24"/>
          <w:szCs w:val="24"/>
          <w:highlight w:val="none"/>
        </w:rPr>
        <w:t>云平台</w:t>
      </w:r>
    </w:p>
    <w:p w14:paraId="6DA0F5D4">
      <w:pPr>
        <w:numPr>
          <w:ilvl w:val="0"/>
          <w:numId w:val="0"/>
        </w:numPr>
        <w:adjustRightInd w:val="0"/>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https://www.lecaiyun.com/</w:t>
      </w:r>
      <w:r>
        <w:rPr>
          <w:rFonts w:hint="eastAsia" w:ascii="宋体" w:hAnsi="宋体" w:eastAsia="宋体" w:cs="宋体"/>
          <w:sz w:val="24"/>
          <w:szCs w:val="24"/>
          <w:highlight w:val="none"/>
        </w:rPr>
        <w:t>，在线申请获取询价文件（进入“项目采购”应用，在获取采购文件菜单中选择项目，申请获取询价文件）。</w:t>
      </w:r>
    </w:p>
    <w:p w14:paraId="7FE67F44">
      <w:pPr>
        <w:numPr>
          <w:ilvl w:val="0"/>
          <w:numId w:val="3"/>
        </w:num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提示：</w:t>
      </w:r>
    </w:p>
    <w:p w14:paraId="7A70B46E">
      <w:pPr>
        <w:numPr>
          <w:ilvl w:val="0"/>
          <w:numId w:val="4"/>
        </w:num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将拒绝接受未获取询价文件供应商的响应文件。</w:t>
      </w:r>
    </w:p>
    <w:p w14:paraId="4D9359E2">
      <w:pPr>
        <w:numPr>
          <w:ilvl w:val="0"/>
          <w:numId w:val="4"/>
        </w:num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询价文件及更正补充公告请自行登录浙江政府采购网在采购公告页面中下载。</w:t>
      </w:r>
    </w:p>
    <w:p w14:paraId="51188A27">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六、投标与开标注意事项：</w:t>
      </w:r>
    </w:p>
    <w:p w14:paraId="546A8722">
      <w:pPr>
        <w:numPr>
          <w:ilvl w:val="0"/>
          <w:numId w:val="2"/>
        </w:num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w:t>
      </w:r>
      <w:r>
        <w:rPr>
          <w:rFonts w:hint="eastAsia" w:ascii="宋体" w:hAnsi="宋体" w:eastAsia="宋体" w:cs="宋体"/>
          <w:b/>
          <w:bCs/>
          <w:sz w:val="24"/>
          <w:szCs w:val="24"/>
          <w:highlight w:val="none"/>
        </w:rPr>
        <w:t>网上投标</w:t>
      </w:r>
      <w:r>
        <w:rPr>
          <w:rFonts w:hint="eastAsia" w:ascii="宋体" w:hAnsi="宋体" w:eastAsia="宋体" w:cs="宋体"/>
          <w:sz w:val="24"/>
          <w:szCs w:val="24"/>
          <w:highlight w:val="none"/>
        </w:rPr>
        <w:t>，采用电子投标文件，若供应商参与投标，自行承担投标一切费用。</w:t>
      </w:r>
    </w:p>
    <w:p w14:paraId="67E91E2A">
      <w:pPr>
        <w:numPr>
          <w:ilvl w:val="0"/>
          <w:numId w:val="2"/>
        </w:numPr>
        <w:wordWrap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09D4DEED">
      <w:pPr>
        <w:autoSpaceDE w:val="0"/>
        <w:autoSpaceDN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供应商将政采云电子交易客户端下载、安装完成后，可通过账号密码或CA登录客户端进行投标文件制作。在使用政采云投标客户端时，建议使用WIN7及以上操作系统。</w:t>
      </w:r>
    </w:p>
    <w:p w14:paraId="7D04DBA8">
      <w:pPr>
        <w:numPr>
          <w:ilvl w:val="0"/>
          <w:numId w:val="2"/>
        </w:num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投标文件制作：</w:t>
      </w:r>
    </w:p>
    <w:p w14:paraId="386ECDEB">
      <w:pPr>
        <w:numPr>
          <w:ilvl w:val="0"/>
          <w:numId w:val="5"/>
        </w:num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sz w:val="24"/>
          <w:szCs w:val="24"/>
          <w:highlight w:val="none"/>
          <w:lang w:val="en-US" w:eastAsia="zh-CN"/>
        </w:rPr>
        <w:t>95763</w:t>
      </w:r>
      <w:r>
        <w:rPr>
          <w:rFonts w:hint="eastAsia" w:ascii="宋体" w:hAnsi="宋体" w:eastAsia="宋体" w:cs="宋体"/>
          <w:sz w:val="24"/>
          <w:szCs w:val="24"/>
          <w:highlight w:val="none"/>
        </w:rPr>
        <w:t>。</w:t>
      </w:r>
    </w:p>
    <w:p w14:paraId="2B9129E0">
      <w:pPr>
        <w:numPr>
          <w:ilvl w:val="0"/>
          <w:numId w:val="5"/>
        </w:numPr>
        <w:wordWrap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投标人通过“政采云”平台电子投标工具制作投标文件。</w:t>
      </w:r>
    </w:p>
    <w:p w14:paraId="62339FB9">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4.供应商在法定质疑期内应一次性提出针对同一采购程序环节的质疑。否则质疑将不予受理。</w:t>
      </w:r>
    </w:p>
    <w:p w14:paraId="5E06AA9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5.投标人可指派授权代表递交备份文件，授权代表递交备份文件需携带法定代表人授权书原件，于投标截止时间前到达开标地点递交。</w:t>
      </w:r>
    </w:p>
    <w:p w14:paraId="285F517B">
      <w:pPr>
        <w:adjustRightInd w:val="0"/>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6.特别提醒</w:t>
      </w:r>
    </w:p>
    <w:p w14:paraId="469178AB">
      <w:pPr>
        <w:wordWrap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单位负责人为同一人或者存在直接控股、管理关系的不同供应商，不得参加同一合同项下的政府采购活动。</w:t>
      </w:r>
    </w:p>
    <w:p w14:paraId="006356E3">
      <w:pPr>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除单一来源采购项目外，为采购项目提供整体设计、规范编制或者项目管理、监理、检测等服务的供应商，不得再参加该采购项目的其他采购活动。</w:t>
      </w:r>
    </w:p>
    <w:p w14:paraId="1F9780D0">
      <w:pPr>
        <w:adjustRightInd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七．询价响应截止时间及要求：</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22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分整之前将电子询价响应文件上传到</w:t>
      </w:r>
      <w:r>
        <w:rPr>
          <w:rFonts w:hint="eastAsia" w:ascii="宋体" w:hAnsi="宋体" w:eastAsia="宋体" w:cs="宋体"/>
          <w:color w:val="auto"/>
          <w:kern w:val="0"/>
          <w:sz w:val="24"/>
          <w:szCs w:val="24"/>
          <w:highlight w:val="none"/>
          <w:lang w:val="zh-CN" w:eastAsia="zh-CN"/>
        </w:rPr>
        <w:t>乐采云</w:t>
      </w:r>
      <w:r>
        <w:rPr>
          <w:rFonts w:hint="eastAsia" w:ascii="宋体" w:hAnsi="宋体" w:eastAsia="宋体" w:cs="宋体"/>
          <w:color w:val="auto"/>
          <w:kern w:val="0"/>
          <w:sz w:val="24"/>
          <w:szCs w:val="24"/>
          <w:highlight w:val="none"/>
          <w:lang w:val="zh-CN"/>
        </w:rPr>
        <w:t>平台（https://www.</w:t>
      </w:r>
      <w:r>
        <w:rPr>
          <w:rFonts w:hint="eastAsia" w:ascii="宋体" w:hAnsi="宋体" w:eastAsia="宋体" w:cs="宋体"/>
          <w:color w:val="auto"/>
          <w:kern w:val="0"/>
          <w:sz w:val="24"/>
          <w:szCs w:val="24"/>
          <w:highlight w:val="none"/>
          <w:lang w:val="zh-CN" w:eastAsia="zh-CN"/>
        </w:rPr>
        <w:t>lecaiyun.com</w:t>
      </w:r>
      <w:r>
        <w:rPr>
          <w:rFonts w:hint="eastAsia" w:ascii="宋体" w:hAnsi="宋体" w:eastAsia="宋体" w:cs="宋体"/>
          <w:color w:val="auto"/>
          <w:kern w:val="0"/>
          <w:sz w:val="24"/>
          <w:szCs w:val="24"/>
          <w:highlight w:val="none"/>
          <w:lang w:val="zh-CN"/>
        </w:rPr>
        <w:t>/）</w:t>
      </w:r>
      <w:r>
        <w:rPr>
          <w:rFonts w:hint="eastAsia" w:ascii="宋体" w:hAnsi="宋体" w:eastAsia="宋体" w:cs="宋体"/>
          <w:sz w:val="24"/>
          <w:szCs w:val="24"/>
          <w:highlight w:val="none"/>
        </w:rPr>
        <w:t>。</w:t>
      </w:r>
    </w:p>
    <w:p w14:paraId="70EBC02D">
      <w:pPr>
        <w:adjustRightInd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八．递交首次响应文件时间及地点：</w:t>
      </w:r>
      <w:bookmarkStart w:id="6" w:name="B30_开标地点"/>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22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分</w:t>
      </w:r>
      <w:r>
        <w:rPr>
          <w:rFonts w:hint="eastAsia" w:ascii="宋体" w:hAnsi="宋体" w:eastAsia="宋体" w:cs="宋体"/>
          <w:sz w:val="24"/>
          <w:szCs w:val="24"/>
          <w:highlight w:val="none"/>
        </w:rPr>
        <w:t>整在</w:t>
      </w:r>
      <w:bookmarkEnd w:id="6"/>
      <w:r>
        <w:rPr>
          <w:rFonts w:hint="eastAsia" w:ascii="宋体" w:hAnsi="宋体" w:eastAsia="宋体" w:cs="宋体"/>
          <w:sz w:val="24"/>
          <w:szCs w:val="24"/>
          <w:highlight w:val="none"/>
          <w:lang w:eastAsia="zh-CN"/>
        </w:rPr>
        <w:t>浙江建诚工程管理咨询有限公司</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嵊州市吾悦广场写字楼4楼</w:t>
      </w:r>
      <w:r>
        <w:rPr>
          <w:rFonts w:hint="eastAsia" w:ascii="宋体" w:hAnsi="宋体" w:eastAsia="宋体" w:cs="宋体"/>
          <w:sz w:val="24"/>
          <w:szCs w:val="24"/>
          <w:highlight w:val="none"/>
        </w:rPr>
        <w:t>）开标室开标。</w:t>
      </w:r>
    </w:p>
    <w:p w14:paraId="017588DC">
      <w:pPr>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开标时间后30分钟内供应商可以登录</w:t>
      </w:r>
      <w:r>
        <w:rPr>
          <w:rFonts w:hint="eastAsia" w:ascii="宋体" w:hAnsi="宋体" w:eastAsia="宋体" w:cs="宋体"/>
          <w:color w:val="auto"/>
          <w:kern w:val="0"/>
          <w:sz w:val="24"/>
          <w:szCs w:val="24"/>
          <w:highlight w:val="none"/>
          <w:lang w:val="zh-CN" w:eastAsia="zh-CN"/>
        </w:rPr>
        <w:t>乐采云</w:t>
      </w:r>
      <w:r>
        <w:rPr>
          <w:rFonts w:hint="eastAsia" w:ascii="宋体" w:hAnsi="宋体" w:eastAsia="宋体" w:cs="宋体"/>
          <w:color w:val="auto"/>
          <w:kern w:val="0"/>
          <w:sz w:val="24"/>
          <w:szCs w:val="24"/>
          <w:highlight w:val="none"/>
          <w:lang w:val="zh-CN"/>
        </w:rPr>
        <w:t>平台（https://www.</w:t>
      </w:r>
      <w:r>
        <w:rPr>
          <w:rFonts w:hint="eastAsia" w:ascii="宋体" w:hAnsi="宋体" w:eastAsia="宋体" w:cs="宋体"/>
          <w:color w:val="auto"/>
          <w:kern w:val="0"/>
          <w:sz w:val="24"/>
          <w:szCs w:val="24"/>
          <w:highlight w:val="none"/>
          <w:lang w:val="zh-CN" w:eastAsia="zh-CN"/>
        </w:rPr>
        <w:t>lecaiyun.com</w:t>
      </w:r>
      <w:r>
        <w:rPr>
          <w:rFonts w:hint="eastAsia" w:ascii="宋体" w:hAnsi="宋体" w:eastAsia="宋体" w:cs="宋体"/>
          <w:color w:val="auto"/>
          <w:kern w:val="0"/>
          <w:sz w:val="24"/>
          <w:szCs w:val="24"/>
          <w:highlight w:val="none"/>
          <w:lang w:val="zh-CN"/>
        </w:rPr>
        <w:t>/）</w:t>
      </w:r>
      <w:r>
        <w:rPr>
          <w:rFonts w:hint="eastAsia" w:ascii="宋体" w:hAnsi="宋体" w:eastAsia="宋体" w:cs="宋体"/>
          <w:sz w:val="24"/>
          <w:szCs w:val="24"/>
          <w:highlight w:val="none"/>
        </w:rPr>
        <w:t>，用“项目采购-开标评标”功能进行解密响应文件。若供应商在规定时间内解密失败，则由采购代理机构工作人员上传供应商提供的备份文件。备份文件（后缀名为.bfbs）须存储在U盘中，与上传的电子询价响应文件一致，用信封进行密封并盖章</w:t>
      </w:r>
      <w:r>
        <w:rPr>
          <w:rFonts w:hint="eastAsia" w:ascii="宋体" w:hAnsi="宋体" w:eastAsia="宋体" w:cs="宋体"/>
          <w:b/>
          <w:bCs/>
          <w:sz w:val="24"/>
          <w:szCs w:val="24"/>
          <w:highlight w:val="none"/>
        </w:rPr>
        <w:t>（信封内仅需放入存储备份文件的U盘）</w:t>
      </w:r>
      <w:r>
        <w:rPr>
          <w:rFonts w:hint="eastAsia" w:ascii="宋体" w:hAnsi="宋体" w:eastAsia="宋体" w:cs="宋体"/>
          <w:sz w:val="24"/>
          <w:szCs w:val="24"/>
          <w:highlight w:val="none"/>
        </w:rPr>
        <w:t>，由授权代表在询价响应截止时间前递交至开标地点。若电子询价响应文件正常解锁，则U盘退还给供应商；若解锁失败，则由采购代理机构将U盘中的备份文件上传，该U盘将由采购代理机构保存。</w:t>
      </w:r>
    </w:p>
    <w:p w14:paraId="2F6B65EB">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九．询价保证金：无</w:t>
      </w:r>
    </w:p>
    <w:p w14:paraId="3356C227">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十．公告期限：3个工作日</w:t>
      </w:r>
    </w:p>
    <w:p w14:paraId="383FA9B4">
      <w:pPr>
        <w:adjustRightIn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十一．</w:t>
      </w:r>
      <w:r>
        <w:rPr>
          <w:rFonts w:hint="eastAsia" w:ascii="宋体" w:hAnsi="宋体" w:eastAsia="宋体" w:cs="宋体"/>
          <w:sz w:val="24"/>
          <w:szCs w:val="24"/>
          <w:highlight w:val="none"/>
          <w:lang w:val="en-US" w:eastAsia="zh-CN"/>
        </w:rPr>
        <w:t>其他事项</w:t>
      </w:r>
    </w:p>
    <w:p w14:paraId="58F5BFA0">
      <w:pPr>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投标人依法获取招标文件后认为招标文件使自己的权益受到损害的，可以自收到招标文件之日（招标文件获取之日在招标文件公告期限届满之日后的以公告期限届满之日</w:t>
      </w:r>
      <w:r>
        <w:rPr>
          <w:rFonts w:hint="eastAsia" w:ascii="宋体" w:hAnsi="宋体" w:eastAsia="宋体" w:cs="宋体"/>
          <w:sz w:val="24"/>
          <w:szCs w:val="24"/>
          <w:highlight w:val="none"/>
          <w:lang w:val="zh-CN"/>
        </w:rPr>
        <w:t>为准，</w:t>
      </w:r>
      <w:r>
        <w:rPr>
          <w:rFonts w:hint="eastAsia" w:ascii="宋体" w:hAnsi="宋体" w:eastAsia="宋体" w:cs="宋体"/>
          <w:sz w:val="24"/>
          <w:szCs w:val="24"/>
          <w:highlight w:val="none"/>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w:t>
      </w:r>
      <w:r>
        <w:rPr>
          <w:rFonts w:hint="eastAsia" w:ascii="宋体" w:hAnsi="宋体" w:eastAsia="宋体" w:cs="宋体"/>
          <w:sz w:val="24"/>
          <w:szCs w:val="24"/>
          <w:highlight w:val="none"/>
          <w:lang w:eastAsia="zh-CN"/>
        </w:rPr>
        <w:t>可以在答复期满后十五个工作日内向</w:t>
      </w:r>
      <w:r>
        <w:rPr>
          <w:rFonts w:hint="eastAsia" w:ascii="宋体" w:hAnsi="宋体" w:eastAsia="宋体" w:cs="宋体"/>
          <w:sz w:val="24"/>
          <w:szCs w:val="24"/>
          <w:highlight w:val="none"/>
          <w:lang w:val="en-US" w:eastAsia="zh-CN"/>
        </w:rPr>
        <w:t>采购单位监督科室</w:t>
      </w:r>
      <w:r>
        <w:rPr>
          <w:rFonts w:hint="eastAsia" w:ascii="宋体" w:hAnsi="宋体" w:eastAsia="宋体" w:cs="宋体"/>
          <w:sz w:val="24"/>
          <w:szCs w:val="24"/>
          <w:highlight w:val="none"/>
          <w:lang w:eastAsia="zh-CN"/>
        </w:rPr>
        <w:t>投诉。</w:t>
      </w:r>
      <w:r>
        <w:rPr>
          <w:rFonts w:hint="eastAsia" w:ascii="宋体" w:hAnsi="宋体" w:eastAsia="宋体" w:cs="宋体"/>
          <w:sz w:val="24"/>
          <w:szCs w:val="24"/>
          <w:highlight w:val="none"/>
        </w:rPr>
        <w:t>质疑函范本、投诉书范本请到浙江政府采购网下载专区下载。</w:t>
      </w:r>
    </w:p>
    <w:p w14:paraId="74D28BA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十二．</w:t>
      </w:r>
      <w:r>
        <w:rPr>
          <w:rFonts w:hint="eastAsia" w:ascii="宋体" w:hAnsi="宋体" w:eastAsia="宋体" w:cs="宋体"/>
          <w:sz w:val="24"/>
          <w:szCs w:val="24"/>
          <w:highlight w:val="none"/>
        </w:rPr>
        <w:t>联系方式：</w:t>
      </w:r>
    </w:p>
    <w:p w14:paraId="0F59AAF5">
      <w:pPr>
        <w:pStyle w:val="5"/>
        <w:numPr>
          <w:ilvl w:val="0"/>
          <w:numId w:val="0"/>
        </w:numPr>
        <w:spacing w:line="336" w:lineRule="auto"/>
        <w:ind w:firstLine="482" w:firstLineChars="200"/>
        <w:rPr>
          <w:rFonts w:hint="eastAsia" w:ascii="宋体" w:hAnsi="宋体" w:eastAsia="宋体" w:cs="宋体"/>
          <w:sz w:val="24"/>
          <w:szCs w:val="24"/>
          <w:highlight w:val="none"/>
        </w:rPr>
      </w:pPr>
      <w:bookmarkStart w:id="7" w:name="_Toc35393637"/>
      <w:bookmarkStart w:id="8" w:name="_Toc28359019"/>
      <w:bookmarkStart w:id="9" w:name="_Toc28359096"/>
      <w:bookmarkStart w:id="10" w:name="_Toc35393806"/>
      <w:r>
        <w:rPr>
          <w:rFonts w:hint="eastAsia" w:ascii="宋体" w:hAnsi="宋体" w:eastAsia="宋体" w:cs="宋体"/>
          <w:sz w:val="24"/>
          <w:szCs w:val="24"/>
          <w:highlight w:val="none"/>
        </w:rPr>
        <w:t>1.采购人信息</w:t>
      </w:r>
      <w:bookmarkEnd w:id="7"/>
      <w:bookmarkEnd w:id="8"/>
      <w:bookmarkEnd w:id="9"/>
      <w:bookmarkEnd w:id="10"/>
      <w:r>
        <w:rPr>
          <w:rFonts w:hint="eastAsia" w:ascii="宋体" w:hAnsi="宋体" w:eastAsia="宋体" w:cs="宋体"/>
          <w:sz w:val="24"/>
          <w:szCs w:val="24"/>
          <w:highlight w:val="none"/>
        </w:rPr>
        <w:t>：</w:t>
      </w:r>
    </w:p>
    <w:p w14:paraId="18017F74">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   标 人：</w:t>
      </w:r>
      <w:r>
        <w:rPr>
          <w:rFonts w:hint="eastAsia" w:ascii="宋体" w:hAnsi="宋体" w:eastAsia="宋体" w:cs="宋体"/>
          <w:sz w:val="24"/>
          <w:highlight w:val="none"/>
          <w:lang w:eastAsia="zh-CN"/>
        </w:rPr>
        <w:t>嵊州市水联贸易有限公司</w:t>
      </w:r>
      <w:r>
        <w:rPr>
          <w:rFonts w:hint="eastAsia" w:ascii="宋体" w:hAnsi="宋体" w:eastAsia="宋体" w:cs="宋体"/>
          <w:sz w:val="24"/>
          <w:highlight w:val="none"/>
        </w:rPr>
        <w:t xml:space="preserve"> </w:t>
      </w:r>
    </w:p>
    <w:p w14:paraId="7AD214AA">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招标人地址：</w:t>
      </w:r>
      <w:r>
        <w:rPr>
          <w:rFonts w:hint="eastAsia" w:ascii="宋体" w:hAnsi="宋体" w:eastAsia="宋体" w:cs="宋体"/>
          <w:sz w:val="24"/>
          <w:highlight w:val="none"/>
          <w:lang w:eastAsia="zh-CN"/>
        </w:rPr>
        <w:t>嵊州市剡湖街道雅石路74号</w:t>
      </w:r>
      <w:r>
        <w:rPr>
          <w:rFonts w:hint="eastAsia" w:ascii="宋体" w:hAnsi="宋体" w:eastAsia="宋体" w:cs="宋体"/>
          <w:sz w:val="24"/>
          <w:highlight w:val="none"/>
        </w:rPr>
        <w:t xml:space="preserve">   </w:t>
      </w:r>
    </w:p>
    <w:p w14:paraId="0A539944">
      <w:pPr>
        <w:spacing w:line="336"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联 系 人：</w:t>
      </w:r>
      <w:r>
        <w:rPr>
          <w:rFonts w:hint="eastAsia" w:ascii="宋体" w:hAnsi="宋体" w:eastAsia="宋体" w:cs="宋体"/>
          <w:sz w:val="24"/>
          <w:highlight w:val="none"/>
          <w:lang w:eastAsia="zh-CN"/>
        </w:rPr>
        <w:t>张筠丽</w:t>
      </w:r>
    </w:p>
    <w:p w14:paraId="3B83EDDA">
      <w:pPr>
        <w:pStyle w:val="5"/>
        <w:numPr>
          <w:ilvl w:val="0"/>
          <w:numId w:val="0"/>
        </w:numPr>
        <w:spacing w:line="336" w:lineRule="auto"/>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联系电话：</w:t>
      </w:r>
      <w:bookmarkStart w:id="11" w:name="_Toc28359020"/>
      <w:bookmarkStart w:id="12" w:name="_Toc35393807"/>
      <w:bookmarkStart w:id="13" w:name="_Toc28359097"/>
      <w:bookmarkStart w:id="14" w:name="_Toc35393638"/>
      <w:r>
        <w:rPr>
          <w:rFonts w:hint="eastAsia" w:ascii="宋体" w:hAnsi="宋体" w:eastAsia="宋体" w:cs="宋体"/>
          <w:b w:val="0"/>
          <w:bCs w:val="0"/>
          <w:sz w:val="24"/>
          <w:szCs w:val="24"/>
          <w:highlight w:val="none"/>
          <w:lang w:val="en-US" w:eastAsia="zh-CN"/>
        </w:rPr>
        <w:t>0575-83291577</w:t>
      </w:r>
    </w:p>
    <w:p w14:paraId="286672F0">
      <w:pPr>
        <w:pStyle w:val="5"/>
        <w:numPr>
          <w:ilvl w:val="0"/>
          <w:numId w:val="0"/>
        </w:numPr>
        <w:spacing w:line="336" w:lineRule="auto"/>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11"/>
      <w:bookmarkEnd w:id="12"/>
      <w:bookmarkEnd w:id="13"/>
      <w:bookmarkEnd w:id="14"/>
      <w:r>
        <w:rPr>
          <w:rFonts w:hint="eastAsia" w:ascii="宋体" w:hAnsi="宋体" w:eastAsia="宋体" w:cs="宋体"/>
          <w:sz w:val="24"/>
          <w:szCs w:val="24"/>
          <w:highlight w:val="none"/>
        </w:rPr>
        <w:t>：</w:t>
      </w:r>
    </w:p>
    <w:p w14:paraId="0A302016">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招标代理：浙江建诚工程管理咨询有限公司  </w:t>
      </w:r>
    </w:p>
    <w:p w14:paraId="4A081884">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地址：嵊州市吾悦广场写字楼4楼    </w:t>
      </w:r>
    </w:p>
    <w:p w14:paraId="7E47714C">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人：马佳丽</w:t>
      </w:r>
    </w:p>
    <w:p w14:paraId="3A634323">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联系电话：0575-83508835</w:t>
      </w:r>
    </w:p>
    <w:p w14:paraId="3C696CA9">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质疑联系人：陈静</w:t>
      </w:r>
    </w:p>
    <w:p w14:paraId="50E47D51">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联系电话：0575-83508835</w:t>
      </w:r>
    </w:p>
    <w:p w14:paraId="135E952F">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采购监督管理部门信息： </w:t>
      </w:r>
    </w:p>
    <w:p w14:paraId="15707BC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名称：嵊州市水务集团有限公司</w:t>
      </w:r>
    </w:p>
    <w:p w14:paraId="5DDEFF6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质疑联系人：吴鑫波</w:t>
      </w:r>
    </w:p>
    <w:p w14:paraId="5BB3C90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联系电话：0575</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83299669</w:t>
      </w:r>
    </w:p>
    <w:p w14:paraId="7A353798">
      <w:pPr>
        <w:pStyle w:val="2"/>
        <w:rPr>
          <w:rFonts w:hint="eastAsia" w:ascii="宋体" w:hAnsi="宋体" w:eastAsia="宋体" w:cs="宋体"/>
          <w:highlight w:val="none"/>
        </w:rPr>
      </w:pPr>
    </w:p>
    <w:p w14:paraId="0438B733">
      <w:pPr>
        <w:spacing w:line="360" w:lineRule="auto"/>
        <w:ind w:firstLine="361" w:firstLineChars="100"/>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bookmarkStart w:id="15" w:name="_Toc546"/>
      <w:bookmarkStart w:id="16" w:name="_Toc29834"/>
      <w:bookmarkStart w:id="17" w:name="_Toc118207745"/>
      <w:r>
        <w:rPr>
          <w:rStyle w:val="44"/>
          <w:rFonts w:hint="eastAsia" w:ascii="宋体" w:hAnsi="宋体" w:eastAsia="宋体" w:cs="宋体"/>
          <w:sz w:val="36"/>
          <w:szCs w:val="36"/>
          <w:highlight w:val="none"/>
        </w:rPr>
        <w:t>第二</w:t>
      </w:r>
      <w:bookmarkEnd w:id="3"/>
      <w:bookmarkEnd w:id="4"/>
      <w:r>
        <w:rPr>
          <w:rStyle w:val="44"/>
          <w:rFonts w:hint="eastAsia" w:ascii="宋体" w:hAnsi="宋体" w:eastAsia="宋体" w:cs="宋体"/>
          <w:sz w:val="36"/>
          <w:szCs w:val="36"/>
          <w:highlight w:val="none"/>
          <w:lang w:val="en-US" w:eastAsia="zh-CN"/>
        </w:rPr>
        <w:t>章</w:t>
      </w:r>
      <w:r>
        <w:rPr>
          <w:rStyle w:val="44"/>
          <w:rFonts w:hint="eastAsia" w:ascii="宋体" w:hAnsi="宋体" w:eastAsia="宋体" w:cs="宋体"/>
          <w:sz w:val="36"/>
          <w:szCs w:val="36"/>
          <w:highlight w:val="none"/>
        </w:rPr>
        <w:t xml:space="preserve">  供应商须知</w:t>
      </w:r>
      <w:bookmarkEnd w:id="15"/>
      <w:bookmarkEnd w:id="16"/>
      <w:bookmarkEnd w:id="17"/>
    </w:p>
    <w:p w14:paraId="5228A301">
      <w:pPr>
        <w:spacing w:line="360" w:lineRule="auto"/>
        <w:jc w:val="center"/>
        <w:outlineLvl w:val="1"/>
        <w:rPr>
          <w:rFonts w:hint="eastAsia" w:ascii="宋体" w:hAnsi="宋体" w:eastAsia="宋体" w:cs="宋体"/>
          <w:b/>
          <w:bCs/>
          <w:sz w:val="36"/>
          <w:szCs w:val="36"/>
          <w:highlight w:val="none"/>
        </w:rPr>
      </w:pPr>
      <w:bookmarkStart w:id="18" w:name="_Toc118207746"/>
      <w:r>
        <w:rPr>
          <w:rFonts w:hint="eastAsia" w:ascii="宋体" w:hAnsi="宋体" w:eastAsia="宋体" w:cs="宋体"/>
          <w:b/>
          <w:bCs/>
          <w:snapToGrid w:val="0"/>
          <w:sz w:val="30"/>
          <w:szCs w:val="30"/>
          <w:highlight w:val="none"/>
        </w:rPr>
        <w:t>供应商须知前附表</w:t>
      </w:r>
      <w:bookmarkEnd w:id="18"/>
    </w:p>
    <w:tbl>
      <w:tblPr>
        <w:tblStyle w:val="32"/>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7"/>
        <w:gridCol w:w="6575"/>
      </w:tblGrid>
      <w:tr w14:paraId="7AB79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67" w:hRule="atLeast"/>
          <w:tblHeader/>
          <w:jc w:val="center"/>
        </w:trPr>
        <w:tc>
          <w:tcPr>
            <w:tcW w:w="648" w:type="dxa"/>
            <w:tcBorders>
              <w:top w:val="double" w:color="auto" w:sz="4" w:space="0"/>
            </w:tcBorders>
            <w:vAlign w:val="center"/>
          </w:tcPr>
          <w:p w14:paraId="01193982">
            <w:pPr>
              <w:snapToGrid w:val="0"/>
              <w:jc w:val="center"/>
              <w:rPr>
                <w:rFonts w:hint="eastAsia" w:ascii="宋体" w:hAnsi="宋体" w:eastAsia="宋体" w:cs="宋体"/>
                <w:b/>
                <w:bCs/>
                <w:snapToGrid w:val="0"/>
                <w:sz w:val="24"/>
                <w:szCs w:val="24"/>
                <w:highlight w:val="none"/>
              </w:rPr>
            </w:pPr>
            <w:r>
              <w:rPr>
                <w:rFonts w:hint="eastAsia" w:ascii="宋体" w:hAnsi="宋体" w:eastAsia="宋体" w:cs="宋体"/>
                <w:b/>
                <w:bCs/>
                <w:snapToGrid w:val="0"/>
                <w:sz w:val="24"/>
                <w:szCs w:val="24"/>
                <w:highlight w:val="none"/>
              </w:rPr>
              <w:t>序号</w:t>
            </w:r>
          </w:p>
        </w:tc>
        <w:tc>
          <w:tcPr>
            <w:tcW w:w="1907" w:type="dxa"/>
            <w:tcBorders>
              <w:top w:val="double" w:color="auto" w:sz="4" w:space="0"/>
            </w:tcBorders>
            <w:vAlign w:val="center"/>
          </w:tcPr>
          <w:p w14:paraId="3EEA8D90">
            <w:pPr>
              <w:snapToGrid w:val="0"/>
              <w:jc w:val="center"/>
              <w:rPr>
                <w:rFonts w:hint="eastAsia" w:ascii="宋体" w:hAnsi="宋体" w:eastAsia="宋体" w:cs="宋体"/>
                <w:b/>
                <w:bCs/>
                <w:snapToGrid w:val="0"/>
                <w:sz w:val="24"/>
                <w:szCs w:val="24"/>
                <w:highlight w:val="none"/>
              </w:rPr>
            </w:pPr>
            <w:r>
              <w:rPr>
                <w:rFonts w:hint="eastAsia" w:ascii="宋体" w:hAnsi="宋体" w:eastAsia="宋体" w:cs="宋体"/>
                <w:b/>
                <w:bCs/>
                <w:snapToGrid w:val="0"/>
                <w:sz w:val="24"/>
                <w:szCs w:val="24"/>
                <w:highlight w:val="none"/>
              </w:rPr>
              <w:t>项目</w:t>
            </w:r>
          </w:p>
        </w:tc>
        <w:tc>
          <w:tcPr>
            <w:tcW w:w="6575" w:type="dxa"/>
            <w:tcBorders>
              <w:top w:val="double" w:color="auto" w:sz="4" w:space="0"/>
            </w:tcBorders>
            <w:vAlign w:val="center"/>
          </w:tcPr>
          <w:p w14:paraId="272D2C81">
            <w:pPr>
              <w:snapToGrid w:val="0"/>
              <w:jc w:val="center"/>
              <w:rPr>
                <w:rFonts w:hint="eastAsia" w:ascii="宋体" w:hAnsi="宋体" w:eastAsia="宋体" w:cs="宋体"/>
                <w:b/>
                <w:bCs/>
                <w:snapToGrid w:val="0"/>
                <w:sz w:val="24"/>
                <w:szCs w:val="24"/>
                <w:highlight w:val="none"/>
              </w:rPr>
            </w:pPr>
            <w:r>
              <w:rPr>
                <w:rFonts w:hint="eastAsia" w:ascii="宋体" w:hAnsi="宋体" w:eastAsia="宋体" w:cs="宋体"/>
                <w:b/>
                <w:bCs/>
                <w:snapToGrid w:val="0"/>
                <w:sz w:val="24"/>
                <w:szCs w:val="24"/>
                <w:highlight w:val="none"/>
              </w:rPr>
              <w:t>内容</w:t>
            </w:r>
          </w:p>
        </w:tc>
      </w:tr>
      <w:tr w14:paraId="4FACEB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648" w:type="dxa"/>
            <w:vAlign w:val="center"/>
          </w:tcPr>
          <w:p w14:paraId="278A0CB0">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w:t>
            </w:r>
          </w:p>
        </w:tc>
        <w:tc>
          <w:tcPr>
            <w:tcW w:w="1907" w:type="dxa"/>
            <w:vAlign w:val="center"/>
          </w:tcPr>
          <w:p w14:paraId="1403804D">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项目名称</w:t>
            </w:r>
          </w:p>
        </w:tc>
        <w:tc>
          <w:tcPr>
            <w:tcW w:w="6575" w:type="dxa"/>
            <w:vAlign w:val="center"/>
          </w:tcPr>
          <w:p w14:paraId="315B77BA">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崇仁镇新官桥~东大湾增压泵新建工程——材料设备采购项目</w:t>
            </w:r>
          </w:p>
        </w:tc>
      </w:tr>
      <w:tr w14:paraId="1949ED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648" w:type="dxa"/>
            <w:vAlign w:val="center"/>
          </w:tcPr>
          <w:p w14:paraId="0D26F627">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w:t>
            </w:r>
          </w:p>
        </w:tc>
        <w:tc>
          <w:tcPr>
            <w:tcW w:w="1907" w:type="dxa"/>
            <w:vAlign w:val="center"/>
          </w:tcPr>
          <w:p w14:paraId="38FAD231">
            <w:pPr>
              <w:snapToGrid w:val="0"/>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交货和完工</w:t>
            </w:r>
          </w:p>
          <w:p w14:paraId="0394A412">
            <w:pPr>
              <w:snapToGrid w:val="0"/>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期限</w:t>
            </w:r>
          </w:p>
        </w:tc>
        <w:tc>
          <w:tcPr>
            <w:tcW w:w="6575" w:type="dxa"/>
            <w:vAlign w:val="center"/>
          </w:tcPr>
          <w:p w14:paraId="0202D276">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highlight w:val="none"/>
              </w:rPr>
            </w:pPr>
            <w:r>
              <w:rPr>
                <w:rFonts w:hint="eastAsia" w:ascii="宋体" w:hAnsi="宋体" w:eastAsia="宋体" w:cs="宋体"/>
                <w:snapToGrid w:val="0"/>
                <w:sz w:val="24"/>
                <w:szCs w:val="24"/>
                <w:highlight w:val="none"/>
              </w:rPr>
              <w:t>合同签订后30天内完成供货、安装，设备安装调试。</w:t>
            </w:r>
          </w:p>
        </w:tc>
      </w:tr>
      <w:tr w14:paraId="760FDD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648" w:type="dxa"/>
            <w:vAlign w:val="center"/>
          </w:tcPr>
          <w:p w14:paraId="524539A6">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3</w:t>
            </w:r>
          </w:p>
        </w:tc>
        <w:tc>
          <w:tcPr>
            <w:tcW w:w="1907" w:type="dxa"/>
            <w:vAlign w:val="center"/>
          </w:tcPr>
          <w:p w14:paraId="28267F56">
            <w:pPr>
              <w:snapToGrid w:val="0"/>
              <w:jc w:val="center"/>
              <w:rPr>
                <w:rFonts w:hint="eastAsia" w:ascii="宋体" w:hAnsi="宋体" w:eastAsia="宋体" w:cs="宋体"/>
                <w:b/>
                <w:bCs/>
                <w:snapToGrid w:val="0"/>
                <w:sz w:val="24"/>
                <w:szCs w:val="24"/>
                <w:highlight w:val="none"/>
              </w:rPr>
            </w:pPr>
            <w:r>
              <w:rPr>
                <w:rFonts w:hint="eastAsia" w:ascii="宋体" w:hAnsi="宋体" w:eastAsia="宋体" w:cs="宋体"/>
                <w:b/>
                <w:bCs/>
                <w:snapToGrid w:val="0"/>
                <w:sz w:val="24"/>
                <w:szCs w:val="24"/>
                <w:highlight w:val="none"/>
                <w:lang w:val="en-US" w:eastAsia="zh-CN"/>
              </w:rPr>
              <w:t>最高</w:t>
            </w:r>
            <w:r>
              <w:rPr>
                <w:rFonts w:hint="eastAsia" w:ascii="宋体" w:hAnsi="宋体" w:eastAsia="宋体" w:cs="宋体"/>
                <w:b/>
                <w:bCs/>
                <w:snapToGrid w:val="0"/>
                <w:sz w:val="24"/>
                <w:szCs w:val="24"/>
                <w:highlight w:val="none"/>
              </w:rPr>
              <w:t>限价</w:t>
            </w:r>
          </w:p>
        </w:tc>
        <w:tc>
          <w:tcPr>
            <w:tcW w:w="6575" w:type="dxa"/>
            <w:vAlign w:val="center"/>
          </w:tcPr>
          <w:p w14:paraId="55C1E22B">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
                <w:bCs/>
                <w:snapToGrid w:val="0"/>
                <w:sz w:val="24"/>
                <w:szCs w:val="24"/>
                <w:highlight w:val="none"/>
                <w:lang w:val="en-US" w:eastAsia="zh-CN"/>
              </w:rPr>
            </w:pPr>
            <w:r>
              <w:rPr>
                <w:rFonts w:hint="eastAsia" w:ascii="宋体" w:hAnsi="宋体" w:cs="宋体"/>
                <w:b/>
                <w:bCs/>
                <w:snapToGrid w:val="0"/>
                <w:sz w:val="24"/>
                <w:szCs w:val="24"/>
                <w:highlight w:val="none"/>
                <w:lang w:val="en-US" w:eastAsia="zh-CN"/>
              </w:rPr>
              <w:t>83</w:t>
            </w:r>
            <w:r>
              <w:rPr>
                <w:rFonts w:hint="eastAsia" w:ascii="宋体" w:hAnsi="宋体" w:eastAsia="宋体" w:cs="宋体"/>
                <w:b/>
                <w:bCs/>
                <w:snapToGrid w:val="0"/>
                <w:sz w:val="24"/>
                <w:szCs w:val="24"/>
                <w:highlight w:val="none"/>
                <w:lang w:val="en-US" w:eastAsia="zh-CN"/>
              </w:rPr>
              <w:t>万元</w:t>
            </w:r>
          </w:p>
        </w:tc>
      </w:tr>
      <w:tr w14:paraId="0104F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648" w:type="dxa"/>
            <w:vAlign w:val="center"/>
          </w:tcPr>
          <w:p w14:paraId="2900F4AE">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 xml:space="preserve">                                                                                                   4</w:t>
            </w:r>
          </w:p>
        </w:tc>
        <w:tc>
          <w:tcPr>
            <w:tcW w:w="1907" w:type="dxa"/>
            <w:vAlign w:val="center"/>
          </w:tcPr>
          <w:p w14:paraId="28457E62">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资格审查方式</w:t>
            </w:r>
          </w:p>
        </w:tc>
        <w:tc>
          <w:tcPr>
            <w:tcW w:w="6575" w:type="dxa"/>
            <w:vAlign w:val="center"/>
          </w:tcPr>
          <w:p w14:paraId="3B13C76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资格审查是指开标后，询价小组将依据法律法规和询价文件的规定对供应商的资格进行审查。</w:t>
            </w:r>
          </w:p>
        </w:tc>
      </w:tr>
      <w:tr w14:paraId="395820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648" w:type="dxa"/>
            <w:vAlign w:val="center"/>
          </w:tcPr>
          <w:p w14:paraId="02C01277">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5</w:t>
            </w:r>
          </w:p>
        </w:tc>
        <w:tc>
          <w:tcPr>
            <w:tcW w:w="1907" w:type="dxa"/>
            <w:vAlign w:val="center"/>
          </w:tcPr>
          <w:p w14:paraId="67353562">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踏勘现场</w:t>
            </w:r>
          </w:p>
        </w:tc>
        <w:tc>
          <w:tcPr>
            <w:tcW w:w="6575" w:type="dxa"/>
            <w:vAlign w:val="center"/>
          </w:tcPr>
          <w:p w14:paraId="275B9E71">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b/>
                <w:bCs/>
                <w:snapToGrid w:val="0"/>
                <w:sz w:val="24"/>
                <w:szCs w:val="24"/>
                <w:highlight w:val="none"/>
              </w:rPr>
              <w:t>本项目不组织现场踏勘</w:t>
            </w:r>
          </w:p>
        </w:tc>
      </w:tr>
      <w:tr w14:paraId="41D6FB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5" w:hRule="atLeast"/>
          <w:jc w:val="center"/>
        </w:trPr>
        <w:tc>
          <w:tcPr>
            <w:tcW w:w="648" w:type="dxa"/>
            <w:vAlign w:val="center"/>
          </w:tcPr>
          <w:p w14:paraId="0658F8ED">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6</w:t>
            </w:r>
          </w:p>
        </w:tc>
        <w:tc>
          <w:tcPr>
            <w:tcW w:w="1907" w:type="dxa"/>
            <w:vAlign w:val="center"/>
          </w:tcPr>
          <w:p w14:paraId="0DD8D4A4">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询问</w:t>
            </w:r>
          </w:p>
        </w:tc>
        <w:tc>
          <w:tcPr>
            <w:tcW w:w="6575" w:type="dxa"/>
            <w:vAlign w:val="center"/>
          </w:tcPr>
          <w:p w14:paraId="673A4B9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77ECA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648" w:type="dxa"/>
            <w:vAlign w:val="center"/>
          </w:tcPr>
          <w:p w14:paraId="7D1B4D50">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7</w:t>
            </w:r>
          </w:p>
        </w:tc>
        <w:tc>
          <w:tcPr>
            <w:tcW w:w="1907" w:type="dxa"/>
            <w:vAlign w:val="center"/>
          </w:tcPr>
          <w:p w14:paraId="69557493">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询价文件的澄清与修改</w:t>
            </w:r>
          </w:p>
        </w:tc>
        <w:tc>
          <w:tcPr>
            <w:tcW w:w="6575" w:type="dxa"/>
            <w:vAlign w:val="center"/>
          </w:tcPr>
          <w:p w14:paraId="00D5D92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采购单位可以对已发出的询价文件进行必要澄清或者修改，澄清或者修改的内容可能影响响应文件编制的，应当在提交首次响应文件截</w:t>
            </w:r>
            <w:r>
              <w:rPr>
                <w:rFonts w:hint="eastAsia" w:ascii="宋体" w:hAnsi="宋体" w:eastAsia="宋体" w:cs="宋体"/>
                <w:snapToGrid w:val="0"/>
                <w:sz w:val="24"/>
                <w:szCs w:val="24"/>
                <w:highlight w:val="none"/>
                <w:lang w:val="en-US" w:eastAsia="zh-CN"/>
              </w:rPr>
              <w:t>止</w:t>
            </w:r>
            <w:r>
              <w:rPr>
                <w:rFonts w:hint="eastAsia" w:ascii="宋体" w:hAnsi="宋体" w:eastAsia="宋体" w:cs="宋体"/>
                <w:snapToGrid w:val="0"/>
                <w:sz w:val="24"/>
                <w:szCs w:val="24"/>
                <w:highlight w:val="none"/>
              </w:rPr>
              <w:t>时间至少3个工作日前，在询价公告发布的媒体上发布更正公告。本项目询价文件和补充（答疑、澄清）、修改文件等请自行登录浙江政府采购网站查看。</w:t>
            </w:r>
          </w:p>
        </w:tc>
      </w:tr>
      <w:tr w14:paraId="1226E7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648" w:type="dxa"/>
            <w:vAlign w:val="center"/>
          </w:tcPr>
          <w:p w14:paraId="4D530D3D">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8</w:t>
            </w:r>
          </w:p>
        </w:tc>
        <w:tc>
          <w:tcPr>
            <w:tcW w:w="1907" w:type="dxa"/>
            <w:vAlign w:val="center"/>
          </w:tcPr>
          <w:p w14:paraId="73794DA5">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询价响应文件组成</w:t>
            </w:r>
          </w:p>
        </w:tc>
        <w:tc>
          <w:tcPr>
            <w:tcW w:w="6575" w:type="dxa"/>
            <w:vAlign w:val="center"/>
          </w:tcPr>
          <w:p w14:paraId="2F50540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供应商向采购人递交的响应文件由资格文件、商务技术文件、报价文件三部分组成。</w:t>
            </w:r>
          </w:p>
        </w:tc>
      </w:tr>
      <w:tr w14:paraId="011BC1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648" w:type="dxa"/>
            <w:vAlign w:val="center"/>
          </w:tcPr>
          <w:p w14:paraId="01C2A049">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9</w:t>
            </w:r>
          </w:p>
        </w:tc>
        <w:tc>
          <w:tcPr>
            <w:tcW w:w="1907" w:type="dxa"/>
            <w:vAlign w:val="center"/>
          </w:tcPr>
          <w:p w14:paraId="43ABD0DB">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评标办法</w:t>
            </w:r>
          </w:p>
        </w:tc>
        <w:tc>
          <w:tcPr>
            <w:tcW w:w="6575" w:type="dxa"/>
            <w:vAlign w:val="center"/>
          </w:tcPr>
          <w:p w14:paraId="6B1FA42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最低评标价法</w:t>
            </w:r>
          </w:p>
        </w:tc>
      </w:tr>
      <w:tr w14:paraId="3697A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8DA1DDC">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10</w:t>
            </w:r>
          </w:p>
        </w:tc>
        <w:tc>
          <w:tcPr>
            <w:tcW w:w="1907" w:type="dxa"/>
            <w:vAlign w:val="center"/>
          </w:tcPr>
          <w:p w14:paraId="70718F16">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询价响应文件递交地址及截止时间</w:t>
            </w:r>
          </w:p>
        </w:tc>
        <w:tc>
          <w:tcPr>
            <w:tcW w:w="6575" w:type="dxa"/>
            <w:vAlign w:val="center"/>
          </w:tcPr>
          <w:p w14:paraId="2DAB5AF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详见询价公告</w:t>
            </w:r>
          </w:p>
        </w:tc>
      </w:tr>
      <w:tr w14:paraId="395FCF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648" w:type="dxa"/>
            <w:vAlign w:val="center"/>
          </w:tcPr>
          <w:p w14:paraId="3CA6C166">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11</w:t>
            </w:r>
          </w:p>
        </w:tc>
        <w:tc>
          <w:tcPr>
            <w:tcW w:w="1907" w:type="dxa"/>
            <w:vAlign w:val="center"/>
          </w:tcPr>
          <w:p w14:paraId="2608839F">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开标时间、地点</w:t>
            </w:r>
          </w:p>
        </w:tc>
        <w:tc>
          <w:tcPr>
            <w:tcW w:w="6575" w:type="dxa"/>
            <w:vAlign w:val="center"/>
          </w:tcPr>
          <w:p w14:paraId="3A2D092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开标时间：</w:t>
            </w:r>
            <w:r>
              <w:rPr>
                <w:rFonts w:hint="eastAsia" w:ascii="宋体" w:hAnsi="宋体" w:eastAsia="宋体" w:cs="宋体"/>
                <w:sz w:val="24"/>
                <w:szCs w:val="24"/>
                <w:highlight w:val="none"/>
              </w:rPr>
              <w:t>详见询价公告</w:t>
            </w:r>
          </w:p>
          <w:p w14:paraId="5ADE4E7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开标地点：</w:t>
            </w:r>
            <w:r>
              <w:rPr>
                <w:rFonts w:hint="eastAsia" w:ascii="宋体" w:hAnsi="宋体" w:eastAsia="宋体" w:cs="宋体"/>
                <w:sz w:val="24"/>
                <w:szCs w:val="24"/>
                <w:highlight w:val="none"/>
              </w:rPr>
              <w:t>详见询价公告</w:t>
            </w:r>
          </w:p>
        </w:tc>
      </w:tr>
      <w:tr w14:paraId="56829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8" w:hRule="atLeast"/>
          <w:jc w:val="center"/>
        </w:trPr>
        <w:tc>
          <w:tcPr>
            <w:tcW w:w="648" w:type="dxa"/>
            <w:vAlign w:val="center"/>
          </w:tcPr>
          <w:p w14:paraId="645E3CDB">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12</w:t>
            </w:r>
          </w:p>
        </w:tc>
        <w:tc>
          <w:tcPr>
            <w:tcW w:w="1907" w:type="dxa"/>
            <w:vAlign w:val="center"/>
          </w:tcPr>
          <w:p w14:paraId="3EED99D4">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询价响应文件有效期</w:t>
            </w:r>
          </w:p>
        </w:tc>
        <w:tc>
          <w:tcPr>
            <w:tcW w:w="6575" w:type="dxa"/>
            <w:vAlign w:val="center"/>
          </w:tcPr>
          <w:p w14:paraId="3F7F0BF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响应文件有效期为从提交响应文件的截止之日起90天。供应商的响应文件中承诺的响应文件有效期少于询价文件中载明的响应文件有效期的，询价无效。</w:t>
            </w:r>
          </w:p>
        </w:tc>
      </w:tr>
      <w:tr w14:paraId="05E5A7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14:paraId="4BDBCE03">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13</w:t>
            </w:r>
          </w:p>
        </w:tc>
        <w:tc>
          <w:tcPr>
            <w:tcW w:w="1907" w:type="dxa"/>
            <w:vAlign w:val="center"/>
          </w:tcPr>
          <w:p w14:paraId="6A2A88B8">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履约保证金</w:t>
            </w:r>
          </w:p>
        </w:tc>
        <w:tc>
          <w:tcPr>
            <w:tcW w:w="6575" w:type="dxa"/>
            <w:vAlign w:val="center"/>
          </w:tcPr>
          <w:p w14:paraId="06CC77A0">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snapToGrid w:val="0"/>
                <w:sz w:val="24"/>
                <w:szCs w:val="24"/>
                <w:highlight w:val="none"/>
              </w:rPr>
            </w:pPr>
            <w:r>
              <w:rPr>
                <w:rFonts w:hint="eastAsia" w:ascii="宋体" w:hAnsi="宋体" w:cs="宋体"/>
                <w:snapToGrid w:val="0"/>
                <w:color w:val="auto"/>
                <w:sz w:val="24"/>
                <w:szCs w:val="24"/>
                <w:highlight w:val="none"/>
                <w:lang w:val="en-US" w:eastAsia="zh-CN"/>
              </w:rPr>
              <w:t>中标金额</w:t>
            </w:r>
            <w:r>
              <w:rPr>
                <w:rFonts w:hint="eastAsia" w:ascii="宋体" w:hAnsi="宋体" w:eastAsia="宋体" w:cs="宋体"/>
                <w:snapToGrid w:val="0"/>
                <w:color w:val="auto"/>
                <w:sz w:val="24"/>
                <w:szCs w:val="24"/>
                <w:highlight w:val="none"/>
              </w:rPr>
              <w:t>的</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%；中标人在收到中标通知书之日起5个工作日内缴纳履约保证金，</w:t>
            </w:r>
            <w:r>
              <w:rPr>
                <w:rFonts w:hint="eastAsia" w:ascii="宋体" w:hAnsi="宋体" w:eastAsia="宋体" w:cs="宋体"/>
                <w:snapToGrid w:val="0"/>
                <w:color w:val="auto"/>
                <w:sz w:val="24"/>
                <w:szCs w:val="24"/>
                <w:highlight w:val="none"/>
                <w:lang w:val="en-US" w:eastAsia="zh-CN"/>
              </w:rPr>
              <w:t>服务期满后</w:t>
            </w:r>
            <w:r>
              <w:rPr>
                <w:rFonts w:hint="eastAsia" w:ascii="宋体" w:hAnsi="宋体" w:eastAsia="宋体" w:cs="宋体"/>
                <w:snapToGrid w:val="0"/>
                <w:color w:val="auto"/>
                <w:sz w:val="24"/>
                <w:szCs w:val="24"/>
                <w:highlight w:val="none"/>
              </w:rPr>
              <w:t>1个月内无息退还。（允许保函，保函有效期须在本项目约定完工日期之日起30日历天后）</w:t>
            </w:r>
          </w:p>
        </w:tc>
      </w:tr>
      <w:tr w14:paraId="214631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EAA06C0">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14</w:t>
            </w:r>
          </w:p>
        </w:tc>
        <w:tc>
          <w:tcPr>
            <w:tcW w:w="1907" w:type="dxa"/>
            <w:vAlign w:val="center"/>
          </w:tcPr>
          <w:p w14:paraId="7F1C5A5B">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询价公告及成交结果公告发布媒体</w:t>
            </w:r>
          </w:p>
        </w:tc>
        <w:tc>
          <w:tcPr>
            <w:tcW w:w="6575" w:type="dxa"/>
            <w:vAlign w:val="center"/>
          </w:tcPr>
          <w:p w14:paraId="4BECE634">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浙江省政府采购网</w:t>
            </w:r>
          </w:p>
        </w:tc>
      </w:tr>
      <w:tr w14:paraId="11F927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82" w:hRule="atLeast"/>
          <w:jc w:val="center"/>
        </w:trPr>
        <w:tc>
          <w:tcPr>
            <w:tcW w:w="648" w:type="dxa"/>
            <w:vAlign w:val="center"/>
          </w:tcPr>
          <w:p w14:paraId="7CB2A32E">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907" w:type="dxa"/>
            <w:vAlign w:val="center"/>
          </w:tcPr>
          <w:p w14:paraId="32785907">
            <w:pPr>
              <w:snapToGrid w:val="0"/>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rPr>
              <w:t>质疑</w:t>
            </w:r>
            <w:r>
              <w:rPr>
                <w:rFonts w:hint="eastAsia" w:ascii="宋体" w:hAnsi="宋体" w:eastAsia="宋体" w:cs="宋体"/>
                <w:snapToGrid w:val="0"/>
                <w:sz w:val="24"/>
                <w:szCs w:val="24"/>
                <w:highlight w:val="none"/>
                <w:lang w:val="en-US" w:eastAsia="zh-CN"/>
              </w:rPr>
              <w:t>及投诉</w:t>
            </w:r>
          </w:p>
        </w:tc>
        <w:tc>
          <w:tcPr>
            <w:tcW w:w="6575" w:type="dxa"/>
            <w:vAlign w:val="center"/>
          </w:tcPr>
          <w:p w14:paraId="220B0F7F">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napToGrid w:val="0"/>
                <w:sz w:val="24"/>
                <w:szCs w:val="24"/>
                <w:highlight w:val="none"/>
                <w:lang w:eastAsia="zh-CN"/>
              </w:rPr>
            </w:pPr>
            <w:r>
              <w:rPr>
                <w:rFonts w:hint="eastAsia" w:ascii="宋体" w:hAnsi="宋体" w:eastAsia="宋体" w:cs="宋体"/>
                <w:sz w:val="24"/>
                <w:szCs w:val="24"/>
                <w:highlight w:val="none"/>
              </w:rPr>
              <w:t>投标人依法获取招标文件后认为招标文件使自己的权益受到损害的，可以自收到招标文件之日（招标文件获取之日在招标文件公告期限届满之日后的以公告期限届满之日</w:t>
            </w:r>
            <w:r>
              <w:rPr>
                <w:rFonts w:hint="eastAsia" w:ascii="宋体" w:hAnsi="宋体" w:eastAsia="宋体" w:cs="宋体"/>
                <w:sz w:val="24"/>
                <w:szCs w:val="24"/>
                <w:highlight w:val="none"/>
                <w:lang w:val="zh-CN"/>
              </w:rPr>
              <w:t>为准，</w:t>
            </w:r>
            <w:r>
              <w:rPr>
                <w:rFonts w:hint="eastAsia" w:ascii="宋体" w:hAnsi="宋体" w:eastAsia="宋体" w:cs="宋体"/>
                <w:sz w:val="24"/>
                <w:szCs w:val="24"/>
                <w:highlight w:val="none"/>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w:t>
            </w:r>
            <w:r>
              <w:rPr>
                <w:rFonts w:hint="eastAsia" w:ascii="宋体" w:hAnsi="宋体" w:eastAsia="宋体" w:cs="宋体"/>
                <w:sz w:val="24"/>
                <w:szCs w:val="24"/>
                <w:highlight w:val="none"/>
                <w:lang w:eastAsia="zh-CN"/>
              </w:rPr>
              <w:t>可以在答复期满后十五个工作日内向</w:t>
            </w:r>
            <w:r>
              <w:rPr>
                <w:rFonts w:hint="eastAsia" w:ascii="宋体" w:hAnsi="宋体" w:eastAsia="宋体" w:cs="宋体"/>
                <w:sz w:val="24"/>
                <w:szCs w:val="24"/>
                <w:highlight w:val="none"/>
                <w:lang w:val="en-US" w:eastAsia="zh-CN"/>
              </w:rPr>
              <w:t>采购单位监督科室</w:t>
            </w:r>
            <w:r>
              <w:rPr>
                <w:rFonts w:hint="eastAsia" w:ascii="宋体" w:hAnsi="宋体" w:eastAsia="宋体" w:cs="宋体"/>
                <w:sz w:val="24"/>
                <w:szCs w:val="24"/>
                <w:highlight w:val="none"/>
                <w:lang w:eastAsia="zh-CN"/>
              </w:rPr>
              <w:t>投诉。</w:t>
            </w:r>
            <w:r>
              <w:rPr>
                <w:rFonts w:hint="eastAsia" w:ascii="宋体" w:hAnsi="宋体" w:eastAsia="宋体" w:cs="宋体"/>
                <w:sz w:val="24"/>
                <w:szCs w:val="24"/>
                <w:highlight w:val="none"/>
              </w:rPr>
              <w:t>质疑函范本、投诉书范本请到浙江政府采购网下载专区下载。</w:t>
            </w:r>
          </w:p>
        </w:tc>
      </w:tr>
      <w:tr w14:paraId="6807B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3" w:hRule="atLeast"/>
          <w:jc w:val="center"/>
        </w:trPr>
        <w:tc>
          <w:tcPr>
            <w:tcW w:w="648" w:type="dxa"/>
            <w:vAlign w:val="center"/>
          </w:tcPr>
          <w:p w14:paraId="4C3F6029">
            <w:pPr>
              <w:snapToGrid w:val="0"/>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16</w:t>
            </w:r>
          </w:p>
        </w:tc>
        <w:tc>
          <w:tcPr>
            <w:tcW w:w="1907" w:type="dxa"/>
            <w:vAlign w:val="center"/>
          </w:tcPr>
          <w:p w14:paraId="3D555FB0">
            <w:pPr>
              <w:snapToGrid w:val="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特别说明</w:t>
            </w:r>
          </w:p>
        </w:tc>
        <w:tc>
          <w:tcPr>
            <w:tcW w:w="6575" w:type="dxa"/>
            <w:vAlign w:val="center"/>
          </w:tcPr>
          <w:p w14:paraId="35FEFAA1">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无条件的、认真仔细的阅读本询价文件及其澄清答疑、修改答复的补充文件，严格按照询价文件及补充文件的规定和要求编制响应文件。在编制响应文件过程中，应严格遵循实事求是、诚信投标的原则，针对询价文件中的采购需求、合同条款等各项内容进行确认，如有偏离，应如实填写响应偏离表。</w:t>
            </w:r>
          </w:p>
          <w:p w14:paraId="6435A035">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5724C5F8">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质疑、投诉人未按前列进行质疑、投诉（申诉），均属于扰乱政府采购市场不良行为。</w:t>
            </w:r>
          </w:p>
          <w:p w14:paraId="2FE8A012">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询价文件中凡标注“★”的条款均为实质性要求，不响应的响应文件将作无效标处理。</w:t>
            </w:r>
          </w:p>
        </w:tc>
      </w:tr>
      <w:tr w14:paraId="364467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6D9EFF83">
            <w:pPr>
              <w:snapToGrid w:val="0"/>
              <w:jc w:val="center"/>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rPr>
              <w:t>1</w:t>
            </w:r>
            <w:r>
              <w:rPr>
                <w:rFonts w:hint="eastAsia" w:ascii="宋体" w:hAnsi="宋体" w:eastAsia="宋体" w:cs="宋体"/>
                <w:snapToGrid w:val="0"/>
                <w:sz w:val="24"/>
                <w:szCs w:val="24"/>
                <w:highlight w:val="none"/>
                <w:lang w:val="en-US" w:eastAsia="zh-CN"/>
              </w:rPr>
              <w:t>8</w:t>
            </w:r>
          </w:p>
        </w:tc>
        <w:tc>
          <w:tcPr>
            <w:tcW w:w="1907" w:type="dxa"/>
            <w:vAlign w:val="center"/>
          </w:tcPr>
          <w:p w14:paraId="278D330B">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招标代理费</w:t>
            </w:r>
          </w:p>
        </w:tc>
        <w:tc>
          <w:tcPr>
            <w:tcW w:w="6575" w:type="dxa"/>
            <w:vAlign w:val="center"/>
          </w:tcPr>
          <w:p w14:paraId="6FAAB9C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本项目代理服务费按“发改价格[2011]534号”文件收费标准</w:t>
            </w:r>
            <w:r>
              <w:rPr>
                <w:rFonts w:hint="eastAsia" w:ascii="宋体" w:hAnsi="宋体" w:eastAsia="宋体" w:cs="宋体"/>
                <w:snapToGrid w:val="0"/>
                <w:color w:val="auto"/>
                <w:kern w:val="28"/>
                <w:sz w:val="24"/>
                <w:highlight w:val="none"/>
                <w:lang w:val="en-US" w:eastAsia="zh-CN"/>
              </w:rPr>
              <w:t>60%</w:t>
            </w:r>
            <w:r>
              <w:rPr>
                <w:rFonts w:hint="eastAsia" w:ascii="宋体" w:hAnsi="宋体" w:eastAsia="宋体" w:cs="宋体"/>
                <w:snapToGrid w:val="0"/>
                <w:color w:val="auto"/>
                <w:kern w:val="28"/>
                <w:sz w:val="24"/>
                <w:highlight w:val="none"/>
              </w:rPr>
              <w:t>结算</w:t>
            </w:r>
            <w:r>
              <w:rPr>
                <w:rFonts w:hint="eastAsia" w:ascii="宋体" w:hAnsi="宋体" w:eastAsia="宋体" w:cs="宋体"/>
                <w:snapToGrid w:val="0"/>
                <w:color w:val="auto"/>
                <w:kern w:val="28"/>
                <w:sz w:val="24"/>
                <w:highlight w:val="none"/>
                <w:lang w:val="en-US" w:eastAsia="zh-CN"/>
              </w:rPr>
              <w:t>；其他费用按实收取，</w:t>
            </w:r>
            <w:r>
              <w:rPr>
                <w:rFonts w:hint="eastAsia" w:ascii="宋体" w:hAnsi="宋体" w:eastAsia="宋体" w:cs="宋体"/>
                <w:snapToGrid w:val="0"/>
                <w:color w:val="auto"/>
                <w:kern w:val="28"/>
                <w:sz w:val="24"/>
                <w:highlight w:val="none"/>
              </w:rPr>
              <w:t xml:space="preserve">中标单位在领取中标通知书前支付； </w:t>
            </w:r>
          </w:p>
          <w:p w14:paraId="43F11BE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① 代理服务费缴纳形式：转账、网上银行、现金</w:t>
            </w:r>
          </w:p>
          <w:p w14:paraId="6B56741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② 代理服务费汇入以下账户 ：</w:t>
            </w:r>
          </w:p>
          <w:p w14:paraId="741973D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收款单位（户名）：浙江建诚工程管理咨询有限公司嵊州分公司</w:t>
            </w:r>
          </w:p>
          <w:p w14:paraId="3851D74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  户：中国银行嵊州城东支行</w:t>
            </w:r>
          </w:p>
          <w:p w14:paraId="5BE3163A">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color w:val="auto"/>
                <w:kern w:val="28"/>
                <w:sz w:val="24"/>
                <w:highlight w:val="none"/>
              </w:rPr>
              <w:t>账  号：368871510337</w:t>
            </w:r>
          </w:p>
        </w:tc>
      </w:tr>
      <w:tr w14:paraId="766D45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1" w:hRule="atLeast"/>
          <w:jc w:val="center"/>
        </w:trPr>
        <w:tc>
          <w:tcPr>
            <w:tcW w:w="648" w:type="dxa"/>
            <w:vAlign w:val="center"/>
          </w:tcPr>
          <w:p w14:paraId="55194226">
            <w:pPr>
              <w:snapToGrid w:val="0"/>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19</w:t>
            </w:r>
          </w:p>
        </w:tc>
        <w:tc>
          <w:tcPr>
            <w:tcW w:w="1907" w:type="dxa"/>
            <w:vAlign w:val="center"/>
          </w:tcPr>
          <w:p w14:paraId="0B056DE0">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政府采购节能环保产品</w:t>
            </w:r>
          </w:p>
        </w:tc>
        <w:tc>
          <w:tcPr>
            <w:tcW w:w="6575" w:type="dxa"/>
            <w:vAlign w:val="center"/>
          </w:tcPr>
          <w:p w14:paraId="1698749C">
            <w:pPr>
              <w:keepNext w:val="0"/>
              <w:keepLines w:val="0"/>
              <w:pageBreakBefore w:val="0"/>
              <w:widowControl w:val="0"/>
              <w:kinsoku/>
              <w:wordWrap/>
              <w:overflowPunct/>
              <w:topLinePunct w:val="0"/>
              <w:autoSpaceDE/>
              <w:autoSpaceDN/>
              <w:bidi w:val="0"/>
              <w:adjustRightInd/>
              <w:spacing w:line="480" w:lineRule="exact"/>
              <w:ind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采购人拟采购的产品属于政府强制采购的节能产品品目清单范围的，投标人未按招标文件要求提供国家确定的认证机构出具的、处于有效期之内的节能产品认证证书，投标无效。</w:t>
            </w:r>
          </w:p>
        </w:tc>
      </w:tr>
      <w:tr w14:paraId="4998D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648" w:type="dxa"/>
            <w:vAlign w:val="center"/>
          </w:tcPr>
          <w:p w14:paraId="3CA87349">
            <w:pPr>
              <w:snapToGrid w:val="0"/>
              <w:spacing w:line="360" w:lineRule="exact"/>
              <w:jc w:val="center"/>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val="en-US" w:eastAsia="zh-CN"/>
              </w:rPr>
              <w:t>20</w:t>
            </w:r>
          </w:p>
        </w:tc>
        <w:tc>
          <w:tcPr>
            <w:tcW w:w="1907" w:type="dxa"/>
            <w:vAlign w:val="center"/>
          </w:tcPr>
          <w:p w14:paraId="3C6120E7">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是否允许分包</w:t>
            </w:r>
          </w:p>
        </w:tc>
        <w:tc>
          <w:tcPr>
            <w:tcW w:w="6575" w:type="dxa"/>
            <w:vAlign w:val="center"/>
          </w:tcPr>
          <w:p w14:paraId="7652F498">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u w:val="single"/>
              </w:rPr>
              <w:t>不允许</w:t>
            </w:r>
            <w:r>
              <w:rPr>
                <w:rFonts w:hint="eastAsia" w:ascii="宋体" w:hAnsi="宋体" w:eastAsia="宋体" w:cs="宋体"/>
                <w:sz w:val="24"/>
                <w:szCs w:val="24"/>
                <w:highlight w:val="none"/>
              </w:rPr>
              <w:t>分包</w:t>
            </w:r>
          </w:p>
        </w:tc>
      </w:tr>
      <w:tr w14:paraId="2C2B6E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2BD67F03">
            <w:pPr>
              <w:snapToGrid w:val="0"/>
              <w:spacing w:line="360" w:lineRule="exact"/>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21</w:t>
            </w:r>
          </w:p>
        </w:tc>
        <w:tc>
          <w:tcPr>
            <w:tcW w:w="1907" w:type="dxa"/>
            <w:vAlign w:val="center"/>
          </w:tcPr>
          <w:p w14:paraId="2977AE62">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是否允许进口</w:t>
            </w:r>
          </w:p>
          <w:p w14:paraId="32D6377B">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w:t>
            </w:r>
          </w:p>
        </w:tc>
        <w:tc>
          <w:tcPr>
            <w:tcW w:w="6575" w:type="dxa"/>
            <w:vAlign w:val="center"/>
          </w:tcPr>
          <w:p w14:paraId="2CBEAB38">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cs="宋体"/>
                <w:sz w:val="24"/>
                <w:szCs w:val="24"/>
                <w:highlight w:val="none"/>
                <w:u w:val="single"/>
                <w:lang w:val="en-US" w:eastAsia="zh-CN"/>
              </w:rPr>
              <w:t>不</w:t>
            </w:r>
            <w:r>
              <w:rPr>
                <w:rFonts w:hint="eastAsia" w:ascii="宋体" w:hAnsi="宋体" w:eastAsia="宋体" w:cs="宋体"/>
                <w:sz w:val="24"/>
                <w:szCs w:val="24"/>
                <w:highlight w:val="none"/>
                <w:u w:val="single"/>
              </w:rPr>
              <w:t>允许</w:t>
            </w:r>
            <w:r>
              <w:rPr>
                <w:rFonts w:hint="eastAsia" w:ascii="宋体" w:hAnsi="宋体" w:eastAsia="宋体" w:cs="宋体"/>
                <w:sz w:val="24"/>
                <w:szCs w:val="24"/>
                <w:highlight w:val="none"/>
              </w:rPr>
              <w:t>进口产品</w:t>
            </w:r>
          </w:p>
        </w:tc>
      </w:tr>
      <w:tr w14:paraId="2CA371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648" w:type="dxa"/>
            <w:vAlign w:val="center"/>
          </w:tcPr>
          <w:p w14:paraId="0055145D">
            <w:pPr>
              <w:snapToGrid w:val="0"/>
              <w:spacing w:line="360" w:lineRule="exact"/>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22</w:t>
            </w:r>
          </w:p>
        </w:tc>
        <w:tc>
          <w:tcPr>
            <w:tcW w:w="1907" w:type="dxa"/>
            <w:vAlign w:val="center"/>
          </w:tcPr>
          <w:p w14:paraId="4DD7093A">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是否提供样品</w:t>
            </w:r>
          </w:p>
        </w:tc>
        <w:tc>
          <w:tcPr>
            <w:tcW w:w="6575" w:type="dxa"/>
            <w:vAlign w:val="center"/>
          </w:tcPr>
          <w:p w14:paraId="44A7601A">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u w:val="single"/>
              </w:rPr>
              <w:t>不需要</w:t>
            </w:r>
            <w:r>
              <w:rPr>
                <w:rFonts w:hint="eastAsia" w:ascii="宋体" w:hAnsi="宋体" w:eastAsia="宋体" w:cs="宋体"/>
                <w:sz w:val="24"/>
                <w:szCs w:val="24"/>
                <w:highlight w:val="none"/>
              </w:rPr>
              <w:t>提供样品</w:t>
            </w:r>
          </w:p>
        </w:tc>
      </w:tr>
      <w:tr w14:paraId="0BE4A9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648" w:type="dxa"/>
            <w:vAlign w:val="center"/>
          </w:tcPr>
          <w:p w14:paraId="626F53E7">
            <w:pPr>
              <w:snapToGrid w:val="0"/>
              <w:spacing w:line="360" w:lineRule="exact"/>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23</w:t>
            </w:r>
          </w:p>
        </w:tc>
        <w:tc>
          <w:tcPr>
            <w:tcW w:w="1907" w:type="dxa"/>
            <w:vAlign w:val="center"/>
          </w:tcPr>
          <w:p w14:paraId="24C0964D">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是否提供演示</w:t>
            </w:r>
          </w:p>
        </w:tc>
        <w:tc>
          <w:tcPr>
            <w:tcW w:w="6575" w:type="dxa"/>
            <w:vAlign w:val="center"/>
          </w:tcPr>
          <w:p w14:paraId="0DB08EDB">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u w:val="single"/>
              </w:rPr>
              <w:t>不需要</w:t>
            </w:r>
            <w:r>
              <w:rPr>
                <w:rFonts w:hint="eastAsia" w:ascii="宋体" w:hAnsi="宋体" w:eastAsia="宋体" w:cs="宋体"/>
                <w:sz w:val="24"/>
                <w:szCs w:val="24"/>
                <w:highlight w:val="none"/>
              </w:rPr>
              <w:t>提供演示</w:t>
            </w:r>
          </w:p>
        </w:tc>
      </w:tr>
      <w:tr w14:paraId="272718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2" w:hRule="atLeast"/>
          <w:jc w:val="center"/>
        </w:trPr>
        <w:tc>
          <w:tcPr>
            <w:tcW w:w="648" w:type="dxa"/>
            <w:vAlign w:val="center"/>
          </w:tcPr>
          <w:p w14:paraId="7E70E0CD">
            <w:pPr>
              <w:snapToGrid w:val="0"/>
              <w:spacing w:line="360" w:lineRule="exact"/>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24</w:t>
            </w:r>
          </w:p>
        </w:tc>
        <w:tc>
          <w:tcPr>
            <w:tcW w:w="1907" w:type="dxa"/>
            <w:vAlign w:val="center"/>
          </w:tcPr>
          <w:p w14:paraId="58E38482">
            <w:pPr>
              <w:snapToGrid w:val="0"/>
              <w:jc w:val="center"/>
              <w:rPr>
                <w:rFonts w:hint="eastAsia" w:ascii="宋体" w:hAnsi="宋体" w:eastAsia="宋体" w:cs="宋体"/>
                <w:sz w:val="24"/>
                <w:szCs w:val="24"/>
                <w:highlight w:val="none"/>
              </w:rPr>
            </w:pPr>
            <w:r>
              <w:rPr>
                <w:rFonts w:hint="eastAsia" w:ascii="宋体" w:hAnsi="宋体" w:eastAsia="宋体" w:cs="宋体"/>
                <w:b w:val="0"/>
                <w:bCs/>
                <w:color w:val="000000" w:themeColor="text1"/>
                <w:sz w:val="24"/>
                <w:highlight w:val="none"/>
                <w14:textFill>
                  <w14:solidFill>
                    <w14:schemeClr w14:val="tx1"/>
                  </w14:solidFill>
                </w14:textFill>
              </w:rPr>
              <w:t>投标人信用信息事项</w:t>
            </w:r>
          </w:p>
        </w:tc>
        <w:tc>
          <w:tcPr>
            <w:tcW w:w="6575" w:type="dxa"/>
            <w:vAlign w:val="center"/>
          </w:tcPr>
          <w:p w14:paraId="67A918DA">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信用信息查询渠道及截止时间：采购人或采购人委托的评审小组或采购代理机构将通过“信用中国”网站(www.creditchina.gov.cn)、中国政府采购网(www.ccgp.gov.cn)渠道查询投标人开标当天的信用记录。</w:t>
            </w:r>
          </w:p>
          <w:p w14:paraId="78E005C6">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信用信息查询记录和证据留存的具体方式：采购人或采购人委托的评审小组或采购代理机构现场查询投标人的信用记录，查询结果经确认后与采购文件一起存档。</w:t>
            </w:r>
          </w:p>
          <w:p w14:paraId="3AEEDBC4">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信用信息的使用规则：经查询列入失信被执行人名单、重大税收违法案件当事人名单、政府采购严重违法失信行为记录名单的投标人将被拒绝参与采购活动。</w:t>
            </w:r>
          </w:p>
          <w:p w14:paraId="0990D881">
            <w:pPr>
              <w:pStyle w:val="19"/>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szCs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700BC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3" w:hRule="atLeast"/>
          <w:jc w:val="center"/>
        </w:trPr>
        <w:tc>
          <w:tcPr>
            <w:tcW w:w="648" w:type="dxa"/>
            <w:vAlign w:val="center"/>
          </w:tcPr>
          <w:p w14:paraId="2D771A96">
            <w:pPr>
              <w:snapToGrid w:val="0"/>
              <w:spacing w:line="360" w:lineRule="exact"/>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25</w:t>
            </w:r>
          </w:p>
        </w:tc>
        <w:tc>
          <w:tcPr>
            <w:tcW w:w="1907" w:type="dxa"/>
            <w:vAlign w:val="center"/>
          </w:tcPr>
          <w:p w14:paraId="649B868F">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6575" w:type="dxa"/>
            <w:vAlign w:val="center"/>
          </w:tcPr>
          <w:p w14:paraId="424FE349">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1、本询价文件要求提供的身份证复印件皆需提供正反面，否则按不提供处理。</w:t>
            </w:r>
          </w:p>
          <w:p w14:paraId="3F24088D">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2、本项目货物如涉及柴油动力移动源，柴油动力移动源应当符合低排放要求。</w:t>
            </w:r>
          </w:p>
        </w:tc>
      </w:tr>
    </w:tbl>
    <w:p w14:paraId="0A81B35E">
      <w:pPr>
        <w:pStyle w:val="6"/>
        <w:spacing w:line="360" w:lineRule="auto"/>
        <w:rPr>
          <w:rFonts w:hint="eastAsia" w:ascii="宋体" w:hAnsi="宋体" w:eastAsia="宋体" w:cs="宋体"/>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sz w:val="24"/>
          <w:szCs w:val="24"/>
          <w:highlight w:val="none"/>
        </w:rPr>
        <w:t>注：以上内容如有变化将另行通知。如通知其中某一内容发生变化，其余未提及的将不作变动。</w:t>
      </w:r>
    </w:p>
    <w:p w14:paraId="20A611D0">
      <w:pPr>
        <w:pStyle w:val="5"/>
        <w:numPr>
          <w:ilvl w:val="0"/>
          <w:numId w:val="6"/>
        </w:numPr>
        <w:jc w:val="center"/>
        <w:rPr>
          <w:rFonts w:hint="eastAsia" w:ascii="宋体" w:hAnsi="宋体" w:eastAsia="宋体" w:cs="宋体"/>
          <w:highlight w:val="none"/>
        </w:rPr>
      </w:pPr>
      <w:bookmarkStart w:id="19" w:name="_Toc118207747"/>
      <w:bookmarkStart w:id="20" w:name="_Toc25187"/>
      <w:r>
        <w:rPr>
          <w:rFonts w:hint="eastAsia" w:ascii="宋体" w:hAnsi="宋体" w:eastAsia="宋体" w:cs="宋体"/>
          <w:highlight w:val="none"/>
        </w:rPr>
        <w:t>总则</w:t>
      </w:r>
      <w:bookmarkEnd w:id="19"/>
      <w:bookmarkEnd w:id="20"/>
    </w:p>
    <w:p w14:paraId="64EF94EC">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1、适用范围</w:t>
      </w:r>
    </w:p>
    <w:p w14:paraId="6D891747">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1.1本次询价工作仅适用于</w:t>
      </w:r>
      <w:r>
        <w:rPr>
          <w:rFonts w:hint="eastAsia" w:ascii="宋体" w:hAnsi="宋体" w:eastAsia="宋体" w:cs="宋体"/>
          <w:sz w:val="24"/>
          <w:szCs w:val="24"/>
          <w:highlight w:val="none"/>
          <w:u w:val="single"/>
          <w:lang w:eastAsia="zh-CN"/>
        </w:rPr>
        <w:t>崇仁镇新官桥~东大湾增压泵新建工程——材料设备采购项目</w:t>
      </w:r>
    </w:p>
    <w:p w14:paraId="74724665">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1.2本项目采购方式采用询价方式。</w:t>
      </w:r>
    </w:p>
    <w:p w14:paraId="77A1DCF5">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2、定义</w:t>
      </w:r>
    </w:p>
    <w:p w14:paraId="1377A62E">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zh-CN"/>
        </w:rPr>
        <w:t>采购人”系指</w:t>
      </w:r>
      <w:r>
        <w:rPr>
          <w:rFonts w:hint="eastAsia" w:ascii="宋体" w:hAnsi="宋体" w:eastAsia="宋体" w:cs="宋体"/>
          <w:sz w:val="24"/>
          <w:szCs w:val="24"/>
          <w:highlight w:val="none"/>
          <w:u w:val="single"/>
          <w:lang w:eastAsia="zh-CN"/>
        </w:rPr>
        <w:t>嵊州市水联贸易有限公司</w:t>
      </w:r>
      <w:r>
        <w:rPr>
          <w:rFonts w:hint="eastAsia" w:ascii="宋体" w:hAnsi="宋体" w:eastAsia="宋体" w:cs="宋体"/>
          <w:sz w:val="24"/>
          <w:szCs w:val="24"/>
          <w:highlight w:val="none"/>
        </w:rPr>
        <w:t>。</w:t>
      </w:r>
    </w:p>
    <w:p w14:paraId="6FCFFE0E">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采购人委托</w:t>
      </w:r>
      <w:r>
        <w:rPr>
          <w:rFonts w:hint="eastAsia" w:ascii="宋体" w:hAnsi="宋体" w:eastAsia="宋体" w:cs="宋体"/>
          <w:sz w:val="24"/>
          <w:szCs w:val="24"/>
          <w:highlight w:val="none"/>
          <w:u w:val="single"/>
          <w:lang w:eastAsia="zh-CN"/>
        </w:rPr>
        <w:t>浙江建诚工程管理咨询有限公司</w:t>
      </w:r>
      <w:r>
        <w:rPr>
          <w:rFonts w:hint="eastAsia" w:ascii="宋体" w:hAnsi="宋体" w:eastAsia="宋体" w:cs="宋体"/>
          <w:sz w:val="24"/>
          <w:szCs w:val="24"/>
          <w:highlight w:val="none"/>
        </w:rPr>
        <w:t>为本项目采购代理机构。</w:t>
      </w:r>
    </w:p>
    <w:p w14:paraId="3BCCB1BC">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2.2“询价供应商”系指响应本次采购，参加本次询价的供应商。</w:t>
      </w:r>
    </w:p>
    <w:p w14:paraId="62EF954A">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val="zh-CN"/>
        </w:rPr>
        <w:t>“服务”系指</w:t>
      </w:r>
      <w:r>
        <w:rPr>
          <w:rFonts w:hint="eastAsia" w:ascii="宋体" w:hAnsi="宋体" w:eastAsia="宋体" w:cs="宋体"/>
          <w:sz w:val="24"/>
          <w:szCs w:val="24"/>
          <w:highlight w:val="none"/>
        </w:rPr>
        <w:t>询价供应商按合同规定，须承担的服务的义务</w:t>
      </w:r>
      <w:r>
        <w:rPr>
          <w:rFonts w:hint="eastAsia" w:ascii="宋体" w:hAnsi="宋体" w:eastAsia="宋体" w:cs="宋体"/>
          <w:sz w:val="24"/>
          <w:szCs w:val="24"/>
          <w:highlight w:val="none"/>
          <w:lang w:val="zh-CN"/>
        </w:rPr>
        <w:t>。</w:t>
      </w:r>
    </w:p>
    <w:p w14:paraId="6C135E11">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3、采购项目概况</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tab/>
      </w:r>
    </w:p>
    <w:p w14:paraId="3F5C4312">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详见询价公告相关内容，主要要求参见本文件第</w:t>
      </w:r>
      <w:r>
        <w:rPr>
          <w:rFonts w:hint="eastAsia" w:ascii="宋体" w:hAnsi="宋体" w:eastAsia="宋体" w:cs="宋体"/>
          <w:sz w:val="24"/>
          <w:szCs w:val="24"/>
          <w:highlight w:val="none"/>
          <w:u w:val="single"/>
        </w:rPr>
        <w:t xml:space="preserve"> 三 </w:t>
      </w:r>
      <w:r>
        <w:rPr>
          <w:rFonts w:hint="eastAsia" w:ascii="宋体" w:hAnsi="宋体" w:eastAsia="宋体" w:cs="宋体"/>
          <w:sz w:val="24"/>
          <w:szCs w:val="24"/>
          <w:highlight w:val="none"/>
          <w:lang w:val="en-US" w:eastAsia="zh-CN"/>
        </w:rPr>
        <w:t>章</w:t>
      </w:r>
      <w:r>
        <w:rPr>
          <w:rFonts w:hint="eastAsia" w:ascii="宋体" w:hAnsi="宋体" w:eastAsia="宋体" w:cs="宋体"/>
          <w:sz w:val="24"/>
          <w:szCs w:val="24"/>
          <w:highlight w:val="none"/>
        </w:rPr>
        <w:t>。</w:t>
      </w:r>
    </w:p>
    <w:p w14:paraId="4E308ED2">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4、合格的询价供应商</w:t>
      </w:r>
    </w:p>
    <w:p w14:paraId="7BE13DCD">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szCs w:val="24"/>
          <w:highlight w:val="none"/>
        </w:rPr>
      </w:pPr>
      <w:bookmarkStart w:id="21" w:name="_Toc197163261"/>
      <w:bookmarkStart w:id="22" w:name="_Toc204683265"/>
      <w:bookmarkStart w:id="23" w:name="_Toc197657950"/>
      <w:bookmarkStart w:id="24" w:name="_Toc197053926"/>
      <w:bookmarkStart w:id="25" w:name="_Toc197156227"/>
      <w:bookmarkStart w:id="26" w:name="_Toc208287611"/>
      <w:bookmarkStart w:id="27" w:name="_Toc208913145"/>
      <w:bookmarkStart w:id="28" w:name="_Toc209435242"/>
      <w:bookmarkStart w:id="29" w:name="_Toc193538208"/>
      <w:bookmarkStart w:id="30" w:name="_Toc193523219"/>
      <w:bookmarkStart w:id="31" w:name="_Toc207946571"/>
      <w:bookmarkStart w:id="32" w:name="_Toc209520993"/>
      <w:bookmarkStart w:id="33" w:name="_Toc209504018"/>
      <w:bookmarkStart w:id="34" w:name="_Toc211412066"/>
      <w:r>
        <w:rPr>
          <w:rFonts w:hint="eastAsia" w:ascii="宋体" w:hAnsi="宋体" w:eastAsia="宋体" w:cs="宋体"/>
          <w:sz w:val="24"/>
          <w:szCs w:val="24"/>
          <w:highlight w:val="none"/>
        </w:rPr>
        <w:t>详见询价采购公告询价供应商的资格要求规定。</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A991952">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5、询价费用</w:t>
      </w:r>
    </w:p>
    <w:p w14:paraId="603DED48">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询价供应商应承担其参加询价所涉及的一切费用，不管结果如何，采购人对上述费用不负任何责任。</w:t>
      </w:r>
    </w:p>
    <w:p w14:paraId="0EA62F82">
      <w:pPr>
        <w:pStyle w:val="5"/>
        <w:numPr>
          <w:ilvl w:val="0"/>
          <w:numId w:val="6"/>
        </w:numPr>
        <w:jc w:val="center"/>
        <w:rPr>
          <w:rFonts w:hint="eastAsia" w:ascii="宋体" w:hAnsi="宋体" w:eastAsia="宋体" w:cs="宋体"/>
          <w:highlight w:val="none"/>
        </w:rPr>
      </w:pPr>
      <w:bookmarkStart w:id="35" w:name="_Toc25923"/>
      <w:bookmarkStart w:id="36" w:name="_Toc11814"/>
      <w:bookmarkStart w:id="37" w:name="_Toc416992151"/>
      <w:bookmarkStart w:id="38" w:name="_Toc118207748"/>
      <w:bookmarkStart w:id="39" w:name="_Toc32689"/>
      <w:r>
        <w:rPr>
          <w:rFonts w:hint="eastAsia" w:ascii="宋体" w:hAnsi="宋体" w:eastAsia="宋体" w:cs="宋体"/>
          <w:highlight w:val="none"/>
        </w:rPr>
        <w:t>询价文件</w:t>
      </w:r>
      <w:bookmarkEnd w:id="35"/>
      <w:bookmarkEnd w:id="36"/>
      <w:bookmarkEnd w:id="37"/>
      <w:bookmarkEnd w:id="38"/>
      <w:bookmarkEnd w:id="39"/>
    </w:p>
    <w:p w14:paraId="0786FF29">
      <w:pPr>
        <w:adjustRightInd w:val="0"/>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6、询价文件的组成</w:t>
      </w:r>
    </w:p>
    <w:p w14:paraId="3F17B8F3">
      <w:pPr>
        <w:adjustRightIn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6.1本询价文件包括目录所示内容及所有按本须知发出的补充资料（如果有）。</w:t>
      </w:r>
    </w:p>
    <w:p w14:paraId="49C28C20">
      <w:pPr>
        <w:adjustRightIn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6.2除上述所列内容外，采购人及采购代理机构的任何工作人员对询价供应商所作的任何口头解释、介绍、答复，只能供询价供应商参考，对采购人和询价供应商无任何约束力。</w:t>
      </w:r>
    </w:p>
    <w:p w14:paraId="5BD7B5CB">
      <w:pPr>
        <w:adjustRightIn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6.3询价供应商应仔细阅读询价文件的所有内容，按照文件要求提交响应文件，并保证所提交的全部资料的真实性。不按询价文件的要求提供的响应文件和资料，可能导致询价被拒绝。</w:t>
      </w:r>
    </w:p>
    <w:p w14:paraId="4AAA76A9">
      <w:pPr>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6.4询价文件是成交后签订合同的依据，对双方均具有约束力，凡不遵守询价文件规定或对询价文件的实质性内容不响应的报价，将可能被拒绝或以无效标处理。本询价文件由采购人或采购代理机构进行解释。</w:t>
      </w:r>
    </w:p>
    <w:p w14:paraId="4FED64D7">
      <w:pPr>
        <w:adjustRightInd w:val="0"/>
        <w:spacing w:line="336"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7、询价文件的澄清与修改</w:t>
      </w:r>
    </w:p>
    <w:p w14:paraId="0D03FA0C">
      <w:pPr>
        <w:pStyle w:val="18"/>
        <w:spacing w:line="336" w:lineRule="auto"/>
        <w:ind w:firstLine="480" w:firstLineChars="200"/>
        <w:rPr>
          <w:rFonts w:hint="eastAsia" w:ascii="宋体" w:hAnsi="宋体" w:eastAsia="宋体" w:cs="宋体"/>
          <w:highlight w:val="none"/>
        </w:rPr>
      </w:pPr>
      <w:r>
        <w:rPr>
          <w:rFonts w:hint="eastAsia" w:ascii="宋体" w:hAnsi="宋体" w:eastAsia="宋体" w:cs="宋体"/>
          <w:highlight w:val="none"/>
        </w:rPr>
        <w:t>7.1询价供应商在收到询价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239AB8FD">
      <w:pPr>
        <w:pStyle w:val="18"/>
        <w:spacing w:line="336" w:lineRule="auto"/>
        <w:ind w:right="-240" w:rightChars="-120" w:firstLine="480" w:firstLineChars="200"/>
        <w:rPr>
          <w:rFonts w:hint="eastAsia" w:ascii="宋体" w:hAnsi="宋体" w:eastAsia="宋体" w:cs="宋体"/>
          <w:highlight w:val="none"/>
        </w:rPr>
      </w:pPr>
      <w:r>
        <w:rPr>
          <w:rFonts w:hint="eastAsia" w:ascii="宋体" w:hAnsi="宋体" w:eastAsia="宋体" w:cs="宋体"/>
          <w:highlight w:val="none"/>
        </w:rPr>
        <w:t>7.2询价供应商要求解释或澄清的问题应以书面形式，并加盖公章、写明日期。</w:t>
      </w:r>
    </w:p>
    <w:p w14:paraId="13A4E3FF">
      <w:pPr>
        <w:adjustRightIn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7.3提交响应文件截止之日前，采购人、采购代理机构可以对已发出的询价文件进行必要的澄清或者修改，澄清或者修改的内容作为询价文件的组成部分。</w:t>
      </w:r>
    </w:p>
    <w:p w14:paraId="0E999795">
      <w:pPr>
        <w:adjustRightIn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7.4询价文件的澄清修改文件及更正补充公告，请自行登录浙江政府采购网，在采购公告页面中下载。</w:t>
      </w:r>
    </w:p>
    <w:p w14:paraId="31A40A43">
      <w:pPr>
        <w:adjustRightIn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7.5澄清或者修改的内容可能影响响应文件编制的，采购人、采购代理机构将在提交响应文件截止时间至少3个工作日前，以公告形式通知所有获取询价文件的供应商；不足3个工作日的，采购人、采购代理机构可能会顺延提交首次响应文件截止时间。澄清或者修改的内容未对原询价文件作出重大修改或不会影响响应文件编制的，递交首次响应文件截止时间不变。</w:t>
      </w:r>
    </w:p>
    <w:p w14:paraId="40673937">
      <w:pPr>
        <w:adjustRightIn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7.6询价文件澄清、答复、修改、补充的内容为询价文件的组成部分。</w:t>
      </w:r>
    </w:p>
    <w:p w14:paraId="00BD5FE0">
      <w:pPr>
        <w:pStyle w:val="6"/>
        <w:spacing w:line="33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7.7询价文件发售截止日后，经采购人同意后购买询价文件的询价供应商不得对询价文件和补充文件提出答疑或质疑。</w:t>
      </w:r>
    </w:p>
    <w:p w14:paraId="42D21D85">
      <w:pPr>
        <w:pStyle w:val="5"/>
        <w:numPr>
          <w:ilvl w:val="0"/>
          <w:numId w:val="6"/>
        </w:numPr>
        <w:jc w:val="center"/>
        <w:rPr>
          <w:rFonts w:hint="eastAsia" w:ascii="宋体" w:hAnsi="宋体" w:eastAsia="宋体" w:cs="宋体"/>
          <w:highlight w:val="none"/>
        </w:rPr>
      </w:pPr>
      <w:bookmarkStart w:id="40" w:name="_Toc6457"/>
      <w:bookmarkStart w:id="41" w:name="_Toc1828"/>
      <w:bookmarkStart w:id="42" w:name="_Toc14650"/>
      <w:bookmarkStart w:id="43" w:name="_Toc23975"/>
      <w:bookmarkStart w:id="44" w:name="_Toc23135"/>
      <w:bookmarkStart w:id="45" w:name="_Toc31748"/>
      <w:bookmarkStart w:id="46" w:name="_Toc11515"/>
      <w:bookmarkStart w:id="47" w:name="_Toc8860"/>
      <w:bookmarkStart w:id="48" w:name="_Toc6273"/>
      <w:bookmarkStart w:id="49" w:name="_Toc11692"/>
      <w:bookmarkStart w:id="50" w:name="_Toc7126"/>
      <w:bookmarkStart w:id="51" w:name="_Toc11669"/>
      <w:bookmarkStart w:id="52" w:name="_Toc10669"/>
      <w:bookmarkStart w:id="53" w:name="_Toc1202"/>
      <w:bookmarkStart w:id="54" w:name="_Toc10810"/>
      <w:bookmarkStart w:id="55" w:name="_Toc1729"/>
      <w:bookmarkStart w:id="56" w:name="_Toc26027"/>
      <w:bookmarkStart w:id="57" w:name="_Toc6079"/>
      <w:bookmarkStart w:id="58" w:name="_Toc11093"/>
      <w:bookmarkStart w:id="59" w:name="_Toc24622"/>
      <w:bookmarkStart w:id="60" w:name="_Toc391298957"/>
      <w:bookmarkStart w:id="61" w:name="_Toc18702"/>
      <w:bookmarkStart w:id="62" w:name="_Toc26603"/>
      <w:r>
        <w:rPr>
          <w:rFonts w:hint="eastAsia" w:ascii="宋体" w:hAnsi="宋体" w:eastAsia="宋体" w:cs="宋体"/>
          <w:highlight w:val="none"/>
        </w:rPr>
        <w:tab/>
      </w:r>
      <w:bookmarkStart w:id="63" w:name="_Toc118207749"/>
      <w:r>
        <w:rPr>
          <w:rFonts w:hint="eastAsia" w:ascii="宋体" w:hAnsi="宋体" w:eastAsia="宋体" w:cs="宋体"/>
          <w:highlight w:val="none"/>
        </w:rPr>
        <w:t>询价响应文件的编写</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E091DFA">
      <w:pPr>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8、要求</w:t>
      </w:r>
    </w:p>
    <w:p w14:paraId="4DD8270A">
      <w:pPr>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供应商应仔细阅读询价文件的所有内容，按照询价文件的要求提交询价响应文件。询价响应文件应对询价文件的要求做出实质性响应，并保证所提供的全部资料的真实性，否则视其为虚假响应，其响应将被否决。</w:t>
      </w:r>
    </w:p>
    <w:p w14:paraId="481A6956">
      <w:pPr>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8.2报价</w:t>
      </w:r>
    </w:p>
    <w:p w14:paraId="0296B8FD">
      <w:pPr>
        <w:spacing w:line="336" w:lineRule="auto"/>
        <w:ind w:firstLine="480" w:firstLineChars="200"/>
        <w:rPr>
          <w:rFonts w:hint="eastAsia" w:ascii="宋体" w:hAnsi="宋体" w:eastAsia="宋体" w:cs="宋体"/>
          <w:b/>
          <w:bCs/>
          <w:sz w:val="24"/>
          <w:szCs w:val="24"/>
          <w:highlight w:val="none"/>
          <w:shd w:val="clear" w:color="FFFFFF" w:fill="D9D9D9"/>
        </w:rPr>
      </w:pPr>
      <w:r>
        <w:rPr>
          <w:rFonts w:hint="eastAsia" w:ascii="宋体" w:hAnsi="宋体" w:eastAsia="宋体" w:cs="宋体"/>
          <w:sz w:val="24"/>
          <w:szCs w:val="24"/>
          <w:highlight w:val="none"/>
        </w:rPr>
        <w:t>8.2.1本次报价币种为人民币。</w:t>
      </w:r>
    </w:p>
    <w:p w14:paraId="42BABDC9">
      <w:pPr>
        <w:pStyle w:val="58"/>
        <w:tabs>
          <w:tab w:val="left" w:pos="0"/>
        </w:tabs>
        <w:spacing w:before="0" w:line="336" w:lineRule="auto"/>
        <w:ind w:firstLine="480"/>
        <w:rPr>
          <w:rFonts w:hint="eastAsia" w:ascii="宋体" w:hAnsi="宋体" w:eastAsia="宋体" w:cs="宋体"/>
          <w:b/>
          <w:bCs/>
          <w:highlight w:val="none"/>
          <w:u w:val="single"/>
        </w:rPr>
      </w:pPr>
      <w:r>
        <w:rPr>
          <w:rFonts w:hint="eastAsia" w:ascii="宋体" w:hAnsi="宋体" w:eastAsia="宋体" w:cs="宋体"/>
          <w:highlight w:val="none"/>
        </w:rPr>
        <w:t>8.2.2</w:t>
      </w:r>
      <w:r>
        <w:rPr>
          <w:rFonts w:hint="eastAsia" w:ascii="宋体" w:hAnsi="宋体" w:eastAsia="宋体" w:cs="宋体"/>
          <w:b/>
          <w:bCs/>
          <w:highlight w:val="none"/>
        </w:rPr>
        <w:t>投标报价包括所有产品价格（含设备、配件、备品备件等）、安装费、调试费、运杂费、售后服务费、人工费用、税金、代理服务费等一切费用。供应商在编写方案时应充分考虑各种风险因素，凡供应商漏项、漏报均认为已包含在报价中，结算时不再增加。</w:t>
      </w:r>
    </w:p>
    <w:p w14:paraId="63E006C5">
      <w:pPr>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投标报价固定是指供应商所填写的投标报价在合同实施期间不因市场因素而变动，供应商在计算报价时可考虑一定的风险系数（由供应商自行考虑）。</w:t>
      </w:r>
    </w:p>
    <w:p w14:paraId="53E4CE76">
      <w:pPr>
        <w:spacing w:line="336"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4888F35E">
      <w:pPr>
        <w:pStyle w:val="19"/>
        <w:spacing w:line="336" w:lineRule="auto"/>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9、响应文件的组成</w:t>
      </w:r>
      <w:r>
        <w:rPr>
          <w:rFonts w:hint="eastAsia" w:ascii="宋体" w:hAnsi="宋体" w:eastAsia="宋体" w:cs="宋体"/>
          <w:b/>
          <w:bCs/>
          <w:sz w:val="24"/>
          <w:szCs w:val="24"/>
          <w:highlight w:val="none"/>
          <w:u w:val="single"/>
        </w:rPr>
        <w:t>（供应商应根据采购文件的要求提供相应的内容且设置关联定位，供应商可查看《供应商-政府采购项目电子交易操作指南》进行操作：https://help.zcygov.cn/web/site_2/2018/12-28/2573.html）</w:t>
      </w:r>
    </w:p>
    <w:p w14:paraId="63B66C47">
      <w:pPr>
        <w:pStyle w:val="58"/>
        <w:tabs>
          <w:tab w:val="left" w:pos="0"/>
        </w:tabs>
        <w:spacing w:before="0" w:line="336" w:lineRule="auto"/>
        <w:ind w:firstLine="480"/>
        <w:rPr>
          <w:rFonts w:hint="eastAsia" w:ascii="宋体" w:hAnsi="宋体" w:eastAsia="宋体" w:cs="宋体"/>
          <w:highlight w:val="none"/>
          <w:lang w:val="en-US" w:eastAsia="zh-CN"/>
        </w:rPr>
      </w:pPr>
      <w:r>
        <w:rPr>
          <w:rFonts w:hint="eastAsia" w:ascii="宋体" w:hAnsi="宋体" w:eastAsia="宋体" w:cs="宋体"/>
          <w:highlight w:val="none"/>
        </w:rPr>
        <w:t>响应文件</w:t>
      </w:r>
      <w:r>
        <w:rPr>
          <w:rFonts w:hint="eastAsia" w:ascii="宋体" w:hAnsi="宋体" w:eastAsia="宋体" w:cs="宋体"/>
          <w:highlight w:val="none"/>
          <w:lang w:val="en-US" w:eastAsia="zh-CN"/>
        </w:rPr>
        <w:t>由</w:t>
      </w:r>
      <w:r>
        <w:rPr>
          <w:rFonts w:hint="eastAsia" w:ascii="宋体" w:hAnsi="宋体" w:eastAsia="宋体" w:cs="宋体"/>
          <w:highlight w:val="none"/>
        </w:rPr>
        <w:t>：资格文件、商务技术文件、报价文件</w:t>
      </w:r>
      <w:r>
        <w:rPr>
          <w:rFonts w:hint="eastAsia" w:ascii="宋体" w:hAnsi="宋体" w:eastAsia="宋体" w:cs="宋体"/>
          <w:highlight w:val="none"/>
          <w:lang w:val="en-US" w:eastAsia="zh-CN"/>
        </w:rPr>
        <w:t>三部分组成。</w:t>
      </w:r>
    </w:p>
    <w:p w14:paraId="180A0729">
      <w:pPr>
        <w:pStyle w:val="58"/>
        <w:spacing w:before="0" w:line="336" w:lineRule="auto"/>
        <w:ind w:left="400" w:leftChars="200" w:firstLine="0" w:firstLineChars="0"/>
        <w:rPr>
          <w:rFonts w:hint="eastAsia" w:ascii="宋体" w:hAnsi="宋体" w:eastAsia="宋体" w:cs="宋体"/>
          <w:b/>
          <w:bCs/>
          <w:highlight w:val="none"/>
        </w:rPr>
      </w:pPr>
      <w:r>
        <w:rPr>
          <w:rFonts w:hint="eastAsia" w:ascii="宋体" w:hAnsi="宋体" w:eastAsia="宋体" w:cs="宋体"/>
          <w:b/>
          <w:bCs/>
          <w:highlight w:val="none"/>
        </w:rPr>
        <w:t>10．响应文件有效期</w:t>
      </w:r>
    </w:p>
    <w:p w14:paraId="0E6C503B">
      <w:pPr>
        <w:pStyle w:val="58"/>
        <w:spacing w:before="0" w:line="336" w:lineRule="auto"/>
        <w:ind w:firstLine="480"/>
        <w:rPr>
          <w:rFonts w:hint="eastAsia" w:ascii="宋体" w:hAnsi="宋体" w:eastAsia="宋体" w:cs="宋体"/>
          <w:highlight w:val="none"/>
        </w:rPr>
      </w:pPr>
      <w:r>
        <w:rPr>
          <w:rFonts w:hint="eastAsia" w:ascii="宋体" w:hAnsi="宋体" w:eastAsia="宋体" w:cs="宋体"/>
          <w:highlight w:val="none"/>
        </w:rPr>
        <w:t>10.1 响应文件未在询价响应截止时间前完成传输的或者未按时解密的，视为放弃；响应文件解密失败后未提供备份文件或者备份文件也出现异常情况的，亦视为放弃。</w:t>
      </w:r>
    </w:p>
    <w:p w14:paraId="7187B587">
      <w:pPr>
        <w:pStyle w:val="58"/>
        <w:spacing w:before="0" w:line="336" w:lineRule="auto"/>
        <w:ind w:firstLine="480"/>
        <w:rPr>
          <w:rFonts w:hint="eastAsia" w:ascii="宋体" w:hAnsi="宋体" w:eastAsia="宋体" w:cs="宋体"/>
          <w:highlight w:val="none"/>
        </w:rPr>
      </w:pPr>
      <w:r>
        <w:rPr>
          <w:rFonts w:hint="eastAsia" w:ascii="宋体" w:hAnsi="宋体" w:eastAsia="宋体" w:cs="宋体"/>
          <w:highlight w:val="none"/>
        </w:rPr>
        <w:t>10.2 响应文件上传后，自询价响应截止日期起，在前附表所列的询价响应文件有效期内有效。</w:t>
      </w:r>
    </w:p>
    <w:p w14:paraId="55385D03">
      <w:pPr>
        <w:pStyle w:val="58"/>
        <w:spacing w:before="0" w:line="336" w:lineRule="auto"/>
        <w:ind w:firstLine="480"/>
        <w:rPr>
          <w:rFonts w:hint="eastAsia" w:ascii="宋体" w:hAnsi="宋体" w:eastAsia="宋体" w:cs="宋体"/>
          <w:highlight w:val="none"/>
        </w:rPr>
      </w:pPr>
      <w:r>
        <w:rPr>
          <w:rFonts w:hint="eastAsia" w:ascii="宋体" w:hAnsi="宋体" w:eastAsia="宋体" w:cs="宋体"/>
          <w:highlight w:val="none"/>
        </w:rPr>
        <w:t>10.3 在原定有效期满之前，如果出现特殊情况，采购代理机构可以以书面形式向询价供应商提出延长询价有效期的要求，询价供应商对此须以书面形式予以答复。</w:t>
      </w:r>
    </w:p>
    <w:p w14:paraId="7B3EEBE8">
      <w:pPr>
        <w:pStyle w:val="58"/>
        <w:spacing w:before="0" w:line="336" w:lineRule="auto"/>
        <w:ind w:left="400" w:leftChars="200" w:firstLine="0" w:firstLineChars="0"/>
        <w:rPr>
          <w:rFonts w:hint="eastAsia" w:ascii="宋体" w:hAnsi="宋体" w:eastAsia="宋体" w:cs="宋体"/>
          <w:b/>
          <w:bCs/>
          <w:highlight w:val="none"/>
        </w:rPr>
      </w:pPr>
      <w:r>
        <w:rPr>
          <w:rFonts w:hint="eastAsia" w:ascii="宋体" w:hAnsi="宋体" w:eastAsia="宋体" w:cs="宋体"/>
          <w:b/>
          <w:bCs/>
          <w:highlight w:val="none"/>
        </w:rPr>
        <w:t>11．供应商如有下列情况之一者列入不良行为记录：</w:t>
      </w:r>
    </w:p>
    <w:p w14:paraId="0B9F8374">
      <w:pPr>
        <w:adjustRightInd w:val="0"/>
        <w:spacing w:line="360" w:lineRule="auto"/>
        <w:ind w:left="400" w:left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11.1 供应商在询价响应文件有效期内撤回投标的；</w:t>
      </w:r>
    </w:p>
    <w:p w14:paraId="18021864">
      <w:pPr>
        <w:adjustRightInd w:val="0"/>
        <w:spacing w:line="360" w:lineRule="auto"/>
        <w:ind w:left="400" w:left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11.2 供应商或中标候选人放弃中标或中标候选人资格的；</w:t>
      </w:r>
    </w:p>
    <w:p w14:paraId="64587CF9">
      <w:pPr>
        <w:adjustRightInd w:val="0"/>
        <w:spacing w:line="360" w:lineRule="auto"/>
        <w:ind w:left="400" w:left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11.3 擅自修改或拒绝接受已经确认的条款；</w:t>
      </w:r>
    </w:p>
    <w:p w14:paraId="1033509B">
      <w:pPr>
        <w:adjustRightInd w:val="0"/>
        <w:spacing w:line="360" w:lineRule="auto"/>
        <w:ind w:left="400" w:left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11.4 成交供应商未按规定与采购人签订合同；</w:t>
      </w:r>
    </w:p>
    <w:p w14:paraId="37E8290D">
      <w:pPr>
        <w:adjustRightInd w:val="0"/>
        <w:spacing w:line="360" w:lineRule="auto"/>
        <w:ind w:left="400" w:left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11.5 未按规定提供履约保证金；</w:t>
      </w:r>
    </w:p>
    <w:p w14:paraId="789E8778">
      <w:pPr>
        <w:adjustRightInd w:val="0"/>
        <w:spacing w:line="360" w:lineRule="auto"/>
        <w:ind w:left="400" w:left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11.6 供应商采取提供虚假资料等不正当手段的；</w:t>
      </w:r>
    </w:p>
    <w:p w14:paraId="5ED3742D">
      <w:pPr>
        <w:adjustRightInd w:val="0"/>
        <w:spacing w:line="360" w:lineRule="auto"/>
        <w:ind w:left="400" w:left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11.7 供应商在投标过程中串通投标的。</w:t>
      </w:r>
    </w:p>
    <w:p w14:paraId="4ACD9151">
      <w:pPr>
        <w:pStyle w:val="58"/>
        <w:spacing w:before="0" w:line="336" w:lineRule="auto"/>
        <w:ind w:firstLine="482"/>
        <w:rPr>
          <w:rFonts w:hint="eastAsia" w:ascii="宋体" w:hAnsi="宋体" w:eastAsia="宋体" w:cs="宋体"/>
          <w:b/>
          <w:bCs/>
          <w:highlight w:val="none"/>
        </w:rPr>
      </w:pPr>
      <w:r>
        <w:rPr>
          <w:rFonts w:hint="eastAsia" w:ascii="宋体" w:hAnsi="宋体" w:eastAsia="宋体" w:cs="宋体"/>
          <w:b/>
          <w:bCs/>
          <w:highlight w:val="none"/>
        </w:rPr>
        <w:t>12．响应文件的编制和签署</w:t>
      </w:r>
    </w:p>
    <w:p w14:paraId="3AA79471">
      <w:pPr>
        <w:pStyle w:val="58"/>
        <w:spacing w:before="0" w:line="336" w:lineRule="auto"/>
        <w:ind w:firstLine="480"/>
        <w:rPr>
          <w:rFonts w:hint="eastAsia" w:ascii="宋体" w:hAnsi="宋体" w:eastAsia="宋体" w:cs="宋体"/>
          <w:highlight w:val="none"/>
        </w:rPr>
      </w:pPr>
      <w:r>
        <w:rPr>
          <w:rFonts w:hint="eastAsia" w:ascii="宋体" w:hAnsi="宋体" w:eastAsia="宋体" w:cs="宋体"/>
          <w:highlight w:val="none"/>
        </w:rPr>
        <w:t>12.1 按询价文件9.1条、9.2条、9.3条要求提供的各种文件，响应文件分为资格文件、商务技术文件和报价文件三部分。</w:t>
      </w:r>
    </w:p>
    <w:p w14:paraId="0630B354">
      <w:pPr>
        <w:pStyle w:val="58"/>
        <w:spacing w:before="0" w:line="336" w:lineRule="auto"/>
        <w:ind w:firstLine="480"/>
        <w:rPr>
          <w:rFonts w:hint="eastAsia" w:ascii="宋体" w:hAnsi="宋体" w:eastAsia="宋体" w:cs="宋体"/>
          <w:highlight w:val="none"/>
        </w:rPr>
      </w:pPr>
      <w:r>
        <w:rPr>
          <w:rFonts w:hint="eastAsia" w:ascii="宋体" w:hAnsi="宋体" w:eastAsia="宋体" w:cs="宋体"/>
          <w:highlight w:val="none"/>
        </w:rPr>
        <w:t>12.2 响应文件须按附件格式要求进行电子签章，供应商应写全称。（电子询价响应文件中所须加盖公章部分均应采用电子签章）</w:t>
      </w:r>
    </w:p>
    <w:p w14:paraId="59ABDAAF">
      <w:pPr>
        <w:pStyle w:val="58"/>
        <w:spacing w:before="0" w:line="336" w:lineRule="auto"/>
        <w:ind w:firstLine="480"/>
        <w:rPr>
          <w:rFonts w:hint="eastAsia" w:ascii="宋体" w:hAnsi="宋体" w:eastAsia="宋体" w:cs="宋体"/>
          <w:highlight w:val="none"/>
        </w:rPr>
      </w:pPr>
      <w:r>
        <w:rPr>
          <w:rFonts w:hint="eastAsia" w:ascii="宋体" w:hAnsi="宋体" w:eastAsia="宋体" w:cs="宋体"/>
          <w:highlight w:val="none"/>
        </w:rPr>
        <w:t>12.3 全套响应文件应无涂改和行间插字，除非这些删改是根据采购代理机构要求进行，或者是供应商造成的必须修改的错误。所修改处应由法定代表人或其授权代表签字盖章予以确认。</w:t>
      </w:r>
    </w:p>
    <w:p w14:paraId="20B9BE09">
      <w:pPr>
        <w:pStyle w:val="58"/>
        <w:spacing w:before="0" w:line="336" w:lineRule="auto"/>
        <w:ind w:firstLine="480"/>
        <w:rPr>
          <w:rFonts w:hint="eastAsia" w:ascii="宋体" w:hAnsi="宋体" w:eastAsia="宋体" w:cs="宋体"/>
          <w:highlight w:val="none"/>
        </w:rPr>
      </w:pPr>
      <w:r>
        <w:rPr>
          <w:rFonts w:hint="eastAsia" w:ascii="宋体" w:hAnsi="宋体" w:eastAsia="宋体" w:cs="宋体"/>
          <w:highlight w:val="none"/>
        </w:rPr>
        <w:t>12.4 由于字迹模糊或表达不清引起的后果由供应商负责。</w:t>
      </w:r>
    </w:p>
    <w:p w14:paraId="602053EA">
      <w:pPr>
        <w:pStyle w:val="58"/>
        <w:spacing w:before="0" w:line="336" w:lineRule="auto"/>
        <w:ind w:firstLine="482"/>
        <w:rPr>
          <w:rFonts w:hint="eastAsia" w:ascii="宋体" w:hAnsi="宋体" w:eastAsia="宋体" w:cs="宋体"/>
          <w:b/>
          <w:bCs/>
          <w:highlight w:val="none"/>
        </w:rPr>
      </w:pPr>
      <w:r>
        <w:rPr>
          <w:rFonts w:hint="eastAsia" w:ascii="宋体" w:hAnsi="宋体" w:eastAsia="宋体" w:cs="宋体"/>
          <w:b/>
          <w:bCs/>
          <w:highlight w:val="none"/>
        </w:rPr>
        <w:t>13．响应文件的形式</w:t>
      </w:r>
    </w:p>
    <w:p w14:paraId="2D24783F">
      <w:pPr>
        <w:pStyle w:val="58"/>
        <w:spacing w:before="0" w:line="336" w:lineRule="auto"/>
        <w:ind w:firstLine="480"/>
        <w:rPr>
          <w:rFonts w:hint="eastAsia" w:ascii="宋体" w:hAnsi="宋体" w:eastAsia="宋体" w:cs="宋体"/>
          <w:highlight w:val="none"/>
        </w:rPr>
      </w:pPr>
      <w:r>
        <w:rPr>
          <w:rFonts w:hint="eastAsia" w:ascii="宋体" w:hAnsi="宋体" w:eastAsia="宋体" w:cs="宋体"/>
          <w:highlight w:val="none"/>
        </w:rPr>
        <w:t>响应文件为电子询价响应文件，电子询价响应文件按“政采云供应商项目采购-电子招投标操作指南”及本询价文件要求制作、加密传输。</w:t>
      </w:r>
    </w:p>
    <w:p w14:paraId="531A67EC">
      <w:pPr>
        <w:pStyle w:val="5"/>
        <w:numPr>
          <w:ilvl w:val="0"/>
          <w:numId w:val="6"/>
        </w:numPr>
        <w:jc w:val="center"/>
        <w:rPr>
          <w:rFonts w:hint="eastAsia" w:ascii="宋体" w:hAnsi="宋体" w:eastAsia="宋体" w:cs="宋体"/>
          <w:highlight w:val="none"/>
        </w:rPr>
      </w:pPr>
      <w:bookmarkStart w:id="64" w:name="_Toc118207750"/>
      <w:bookmarkStart w:id="65" w:name="_Toc1420"/>
      <w:bookmarkStart w:id="66" w:name="_Toc21266"/>
      <w:r>
        <w:rPr>
          <w:rFonts w:hint="eastAsia" w:ascii="宋体" w:hAnsi="宋体" w:eastAsia="宋体" w:cs="宋体"/>
          <w:highlight w:val="none"/>
        </w:rPr>
        <w:t>响应文件的递交</w:t>
      </w:r>
      <w:bookmarkEnd w:id="64"/>
      <w:bookmarkEnd w:id="65"/>
      <w:bookmarkEnd w:id="66"/>
    </w:p>
    <w:p w14:paraId="5A5C1E0D">
      <w:pPr>
        <w:pStyle w:val="19"/>
        <w:spacing w:line="336" w:lineRule="auto"/>
        <w:ind w:left="400"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14、询价响应截止期</w:t>
      </w:r>
    </w:p>
    <w:p w14:paraId="5FDAF549">
      <w:pPr>
        <w:pStyle w:val="58"/>
        <w:numPr>
          <w:ilvl w:val="0"/>
          <w:numId w:val="7"/>
        </w:numPr>
        <w:spacing w:before="0" w:line="336" w:lineRule="auto"/>
        <w:ind w:firstLine="480"/>
        <w:rPr>
          <w:rFonts w:hint="eastAsia" w:ascii="宋体" w:hAnsi="宋体" w:eastAsia="宋体" w:cs="宋体"/>
          <w:highlight w:val="none"/>
        </w:rPr>
      </w:pPr>
      <w:r>
        <w:rPr>
          <w:rFonts w:hint="eastAsia" w:ascii="宋体" w:hAnsi="宋体" w:eastAsia="宋体" w:cs="宋体"/>
          <w:highlight w:val="none"/>
        </w:rPr>
        <w:t>响应文件必须在规定的询价响应截止时间前在</w:t>
      </w:r>
      <w:r>
        <w:rPr>
          <w:rFonts w:hint="eastAsia" w:ascii="宋体" w:hAnsi="宋体" w:eastAsia="宋体" w:cs="宋体"/>
          <w:highlight w:val="none"/>
          <w:lang w:val="en-US" w:eastAsia="zh-CN"/>
        </w:rPr>
        <w:t>乐</w:t>
      </w:r>
      <w:r>
        <w:rPr>
          <w:rFonts w:hint="eastAsia" w:ascii="宋体" w:hAnsi="宋体" w:eastAsia="宋体" w:cs="宋体"/>
          <w:highlight w:val="none"/>
        </w:rPr>
        <w:t>采云系统内完成传输，以纸质、电报、电话、传真形式的投标概不接受。为应对响应文件解密失败等异常情况，供应商可指派授权代表在询价响应截止时间之前到达开标地点提交备份文件。</w:t>
      </w:r>
    </w:p>
    <w:p w14:paraId="3AFC4C2A">
      <w:pPr>
        <w:pStyle w:val="58"/>
        <w:numPr>
          <w:ilvl w:val="0"/>
          <w:numId w:val="7"/>
        </w:numPr>
        <w:spacing w:before="0" w:line="336" w:lineRule="auto"/>
        <w:ind w:firstLine="480"/>
        <w:rPr>
          <w:rFonts w:hint="eastAsia" w:ascii="宋体" w:hAnsi="宋体" w:eastAsia="宋体" w:cs="宋体"/>
          <w:highlight w:val="none"/>
        </w:rPr>
      </w:pPr>
      <w:r>
        <w:rPr>
          <w:rFonts w:hint="eastAsia" w:ascii="宋体" w:hAnsi="宋体" w:eastAsia="宋体" w:cs="宋体"/>
          <w:highlight w:val="none"/>
        </w:rPr>
        <w:t>采购人因故推迟询价响应截止时间，将以公告形式通知。在这种情况下，采购人和供应商的权利和义务将受到新的截止时间的约束。</w:t>
      </w:r>
    </w:p>
    <w:p w14:paraId="4821E625">
      <w:pPr>
        <w:pStyle w:val="19"/>
        <w:spacing w:line="336" w:lineRule="auto"/>
        <w:ind w:left="400"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15、响应文件的修改、撤销</w:t>
      </w:r>
    </w:p>
    <w:p w14:paraId="1C33FED2">
      <w:pPr>
        <w:pStyle w:val="19"/>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在询价响应截止时间前完成电子交易文件的传输递交，询价响应截止时间前可以补充、修改或者撤回电子交易文件。补充或者修改电子交易文件的，应当先行撤回原文件，补充、修改后重新传输递交。询价响应截止时间前未完成传输的，视为响应文件撤回。</w:t>
      </w:r>
    </w:p>
    <w:p w14:paraId="67EB264F">
      <w:pPr>
        <w:pStyle w:val="5"/>
        <w:numPr>
          <w:ilvl w:val="0"/>
          <w:numId w:val="6"/>
        </w:numPr>
        <w:jc w:val="center"/>
        <w:rPr>
          <w:rFonts w:hint="eastAsia" w:ascii="宋体" w:hAnsi="宋体" w:eastAsia="宋体" w:cs="宋体"/>
          <w:highlight w:val="none"/>
        </w:rPr>
      </w:pPr>
      <w:bookmarkStart w:id="67" w:name="_Toc24120"/>
      <w:bookmarkStart w:id="68" w:name="_Toc118207751"/>
      <w:r>
        <w:rPr>
          <w:rFonts w:hint="eastAsia" w:ascii="宋体" w:hAnsi="宋体" w:eastAsia="宋体" w:cs="宋体"/>
          <w:highlight w:val="none"/>
        </w:rPr>
        <w:t>询价无效的情形</w:t>
      </w:r>
      <w:bookmarkEnd w:id="67"/>
      <w:bookmarkEnd w:id="68"/>
    </w:p>
    <w:p w14:paraId="2FFABFC8">
      <w:pPr>
        <w:pStyle w:val="19"/>
        <w:snapToGrid w:val="0"/>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16.无效响应</w:t>
      </w:r>
    </w:p>
    <w:p w14:paraId="7D66DF4E">
      <w:pPr>
        <w:pStyle w:val="19"/>
        <w:snapToGri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经过审查，凡不符合有关规定，不响应询价文件的实质性条款，存在以下重大偏离之一的，经询价小组认定，并由采购人报采购办、监督办备案，将因未通过资格性或符合性审查而被作为无效响应处理：</w:t>
      </w:r>
    </w:p>
    <w:p w14:paraId="7B6BA6F2">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16.1未按照询价文件规定要求签署、盖章的；</w:t>
      </w:r>
    </w:p>
    <w:p w14:paraId="6E2948A5">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16.2《法定代表人授权书》填写不全、错误、未加盖供应商公章（公章和签字或盖章缺一不可）；</w:t>
      </w:r>
    </w:p>
    <w:p w14:paraId="3D3761CC">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16.3个体工商户的身份证明与营业执照不一致的；</w:t>
      </w:r>
    </w:p>
    <w:p w14:paraId="75599758">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16.4响应文件中的报价函未加盖供应商的企业公章或填写不全的；</w:t>
      </w:r>
    </w:p>
    <w:p w14:paraId="19DFBD9B">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16.5报价一经涂改，未在涂改处加盖投标单位公章或者未经法定代表人或其授权代表签字或盖章的；</w:t>
      </w:r>
    </w:p>
    <w:p w14:paraId="7B88BD5D">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16.6因未按规定的格式填写，内容不全或主要实质性内容字迹模糊辨认不清</w:t>
      </w:r>
      <w:r>
        <w:rPr>
          <w:rFonts w:hint="eastAsia" w:ascii="宋体" w:hAnsi="宋体" w:eastAsia="宋体" w:cs="宋体"/>
          <w:b/>
          <w:bCs/>
          <w:sz w:val="24"/>
          <w:szCs w:val="21"/>
          <w:highlight w:val="none"/>
        </w:rPr>
        <w:t>,经评标委员会认定为无法评审</w:t>
      </w:r>
      <w:r>
        <w:rPr>
          <w:rFonts w:hint="eastAsia" w:ascii="宋体" w:hAnsi="宋体" w:eastAsia="宋体" w:cs="宋体"/>
          <w:b/>
          <w:bCs/>
          <w:sz w:val="24"/>
          <w:szCs w:val="24"/>
          <w:highlight w:val="none"/>
        </w:rPr>
        <w:t>的；</w:t>
      </w:r>
    </w:p>
    <w:p w14:paraId="466355C9">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16.7出现同一标的物或本次采购产品(服务)内的主要产品(重要组成部分)出现技术、商务描述不一致或前后描述不一致</w:t>
      </w:r>
      <w:r>
        <w:rPr>
          <w:rFonts w:hint="eastAsia" w:ascii="宋体" w:hAnsi="宋体" w:eastAsia="宋体" w:cs="宋体"/>
          <w:b/>
          <w:bCs/>
          <w:sz w:val="24"/>
          <w:szCs w:val="21"/>
          <w:highlight w:val="none"/>
        </w:rPr>
        <w:t>，经评标委员会认定后为无法评审</w:t>
      </w:r>
      <w:r>
        <w:rPr>
          <w:rFonts w:hint="eastAsia" w:ascii="宋体" w:hAnsi="宋体" w:eastAsia="宋体" w:cs="宋体"/>
          <w:b/>
          <w:bCs/>
          <w:sz w:val="24"/>
          <w:szCs w:val="24"/>
          <w:highlight w:val="none"/>
        </w:rPr>
        <w:t>的；</w:t>
      </w:r>
    </w:p>
    <w:p w14:paraId="45940BFF">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16.8响应详细配置清单响应表不真实填写或弄虚作假的；改变询价文件提供的清单中的计量单位、工程数量；</w:t>
      </w:r>
    </w:p>
    <w:p w14:paraId="1275AC7A">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16.9对采购产品技术规格未详细应答</w:t>
      </w:r>
      <w:r>
        <w:rPr>
          <w:rFonts w:hint="eastAsia" w:ascii="宋体" w:hAnsi="宋体" w:eastAsia="宋体" w:cs="宋体"/>
          <w:b/>
          <w:bCs/>
          <w:sz w:val="24"/>
          <w:szCs w:val="21"/>
          <w:highlight w:val="none"/>
        </w:rPr>
        <w:t>，致使其技术文件无法评审</w:t>
      </w:r>
      <w:r>
        <w:rPr>
          <w:rFonts w:hint="eastAsia" w:ascii="宋体" w:hAnsi="宋体" w:eastAsia="宋体" w:cs="宋体"/>
          <w:b/>
          <w:bCs/>
          <w:sz w:val="24"/>
          <w:szCs w:val="24"/>
          <w:highlight w:val="none"/>
        </w:rPr>
        <w:t>的；</w:t>
      </w:r>
    </w:p>
    <w:p w14:paraId="684070D0">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16.10响应文件有采购方不能接受的条件；</w:t>
      </w:r>
    </w:p>
    <w:p w14:paraId="0860278E">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2CF83F02">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16.12询价报价超过</w:t>
      </w:r>
      <w:bookmarkStart w:id="113" w:name="_GoBack"/>
      <w:bookmarkEnd w:id="113"/>
      <w:r>
        <w:rPr>
          <w:rFonts w:hint="eastAsia" w:ascii="宋体" w:hAnsi="宋体" w:eastAsia="宋体" w:cs="宋体"/>
          <w:b/>
          <w:bCs/>
          <w:sz w:val="24"/>
          <w:szCs w:val="24"/>
          <w:highlight w:val="none"/>
        </w:rPr>
        <w:t>预算金额或最高限价的；</w:t>
      </w:r>
    </w:p>
    <w:p w14:paraId="6ED82B12">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16.13响应文件“商务技术文件资料”部分中出现《报价一览表》或《报价明细表》相关内容的；</w:t>
      </w:r>
    </w:p>
    <w:p w14:paraId="4589DF89">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16.14有重大偏差或实质性不响应询价文件要求的，即“★”的关键性指标及技术参数要求负偏离或缺漏；</w:t>
      </w:r>
    </w:p>
    <w:p w14:paraId="3D15D3CB">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16.15供应商拒绝按询价文件规定的修正原则对响应文件进行修改的；</w:t>
      </w:r>
    </w:p>
    <w:p w14:paraId="3FD04DC0">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16.16有下列情形之一的，视为供应商串通投标，其投标无效：</w:t>
      </w:r>
    </w:p>
    <w:p w14:paraId="50150735">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16.16.1不同供应商的响应文件由同一单位或者个人编制；</w:t>
      </w:r>
    </w:p>
    <w:p w14:paraId="1C469517">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16.16.2不同供应商委托同一单位或者个人办理投标事宜；</w:t>
      </w:r>
    </w:p>
    <w:p w14:paraId="42830DC7">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16.16.3不同供应商的响应文件载明的项目管理成员或者联系人员为同一人；</w:t>
      </w:r>
    </w:p>
    <w:p w14:paraId="4A770BCD">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16.16.4不同供应商的响应文件异常一致或者投标报价呈规律性差异；</w:t>
      </w:r>
    </w:p>
    <w:p w14:paraId="6E035A11">
      <w:pPr>
        <w:spacing w:line="33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w:t>
      </w:r>
      <w:r>
        <w:rPr>
          <w:rFonts w:hint="eastAsia" w:ascii="宋体" w:hAnsi="宋体" w:eastAsia="宋体" w:cs="宋体"/>
          <w:b/>
          <w:bCs/>
          <w:sz w:val="24"/>
          <w:szCs w:val="21"/>
          <w:highlight w:val="none"/>
        </w:rPr>
        <w:t>，经评标委员会半数以上成员确认有串通投标嫌疑的</w:t>
      </w:r>
      <w:r>
        <w:rPr>
          <w:rFonts w:hint="eastAsia" w:ascii="宋体" w:hAnsi="宋体" w:eastAsia="宋体" w:cs="宋体"/>
          <w:b/>
          <w:bCs/>
          <w:sz w:val="24"/>
          <w:szCs w:val="24"/>
          <w:highlight w:val="none"/>
        </w:rPr>
        <w:t>。</w:t>
      </w:r>
    </w:p>
    <w:p w14:paraId="58A4F76E">
      <w:pPr>
        <w:tabs>
          <w:tab w:val="left" w:pos="3870"/>
          <w:tab w:val="left" w:pos="4085"/>
        </w:tabs>
        <w:snapToGrid w:val="0"/>
        <w:spacing w:line="336"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16.17 其他违反法律、法规的情形。</w:t>
      </w:r>
    </w:p>
    <w:p w14:paraId="5CEBACA2">
      <w:pPr>
        <w:pStyle w:val="5"/>
        <w:numPr>
          <w:ilvl w:val="0"/>
          <w:numId w:val="6"/>
        </w:numPr>
        <w:jc w:val="center"/>
        <w:rPr>
          <w:rFonts w:hint="eastAsia" w:ascii="宋体" w:hAnsi="宋体" w:eastAsia="宋体" w:cs="宋体"/>
          <w:highlight w:val="none"/>
        </w:rPr>
      </w:pPr>
      <w:bookmarkStart w:id="69" w:name="_Toc21752"/>
      <w:bookmarkStart w:id="70" w:name="_Toc118207752"/>
      <w:r>
        <w:rPr>
          <w:rFonts w:hint="eastAsia" w:ascii="宋体" w:hAnsi="宋体" w:eastAsia="宋体" w:cs="宋体"/>
          <w:highlight w:val="none"/>
        </w:rPr>
        <w:t>采购中止的情形</w:t>
      </w:r>
      <w:bookmarkEnd w:id="69"/>
      <w:bookmarkEnd w:id="70"/>
    </w:p>
    <w:p w14:paraId="37C922E2">
      <w:pPr>
        <w:pStyle w:val="19"/>
        <w:spacing w:line="336" w:lineRule="auto"/>
        <w:ind w:left="400"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w:t>
      </w:r>
      <w:r>
        <w:rPr>
          <w:rFonts w:hint="eastAsia" w:ascii="宋体" w:hAnsi="宋体" w:eastAsia="宋体" w:cs="宋体"/>
          <w:b/>
          <w:bCs/>
          <w:sz w:val="24"/>
          <w:szCs w:val="24"/>
          <w:highlight w:val="none"/>
          <w:lang w:val="zh-CN"/>
        </w:rPr>
        <w:t>中止电子交易活动和</w:t>
      </w:r>
      <w:r>
        <w:rPr>
          <w:rFonts w:hint="eastAsia" w:ascii="宋体" w:hAnsi="宋体" w:eastAsia="宋体" w:cs="宋体"/>
          <w:b/>
          <w:bCs/>
          <w:sz w:val="24"/>
          <w:szCs w:val="24"/>
          <w:highlight w:val="none"/>
        </w:rPr>
        <w:t>重新组织采购</w:t>
      </w:r>
    </w:p>
    <w:p w14:paraId="1EC99BD2">
      <w:pPr>
        <w:pStyle w:val="58"/>
        <w:tabs>
          <w:tab w:val="left" w:pos="0"/>
        </w:tabs>
        <w:spacing w:before="0" w:line="336" w:lineRule="auto"/>
        <w:ind w:firstLine="480"/>
        <w:rPr>
          <w:rFonts w:hint="eastAsia" w:ascii="宋体" w:hAnsi="宋体" w:eastAsia="宋体" w:cs="宋体"/>
          <w:highlight w:val="none"/>
          <w:lang w:val="zh-CN"/>
        </w:rPr>
      </w:pPr>
      <w:r>
        <w:rPr>
          <w:rFonts w:hint="eastAsia" w:ascii="宋体" w:hAnsi="宋体" w:eastAsia="宋体" w:cs="宋体"/>
          <w:highlight w:val="none"/>
        </w:rPr>
        <w:t>17.1</w:t>
      </w:r>
      <w:r>
        <w:rPr>
          <w:rFonts w:hint="eastAsia" w:ascii="宋体" w:hAnsi="宋体" w:eastAsia="宋体" w:cs="宋体"/>
          <w:highlight w:val="none"/>
          <w:lang w:val="zh-CN"/>
        </w:rPr>
        <w:t>采购过程中出现以下情形，导致电子交易平台无法正常运行，或者无法保证电子交易的公平、公正和安全时，采购组织机构可中止电子交易活动：</w:t>
      </w:r>
    </w:p>
    <w:p w14:paraId="2B6537D2">
      <w:pPr>
        <w:numPr>
          <w:ilvl w:val="0"/>
          <w:numId w:val="8"/>
        </w:numPr>
        <w:tabs>
          <w:tab w:val="left" w:pos="0"/>
        </w:tabs>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电子交易平台发生故障而无法登录访问的；</w:t>
      </w:r>
    </w:p>
    <w:p w14:paraId="19D94CD6">
      <w:pPr>
        <w:numPr>
          <w:ilvl w:val="0"/>
          <w:numId w:val="8"/>
        </w:numPr>
        <w:tabs>
          <w:tab w:val="left" w:pos="0"/>
        </w:tabs>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电子交易平台应用或数据库出现错误，不能进行正常操作的；</w:t>
      </w:r>
    </w:p>
    <w:p w14:paraId="6D6223BD">
      <w:pPr>
        <w:numPr>
          <w:ilvl w:val="0"/>
          <w:numId w:val="8"/>
        </w:numPr>
        <w:tabs>
          <w:tab w:val="left" w:pos="0"/>
        </w:tabs>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电子交易平台发现严重安全漏洞，有潜在泄密危险的；</w:t>
      </w:r>
    </w:p>
    <w:p w14:paraId="4CCDCD85">
      <w:pPr>
        <w:numPr>
          <w:ilvl w:val="0"/>
          <w:numId w:val="8"/>
        </w:numPr>
        <w:tabs>
          <w:tab w:val="left" w:pos="0"/>
        </w:tabs>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病毒发作导致不能进行正常操作的；</w:t>
      </w:r>
    </w:p>
    <w:p w14:paraId="0DF8ECB8">
      <w:pPr>
        <w:numPr>
          <w:ilvl w:val="0"/>
          <w:numId w:val="8"/>
        </w:numPr>
        <w:tabs>
          <w:tab w:val="left" w:pos="0"/>
        </w:tabs>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其他无法保证电子交易的公平、公正和安全的情况。</w:t>
      </w:r>
    </w:p>
    <w:p w14:paraId="36C6B64E">
      <w:pPr>
        <w:tabs>
          <w:tab w:val="left" w:pos="0"/>
        </w:tabs>
        <w:spacing w:line="336" w:lineRule="auto"/>
        <w:rPr>
          <w:rFonts w:hint="eastAsia" w:ascii="宋体" w:hAnsi="宋体" w:eastAsia="宋体" w:cs="宋体"/>
          <w:sz w:val="24"/>
          <w:szCs w:val="24"/>
          <w:highlight w:val="none"/>
        </w:rPr>
      </w:pPr>
    </w:p>
    <w:p w14:paraId="618E35BB">
      <w:pPr>
        <w:pStyle w:val="5"/>
        <w:numPr>
          <w:ilvl w:val="0"/>
          <w:numId w:val="6"/>
        </w:numPr>
        <w:jc w:val="center"/>
        <w:rPr>
          <w:rFonts w:hint="eastAsia" w:ascii="宋体" w:hAnsi="宋体" w:eastAsia="宋体" w:cs="宋体"/>
          <w:highlight w:val="none"/>
        </w:rPr>
      </w:pPr>
      <w:bookmarkStart w:id="71" w:name="_Toc118207753"/>
      <w:r>
        <w:rPr>
          <w:rFonts w:hint="eastAsia" w:ascii="宋体" w:hAnsi="宋体" w:eastAsia="宋体" w:cs="宋体"/>
          <w:highlight w:val="none"/>
        </w:rPr>
        <w:t>授予合同</w:t>
      </w:r>
      <w:bookmarkEnd w:id="71"/>
    </w:p>
    <w:p w14:paraId="69E60C04">
      <w:pPr>
        <w:spacing w:line="360" w:lineRule="auto"/>
        <w:ind w:firstLine="482" w:firstLineChars="200"/>
        <w:rPr>
          <w:rFonts w:hint="eastAsia" w:ascii="宋体" w:hAnsi="宋体" w:eastAsia="宋体" w:cs="宋体"/>
          <w:b/>
          <w:bCs/>
          <w:sz w:val="24"/>
          <w:szCs w:val="32"/>
          <w:highlight w:val="none"/>
        </w:rPr>
      </w:pPr>
      <w:bookmarkStart w:id="72" w:name="_Toc81372776"/>
      <w:bookmarkStart w:id="73" w:name="_Toc84325929"/>
      <w:bookmarkStart w:id="74" w:name="_Toc81372953"/>
      <w:r>
        <w:rPr>
          <w:rFonts w:hint="eastAsia" w:ascii="宋体" w:hAnsi="宋体" w:eastAsia="宋体" w:cs="宋体"/>
          <w:b/>
          <w:bCs/>
          <w:sz w:val="24"/>
          <w:szCs w:val="32"/>
          <w:highlight w:val="none"/>
        </w:rPr>
        <w:t>18.1询价结果：</w:t>
      </w:r>
    </w:p>
    <w:p w14:paraId="29EC910B">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询价小组完成评定后，向采购人提交经各询价小组成员签字的评审结果报告，并按询价办法确定成交供应商，在浙江政府采购网公告1个工作日，供应商对询价结果如有异议，可在规定时间内以书面形式署名向采购人提出质疑，但需对投诉或质疑内容的真实性承担法律责任。供应商质疑、投诉应当有明确的请求和必要的证明材料，供应商投诉的事项不得超出已质疑事项的范围。</w:t>
      </w:r>
    </w:p>
    <w:p w14:paraId="5D43639D">
      <w:pPr>
        <w:spacing w:line="360" w:lineRule="auto"/>
        <w:ind w:firstLine="482" w:firstLineChars="200"/>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18.2成交通知和合同授予</w:t>
      </w:r>
    </w:p>
    <w:p w14:paraId="3246790D">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（1）采购人应当自中标通知书发出之日起30日内，按照询价文件和成交供应商响应文件的规定，与成交供应商签订书面合同。所签订的合同不得对询价文件确定的事项和成交供应商响应文件作实质性修改。</w:t>
      </w:r>
    </w:p>
    <w:p w14:paraId="0DACEDFB">
      <w:pPr>
        <w:spacing w:line="360" w:lineRule="auto"/>
        <w:ind w:firstLine="480" w:firstLineChars="200"/>
        <w:rPr>
          <w:rFonts w:hint="eastAsia" w:ascii="宋体" w:hAnsi="宋体" w:eastAsia="宋体" w:cs="宋体"/>
          <w:szCs w:val="32"/>
          <w:highlight w:val="none"/>
        </w:rPr>
      </w:pPr>
      <w:r>
        <w:rPr>
          <w:rFonts w:hint="eastAsia" w:ascii="宋体" w:hAnsi="宋体" w:eastAsia="宋体" w:cs="宋体"/>
          <w:sz w:val="24"/>
          <w:szCs w:val="32"/>
          <w:highlight w:val="none"/>
        </w:rPr>
        <w:t>（2）中标或者成交供应商拒绝与采购人签订合同的，采购人可以按照评审报告推荐的中标或者成交候选人名单排序，确定下一候选人为中标或者成交供应商，也可以重新开展政府采购活动。</w:t>
      </w:r>
    </w:p>
    <w:p w14:paraId="0BA7F99E">
      <w:pPr>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18.3中标通知</w:t>
      </w:r>
    </w:p>
    <w:bookmarkEnd w:id="72"/>
    <w:bookmarkEnd w:id="73"/>
    <w:bookmarkEnd w:id="74"/>
    <w:p w14:paraId="223D5E15">
      <w:pPr>
        <w:pStyle w:val="19"/>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szCs w:val="32"/>
          <w:highlight w:val="none"/>
        </w:rPr>
        <w:t>（1）</w:t>
      </w:r>
      <w:r>
        <w:rPr>
          <w:rFonts w:hint="eastAsia" w:ascii="宋体" w:hAnsi="宋体" w:eastAsia="宋体" w:cs="宋体"/>
          <w:sz w:val="24"/>
          <w:highlight w:val="none"/>
        </w:rPr>
        <w:t>采购代理机构在询价结束后7日内向成交供应商签发中标通知书。</w:t>
      </w:r>
    </w:p>
    <w:p w14:paraId="38371CD9">
      <w:pPr>
        <w:pStyle w:val="19"/>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szCs w:val="32"/>
          <w:highlight w:val="none"/>
        </w:rPr>
        <w:t>（2）</w:t>
      </w:r>
      <w:r>
        <w:rPr>
          <w:rFonts w:hint="eastAsia" w:ascii="宋体" w:hAnsi="宋体" w:eastAsia="宋体" w:cs="宋体"/>
          <w:sz w:val="24"/>
          <w:highlight w:val="none"/>
        </w:rPr>
        <w:t>在采购机构发出成交通知书前，预成交供应商有违反有关法律法规和本项目要求行为的，则取消该供应商的预中标资格，</w:t>
      </w:r>
      <w:r>
        <w:rPr>
          <w:rFonts w:hint="eastAsia" w:ascii="宋体" w:hAnsi="宋体" w:eastAsia="宋体" w:cs="宋体"/>
          <w:sz w:val="24"/>
          <w:szCs w:val="32"/>
          <w:highlight w:val="none"/>
        </w:rPr>
        <w:t>列入政府采购活动不良诚信行为</w:t>
      </w:r>
      <w:r>
        <w:rPr>
          <w:rFonts w:hint="eastAsia" w:ascii="宋体" w:hAnsi="宋体" w:eastAsia="宋体" w:cs="宋体"/>
          <w:sz w:val="24"/>
          <w:highlight w:val="none"/>
        </w:rPr>
        <w:t>。</w:t>
      </w:r>
    </w:p>
    <w:p w14:paraId="409D246F">
      <w:pPr>
        <w:pStyle w:val="58"/>
        <w:snapToGrid w:val="0"/>
        <w:spacing w:before="0"/>
        <w:ind w:firstLine="480"/>
        <w:rPr>
          <w:rFonts w:hint="eastAsia" w:ascii="宋体" w:hAnsi="宋体" w:eastAsia="宋体" w:cs="宋体"/>
          <w:highlight w:val="none"/>
        </w:rPr>
      </w:pPr>
      <w:r>
        <w:rPr>
          <w:rFonts w:hint="eastAsia" w:ascii="宋体" w:hAnsi="宋体" w:eastAsia="宋体" w:cs="宋体"/>
          <w:szCs w:val="32"/>
          <w:highlight w:val="none"/>
        </w:rPr>
        <w:t>（3）</w:t>
      </w:r>
      <w:r>
        <w:rPr>
          <w:rFonts w:hint="eastAsia" w:ascii="宋体" w:hAnsi="宋体" w:eastAsia="宋体" w:cs="宋体"/>
          <w:highlight w:val="none"/>
        </w:rPr>
        <w:t>采购人、采购机构对中标结果不作任何说明和解释，也不回答任何提问。</w:t>
      </w:r>
    </w:p>
    <w:p w14:paraId="2E33C017">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18.4解释权</w:t>
      </w:r>
    </w:p>
    <w:p w14:paraId="698FC02C">
      <w:pPr>
        <w:adjustRightIn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询价文件的解释权均属于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嵊州市水联贸易有限公司</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和</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浙江建诚工程管理咨询有限公司</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1BAFCCE">
      <w:pPr>
        <w:pStyle w:val="4"/>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75" w:name="_Toc118207754"/>
      <w:bookmarkStart w:id="76" w:name="_Toc21248"/>
      <w:r>
        <w:rPr>
          <w:rFonts w:hint="eastAsia" w:ascii="宋体" w:hAnsi="宋体" w:eastAsia="宋体" w:cs="宋体"/>
          <w:sz w:val="36"/>
          <w:szCs w:val="36"/>
          <w:highlight w:val="none"/>
        </w:rPr>
        <w:t>第三</w:t>
      </w:r>
      <w:r>
        <w:rPr>
          <w:rFonts w:hint="eastAsia" w:ascii="宋体" w:hAnsi="宋体" w:eastAsia="宋体" w:cs="宋体"/>
          <w:sz w:val="36"/>
          <w:szCs w:val="36"/>
          <w:highlight w:val="none"/>
          <w:lang w:val="en-US" w:eastAsia="zh-CN"/>
        </w:rPr>
        <w:t>章</w:t>
      </w:r>
      <w:r>
        <w:rPr>
          <w:rFonts w:hint="eastAsia" w:ascii="宋体" w:hAnsi="宋体" w:eastAsia="宋体" w:cs="宋体"/>
          <w:sz w:val="36"/>
          <w:szCs w:val="36"/>
          <w:highlight w:val="none"/>
        </w:rPr>
        <w:t xml:space="preserve">  采购内容及要求</w:t>
      </w:r>
      <w:bookmarkEnd w:id="75"/>
      <w:bookmarkEnd w:id="76"/>
    </w:p>
    <w:p w14:paraId="3F413ACB">
      <w:pPr>
        <w:numPr>
          <w:ilvl w:val="0"/>
          <w:numId w:val="9"/>
        </w:numPr>
        <w:spacing w:beforeLines="50" w:afterLines="50" w:line="360" w:lineRule="auto"/>
        <w:ind w:firstLine="482" w:firstLineChars="200"/>
        <w:rPr>
          <w:rFonts w:hint="eastAsia" w:ascii="宋体" w:hAnsi="宋体" w:eastAsia="宋体" w:cs="宋体"/>
          <w:b/>
          <w:sz w:val="24"/>
          <w:highlight w:val="none"/>
        </w:rPr>
      </w:pPr>
      <w:bookmarkStart w:id="77" w:name="_Toc506107088"/>
      <w:bookmarkStart w:id="78" w:name="_Toc15284"/>
      <w:r>
        <w:rPr>
          <w:rFonts w:hint="eastAsia" w:ascii="宋体" w:hAnsi="宋体" w:eastAsia="宋体" w:cs="宋体"/>
          <w:b/>
          <w:sz w:val="24"/>
          <w:highlight w:val="none"/>
        </w:rPr>
        <w:t>总则</w:t>
      </w:r>
    </w:p>
    <w:p w14:paraId="3D13CB22">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bidi="ar-SA"/>
        </w:rPr>
        <w:t>1．</w:t>
      </w:r>
      <w:r>
        <w:rPr>
          <w:rFonts w:hint="eastAsia" w:ascii="宋体" w:hAnsi="宋体" w:eastAsia="宋体" w:cs="宋体"/>
          <w:sz w:val="24"/>
          <w:highlight w:val="none"/>
        </w:rPr>
        <w:t>本部分只是采购内容的一些原则性规定，并不是完整的详尽的要求，投标人有责任根据实际情况提供更科学合理的优化产品，并对所提供工艺、安全性、先进性负责，符合技术规格的要求。</w:t>
      </w:r>
    </w:p>
    <w:p w14:paraId="4EB0BBC7">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bidi="ar-SA"/>
        </w:rPr>
        <w:t>2．</w:t>
      </w:r>
      <w:r>
        <w:rPr>
          <w:rFonts w:hint="eastAsia" w:ascii="宋体" w:hAnsi="宋体" w:eastAsia="宋体" w:cs="宋体"/>
          <w:sz w:val="24"/>
          <w:highlight w:val="none"/>
        </w:rPr>
        <w:t>投标人必须对全部招标内容进行投标，不允许只对其中部分内容进行投标，谢绝联合体投标。</w:t>
      </w:r>
    </w:p>
    <w:p w14:paraId="069B4A2F">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bidi="ar-SA"/>
        </w:rPr>
        <w:t>3．</w:t>
      </w:r>
      <w:r>
        <w:rPr>
          <w:rFonts w:hint="eastAsia" w:ascii="宋体" w:hAnsi="宋体" w:eastAsia="宋体" w:cs="宋体"/>
          <w:sz w:val="24"/>
          <w:highlight w:val="none"/>
        </w:rPr>
        <w:t>投标产品如与采购要求有细微偏差，采购人将有权要求中标人调整偏差，并不改变投标价格。</w:t>
      </w:r>
    </w:p>
    <w:p w14:paraId="5F7E7635">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bidi="ar-SA"/>
        </w:rPr>
        <w:t>4．</w:t>
      </w:r>
      <w:r>
        <w:rPr>
          <w:rFonts w:hint="eastAsia" w:ascii="宋体" w:hAnsi="宋体" w:eastAsia="宋体" w:cs="宋体"/>
          <w:sz w:val="24"/>
          <w:highlight w:val="none"/>
        </w:rPr>
        <w:t>投标人须对招标文件中的各个条款一一给予实质性答复，不能空头或仅拷贝黏贴响应。</w:t>
      </w:r>
    </w:p>
    <w:p w14:paraId="52A1C6D4">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bidi="ar-SA"/>
        </w:rPr>
        <w:t>5．</w:t>
      </w:r>
      <w:r>
        <w:rPr>
          <w:rFonts w:hint="eastAsia" w:ascii="宋体" w:hAnsi="宋体" w:eastAsia="宋体" w:cs="宋体"/>
          <w:sz w:val="24"/>
          <w:highlight w:val="none"/>
        </w:rPr>
        <w:t>投标人须对招标文件中涉及到的专利负责，并保证不伤害采购人的利益。在法律范围内，所有文字、商标和技术侵权造成的相关费用，采购人概不负责。</w:t>
      </w:r>
    </w:p>
    <w:p w14:paraId="6AEFAD45">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sectPr>
          <w:headerReference r:id="rId4" w:type="default"/>
          <w:footerReference r:id="rId5"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25" w:charSpace="0"/>
        </w:sectPr>
      </w:pPr>
      <w:r>
        <w:rPr>
          <w:rFonts w:hint="eastAsia" w:ascii="宋体" w:hAnsi="宋体" w:eastAsia="宋体" w:cs="宋体"/>
          <w:sz w:val="24"/>
          <w:highlight w:val="none"/>
          <w:lang w:val="en-US" w:eastAsia="zh-CN" w:bidi="ar-SA"/>
        </w:rPr>
        <w:t>6．</w:t>
      </w:r>
      <w:r>
        <w:rPr>
          <w:rFonts w:hint="eastAsia" w:ascii="宋体" w:hAnsi="宋体" w:eastAsia="宋体" w:cs="宋体"/>
          <w:sz w:val="24"/>
          <w:highlight w:val="none"/>
        </w:rPr>
        <w:t>投标人的报价不仅应包括招标文件提供的设备清单、技术条款的要求，还应包括任何未明确标出的，但货物安装后保证正常安全使用所不可缺少的配件及附件的全部费用。其中，全部货物材料应说明名称、型号、数量、单价、总价、产地等。</w:t>
      </w:r>
    </w:p>
    <w:p w14:paraId="44EDF0DF">
      <w:pPr>
        <w:pStyle w:val="2"/>
        <w:rPr>
          <w:rFonts w:hint="eastAsia" w:ascii="宋体" w:hAnsi="宋体" w:eastAsia="宋体" w:cs="宋体"/>
          <w:b/>
          <w:sz w:val="24"/>
          <w:highlight w:val="none"/>
          <w:lang w:val="en-US" w:eastAsia="zh-CN" w:bidi="ar-SA"/>
        </w:rPr>
      </w:pPr>
      <w:bookmarkStart w:id="79" w:name="_Toc18341"/>
      <w:bookmarkStart w:id="80" w:name="_Toc563"/>
    </w:p>
    <w:p w14:paraId="67A8AC26">
      <w:pPr>
        <w:numPr>
          <w:ilvl w:val="0"/>
          <w:numId w:val="9"/>
        </w:numPr>
        <w:ind w:left="0" w:leftChars="0"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采购内容</w:t>
      </w:r>
    </w:p>
    <w:p w14:paraId="5211C341">
      <w:pPr>
        <w:pStyle w:val="14"/>
        <w:rPr>
          <w:rFonts w:hint="default"/>
          <w:highlight w:val="none"/>
          <w:lang w:val="en-US" w:eastAsia="zh-CN"/>
        </w:rPr>
      </w:pPr>
      <w:r>
        <w:rPr>
          <w:rFonts w:hint="eastAsia" w:ascii="宋体" w:hAnsi="宋体" w:eastAsia="宋体" w:cs="宋体"/>
          <w:sz w:val="24"/>
          <w:highlight w:val="none"/>
          <w:lang w:val="en-US" w:eastAsia="zh-CN" w:bidi="ar-SA"/>
        </w:rPr>
        <w:t>2.1新官桥采购设备清单：</w:t>
      </w:r>
    </w:p>
    <w:tbl>
      <w:tblPr>
        <w:tblStyle w:val="32"/>
        <w:tblW w:w="94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770"/>
        <w:gridCol w:w="2505"/>
        <w:gridCol w:w="750"/>
        <w:gridCol w:w="780"/>
        <w:gridCol w:w="1860"/>
        <w:gridCol w:w="934"/>
      </w:tblGrid>
      <w:tr w14:paraId="3DC3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90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37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材料名称/规格</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BE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F8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D7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7C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36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w:t>
            </w:r>
          </w:p>
        </w:tc>
      </w:tr>
      <w:tr w14:paraId="7A4B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3D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A5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智慧泵房箱体</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6EA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4000mm*4000mm*3000mm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07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07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C18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泵房箱体内装修及所配套户外集成泵房附件，箱体材质采用碳素钢，耐候钢</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D6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43万</w:t>
            </w:r>
          </w:p>
        </w:tc>
      </w:tr>
      <w:tr w14:paraId="1AD5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7D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8B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泵房照明系统</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1028">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E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EE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AAAE">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37F8">
            <w:pPr>
              <w:jc w:val="center"/>
              <w:rPr>
                <w:rFonts w:hint="eastAsia" w:ascii="宋体" w:hAnsi="宋体" w:eastAsia="宋体" w:cs="宋体"/>
                <w:i w:val="0"/>
                <w:iCs w:val="0"/>
                <w:color w:val="000000"/>
                <w:sz w:val="24"/>
                <w:szCs w:val="24"/>
                <w:highlight w:val="none"/>
                <w:u w:val="none"/>
              </w:rPr>
            </w:pPr>
          </w:p>
        </w:tc>
      </w:tr>
      <w:tr w14:paraId="1C05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73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19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应急照明</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6663">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3D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B9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D29CC">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18E1">
            <w:pPr>
              <w:jc w:val="center"/>
              <w:rPr>
                <w:rFonts w:hint="eastAsia" w:ascii="宋体" w:hAnsi="宋体" w:eastAsia="宋体" w:cs="宋体"/>
                <w:i w:val="0"/>
                <w:iCs w:val="0"/>
                <w:color w:val="000000"/>
                <w:sz w:val="24"/>
                <w:szCs w:val="24"/>
                <w:highlight w:val="none"/>
                <w:u w:val="none"/>
              </w:rPr>
            </w:pPr>
          </w:p>
        </w:tc>
      </w:tr>
      <w:tr w14:paraId="3D65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D6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93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泵组</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149C">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单台流量200m³/h，扬程71m，功率75kw</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A7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20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B7B7">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两用一备</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0AB5">
            <w:pPr>
              <w:jc w:val="center"/>
              <w:rPr>
                <w:rFonts w:hint="eastAsia" w:ascii="宋体" w:hAnsi="宋体" w:eastAsia="宋体" w:cs="宋体"/>
                <w:i w:val="0"/>
                <w:iCs w:val="0"/>
                <w:color w:val="000000"/>
                <w:sz w:val="24"/>
                <w:szCs w:val="24"/>
                <w:highlight w:val="none"/>
                <w:u w:val="none"/>
              </w:rPr>
            </w:pPr>
          </w:p>
        </w:tc>
      </w:tr>
      <w:tr w14:paraId="5AF4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3E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24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控制柜</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51F5">
            <w:pPr>
              <w:jc w:val="left"/>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一控一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06B1">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A4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6B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PLC、全变频</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CA5D">
            <w:pPr>
              <w:jc w:val="center"/>
              <w:rPr>
                <w:rFonts w:hint="eastAsia" w:ascii="宋体" w:hAnsi="宋体" w:eastAsia="宋体" w:cs="宋体"/>
                <w:i w:val="0"/>
                <w:iCs w:val="0"/>
                <w:color w:val="000000"/>
                <w:sz w:val="24"/>
                <w:szCs w:val="24"/>
                <w:highlight w:val="none"/>
                <w:u w:val="none"/>
              </w:rPr>
            </w:pPr>
          </w:p>
        </w:tc>
      </w:tr>
      <w:tr w14:paraId="083F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7F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80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智慧泵房系统柜</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6BA6">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对设备数据、泵房环境数据实时采集并传输；</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0AE6">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89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08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0390">
            <w:pPr>
              <w:jc w:val="center"/>
              <w:rPr>
                <w:rFonts w:hint="eastAsia" w:ascii="宋体" w:hAnsi="宋体" w:eastAsia="宋体" w:cs="宋体"/>
                <w:i w:val="0"/>
                <w:iCs w:val="0"/>
                <w:color w:val="000000"/>
                <w:sz w:val="24"/>
                <w:szCs w:val="24"/>
                <w:highlight w:val="none"/>
                <w:u w:val="none"/>
              </w:rPr>
            </w:pPr>
          </w:p>
        </w:tc>
      </w:tr>
      <w:tr w14:paraId="52F1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09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F5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智能云盒</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50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含视频监控系统、门禁控制系统等众多集成功能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47B5">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17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5C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01BF">
            <w:pPr>
              <w:jc w:val="center"/>
              <w:rPr>
                <w:rFonts w:hint="eastAsia" w:ascii="宋体" w:hAnsi="宋体" w:eastAsia="宋体" w:cs="宋体"/>
                <w:i w:val="0"/>
                <w:iCs w:val="0"/>
                <w:color w:val="000000"/>
                <w:sz w:val="24"/>
                <w:szCs w:val="24"/>
                <w:highlight w:val="none"/>
                <w:u w:val="none"/>
              </w:rPr>
            </w:pPr>
          </w:p>
        </w:tc>
      </w:tr>
      <w:tr w14:paraId="0749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2A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DA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加热控制器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BF0A">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80E5">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76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4DC2">
            <w:pPr>
              <w:rPr>
                <w:rFonts w:hint="eastAsia" w:ascii="宋体" w:hAnsi="宋体" w:eastAsia="宋体" w:cs="宋体"/>
                <w:i w:val="0"/>
                <w:iCs w:val="0"/>
                <w:color w:val="000000"/>
                <w:sz w:val="24"/>
                <w:szCs w:val="24"/>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0CBC">
            <w:pPr>
              <w:jc w:val="center"/>
              <w:rPr>
                <w:rFonts w:hint="eastAsia" w:ascii="宋体" w:hAnsi="宋体" w:eastAsia="宋体" w:cs="宋体"/>
                <w:i w:val="0"/>
                <w:iCs w:val="0"/>
                <w:color w:val="000000"/>
                <w:sz w:val="24"/>
                <w:szCs w:val="24"/>
                <w:highlight w:val="none"/>
                <w:u w:val="none"/>
              </w:rPr>
            </w:pPr>
          </w:p>
        </w:tc>
      </w:tr>
      <w:tr w14:paraId="3589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F9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E3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智能门禁系统</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4B70">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9C8A">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C6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F4E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远程视频门禁系统，含录像存储和处理器，摄像头、密码指纹电子带远传功能，含视频监控和平台软件系统等</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B394">
            <w:pPr>
              <w:jc w:val="center"/>
              <w:rPr>
                <w:rFonts w:hint="eastAsia" w:ascii="宋体" w:hAnsi="宋体" w:eastAsia="宋体" w:cs="宋体"/>
                <w:i w:val="0"/>
                <w:iCs w:val="0"/>
                <w:color w:val="000000"/>
                <w:sz w:val="24"/>
                <w:szCs w:val="24"/>
                <w:highlight w:val="none"/>
                <w:u w:val="none"/>
              </w:rPr>
            </w:pPr>
          </w:p>
        </w:tc>
      </w:tr>
      <w:tr w14:paraId="7997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CC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54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智能监控枪机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48DF">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C618">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16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B34AE">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65E8">
            <w:pPr>
              <w:jc w:val="center"/>
              <w:rPr>
                <w:rFonts w:hint="eastAsia" w:ascii="宋体" w:hAnsi="宋体" w:eastAsia="宋体" w:cs="宋体"/>
                <w:i w:val="0"/>
                <w:iCs w:val="0"/>
                <w:color w:val="000000"/>
                <w:sz w:val="24"/>
                <w:szCs w:val="24"/>
                <w:highlight w:val="none"/>
                <w:u w:val="none"/>
              </w:rPr>
            </w:pPr>
          </w:p>
        </w:tc>
      </w:tr>
      <w:tr w14:paraId="2353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49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8E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智能监控球机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EB1A">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4AEE">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33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3346D">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731D">
            <w:pPr>
              <w:jc w:val="center"/>
              <w:rPr>
                <w:rFonts w:hint="eastAsia" w:ascii="宋体" w:hAnsi="宋体" w:eastAsia="宋体" w:cs="宋体"/>
                <w:i w:val="0"/>
                <w:iCs w:val="0"/>
                <w:color w:val="000000"/>
                <w:sz w:val="24"/>
                <w:szCs w:val="24"/>
                <w:highlight w:val="none"/>
                <w:u w:val="none"/>
              </w:rPr>
            </w:pPr>
          </w:p>
        </w:tc>
      </w:tr>
      <w:tr w14:paraId="7476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BA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4F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智能监控储存器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90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监控硬盘1T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0E5A">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E8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37557">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508F">
            <w:pPr>
              <w:jc w:val="center"/>
              <w:rPr>
                <w:rFonts w:hint="eastAsia" w:ascii="宋体" w:hAnsi="宋体" w:eastAsia="宋体" w:cs="宋体"/>
                <w:i w:val="0"/>
                <w:iCs w:val="0"/>
                <w:color w:val="000000"/>
                <w:sz w:val="24"/>
                <w:szCs w:val="24"/>
                <w:highlight w:val="none"/>
                <w:u w:val="none"/>
              </w:rPr>
            </w:pPr>
          </w:p>
        </w:tc>
      </w:tr>
      <w:tr w14:paraId="1935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0E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DB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监控硬盘录像机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9F93">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45C4">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FD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B5AB">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3021">
            <w:pPr>
              <w:jc w:val="center"/>
              <w:rPr>
                <w:rFonts w:hint="eastAsia" w:ascii="宋体" w:hAnsi="宋体" w:eastAsia="宋体" w:cs="宋体"/>
                <w:i w:val="0"/>
                <w:iCs w:val="0"/>
                <w:color w:val="000000"/>
                <w:sz w:val="24"/>
                <w:szCs w:val="24"/>
                <w:highlight w:val="none"/>
                <w:u w:val="none"/>
              </w:rPr>
            </w:pPr>
          </w:p>
        </w:tc>
      </w:tr>
      <w:tr w14:paraId="2965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2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37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电磁流量计</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B6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DN300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2095">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26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15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阀板304材质</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6FAA">
            <w:pPr>
              <w:jc w:val="center"/>
              <w:rPr>
                <w:rFonts w:hint="eastAsia" w:ascii="宋体" w:hAnsi="宋体" w:eastAsia="宋体" w:cs="宋体"/>
                <w:i w:val="0"/>
                <w:iCs w:val="0"/>
                <w:color w:val="000000"/>
                <w:sz w:val="24"/>
                <w:szCs w:val="24"/>
                <w:highlight w:val="none"/>
                <w:u w:val="none"/>
              </w:rPr>
            </w:pPr>
          </w:p>
        </w:tc>
      </w:tr>
      <w:tr w14:paraId="0E54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6E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74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B91A">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B22E">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48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E692">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5AEE">
            <w:pPr>
              <w:jc w:val="center"/>
              <w:rPr>
                <w:rFonts w:hint="eastAsia" w:ascii="宋体" w:hAnsi="宋体" w:eastAsia="宋体" w:cs="宋体"/>
                <w:i w:val="0"/>
                <w:iCs w:val="0"/>
                <w:color w:val="000000"/>
                <w:sz w:val="24"/>
                <w:szCs w:val="24"/>
                <w:highlight w:val="none"/>
                <w:u w:val="none"/>
              </w:rPr>
            </w:pPr>
          </w:p>
        </w:tc>
      </w:tr>
      <w:tr w14:paraId="7697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DF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18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除湿机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5A8A">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720F">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80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4D3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恒温排风除湿控制系统，含自动除湿器、温湿度传感器等</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799B">
            <w:pPr>
              <w:jc w:val="center"/>
              <w:rPr>
                <w:rFonts w:hint="eastAsia" w:ascii="宋体" w:hAnsi="宋体" w:eastAsia="宋体" w:cs="宋体"/>
                <w:i w:val="0"/>
                <w:iCs w:val="0"/>
                <w:color w:val="000000"/>
                <w:sz w:val="24"/>
                <w:szCs w:val="24"/>
                <w:highlight w:val="none"/>
                <w:u w:val="none"/>
              </w:rPr>
            </w:pPr>
          </w:p>
        </w:tc>
      </w:tr>
      <w:tr w14:paraId="372C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7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EE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温湿度传感器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E977">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DB7F">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0E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E5786">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2EC6">
            <w:pPr>
              <w:jc w:val="center"/>
              <w:rPr>
                <w:rFonts w:hint="eastAsia" w:ascii="宋体" w:hAnsi="宋体" w:eastAsia="宋体" w:cs="宋体"/>
                <w:i w:val="0"/>
                <w:iCs w:val="0"/>
                <w:color w:val="000000"/>
                <w:sz w:val="24"/>
                <w:szCs w:val="24"/>
                <w:highlight w:val="none"/>
                <w:u w:val="none"/>
              </w:rPr>
            </w:pPr>
          </w:p>
        </w:tc>
      </w:tr>
      <w:tr w14:paraId="6E40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99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60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温湿度感应器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D58D">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F174">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88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4D67">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886A">
            <w:pPr>
              <w:jc w:val="center"/>
              <w:rPr>
                <w:rFonts w:hint="eastAsia" w:ascii="宋体" w:hAnsi="宋体" w:eastAsia="宋体" w:cs="宋体"/>
                <w:i w:val="0"/>
                <w:iCs w:val="0"/>
                <w:color w:val="000000"/>
                <w:sz w:val="24"/>
                <w:szCs w:val="24"/>
                <w:highlight w:val="none"/>
                <w:u w:val="none"/>
              </w:rPr>
            </w:pPr>
          </w:p>
        </w:tc>
      </w:tr>
      <w:tr w14:paraId="023A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C4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E7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烟雾感应探测器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3794">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6BF0">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A4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DF75">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A4DD">
            <w:pPr>
              <w:jc w:val="center"/>
              <w:rPr>
                <w:rFonts w:hint="eastAsia" w:ascii="宋体" w:hAnsi="宋体" w:eastAsia="宋体" w:cs="宋体"/>
                <w:i w:val="0"/>
                <w:iCs w:val="0"/>
                <w:color w:val="000000"/>
                <w:sz w:val="24"/>
                <w:szCs w:val="24"/>
                <w:highlight w:val="none"/>
                <w:u w:val="none"/>
              </w:rPr>
            </w:pPr>
          </w:p>
        </w:tc>
      </w:tr>
      <w:tr w14:paraId="3717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51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4C6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噪音探测器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5BC5">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3E23">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70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7A72">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8C4D">
            <w:pPr>
              <w:jc w:val="center"/>
              <w:rPr>
                <w:rFonts w:hint="eastAsia" w:ascii="宋体" w:hAnsi="宋体" w:eastAsia="宋体" w:cs="宋体"/>
                <w:i w:val="0"/>
                <w:iCs w:val="0"/>
                <w:color w:val="000000"/>
                <w:sz w:val="24"/>
                <w:szCs w:val="24"/>
                <w:highlight w:val="none"/>
                <w:u w:val="none"/>
              </w:rPr>
            </w:pPr>
          </w:p>
        </w:tc>
      </w:tr>
      <w:tr w14:paraId="69CC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5E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17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防水沿探测器</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A568">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B2F9">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49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5C37">
            <w:pPr>
              <w:jc w:val="center"/>
              <w:rPr>
                <w:rFonts w:hint="eastAsia" w:ascii="宋体" w:hAnsi="宋体" w:eastAsia="宋体" w:cs="宋体"/>
                <w:i w:val="0"/>
                <w:iCs w:val="0"/>
                <w:color w:val="000000"/>
                <w:sz w:val="22"/>
                <w:szCs w:val="22"/>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D472">
            <w:pPr>
              <w:jc w:val="center"/>
              <w:rPr>
                <w:rFonts w:hint="eastAsia" w:ascii="宋体" w:hAnsi="宋体" w:eastAsia="宋体" w:cs="宋体"/>
                <w:i w:val="0"/>
                <w:iCs w:val="0"/>
                <w:color w:val="000000"/>
                <w:sz w:val="24"/>
                <w:szCs w:val="24"/>
                <w:highlight w:val="none"/>
                <w:u w:val="none"/>
              </w:rPr>
            </w:pPr>
          </w:p>
        </w:tc>
      </w:tr>
      <w:tr w14:paraId="37F1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0F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CE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壁挂lp空调</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3D36">
            <w:pPr>
              <w:jc w:val="left"/>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C1FE">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E2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60F6">
            <w:pPr>
              <w:rPr>
                <w:rFonts w:hint="eastAsia" w:ascii="宋体" w:hAnsi="宋体" w:eastAsia="宋体" w:cs="宋体"/>
                <w:i w:val="0"/>
                <w:iCs w:val="0"/>
                <w:color w:val="000000"/>
                <w:sz w:val="24"/>
                <w:szCs w:val="24"/>
                <w:highlight w:val="none"/>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8B6D">
            <w:pPr>
              <w:jc w:val="center"/>
              <w:rPr>
                <w:rFonts w:hint="eastAsia" w:ascii="宋体" w:hAnsi="宋体" w:eastAsia="宋体" w:cs="宋体"/>
                <w:i w:val="0"/>
                <w:iCs w:val="0"/>
                <w:color w:val="000000"/>
                <w:sz w:val="24"/>
                <w:szCs w:val="24"/>
                <w:highlight w:val="none"/>
                <w:u w:val="none"/>
              </w:rPr>
            </w:pPr>
          </w:p>
        </w:tc>
      </w:tr>
    </w:tbl>
    <w:p w14:paraId="010C3DAE">
      <w:pPr>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.项目采用固定综合单价合同</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合同期间综合单价不予调整。</w:t>
      </w:r>
    </w:p>
    <w:p w14:paraId="240A4D1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本项目为交钥匙工程，采购清单（设备材料表）包括但不仅限于以上内容，投标人应根据自己的工程经验完善设备及系统所需材料，以保证整个项目、整个系统的完整性和可运行性，因投标人经验不足或工作失误导致设备短少，从而为完善系统、完善功能而增加的设备和费用（未列入投标报价部分）均由投标人负责。</w:t>
      </w:r>
    </w:p>
    <w:p w14:paraId="6FAC4876">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.在供货期内，若因项目实际需要，货物超出合同总价且不超过合同总价的10%的，按原合同单价签订补充合同后予以执行。</w:t>
      </w:r>
    </w:p>
    <w:p w14:paraId="54F276B3">
      <w:pPr>
        <w:bidi w:val="0"/>
        <w:rPr>
          <w:rFonts w:hint="default" w:ascii="Times New Roman" w:hAnsi="Times New Roman" w:eastAsia="宋体" w:cs="Times New Roman"/>
          <w:highlight w:val="none"/>
          <w:lang w:val="en-US" w:eastAsia="zh-CN" w:bidi="ar-SA"/>
        </w:rPr>
      </w:pPr>
    </w:p>
    <w:p w14:paraId="4B9DDA66">
      <w:pPr>
        <w:spacing w:line="360" w:lineRule="auto"/>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2.2东大湾采购设备清单：</w:t>
      </w:r>
    </w:p>
    <w:tbl>
      <w:tblPr>
        <w:tblStyle w:val="32"/>
        <w:tblW w:w="96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1695"/>
        <w:gridCol w:w="2460"/>
        <w:gridCol w:w="705"/>
        <w:gridCol w:w="750"/>
        <w:gridCol w:w="2493"/>
        <w:gridCol w:w="885"/>
      </w:tblGrid>
      <w:tr w14:paraId="1D02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B1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B8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材料名称/规格</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7E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8F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8E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数量</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8C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70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w:t>
            </w:r>
          </w:p>
        </w:tc>
      </w:tr>
      <w:tr w14:paraId="6A29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85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70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智慧泵房箱体</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72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4000mm*4000mm*3000mm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DA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26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D35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泵房箱体内装修及所配套户外集成泵房附件，箱体材质采用碳素钢，耐候钢</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C0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40万</w:t>
            </w:r>
          </w:p>
        </w:tc>
      </w:tr>
      <w:tr w14:paraId="475E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FA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C5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泵房照明系统</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074F">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71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EA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E5A52">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9E91">
            <w:pPr>
              <w:jc w:val="center"/>
              <w:rPr>
                <w:rFonts w:hint="eastAsia" w:ascii="宋体" w:hAnsi="宋体" w:eastAsia="宋体" w:cs="宋体"/>
                <w:i w:val="0"/>
                <w:iCs w:val="0"/>
                <w:color w:val="000000"/>
                <w:sz w:val="24"/>
                <w:szCs w:val="24"/>
                <w:highlight w:val="none"/>
                <w:u w:val="none"/>
              </w:rPr>
            </w:pPr>
          </w:p>
        </w:tc>
      </w:tr>
      <w:tr w14:paraId="583A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DB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22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应急照明</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65BC">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55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A1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DB5F7">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ACC5">
            <w:pPr>
              <w:jc w:val="center"/>
              <w:rPr>
                <w:rFonts w:hint="eastAsia" w:ascii="宋体" w:hAnsi="宋体" w:eastAsia="宋体" w:cs="宋体"/>
                <w:i w:val="0"/>
                <w:iCs w:val="0"/>
                <w:color w:val="000000"/>
                <w:sz w:val="24"/>
                <w:szCs w:val="24"/>
                <w:highlight w:val="none"/>
                <w:u w:val="none"/>
              </w:rPr>
            </w:pPr>
          </w:p>
        </w:tc>
      </w:tr>
      <w:tr w14:paraId="2185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0C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96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泵组</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51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单台流量200m³/h，扬程54m，功率45kw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8C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47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7C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两用一备</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80EF">
            <w:pPr>
              <w:jc w:val="center"/>
              <w:rPr>
                <w:rFonts w:hint="eastAsia" w:ascii="宋体" w:hAnsi="宋体" w:eastAsia="宋体" w:cs="宋体"/>
                <w:i w:val="0"/>
                <w:iCs w:val="0"/>
                <w:color w:val="000000"/>
                <w:sz w:val="24"/>
                <w:szCs w:val="24"/>
                <w:highlight w:val="none"/>
                <w:u w:val="none"/>
              </w:rPr>
            </w:pPr>
          </w:p>
        </w:tc>
      </w:tr>
      <w:tr w14:paraId="13DE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A9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86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控制柜</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8BA5">
            <w:pPr>
              <w:jc w:val="left"/>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一控一</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4E38">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DD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BA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PLC、全变频</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6F8C">
            <w:pPr>
              <w:jc w:val="center"/>
              <w:rPr>
                <w:rFonts w:hint="eastAsia" w:ascii="宋体" w:hAnsi="宋体" w:eastAsia="宋体" w:cs="宋体"/>
                <w:i w:val="0"/>
                <w:iCs w:val="0"/>
                <w:color w:val="000000"/>
                <w:sz w:val="24"/>
                <w:szCs w:val="24"/>
                <w:highlight w:val="none"/>
                <w:u w:val="none"/>
              </w:rPr>
            </w:pPr>
          </w:p>
        </w:tc>
      </w:tr>
      <w:tr w14:paraId="4752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A6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3B6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智慧泵房系统柜</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0C73">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对设备数据、泵房环境数据实时采集并传输；</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F68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30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2D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04CF">
            <w:pPr>
              <w:jc w:val="center"/>
              <w:rPr>
                <w:rFonts w:hint="eastAsia" w:ascii="宋体" w:hAnsi="宋体" w:eastAsia="宋体" w:cs="宋体"/>
                <w:i w:val="0"/>
                <w:iCs w:val="0"/>
                <w:color w:val="000000"/>
                <w:sz w:val="24"/>
                <w:szCs w:val="24"/>
                <w:highlight w:val="none"/>
                <w:u w:val="none"/>
              </w:rPr>
            </w:pPr>
          </w:p>
        </w:tc>
      </w:tr>
      <w:tr w14:paraId="791D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2E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A5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智能云盒</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79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含视频监控系统、门禁控制系统等众多集成功能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9B30">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8C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8B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02C1">
            <w:pPr>
              <w:jc w:val="center"/>
              <w:rPr>
                <w:rFonts w:hint="eastAsia" w:ascii="宋体" w:hAnsi="宋体" w:eastAsia="宋体" w:cs="宋体"/>
                <w:i w:val="0"/>
                <w:iCs w:val="0"/>
                <w:color w:val="000000"/>
                <w:sz w:val="24"/>
                <w:szCs w:val="24"/>
                <w:highlight w:val="none"/>
                <w:u w:val="none"/>
              </w:rPr>
            </w:pPr>
          </w:p>
        </w:tc>
      </w:tr>
      <w:tr w14:paraId="7074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04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7B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加热控制器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2FFF">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DBE6">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41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2245">
            <w:pPr>
              <w:rPr>
                <w:rFonts w:hint="eastAsia" w:ascii="宋体" w:hAnsi="宋体" w:eastAsia="宋体" w:cs="宋体"/>
                <w:i w:val="0"/>
                <w:iCs w:val="0"/>
                <w:color w:val="000000"/>
                <w:sz w:val="24"/>
                <w:szCs w:val="24"/>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9DF4">
            <w:pPr>
              <w:jc w:val="center"/>
              <w:rPr>
                <w:rFonts w:hint="eastAsia" w:ascii="宋体" w:hAnsi="宋体" w:eastAsia="宋体" w:cs="宋体"/>
                <w:i w:val="0"/>
                <w:iCs w:val="0"/>
                <w:color w:val="000000"/>
                <w:sz w:val="24"/>
                <w:szCs w:val="24"/>
                <w:highlight w:val="none"/>
                <w:u w:val="none"/>
              </w:rPr>
            </w:pPr>
          </w:p>
        </w:tc>
      </w:tr>
      <w:tr w14:paraId="7EB5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9F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12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智能门禁系统</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05EE">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64C3">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53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684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远程视频门禁系统，含录像存储和处理器，摄像头、密码指纹电子带远传功能，含视频监控和平台软件系统等</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DF94">
            <w:pPr>
              <w:jc w:val="center"/>
              <w:rPr>
                <w:rFonts w:hint="eastAsia" w:ascii="宋体" w:hAnsi="宋体" w:eastAsia="宋体" w:cs="宋体"/>
                <w:i w:val="0"/>
                <w:iCs w:val="0"/>
                <w:color w:val="000000"/>
                <w:sz w:val="24"/>
                <w:szCs w:val="24"/>
                <w:highlight w:val="none"/>
                <w:u w:val="none"/>
              </w:rPr>
            </w:pPr>
          </w:p>
        </w:tc>
      </w:tr>
      <w:tr w14:paraId="6B45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F68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A6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智能监控枪机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37EC">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2AFF">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73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87E6">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F6FE">
            <w:pPr>
              <w:jc w:val="center"/>
              <w:rPr>
                <w:rFonts w:hint="eastAsia" w:ascii="宋体" w:hAnsi="宋体" w:eastAsia="宋体" w:cs="宋体"/>
                <w:i w:val="0"/>
                <w:iCs w:val="0"/>
                <w:color w:val="000000"/>
                <w:sz w:val="24"/>
                <w:szCs w:val="24"/>
                <w:highlight w:val="none"/>
                <w:u w:val="none"/>
              </w:rPr>
            </w:pPr>
          </w:p>
        </w:tc>
      </w:tr>
      <w:tr w14:paraId="72A7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E57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0F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智能监控球机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1D05">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FBE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33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BD227">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8534">
            <w:pPr>
              <w:jc w:val="center"/>
              <w:rPr>
                <w:rFonts w:hint="eastAsia" w:ascii="宋体" w:hAnsi="宋体" w:eastAsia="宋体" w:cs="宋体"/>
                <w:i w:val="0"/>
                <w:iCs w:val="0"/>
                <w:color w:val="000000"/>
                <w:sz w:val="24"/>
                <w:szCs w:val="24"/>
                <w:highlight w:val="none"/>
                <w:u w:val="none"/>
              </w:rPr>
            </w:pPr>
          </w:p>
        </w:tc>
      </w:tr>
      <w:tr w14:paraId="729B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71F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D5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智能监控储存器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87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监控硬盘1T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FF4B">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ED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BA41A">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6B71">
            <w:pPr>
              <w:jc w:val="center"/>
              <w:rPr>
                <w:rFonts w:hint="eastAsia" w:ascii="宋体" w:hAnsi="宋体" w:eastAsia="宋体" w:cs="宋体"/>
                <w:i w:val="0"/>
                <w:iCs w:val="0"/>
                <w:color w:val="000000"/>
                <w:sz w:val="24"/>
                <w:szCs w:val="24"/>
                <w:highlight w:val="none"/>
                <w:u w:val="none"/>
              </w:rPr>
            </w:pPr>
          </w:p>
        </w:tc>
      </w:tr>
      <w:tr w14:paraId="6712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BC9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18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监控硬盘录像机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95C0">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FB34">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29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CC0A5">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4B23">
            <w:pPr>
              <w:jc w:val="center"/>
              <w:rPr>
                <w:rFonts w:hint="eastAsia" w:ascii="宋体" w:hAnsi="宋体" w:eastAsia="宋体" w:cs="宋体"/>
                <w:i w:val="0"/>
                <w:iCs w:val="0"/>
                <w:color w:val="000000"/>
                <w:sz w:val="24"/>
                <w:szCs w:val="24"/>
                <w:highlight w:val="none"/>
                <w:u w:val="none"/>
              </w:rPr>
            </w:pPr>
          </w:p>
        </w:tc>
      </w:tr>
      <w:tr w14:paraId="658F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D19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3B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电磁流量计</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05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DN300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582C">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0D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82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阀板304材质</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09B3">
            <w:pPr>
              <w:jc w:val="center"/>
              <w:rPr>
                <w:rFonts w:hint="eastAsia" w:ascii="宋体" w:hAnsi="宋体" w:eastAsia="宋体" w:cs="宋体"/>
                <w:i w:val="0"/>
                <w:iCs w:val="0"/>
                <w:color w:val="000000"/>
                <w:sz w:val="24"/>
                <w:szCs w:val="24"/>
                <w:highlight w:val="none"/>
                <w:u w:val="none"/>
              </w:rPr>
            </w:pPr>
          </w:p>
        </w:tc>
      </w:tr>
      <w:tr w14:paraId="6101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FB6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4D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A78D">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BE0C">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85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507F">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78BD">
            <w:pPr>
              <w:jc w:val="center"/>
              <w:rPr>
                <w:rFonts w:hint="eastAsia" w:ascii="宋体" w:hAnsi="宋体" w:eastAsia="宋体" w:cs="宋体"/>
                <w:i w:val="0"/>
                <w:iCs w:val="0"/>
                <w:color w:val="000000"/>
                <w:sz w:val="24"/>
                <w:szCs w:val="24"/>
                <w:highlight w:val="none"/>
                <w:u w:val="none"/>
              </w:rPr>
            </w:pPr>
          </w:p>
        </w:tc>
      </w:tr>
      <w:tr w14:paraId="27D8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A3F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34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除湿机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67D8">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ED46">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F0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5D2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恒温排风除湿控制系统，含自动除湿器、温湿度传感器等</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3F12">
            <w:pPr>
              <w:jc w:val="center"/>
              <w:rPr>
                <w:rFonts w:hint="eastAsia" w:ascii="宋体" w:hAnsi="宋体" w:eastAsia="宋体" w:cs="宋体"/>
                <w:i w:val="0"/>
                <w:iCs w:val="0"/>
                <w:color w:val="000000"/>
                <w:sz w:val="24"/>
                <w:szCs w:val="24"/>
                <w:highlight w:val="none"/>
                <w:u w:val="none"/>
              </w:rPr>
            </w:pPr>
          </w:p>
        </w:tc>
      </w:tr>
      <w:tr w14:paraId="45C0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D6B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D4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温湿度传感器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D6D0">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EBC1">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7B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90C5">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17D6">
            <w:pPr>
              <w:jc w:val="center"/>
              <w:rPr>
                <w:rFonts w:hint="eastAsia" w:ascii="宋体" w:hAnsi="宋体" w:eastAsia="宋体" w:cs="宋体"/>
                <w:i w:val="0"/>
                <w:iCs w:val="0"/>
                <w:color w:val="000000"/>
                <w:sz w:val="24"/>
                <w:szCs w:val="24"/>
                <w:highlight w:val="none"/>
                <w:u w:val="none"/>
              </w:rPr>
            </w:pPr>
          </w:p>
        </w:tc>
      </w:tr>
      <w:tr w14:paraId="1CF4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533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9C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温湿度感应器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B9CB">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B077">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BB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818B5">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0C5C">
            <w:pPr>
              <w:jc w:val="center"/>
              <w:rPr>
                <w:rFonts w:hint="eastAsia" w:ascii="宋体" w:hAnsi="宋体" w:eastAsia="宋体" w:cs="宋体"/>
                <w:i w:val="0"/>
                <w:iCs w:val="0"/>
                <w:color w:val="000000"/>
                <w:sz w:val="24"/>
                <w:szCs w:val="24"/>
                <w:highlight w:val="none"/>
                <w:u w:val="none"/>
              </w:rPr>
            </w:pPr>
          </w:p>
        </w:tc>
      </w:tr>
      <w:tr w14:paraId="230A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555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5A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烟雾感应探测器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A949">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D060">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25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8763A">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5B62">
            <w:pPr>
              <w:jc w:val="center"/>
              <w:rPr>
                <w:rFonts w:hint="eastAsia" w:ascii="宋体" w:hAnsi="宋体" w:eastAsia="宋体" w:cs="宋体"/>
                <w:i w:val="0"/>
                <w:iCs w:val="0"/>
                <w:color w:val="000000"/>
                <w:sz w:val="24"/>
                <w:szCs w:val="24"/>
                <w:highlight w:val="none"/>
                <w:u w:val="none"/>
              </w:rPr>
            </w:pPr>
          </w:p>
        </w:tc>
      </w:tr>
      <w:tr w14:paraId="29A2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14C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45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噪音探测器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3003">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F3D9">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77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119F">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9D98">
            <w:pPr>
              <w:jc w:val="center"/>
              <w:rPr>
                <w:rFonts w:hint="eastAsia" w:ascii="宋体" w:hAnsi="宋体" w:eastAsia="宋体" w:cs="宋体"/>
                <w:i w:val="0"/>
                <w:iCs w:val="0"/>
                <w:color w:val="000000"/>
                <w:sz w:val="24"/>
                <w:szCs w:val="24"/>
                <w:highlight w:val="none"/>
                <w:u w:val="none"/>
              </w:rPr>
            </w:pPr>
          </w:p>
        </w:tc>
      </w:tr>
      <w:tr w14:paraId="5422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DA3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311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防水沿探测器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4216">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3454">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75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8A5F">
            <w:pPr>
              <w:jc w:val="center"/>
              <w:rPr>
                <w:rFonts w:hint="eastAsia" w:ascii="宋体" w:hAnsi="宋体" w:eastAsia="宋体" w:cs="宋体"/>
                <w:i w:val="0"/>
                <w:iCs w:val="0"/>
                <w:color w:val="000000"/>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017A">
            <w:pPr>
              <w:jc w:val="center"/>
              <w:rPr>
                <w:rFonts w:hint="eastAsia" w:ascii="宋体" w:hAnsi="宋体" w:eastAsia="宋体" w:cs="宋体"/>
                <w:i w:val="0"/>
                <w:iCs w:val="0"/>
                <w:color w:val="000000"/>
                <w:sz w:val="24"/>
                <w:szCs w:val="24"/>
                <w:highlight w:val="none"/>
                <w:u w:val="none"/>
              </w:rPr>
            </w:pPr>
          </w:p>
        </w:tc>
      </w:tr>
      <w:tr w14:paraId="57F6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690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0C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壁挂lp空调</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7529">
            <w:pPr>
              <w:jc w:val="left"/>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C637">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F1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850D">
            <w:pPr>
              <w:rPr>
                <w:rFonts w:hint="eastAsia" w:ascii="宋体" w:hAnsi="宋体" w:eastAsia="宋体" w:cs="宋体"/>
                <w:i w:val="0"/>
                <w:iCs w:val="0"/>
                <w:color w:val="000000"/>
                <w:sz w:val="24"/>
                <w:szCs w:val="24"/>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8FC5">
            <w:pPr>
              <w:jc w:val="center"/>
              <w:rPr>
                <w:rFonts w:hint="eastAsia" w:ascii="宋体" w:hAnsi="宋体" w:eastAsia="宋体" w:cs="宋体"/>
                <w:i w:val="0"/>
                <w:iCs w:val="0"/>
                <w:color w:val="000000"/>
                <w:sz w:val="24"/>
                <w:szCs w:val="24"/>
                <w:highlight w:val="none"/>
                <w:u w:val="none"/>
              </w:rPr>
            </w:pPr>
          </w:p>
        </w:tc>
      </w:tr>
    </w:tbl>
    <w:p w14:paraId="16A57980">
      <w:pPr>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.项目采用固定综合单价合同</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合同期间综合单价不予调整。</w:t>
      </w:r>
    </w:p>
    <w:p w14:paraId="051BBD9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本项目为交钥匙工程，采购清单（设备材料表）包括但不仅限于以上内容，投标人应根据自己的工程经验完善设备及系统所需材料，以保证整个项目、整个系统的完整性和可运行性，因投标人经验不足或工作失误导致设备短少，从而为完善系统、完善功能而增加的设备和费用（未列入投标报价部分）均由投标人负责。</w:t>
      </w:r>
    </w:p>
    <w:p w14:paraId="3BB1D7D6">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.在供货期内，若因项目实际需要，货物超出合同总价且不超过合同总价的10%的，按原合同单价签订补充合同后予以执行。</w:t>
      </w:r>
    </w:p>
    <w:p w14:paraId="3461072D">
      <w:pPr>
        <w:rPr>
          <w:rFonts w:hint="eastAsia" w:ascii="宋体" w:hAnsi="宋体" w:eastAsia="宋体" w:cs="宋体"/>
          <w:highlight w:val="none"/>
          <w:lang w:val="en-US" w:eastAsia="zh-CN"/>
        </w:rPr>
      </w:pPr>
    </w:p>
    <w:p w14:paraId="51EDCBC2">
      <w:pPr>
        <w:pStyle w:val="3"/>
        <w:ind w:left="0" w:leftChars="0" w:firstLine="0" w:firstLineChars="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sz w:val="24"/>
          <w:highlight w:val="none"/>
          <w:lang w:val="en-US" w:eastAsia="zh-CN" w:bidi="ar-SA"/>
        </w:rPr>
        <w:t>三、技术要求</w:t>
      </w:r>
    </w:p>
    <w:p w14:paraId="03D9DF79">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总体要求</w:t>
      </w:r>
    </w:p>
    <w:p w14:paraId="73A28EC9">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1、设备应包括进出口手动阀门(至进、出水口法兰为界)、过滤器（设备进水处）、水泵机组、阀门、气压罐、不锈钢管道系统、自动控制系统（人机界面触摸屏）、控制柜等所有系统正常运行所需的配件。</w:t>
      </w:r>
    </w:p>
    <w:p w14:paraId="7C96D055">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2、外观要求；设备表面应平整、均匀，外观不应有明显的伤痕、变形等缺陷，不锈钢设备的焊接处的焊缝应均匀、牢固、不允许有气泡、裂纹或烧穿等缺陷，且设备各焊接处应符合相关标准的规定。</w:t>
      </w:r>
    </w:p>
    <w:p w14:paraId="776807DD">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3、设备整体布局及部件安装位置应合理，便于操作、调试和维修。</w:t>
      </w:r>
    </w:p>
    <w:p w14:paraId="603D570A">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4、设备应保证对水质无二次污染、不改变其水质。不锈钢设备所有过流部件选用不锈钢材料，不低于食品级，SUS304的材质要求。所有过流部件，必须满足国家关于涉水产品的卫生许可标准。</w:t>
      </w:r>
    </w:p>
    <w:p w14:paraId="265C1DC6">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5、设备所配备的水泵应符合国家现行标准的产品，节能产品，应选用低噪音、高效率的不锈钢离心泵，设备各水泵间必须满足互为备用功能，并能自动交替切换。</w:t>
      </w:r>
    </w:p>
    <w:p w14:paraId="66C9B188">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6、设备的耐压强度和密封性。设备各密封件连接处，在设计压力的1.5倍压力下，保压30min无渗漏。</w:t>
      </w:r>
    </w:p>
    <w:p w14:paraId="1CAC0F06">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7、设备在下列环境条件下应能连续可靠地工作</w:t>
      </w:r>
    </w:p>
    <w:p w14:paraId="61F640C0">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压力调节精度：≤0.01Mpa 环境温：-10～+40℃</w:t>
      </w:r>
    </w:p>
    <w:p w14:paraId="5A658ABF">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环境湿度：≤90%（电控部分）</w:t>
      </w:r>
    </w:p>
    <w:p w14:paraId="1176CD49">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电源电压及频率：380V×（1±10%），50Hz±2Hz</w:t>
      </w:r>
    </w:p>
    <w:p w14:paraId="1B03BF84">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8、设备厂家必须提供所配水泵性能曲线图。各工艺参数满足工程项目设计要求。</w:t>
      </w:r>
    </w:p>
    <w:p w14:paraId="741CB2E9">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9、设备厂家必须提供整套设备运作的原理图和说明。   </w:t>
      </w:r>
    </w:p>
    <w:p w14:paraId="2B07F5D0">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10、销售的设备必须建立完善的生产、安装、调试、维护保养记录，并在我司保存一份存档。所有生产厂家所提供的设备必须有完善的售后服务，并提供终身维护。</w:t>
      </w:r>
    </w:p>
    <w:p w14:paraId="574208E0">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（二）选型及功能要求</w:t>
      </w:r>
    </w:p>
    <w:p w14:paraId="48C09FD5">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所有过流部件选用不锈钢材料，不低于食品级SUS304的材质要求；管道壁厚符合国家（镀锌管）标准要求；过滤器采用厚度不小于5mm；弯头及变径壁厚同管道相一致；法兰及法兰盲板符合国标；不锈钢螺栓、垫圈及螺母应与紧固件材料相同。</w:t>
      </w:r>
    </w:p>
    <w:p w14:paraId="38917525">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2、水泵机组</w:t>
      </w:r>
    </w:p>
    <w:p w14:paraId="0BC7A02C">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设备的供水能力不低于设计的供水扬程、流量。水泵数量不应少于设计水泵要求（具体见设计需求），备用泵不应少于一台，备用泵的供水能力不应小于机组中最大一台工作泵。</w:t>
      </w:r>
    </w:p>
    <w:p w14:paraId="24AC2DD7">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水泵应能自动定时交换运行，当单台水泵连续运行超过一定时限时，将自动切换工作水泵，最大限度的实现水泵的轮序运行，保证每台泵的工作时间基本相同。且切换设定的时间误差不应超过±30S。</w:t>
      </w:r>
    </w:p>
    <w:p w14:paraId="35A1D7B7">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（3）水泵主要部件使用寿命要求20年以上，水泵应具有良好的变速性能，能与变频器配合保持最高效率点，并在变频频率不低于30Hz的低转速下安全连续运行。</w:t>
      </w:r>
    </w:p>
    <w:p w14:paraId="2DFA834A">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（4）水泵机组须提供厂家的证明材料。</w:t>
      </w:r>
    </w:p>
    <w:p w14:paraId="3D1B3DF7">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（5）水泵运行中不允许出现过载、发热异常、渗漏水、震动噪音过大等现象。</w:t>
      </w:r>
    </w:p>
    <w:p w14:paraId="6F7BD6CF">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)水泵机组均需配置隔震垫。</w:t>
      </w:r>
    </w:p>
    <w:p w14:paraId="7F0099C5">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3、电气控制柜。</w:t>
      </w:r>
    </w:p>
    <w:p w14:paraId="126DA039">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（1）成套设备配置独立的电气控制柜，落地安装。</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防护等级要求为IP55，控制柜获得国家3C认证。</w:t>
      </w:r>
    </w:p>
    <w:p w14:paraId="2D50CB6A">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(2)控制柜表面应平整、均匀，所有焊接处应均匀牢固，不应有明显的歪斜翘曲变形或烧穿等缺陷，其外观应符合JG/T3009-1993中的规定。</w:t>
      </w:r>
    </w:p>
    <w:p w14:paraId="01E743FF">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(3)控制柜的表面涂层不应炫目反光，颜色应均匀一致、整洁美观，不应有脱漆、起泡、裂缝、皱纹和流痕等现象。</w:t>
      </w:r>
    </w:p>
    <w:p w14:paraId="32A2B8E8">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(4)控制柜的柜体底部应具有与基础固定的安装孔。</w:t>
      </w:r>
    </w:p>
    <w:p w14:paraId="09DF8B00">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(5)控制柜的内部配件应装配合理、结构紧凑、维修方便。控制柜体在装配后应有足够的机械强度，以保证无件安装后及操作时无摇晃、不变形，控制柜配线要合理整齐。</w:t>
      </w:r>
    </w:p>
    <w:p w14:paraId="7EC26EC2">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(6)电气、电子元件应符合各自相应标准的规定，应有产品质量合格证。</w:t>
      </w:r>
    </w:p>
    <w:p w14:paraId="7FA3D26D">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(7)柜内各接线点应牢固，布线应符合设计详图和相应标准的要求。</w:t>
      </w:r>
    </w:p>
    <w:p w14:paraId="77BFA3F0">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（8）控制柜中所用导线及母线的颜色应符合GB /T2681的规定，指示灯和按钮的颜色应符合GB/T2682的规定。</w:t>
      </w:r>
    </w:p>
    <w:p w14:paraId="1DAA4B07">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（9）电气控制柜制作钢板板厚不低于2mm。柜体外壳防护等级不低于IP55。应采取防尘、防水、防潮等安全措施，并安装防雷接地装置，控制柜必须配备照明和通风风扇（可以温度控制）。</w:t>
      </w:r>
    </w:p>
    <w:p w14:paraId="41F03D14">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（10）显示及功能, 控制柜面板显示应有电源、电压、各水泵的电流，变频、故障提示、应有设定压力、实际压力、变频器频率、电量等，按钮、开关等应易于操作且功能标志齐全。电源进线处装设智能电量仪表并配备MODBUS端口通讯接口，安装于控制柜柜面，仪表能通过相关界面按键设置相关参数。</w:t>
      </w:r>
    </w:p>
    <w:p w14:paraId="0FBB48F7">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（11）控制柜控制系统采用可编程控制器实现人工智能化控制、全自动运行，控制系统采用全中文人机界面，控制系统应具备数据远传功能。（所有模拟量数据都以4—20mA输出）</w:t>
      </w:r>
    </w:p>
    <w:p w14:paraId="014DD289">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控制方式：设备应具备手动／自动/应急三种操作控制功能，且手动操作可不通过自动操作界面实现，应有单独电气回路和开关旋钮实现手动操作。有应急功能，当PLC或者触摸屏故障时，可通过按钮切换至应急，用变频拖动水泵恒压供水。</w:t>
      </w:r>
    </w:p>
    <w:p w14:paraId="2F7D106E">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应具有机械及软件超压保护功能、小流量停泵保压功能、</w:t>
      </w:r>
      <w:r>
        <w:rPr>
          <w:rFonts w:hint="eastAsia" w:ascii="宋体" w:hAnsi="宋体" w:eastAsia="宋体" w:cs="宋体"/>
          <w:sz w:val="24"/>
          <w:highlight w:val="none"/>
          <w:lang w:eastAsia="zh-CN"/>
        </w:rPr>
        <w:t>缺水保护功能、</w:t>
      </w:r>
      <w:r>
        <w:rPr>
          <w:rFonts w:hint="eastAsia" w:ascii="宋体" w:hAnsi="宋体" w:eastAsia="宋体" w:cs="宋体"/>
          <w:sz w:val="24"/>
          <w:highlight w:val="none"/>
        </w:rPr>
        <w:t>恒压控制、有过压、欠压、缺相、短路、过流等故障报警及自动保护功能，对可恢复的故障应能自动或手动消除，恢复正常运行。有故障报警和报警记忆功能，具有抗干扰能力，对于管网瞬时压力波动，系统能进行识别，保证设备不频繁启动和停机。</w:t>
      </w:r>
    </w:p>
    <w:p w14:paraId="5B1E8E81">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柜内主要元器件配置：柜内需设置主断路器用于控制总进线电源的闭合状态，</w:t>
      </w:r>
      <w:r>
        <w:rPr>
          <w:rFonts w:hint="eastAsia" w:ascii="宋体" w:hAnsi="宋体" w:eastAsia="宋体" w:cs="宋体"/>
          <w:sz w:val="24"/>
          <w:highlight w:val="none"/>
          <w:lang w:val="en-US" w:eastAsia="zh-CN"/>
        </w:rPr>
        <w:t>变频器</w:t>
      </w:r>
      <w:r>
        <w:rPr>
          <w:rFonts w:hint="eastAsia" w:ascii="宋体" w:hAnsi="宋体" w:eastAsia="宋体" w:cs="宋体"/>
          <w:sz w:val="24"/>
          <w:highlight w:val="none"/>
        </w:rPr>
        <w:t>功率要求应大于水泵的要求，并应该留有余量。</w:t>
      </w:r>
    </w:p>
    <w:p w14:paraId="707635CB">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15</w:t>
      </w:r>
      <w:r>
        <w:rPr>
          <w:rFonts w:hint="eastAsia" w:ascii="宋体" w:hAnsi="宋体" w:eastAsia="宋体" w:cs="宋体"/>
          <w:sz w:val="24"/>
          <w:highlight w:val="none"/>
          <w:lang w:eastAsia="zh-CN"/>
        </w:rPr>
        <w:t>）</w:t>
      </w:r>
      <w:r>
        <w:rPr>
          <w:rFonts w:hint="eastAsia" w:ascii="宋体" w:hAnsi="宋体" w:eastAsia="宋体" w:cs="宋体"/>
          <w:sz w:val="24"/>
          <w:highlight w:val="none"/>
        </w:rPr>
        <w:t>水泵应选用不锈钢立式多级管道离心泵（含配套电机，且腔体、叶轮、轴、外筒等主要部件为304及以上不锈钢）</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台变频器配</w:t>
      </w:r>
      <w:r>
        <w:rPr>
          <w:rFonts w:hint="eastAsia" w:ascii="宋体" w:hAnsi="宋体" w:cs="宋体"/>
          <w:sz w:val="24"/>
          <w:highlight w:val="none"/>
          <w:lang w:val="en-US" w:eastAsia="zh-CN"/>
        </w:rPr>
        <w:t>一台</w:t>
      </w:r>
      <w:r>
        <w:rPr>
          <w:rFonts w:hint="eastAsia" w:ascii="宋体" w:hAnsi="宋体" w:eastAsia="宋体" w:cs="宋体"/>
          <w:sz w:val="24"/>
          <w:highlight w:val="none"/>
        </w:rPr>
        <w:t>台水泵</w:t>
      </w:r>
      <w:r>
        <w:rPr>
          <w:rFonts w:hint="eastAsia" w:ascii="宋体" w:hAnsi="宋体" w:eastAsia="宋体" w:cs="宋体"/>
          <w:sz w:val="24"/>
          <w:highlight w:val="none"/>
          <w:lang w:eastAsia="zh-CN"/>
        </w:rPr>
        <w:t>。</w:t>
      </w:r>
    </w:p>
    <w:p w14:paraId="6BCA0F6B">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4、管路、阀门及仪表</w:t>
      </w:r>
    </w:p>
    <w:p w14:paraId="437D87D2">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设备的管道系统（以下称为管道）除应按制造厂商的技术文件执行外，还应符合GB50236及GB50242的要求。</w:t>
      </w:r>
    </w:p>
    <w:p w14:paraId="5736448F">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设备及管道的布置应做到结构合理、检修方便、便于操作和观测，管道及管件壁厚不应小于3mm，且应符合GB/T8163、GB12459的要求；管道、管件和法兰应采用氩弧焊或自动电弧焊，熔深不小于管道或管件的壁厚。</w:t>
      </w:r>
    </w:p>
    <w:p w14:paraId="462B5E89">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管道与设备、阀门的连接应采用法兰连接，各连接法兰及法兰盖不应低于管道的设计压力，且应符合GB/T9119和GB/T9123.1的要求。</w:t>
      </w:r>
    </w:p>
    <w:p w14:paraId="5D03B31A">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每台水泵配置的进水管和出水管的管径应分别比水泵进水口和出水口至少大一级，且水泵的进水管与水泵进水口之间应采用偏心变径连接，水泵的出水管与水泵出水口之间应采用同心变径连接。每台水泵必须配备进出口手动蝶阀及止回阀。</w:t>
      </w:r>
    </w:p>
    <w:p w14:paraId="377F23B4">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选配的各类阀门应是有生产许可证制造单位的产品，并应符合有关标准。阀门动作应灵活可靠。蝶阀应符合GB/T12238要求。对夹式止回阀应符合JB/T8937的要求。可曲挠橡胶接头应符合CJT208的要求。其他类型的阀门应符合相应标准要求。主管路阀门（包括电动阀）公称压力不得低于PN16（或根据工程设计需要选定）。阀芯采用不低于SUS304的食品级不锈钢材质。</w:t>
      </w:r>
    </w:p>
    <w:p w14:paraId="4A0F3D54">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设备进水口前应设置过滤器。滤网的网孔尺寸应按使用要求确定，一般为0.5mm~2mm，且过滤网的过滤总面积不应小于进水口截面积的1.5倍。</w:t>
      </w:r>
    </w:p>
    <w:p w14:paraId="7EAB58A1">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设备进水口应设有压力传感器。设备还应设管网超压保护装置。压力传感器应选用丹佛斯4-20mA。进出水口管道上除压力传感器外需分别安装压力表，便于观察实时的进出口压力。</w:t>
      </w:r>
    </w:p>
    <w:p w14:paraId="73C89BF0">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5、其他要求</w:t>
      </w:r>
    </w:p>
    <w:p w14:paraId="43182554">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直连式供水设备为可室内室外用的一体化成套设备，箱体要求双层304不锈钢材质 表面喷塑处理，保温棉厚度80mm、铝塑隔音板材厚度20mm，双重防护措施， 整体设计成型，防火阻燃保温棉、环保耐磨降噪吸音板等，确保噪音不外泄，温度不传导；配置冷暖控制系统，使内部温度恒定，确保在高温、低冷环境安全供水；</w:t>
      </w:r>
    </w:p>
    <w:p w14:paraId="78380CDD">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设备为户外型室外柜，柜内需包含变频泵、控制元器件、管道阀门、温控空调功能、温控除湿功能、带夜视摄像头、进水带电动阀功能、带温感烟感功能、入侵报警功能等配件。</w:t>
      </w:r>
    </w:p>
    <w:p w14:paraId="64701916">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bookmarkStart w:id="81" w:name="_Toc29176"/>
      <w:r>
        <w:rPr>
          <w:rFonts w:hint="eastAsia" w:ascii="宋体" w:hAnsi="宋体" w:eastAsia="宋体" w:cs="宋体"/>
          <w:b w:val="0"/>
          <w:bCs/>
          <w:sz w:val="24"/>
          <w:highlight w:val="none"/>
          <w:lang w:val="en-US" w:eastAsia="zh-CN" w:bidi="ar-SA"/>
        </w:rPr>
        <w:t>（三）各相关产品材料选型应符合的要求</w:t>
      </w:r>
    </w:p>
    <w:p w14:paraId="47C21194">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1.水泵（包括辅助泵）应选用不锈钢立式多级管道离心泵（过流断面：腔体、叶轮、泵轴、外筒主要部件为304及以上不锈钢）。</w:t>
      </w:r>
    </w:p>
    <w:p w14:paraId="604DB7E2">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2.变频器选用</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台变频器配</w:t>
      </w:r>
      <w:r>
        <w:rPr>
          <w:rFonts w:hint="eastAsia" w:ascii="宋体" w:hAnsi="宋体" w:cs="宋体"/>
          <w:sz w:val="24"/>
          <w:highlight w:val="none"/>
          <w:lang w:val="en-US" w:eastAsia="zh-CN"/>
        </w:rPr>
        <w:t>一</w:t>
      </w:r>
      <w:r>
        <w:rPr>
          <w:rFonts w:hint="eastAsia" w:ascii="宋体" w:hAnsi="宋体" w:eastAsia="宋体" w:cs="宋体"/>
          <w:sz w:val="24"/>
          <w:highlight w:val="none"/>
        </w:rPr>
        <w:t>台水泵。</w:t>
      </w:r>
    </w:p>
    <w:p w14:paraId="7810343A">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不锈钢钢板、封头、管配件、螺栓（丝）、螺帽、垫片等材质应采用不低于SUS304的食品级不锈钢材质（提供材质理化试验报告证明）。其中稳压补偿罐（含封头）的制造不得采用普通镜面不锈钢焊接制作，不锈钢厚度不得小于4mm，工作压力不小于1.0Mpa，罐体的储水量有效容积按照水泵最大瞬时流量持续时间不小于5 min 考虑。</w:t>
      </w:r>
    </w:p>
    <w:p w14:paraId="5FADCB24">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4.所有的阀门公称压力不得低于PN10（或根据工程设计需要设定）。阀芯采用不低于SUS304的食品级不锈钢等级。</w:t>
      </w:r>
    </w:p>
    <w:p w14:paraId="472679CB">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5.法兰应选用符合国标GB9112~9123要求的优质产品，公称压力不得低于PN10（或根据工程设计需要设定）。材质不低于SUS304的食品级不锈钢等级。</w:t>
      </w:r>
    </w:p>
    <w:p w14:paraId="74752996">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6.成套设备实现小流量停泵保压功能。</w:t>
      </w:r>
    </w:p>
    <w:p w14:paraId="60070FDA">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7.Y型过滤器：设备选配的过滤器应符合国家有关标准，过滤器材质为Q235以上，过滤网为不锈钢。</w:t>
      </w:r>
    </w:p>
    <w:p w14:paraId="6A1D8C3F">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b w:val="0"/>
          <w:bCs/>
          <w:sz w:val="24"/>
          <w:highlight w:val="none"/>
          <w:lang w:val="en-US" w:eastAsia="zh-CN" w:bidi="ar-SA"/>
        </w:rPr>
        <w:t>（</w:t>
      </w:r>
      <w:r>
        <w:rPr>
          <w:rFonts w:hint="eastAsia" w:ascii="宋体" w:hAnsi="宋体" w:cs="宋体"/>
          <w:b w:val="0"/>
          <w:bCs/>
          <w:sz w:val="24"/>
          <w:highlight w:val="none"/>
          <w:lang w:val="en-US" w:eastAsia="zh-CN" w:bidi="ar-SA"/>
        </w:rPr>
        <w:t>四</w:t>
      </w:r>
      <w:r>
        <w:rPr>
          <w:rFonts w:hint="eastAsia" w:ascii="宋体" w:hAnsi="宋体" w:eastAsia="宋体" w:cs="宋体"/>
          <w:b w:val="0"/>
          <w:bCs/>
          <w:sz w:val="24"/>
          <w:highlight w:val="none"/>
          <w:lang w:val="en-US" w:eastAsia="zh-CN" w:bidi="ar-SA"/>
        </w:rPr>
        <w:t>）安装和调试</w:t>
      </w:r>
    </w:p>
    <w:p w14:paraId="67CD1ED9">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测试：部分或全部测试需根据实际情况在安装期内或后进行。</w:t>
      </w:r>
    </w:p>
    <w:p w14:paraId="0308964A">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试运行：设备试运行应在监理、业主工程技术人员的监督下进行。</w:t>
      </w:r>
    </w:p>
    <w:p w14:paraId="0092E493">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运行结果符合产品标准和技术规格书及合同要求。</w:t>
      </w:r>
    </w:p>
    <w:p w14:paraId="17DB09AF">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在进行测试和验收运行过程中发现的故障已被消除并得到监理、业主的认可。</w:t>
      </w:r>
    </w:p>
    <w:p w14:paraId="46963072">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有关设备图纸及技术文件都已被提交并得到业主的接受。</w:t>
      </w:r>
    </w:p>
    <w:p w14:paraId="29A4AAC8">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交货时需要提交的文件：</w:t>
      </w:r>
    </w:p>
    <w:p w14:paraId="47869B56">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 无负压设备出厂检验报告。</w:t>
      </w:r>
    </w:p>
    <w:p w14:paraId="04EFCA21">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2）设备安装使用说明书。此说明书不应少于如下内容：</w:t>
      </w:r>
    </w:p>
    <w:p w14:paraId="2C850652">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设备装配剖视总图，电气接线图；</w:t>
      </w:r>
    </w:p>
    <w:p w14:paraId="6AA50AD3">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设备安装的方法及安装精度的要求；</w:t>
      </w:r>
    </w:p>
    <w:p w14:paraId="525567C6">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设备调试大纲及注意事项；</w:t>
      </w:r>
    </w:p>
    <w:p w14:paraId="6805FF6E">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设备运行的程序及记录表格；</w:t>
      </w:r>
    </w:p>
    <w:p w14:paraId="1535A883">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设备操作与维修手册。</w:t>
      </w:r>
    </w:p>
    <w:p w14:paraId="382ADBBA">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3)产品合格证及装箱单</w:t>
      </w:r>
    </w:p>
    <w:p w14:paraId="6326390C">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培训手册及培训计划</w:t>
      </w:r>
    </w:p>
    <w:p w14:paraId="279CA2CF">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操作维护手册</w:t>
      </w:r>
    </w:p>
    <w:p w14:paraId="044C4CD3">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供方应在安装前提供至少四份完整的中文操作维护手册。包含:安装、调试、运行、维护、拆卸、修理等，其内容必须完整、清晰、易于理解（包括外配套设备制造商提供的配套设备维护说明），图表及零件单必须完整、良好印刷及包装。</w:t>
      </w:r>
      <w:bookmarkEnd w:id="81"/>
    </w:p>
    <w:p w14:paraId="52212668">
      <w:pPr>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b w:val="0"/>
          <w:bCs/>
          <w:sz w:val="24"/>
          <w:highlight w:val="none"/>
          <w:lang w:val="en-US" w:eastAsia="zh-CN" w:bidi="ar-SA"/>
        </w:rPr>
        <w:t>（</w:t>
      </w:r>
      <w:r>
        <w:rPr>
          <w:rFonts w:hint="eastAsia" w:ascii="宋体" w:hAnsi="宋体" w:cs="宋体"/>
          <w:b w:val="0"/>
          <w:bCs/>
          <w:sz w:val="24"/>
          <w:highlight w:val="none"/>
          <w:lang w:val="en-US" w:eastAsia="zh-CN" w:bidi="ar-SA"/>
        </w:rPr>
        <w:t>五</w:t>
      </w:r>
      <w:r>
        <w:rPr>
          <w:rFonts w:hint="eastAsia" w:ascii="宋体" w:hAnsi="宋体" w:eastAsia="宋体" w:cs="宋体"/>
          <w:b w:val="0"/>
          <w:bCs/>
          <w:sz w:val="24"/>
          <w:highlight w:val="none"/>
          <w:lang w:val="en-US" w:eastAsia="zh-CN" w:bidi="ar-SA"/>
        </w:rPr>
        <w:t>）主要设备推荐品牌表</w:t>
      </w:r>
    </w:p>
    <w:tbl>
      <w:tblPr>
        <w:tblStyle w:val="32"/>
        <w:tblW w:w="92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5"/>
        <w:gridCol w:w="4029"/>
        <w:gridCol w:w="4453"/>
      </w:tblGrid>
      <w:tr w14:paraId="5DE8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1CE0111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7A389E3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设备名称</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5BF49DA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推荐品牌</w:t>
            </w:r>
          </w:p>
        </w:tc>
      </w:tr>
      <w:tr w14:paraId="0231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377CE13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7415447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控制柜其主开关、断路器、接触器、继电器等电器元器件</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237050C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西门子、施耐德或ABB品牌产品</w:t>
            </w:r>
          </w:p>
        </w:tc>
      </w:tr>
      <w:tr w14:paraId="2B45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1CABE35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731ED95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PLC</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7EF07BE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西门子S7-200及以上或施耐德Modicon Quantem 140以上、ABB</w:t>
            </w:r>
          </w:p>
        </w:tc>
      </w:tr>
      <w:tr w14:paraId="1AA0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747B9C4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3034C12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压力变送器</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3179405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HUBA（富巴）、DANFOSS（丹弗斯）、TRAFAG（特菲克）、E+H（恩德斯豪斯）</w:t>
            </w:r>
          </w:p>
        </w:tc>
      </w:tr>
      <w:tr w14:paraId="443E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587A0EE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790FC40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水箱不锈钢板原材料产地选用</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686D446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宝钢、太钢、克努伯、浦项等</w:t>
            </w:r>
          </w:p>
        </w:tc>
      </w:tr>
      <w:tr w14:paraId="0D3D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7C91EAD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3EF1C8D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水泵</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1C6A611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格兰富、南方、凯泉、熊猫、威乐、赛莱默、利欧、沃德、舜禹、埃梯梯等</w:t>
            </w:r>
          </w:p>
        </w:tc>
      </w:tr>
      <w:tr w14:paraId="161A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1611C85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09E7B42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变频器</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6397CD4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用ABB、施耐德、西门子</w:t>
            </w:r>
          </w:p>
        </w:tc>
      </w:tr>
      <w:tr w14:paraId="1A07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0EE405E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20A3143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阀门</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04F2ED1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上海冠龙、VAG、中核苏阀、宁波一机、春江、AVK、等品牌</w:t>
            </w:r>
          </w:p>
        </w:tc>
      </w:tr>
      <w:tr w14:paraId="30F1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201EC73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2CB51EC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气压罐</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5E70711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Zilmet、Aquasystem、Varem、GWS</w:t>
            </w:r>
          </w:p>
        </w:tc>
      </w:tr>
      <w:tr w14:paraId="20A8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nil"/>
            </w:tcBorders>
            <w:noWrap/>
            <w:vAlign w:val="center"/>
          </w:tcPr>
          <w:p w14:paraId="57D6860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76F5349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工业交换机</w:t>
            </w:r>
          </w:p>
        </w:tc>
        <w:tc>
          <w:tcPr>
            <w:tcW w:w="4453" w:type="dxa"/>
            <w:tcBorders>
              <w:top w:val="single" w:color="000000" w:sz="4" w:space="0"/>
              <w:left w:val="single" w:color="000000" w:sz="4" w:space="0"/>
              <w:bottom w:val="single" w:color="000000" w:sz="4" w:space="0"/>
              <w:right w:val="single" w:color="000000" w:sz="4" w:space="0"/>
            </w:tcBorders>
            <w:noWrap/>
            <w:vAlign w:val="center"/>
          </w:tcPr>
          <w:p w14:paraId="5ACA139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MOXA、华为、思科</w:t>
            </w:r>
          </w:p>
        </w:tc>
      </w:tr>
      <w:tr w14:paraId="4A93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nil"/>
            </w:tcBorders>
            <w:noWrap/>
            <w:vAlign w:val="center"/>
          </w:tcPr>
          <w:p w14:paraId="16C727F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32FD078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微型断路器、浪涌保护器、继电器</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1D27B56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施耐德、西门子、ABB </w:t>
            </w:r>
          </w:p>
        </w:tc>
      </w:tr>
      <w:tr w14:paraId="4624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nil"/>
            </w:tcBorders>
            <w:noWrap/>
            <w:vAlign w:val="center"/>
          </w:tcPr>
          <w:p w14:paraId="373EBCB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0991726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模数插座</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11ACAA3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德力西、施耐德、正泰</w:t>
            </w:r>
          </w:p>
        </w:tc>
      </w:tr>
      <w:tr w14:paraId="6D13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nil"/>
            </w:tcBorders>
            <w:noWrap/>
            <w:vAlign w:val="center"/>
          </w:tcPr>
          <w:p w14:paraId="21261B0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3554523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红外高清网络摄像机（球机）</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4FD8855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海康威视、大华、宇视</w:t>
            </w:r>
          </w:p>
        </w:tc>
      </w:tr>
      <w:tr w14:paraId="5F4D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nil"/>
            </w:tcBorders>
            <w:noWrap/>
            <w:vAlign w:val="center"/>
          </w:tcPr>
          <w:p w14:paraId="3B4B7F0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3917873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NVR</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0DADDBC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海康威视、大华、宇视</w:t>
            </w:r>
          </w:p>
        </w:tc>
      </w:tr>
      <w:tr w14:paraId="1DA2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nil"/>
            </w:tcBorders>
            <w:noWrap/>
            <w:vAlign w:val="center"/>
          </w:tcPr>
          <w:p w14:paraId="2F915E0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107AF98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硬盘</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68F231D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希捷、西数、三星</w:t>
            </w:r>
          </w:p>
        </w:tc>
      </w:tr>
      <w:tr w14:paraId="713A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nil"/>
            </w:tcBorders>
            <w:noWrap/>
            <w:vAlign w:val="center"/>
          </w:tcPr>
          <w:p w14:paraId="0E2FCB9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091E1BA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人脸门禁一体机</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6A81F13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海康威视、大华、宇视</w:t>
            </w:r>
          </w:p>
        </w:tc>
      </w:tr>
      <w:tr w14:paraId="2965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nil"/>
            </w:tcBorders>
            <w:noWrap/>
            <w:vAlign w:val="center"/>
          </w:tcPr>
          <w:p w14:paraId="7FA799E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7020160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主动红外对射</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00D63C3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海康威视、大华、博世</w:t>
            </w:r>
          </w:p>
        </w:tc>
      </w:tr>
      <w:tr w14:paraId="5D9D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nil"/>
            </w:tcBorders>
            <w:noWrap/>
            <w:vAlign w:val="center"/>
          </w:tcPr>
          <w:p w14:paraId="2138E7F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14:paraId="76ED0B4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LED三色警示灯</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14:paraId="79198C3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国产优质</w:t>
            </w:r>
          </w:p>
        </w:tc>
      </w:tr>
    </w:tbl>
    <w:p w14:paraId="3038B6DC">
      <w:pPr>
        <w:pStyle w:val="89"/>
        <w:ind w:left="0" w:leftChars="0"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除采购文件推荐的品牌外，欢迎其他能满足本项目技术需求且性能与所推荐品牌相当的产品参加。</w:t>
      </w:r>
    </w:p>
    <w:p w14:paraId="2EA96739">
      <w:pPr>
        <w:pStyle w:val="3"/>
        <w:ind w:left="0" w:leftChars="0" w:firstLine="0" w:firstLineChars="0"/>
        <w:jc w:val="left"/>
        <w:rPr>
          <w:rFonts w:hint="eastAsia" w:ascii="宋体" w:hAnsi="宋体" w:eastAsia="宋体" w:cs="宋体"/>
          <w:b/>
          <w:sz w:val="24"/>
          <w:highlight w:val="none"/>
          <w:lang w:val="en-US" w:eastAsia="zh-CN" w:bidi="ar-SA"/>
        </w:rPr>
      </w:pPr>
      <w:r>
        <w:rPr>
          <w:rFonts w:hint="eastAsia" w:ascii="宋体" w:hAnsi="宋体" w:eastAsia="宋体" w:cs="宋体"/>
          <w:b/>
          <w:sz w:val="24"/>
          <w:highlight w:val="none"/>
          <w:lang w:val="en-US" w:eastAsia="zh-CN" w:bidi="ar-SA"/>
        </w:rPr>
        <w:t>四、商务响应表</w:t>
      </w:r>
    </w:p>
    <w:tbl>
      <w:tblPr>
        <w:tblStyle w:val="33"/>
        <w:tblW w:w="8939"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7267"/>
      </w:tblGrid>
      <w:tr w14:paraId="10FA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6" w:hRule="atLeast"/>
        </w:trPr>
        <w:tc>
          <w:tcPr>
            <w:tcW w:w="1672" w:type="dxa"/>
            <w:vAlign w:val="center"/>
          </w:tcPr>
          <w:p w14:paraId="7936A562">
            <w:pPr>
              <w:tabs>
                <w:tab w:val="left" w:pos="877"/>
              </w:tabs>
              <w:autoSpaceDE w:val="0"/>
              <w:autoSpaceDN w:val="0"/>
              <w:bidi w:val="0"/>
              <w:adjustRightInd w:val="0"/>
              <w:spacing w:line="360" w:lineRule="auto"/>
              <w:jc w:val="left"/>
              <w:rPr>
                <w:rFonts w:hint="eastAsia" w:ascii="宋体" w:hAnsi="宋体" w:eastAsia="宋体" w:cs="宋体"/>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售后服务</w:t>
            </w:r>
          </w:p>
        </w:tc>
        <w:tc>
          <w:tcPr>
            <w:tcW w:w="7267" w:type="dxa"/>
            <w:vAlign w:val="center"/>
          </w:tcPr>
          <w:p w14:paraId="766846E1">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1）质保期：自最后一批设备安装调试验收合格之日起提供5年免费质保。</w:t>
            </w:r>
          </w:p>
          <w:p w14:paraId="5DB24FA2">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2）中标单位需在省内设立维修点，以便处理所有的维修服务，维修人员在接到维修电话后2小时内赶到现场，提供不间断的服务，直到故障消除。维修点需提供足够的备品备件以适应采购人维修的需要。</w:t>
            </w:r>
          </w:p>
          <w:p w14:paraId="64B8FF14">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3）质保期内中标单位须自行付费，负责修理和替换任何由于设备自身的质量问题造成的损坏及故障。替换的产品必须是同等的产品。</w:t>
            </w:r>
          </w:p>
          <w:p w14:paraId="64B400B1">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4）在质保期结束时，需由专业工程师对设备进行另一次测试。</w:t>
            </w:r>
          </w:p>
          <w:p w14:paraId="7AFC08B7">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5）任何故障需由中标单位自费解决并取得采购人的同意，修好后，中标单位需提供一式三份维修报告交至采购人，包括故障原因、解决措施、完成修理所费时间及恢复正常运行日期。</w:t>
            </w:r>
          </w:p>
          <w:p w14:paraId="58B0B952">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6）如采购人需要，中标单位须对采购人的技术人员、维修人员及操作人员进行免费培训。</w:t>
            </w:r>
          </w:p>
          <w:p w14:paraId="4B2588D9">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7）中标单位必须及时向采购人免费提供设备配套技术软件的更新维护。</w:t>
            </w:r>
          </w:p>
        </w:tc>
      </w:tr>
      <w:tr w14:paraId="0E44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672" w:type="dxa"/>
            <w:vAlign w:val="center"/>
          </w:tcPr>
          <w:p w14:paraId="48C1405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备品备件</w:t>
            </w:r>
          </w:p>
        </w:tc>
        <w:tc>
          <w:tcPr>
            <w:tcW w:w="7267" w:type="dxa"/>
            <w:vAlign w:val="center"/>
          </w:tcPr>
          <w:p w14:paraId="3A401B86">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1）中标单位对各种型号的设备需提供足够的备件、附件和易损件并保证是原厂生产的产品，以满足设备正常运行的需要。</w:t>
            </w:r>
          </w:p>
          <w:p w14:paraId="609997F7">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2）中标单位保证免费提供承诺质保期所需的备品备件，保证在质保期满后5年内，备品备件的价格不高于本次投标报价。</w:t>
            </w:r>
          </w:p>
        </w:tc>
      </w:tr>
      <w:tr w14:paraId="142E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672" w:type="dxa"/>
            <w:vAlign w:val="center"/>
          </w:tcPr>
          <w:p w14:paraId="13FCD60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验收要求</w:t>
            </w:r>
          </w:p>
        </w:tc>
        <w:tc>
          <w:tcPr>
            <w:tcW w:w="7267" w:type="dxa"/>
            <w:vAlign w:val="center"/>
          </w:tcPr>
          <w:p w14:paraId="0DE4165D">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1.符合我国国家有关技术规范要求和技术标准</w:t>
            </w:r>
          </w:p>
          <w:p w14:paraId="52846D89">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2.验收由采购单位按规定组织相关人员进行验收</w:t>
            </w:r>
          </w:p>
        </w:tc>
      </w:tr>
      <w:tr w14:paraId="1E96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672" w:type="dxa"/>
            <w:vAlign w:val="center"/>
          </w:tcPr>
          <w:p w14:paraId="2C314C1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交货和完工</w:t>
            </w:r>
          </w:p>
          <w:p w14:paraId="5C628C8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期限</w:t>
            </w:r>
          </w:p>
        </w:tc>
        <w:tc>
          <w:tcPr>
            <w:tcW w:w="7267" w:type="dxa"/>
            <w:vAlign w:val="center"/>
          </w:tcPr>
          <w:p w14:paraId="4D65DC3F">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合同签订后</w:t>
            </w:r>
            <w:r>
              <w:rPr>
                <w:rFonts w:hint="eastAsia" w:ascii="宋体" w:hAnsi="宋体" w:cs="宋体"/>
                <w:i w:val="0"/>
                <w:iCs w:val="0"/>
                <w:color w:val="000000"/>
                <w:kern w:val="0"/>
                <w:sz w:val="24"/>
                <w:szCs w:val="24"/>
                <w:highlight w:val="none"/>
                <w:u w:val="none"/>
                <w:lang w:val="en-US" w:eastAsia="zh-CN" w:bidi="ar"/>
              </w:rPr>
              <w:t>30天内</w:t>
            </w:r>
            <w:r>
              <w:rPr>
                <w:rFonts w:hint="eastAsia" w:ascii="宋体" w:hAnsi="宋体" w:eastAsia="宋体" w:cs="宋体"/>
                <w:i w:val="0"/>
                <w:iCs w:val="0"/>
                <w:color w:val="000000"/>
                <w:kern w:val="0"/>
                <w:sz w:val="24"/>
                <w:szCs w:val="24"/>
                <w:highlight w:val="none"/>
                <w:u w:val="none"/>
                <w:lang w:val="en-US" w:eastAsia="zh-CN" w:bidi="ar"/>
              </w:rPr>
              <w:t>完成供货、安装，设备安装调试</w:t>
            </w:r>
            <w:r>
              <w:rPr>
                <w:rFonts w:hint="eastAsia" w:ascii="宋体" w:hAnsi="宋体" w:cs="宋体"/>
                <w:i w:val="0"/>
                <w:iCs w:val="0"/>
                <w:color w:val="000000"/>
                <w:kern w:val="0"/>
                <w:sz w:val="24"/>
                <w:szCs w:val="24"/>
                <w:highlight w:val="none"/>
                <w:u w:val="none"/>
                <w:lang w:val="en-US" w:eastAsia="zh-CN" w:bidi="ar"/>
              </w:rPr>
              <w:t>。</w:t>
            </w:r>
          </w:p>
        </w:tc>
      </w:tr>
      <w:tr w14:paraId="79BD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672" w:type="dxa"/>
            <w:vAlign w:val="center"/>
          </w:tcPr>
          <w:p w14:paraId="3365604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交货地点</w:t>
            </w:r>
          </w:p>
        </w:tc>
        <w:tc>
          <w:tcPr>
            <w:tcW w:w="7267" w:type="dxa"/>
            <w:vAlign w:val="center"/>
          </w:tcPr>
          <w:p w14:paraId="65D2B390">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交货地点：采购人指定地点。</w:t>
            </w:r>
          </w:p>
        </w:tc>
      </w:tr>
      <w:tr w14:paraId="4060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672" w:type="dxa"/>
            <w:vAlign w:val="center"/>
          </w:tcPr>
          <w:p w14:paraId="6287B9A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结算方式</w:t>
            </w:r>
          </w:p>
        </w:tc>
        <w:tc>
          <w:tcPr>
            <w:tcW w:w="7267" w:type="dxa"/>
            <w:vAlign w:val="center"/>
          </w:tcPr>
          <w:p w14:paraId="671F5870">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固定</w:t>
            </w:r>
            <w:r>
              <w:rPr>
                <w:rFonts w:hint="eastAsia" w:ascii="宋体" w:hAnsi="宋体" w:cs="宋体"/>
                <w:color w:val="auto"/>
                <w:sz w:val="24"/>
                <w:szCs w:val="24"/>
                <w:highlight w:val="none"/>
                <w:lang w:val="en-US" w:eastAsia="zh-CN"/>
              </w:rPr>
              <w:t>单价</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。招标范围包括但不限于招标文件、</w:t>
            </w:r>
            <w:r>
              <w:rPr>
                <w:rFonts w:hint="eastAsia" w:ascii="宋体" w:hAnsi="宋体" w:eastAsia="宋体" w:cs="宋体"/>
                <w:color w:val="auto"/>
                <w:sz w:val="24"/>
                <w:szCs w:val="24"/>
                <w:highlight w:val="none"/>
                <w:lang w:val="en-US" w:eastAsia="zh-CN"/>
              </w:rPr>
              <w:t>主要设备清单</w:t>
            </w:r>
            <w:r>
              <w:rPr>
                <w:rFonts w:hint="eastAsia" w:ascii="宋体" w:hAnsi="宋体" w:eastAsia="宋体" w:cs="宋体"/>
                <w:color w:val="auto"/>
                <w:sz w:val="24"/>
                <w:szCs w:val="24"/>
                <w:highlight w:val="none"/>
              </w:rPr>
              <w:t>、技术说明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施工图纸</w:t>
            </w:r>
            <w:r>
              <w:rPr>
                <w:rFonts w:hint="eastAsia" w:ascii="宋体" w:hAnsi="宋体" w:eastAsia="宋体" w:cs="宋体"/>
                <w:color w:val="auto"/>
                <w:sz w:val="24"/>
                <w:szCs w:val="24"/>
                <w:highlight w:val="none"/>
              </w:rPr>
              <w:t>等，中标供应商应无条件完成本项目所涵盖的</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全部工作内容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调试验收合格后直至设备正常运行。</w:t>
            </w:r>
          </w:p>
          <w:p w14:paraId="53DFD23B">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2.若项目总承包单位已预埋的附件与本次招标的附件重复，则需核减相应总价。</w:t>
            </w:r>
          </w:p>
        </w:tc>
      </w:tr>
      <w:tr w14:paraId="40A2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672" w:type="dxa"/>
            <w:vAlign w:val="center"/>
          </w:tcPr>
          <w:p w14:paraId="0E9BA17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付款方式</w:t>
            </w:r>
          </w:p>
        </w:tc>
        <w:tc>
          <w:tcPr>
            <w:tcW w:w="7267" w:type="dxa"/>
            <w:vAlign w:val="center"/>
          </w:tcPr>
          <w:p w14:paraId="135ABC56">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付款方式：设备到场经相关人员签字确认，且安装完成后一个月内支付该批设备价款的50%，调试运行验收合格后支付至该批设备价款的95%，余款5%作为维修基金，待质量保修期满无质量问题后一个月内付清（不计息）。</w:t>
            </w:r>
          </w:p>
        </w:tc>
      </w:tr>
      <w:tr w14:paraId="03B7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72" w:type="dxa"/>
            <w:vAlign w:val="center"/>
          </w:tcPr>
          <w:p w14:paraId="1536578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履约保证金</w:t>
            </w:r>
          </w:p>
        </w:tc>
        <w:tc>
          <w:tcPr>
            <w:tcW w:w="7267" w:type="dxa"/>
            <w:vAlign w:val="center"/>
          </w:tcPr>
          <w:p w14:paraId="5FC19E86">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cs="宋体"/>
                <w:i w:val="0"/>
                <w:iCs w:val="0"/>
                <w:color w:val="000000"/>
                <w:kern w:val="0"/>
                <w:sz w:val="24"/>
                <w:szCs w:val="24"/>
                <w:highlight w:val="none"/>
                <w:u w:val="none"/>
                <w:lang w:val="en-US" w:eastAsia="zh-CN" w:bidi="ar"/>
              </w:rPr>
              <w:t>按中标金额</w:t>
            </w:r>
            <w:r>
              <w:rPr>
                <w:rFonts w:hint="eastAsia" w:ascii="宋体" w:hAnsi="宋体" w:eastAsia="宋体" w:cs="宋体"/>
                <w:i w:val="0"/>
                <w:iCs w:val="0"/>
                <w:color w:val="000000"/>
                <w:kern w:val="0"/>
                <w:sz w:val="24"/>
                <w:szCs w:val="24"/>
                <w:highlight w:val="none"/>
                <w:u w:val="none"/>
                <w:lang w:val="en-US" w:eastAsia="zh-CN" w:bidi="ar"/>
              </w:rPr>
              <w:t>的1%计取，中标供应商中标通知书发出后7个工作日内向采购人递交履约保证金（网上银行/电汇/汇票/转账形式），履约保证金待供货期满后30日内无息退还。</w:t>
            </w:r>
          </w:p>
        </w:tc>
      </w:tr>
      <w:tr w14:paraId="2AE8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672" w:type="dxa"/>
            <w:vAlign w:val="center"/>
          </w:tcPr>
          <w:p w14:paraId="43FF32B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安全责任</w:t>
            </w:r>
          </w:p>
        </w:tc>
        <w:tc>
          <w:tcPr>
            <w:tcW w:w="7267" w:type="dxa"/>
            <w:vAlign w:val="center"/>
          </w:tcPr>
          <w:p w14:paraId="05C001E0">
            <w:pPr>
              <w:keepNext w:val="0"/>
              <w:keepLines w:val="0"/>
              <w:pageBreakBefore w:val="0"/>
              <w:widowControl/>
              <w:suppressLineNumbers w:val="0"/>
              <w:kinsoku/>
              <w:wordWrap/>
              <w:overflowPunct/>
              <w:topLinePunct w:val="0"/>
              <w:autoSpaceDE/>
              <w:autoSpaceDN/>
              <w:bidi w:val="0"/>
              <w:adjustRightInd w:val="0"/>
              <w:snapToGrid/>
              <w:spacing w:line="500" w:lineRule="atLeas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中标单位承担货物运输、装卸、安装、调试、验收、质保期内维修过程中的各种意外。项目实施过程中遇到的安全责任事故，由中标单位自负，采购人不承担任何责任。</w:t>
            </w:r>
          </w:p>
        </w:tc>
      </w:tr>
    </w:tbl>
    <w:p w14:paraId="793AC169">
      <w:pPr>
        <w:pStyle w:val="14"/>
        <w:numPr>
          <w:ilvl w:val="0"/>
          <w:numId w:val="0"/>
        </w:numPr>
        <w:ind w:left="240" w:leftChars="0"/>
        <w:rPr>
          <w:rFonts w:hint="eastAsia" w:ascii="宋体" w:hAnsi="宋体" w:eastAsia="宋体" w:cs="宋体"/>
          <w:highlight w:val="none"/>
        </w:rPr>
      </w:pPr>
    </w:p>
    <w:bookmarkEnd w:id="77"/>
    <w:bookmarkEnd w:id="79"/>
    <w:bookmarkEnd w:id="80"/>
    <w:p w14:paraId="30AC9FFB">
      <w:pPr>
        <w:rPr>
          <w:rFonts w:hint="eastAsia" w:ascii="宋体" w:hAnsi="宋体" w:eastAsia="宋体" w:cs="宋体"/>
          <w:sz w:val="36"/>
          <w:szCs w:val="36"/>
          <w:highlight w:val="none"/>
        </w:rPr>
      </w:pPr>
      <w:bookmarkStart w:id="82" w:name="_Toc118207759"/>
      <w:r>
        <w:rPr>
          <w:rFonts w:hint="eastAsia" w:ascii="宋体" w:hAnsi="宋体" w:eastAsia="宋体" w:cs="宋体"/>
          <w:sz w:val="36"/>
          <w:szCs w:val="36"/>
          <w:highlight w:val="none"/>
        </w:rPr>
        <w:br w:type="page"/>
      </w:r>
    </w:p>
    <w:p w14:paraId="5EC63089">
      <w:pPr>
        <w:pStyle w:val="4"/>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第四</w:t>
      </w:r>
      <w:bookmarkEnd w:id="78"/>
      <w:r>
        <w:rPr>
          <w:rFonts w:hint="eastAsia" w:ascii="宋体" w:hAnsi="宋体" w:eastAsia="宋体" w:cs="宋体"/>
          <w:sz w:val="36"/>
          <w:szCs w:val="36"/>
          <w:highlight w:val="none"/>
          <w:lang w:val="en-US" w:eastAsia="zh-CN"/>
        </w:rPr>
        <w:t>章</w:t>
      </w:r>
      <w:r>
        <w:rPr>
          <w:rFonts w:hint="eastAsia" w:ascii="宋体" w:hAnsi="宋体" w:eastAsia="宋体" w:cs="宋体"/>
          <w:sz w:val="36"/>
          <w:szCs w:val="36"/>
          <w:highlight w:val="none"/>
        </w:rPr>
        <w:t xml:space="preserve">  询价细则及询价方法</w:t>
      </w:r>
      <w:bookmarkEnd w:id="82"/>
    </w:p>
    <w:p w14:paraId="16995128">
      <w:pPr>
        <w:pStyle w:val="5"/>
        <w:numPr>
          <w:ilvl w:val="0"/>
          <w:numId w:val="10"/>
        </w:numPr>
        <w:jc w:val="center"/>
        <w:rPr>
          <w:rFonts w:hint="eastAsia" w:ascii="宋体" w:hAnsi="宋体" w:eastAsia="宋体" w:cs="宋体"/>
          <w:highlight w:val="none"/>
        </w:rPr>
      </w:pPr>
      <w:bookmarkStart w:id="83" w:name="_Toc16646"/>
      <w:bookmarkStart w:id="84" w:name="_Toc118207760"/>
      <w:bookmarkStart w:id="85" w:name="_Toc1265"/>
      <w:r>
        <w:rPr>
          <w:rFonts w:hint="eastAsia" w:ascii="宋体" w:hAnsi="宋体" w:eastAsia="宋体" w:cs="宋体"/>
          <w:highlight w:val="none"/>
        </w:rPr>
        <w:t>询价原则</w:t>
      </w:r>
      <w:bookmarkEnd w:id="83"/>
      <w:bookmarkEnd w:id="84"/>
      <w:bookmarkEnd w:id="85"/>
    </w:p>
    <w:p w14:paraId="37B61BF1">
      <w:pPr>
        <w:pStyle w:val="6"/>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1、本次询价本着公平、公正、科学、择优的原则，邀请各询价供应商参加。</w:t>
      </w:r>
    </w:p>
    <w:p w14:paraId="76F54943">
      <w:pPr>
        <w:pStyle w:val="6"/>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2、询价小组将严格按照询价文件的要求，对供应商的响应文件进行认真评审；询价小组对响应文件的评审仅依据响应文件本身，而不依据响应文件以外的任何因素。</w:t>
      </w:r>
    </w:p>
    <w:p w14:paraId="40F60997">
      <w:pPr>
        <w:pStyle w:val="6"/>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2"/>
          <w:highlight w:val="none"/>
        </w:rPr>
        <w:t>3、询价小组按照统一的询价原则和询价方法，用同一标准对所有响应文件进行评审。</w:t>
      </w:r>
    </w:p>
    <w:p w14:paraId="4FEE9DA9">
      <w:pPr>
        <w:pStyle w:val="5"/>
        <w:numPr>
          <w:ilvl w:val="0"/>
          <w:numId w:val="10"/>
        </w:numPr>
        <w:jc w:val="center"/>
        <w:rPr>
          <w:rFonts w:hint="eastAsia" w:ascii="宋体" w:hAnsi="宋体" w:eastAsia="宋体" w:cs="宋体"/>
          <w:highlight w:val="none"/>
        </w:rPr>
      </w:pPr>
      <w:bookmarkStart w:id="86" w:name="_Toc118207761"/>
      <w:bookmarkStart w:id="87" w:name="_Toc10093"/>
      <w:bookmarkStart w:id="88" w:name="_Toc31312"/>
      <w:r>
        <w:rPr>
          <w:rFonts w:hint="eastAsia" w:ascii="宋体" w:hAnsi="宋体" w:eastAsia="宋体" w:cs="宋体"/>
          <w:highlight w:val="none"/>
        </w:rPr>
        <w:t>询价程序</w:t>
      </w:r>
      <w:bookmarkEnd w:id="86"/>
      <w:bookmarkEnd w:id="87"/>
      <w:bookmarkEnd w:id="88"/>
    </w:p>
    <w:p w14:paraId="7E167A51">
      <w:pPr>
        <w:pStyle w:val="19"/>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1、评审</w:t>
      </w:r>
    </w:p>
    <w:p w14:paraId="397398D9">
      <w:pPr>
        <w:pStyle w:val="19"/>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1.1在询价响应截止时间前按规定提交响应文件的供应商在三家（含）以上的，由采购人或采购代理机构组织进行开标。</w:t>
      </w:r>
    </w:p>
    <w:p w14:paraId="02B06254">
      <w:pPr>
        <w:pStyle w:val="19"/>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highlight w:val="none"/>
        </w:rPr>
        <w:t>1.2供应商登录政采云平台，用“项目采购-开标评标”功能对电子询价响应文件进行在线解密。在线解密电子询价响应文件时间为开标时间起30分钟内。若电子询价响应文件解密失败，则由采购代理机构工作人员上传供应商提供的备份文件。</w:t>
      </w:r>
      <w:r>
        <w:rPr>
          <w:rFonts w:hint="eastAsia" w:ascii="宋体" w:hAnsi="宋体" w:eastAsia="宋体" w:cs="宋体"/>
          <w:sz w:val="24"/>
          <w:szCs w:val="24"/>
          <w:highlight w:val="none"/>
        </w:rPr>
        <w:t>备份文件（后缀名为.bfbs）须存储在U盘中，与上传的电子询价响应文件一致，用信封进行密封并盖章，由授权代表在询价响应截止时间前递交至开标地点。</w:t>
      </w:r>
    </w:p>
    <w:p w14:paraId="3127F7A4">
      <w:pPr>
        <w:pStyle w:val="19"/>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1.3采购人按询价文件规定的时间、地点公开开标。开标仪式由采购人或采购代理机构主持及有关人员参加。</w:t>
      </w:r>
    </w:p>
    <w:p w14:paraId="05E199D3">
      <w:pPr>
        <w:pStyle w:val="58"/>
        <w:spacing w:before="0"/>
        <w:ind w:firstLine="480"/>
        <w:rPr>
          <w:rFonts w:hint="eastAsia" w:ascii="宋体" w:hAnsi="宋体" w:eastAsia="宋体" w:cs="宋体"/>
          <w:highlight w:val="none"/>
        </w:rPr>
      </w:pPr>
      <w:r>
        <w:rPr>
          <w:rFonts w:hint="eastAsia" w:ascii="宋体" w:hAnsi="宋体" w:eastAsia="宋体" w:cs="宋体"/>
          <w:highlight w:val="none"/>
        </w:rPr>
        <w:t>1.4本项目为电子投标项目，供应商一般不需要现场参加，若供应商需要指派授权代表递交备份文件，则授权代表应随身携带法定代表人授权书原件于询价响应截止时间前到达开标地点递交备份文件。若电子询价响应文件正常解锁，则U盘退还给供应商；若解锁失败，则由采购代理机构将U盘中的备份文件上传，该U盘将由采购代理机构保存。</w:t>
      </w:r>
    </w:p>
    <w:p w14:paraId="751F988C">
      <w:pPr>
        <w:pStyle w:val="58"/>
        <w:spacing w:before="0"/>
        <w:ind w:firstLine="480"/>
        <w:rPr>
          <w:rFonts w:hint="eastAsia" w:ascii="宋体" w:hAnsi="宋体" w:eastAsia="宋体" w:cs="宋体"/>
          <w:highlight w:val="none"/>
        </w:rPr>
      </w:pPr>
      <w:r>
        <w:rPr>
          <w:rFonts w:hint="eastAsia" w:ascii="宋体" w:hAnsi="宋体" w:eastAsia="宋体" w:cs="宋体"/>
          <w:highlight w:val="none"/>
        </w:rPr>
        <w:t>1.5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48114A">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2.组建询价小组</w:t>
      </w:r>
    </w:p>
    <w:p w14:paraId="55E9D450">
      <w:pPr>
        <w:pStyle w:val="58"/>
        <w:spacing w:before="0"/>
        <w:ind w:firstLine="480"/>
        <w:rPr>
          <w:rFonts w:hint="eastAsia" w:ascii="宋体" w:hAnsi="宋体" w:eastAsia="宋体" w:cs="宋体"/>
          <w:highlight w:val="none"/>
        </w:rPr>
      </w:pPr>
      <w:r>
        <w:rPr>
          <w:rFonts w:hint="eastAsia" w:ascii="宋体" w:hAnsi="宋体" w:eastAsia="宋体" w:cs="宋体"/>
          <w:highlight w:val="none"/>
        </w:rPr>
        <w:t>2.1询价小组由采购人代表和评审专家组成，成员人数应当为 3 人以上单数，其中评审专家不得少于成员总数的三分之二。</w:t>
      </w:r>
    </w:p>
    <w:p w14:paraId="3FA73A7F">
      <w:pPr>
        <w:pStyle w:val="58"/>
        <w:tabs>
          <w:tab w:val="left" w:pos="0"/>
        </w:tabs>
        <w:spacing w:before="0"/>
        <w:ind w:firstLine="480"/>
        <w:rPr>
          <w:rFonts w:hint="eastAsia" w:ascii="宋体" w:hAnsi="宋体" w:eastAsia="宋体" w:cs="宋体"/>
          <w:highlight w:val="none"/>
          <w:lang w:val="zh-CN"/>
        </w:rPr>
      </w:pPr>
      <w:r>
        <w:rPr>
          <w:rFonts w:hint="eastAsia" w:ascii="宋体" w:hAnsi="宋体" w:eastAsia="宋体" w:cs="宋体"/>
          <w:highlight w:val="none"/>
        </w:rPr>
        <w:t>2.2</w:t>
      </w:r>
      <w:r>
        <w:rPr>
          <w:rFonts w:hint="eastAsia" w:ascii="宋体" w:hAnsi="宋体" w:eastAsia="宋体" w:cs="宋体"/>
          <w:highlight w:val="none"/>
          <w:lang w:val="zh-CN"/>
        </w:rPr>
        <w:t>评标工作由</w:t>
      </w:r>
      <w:r>
        <w:rPr>
          <w:rFonts w:hint="eastAsia" w:ascii="宋体" w:hAnsi="宋体" w:eastAsia="宋体" w:cs="宋体"/>
          <w:highlight w:val="none"/>
        </w:rPr>
        <w:t>询价小组</w:t>
      </w:r>
      <w:r>
        <w:rPr>
          <w:rFonts w:hint="eastAsia" w:ascii="宋体" w:hAnsi="宋体" w:eastAsia="宋体" w:cs="宋体"/>
          <w:highlight w:val="none"/>
          <w:lang w:val="zh-CN"/>
        </w:rPr>
        <w:t>负责，并推选产生的组长主持；</w:t>
      </w:r>
    </w:p>
    <w:p w14:paraId="076B2FCF">
      <w:pPr>
        <w:pStyle w:val="58"/>
        <w:spacing w:before="0"/>
        <w:ind w:firstLine="480"/>
        <w:rPr>
          <w:rFonts w:hint="eastAsia" w:ascii="宋体" w:hAnsi="宋体" w:eastAsia="宋体" w:cs="宋体"/>
          <w:highlight w:val="none"/>
        </w:rPr>
      </w:pPr>
      <w:r>
        <w:rPr>
          <w:rFonts w:hint="eastAsia" w:ascii="宋体" w:hAnsi="宋体" w:eastAsia="宋体" w:cs="宋体"/>
          <w:highlight w:val="none"/>
        </w:rPr>
        <w:t>2.3</w:t>
      </w:r>
      <w:r>
        <w:rPr>
          <w:rFonts w:hint="eastAsia" w:ascii="宋体" w:hAnsi="宋体" w:eastAsia="宋体" w:cs="宋体"/>
          <w:highlight w:val="none"/>
          <w:lang w:val="zh-CN"/>
        </w:rPr>
        <w:t>本次评标为在线评标。</w:t>
      </w:r>
    </w:p>
    <w:p w14:paraId="3DC3D535">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3.对所有响应文件的初审</w:t>
      </w:r>
    </w:p>
    <w:p w14:paraId="4934F3A3">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3.1资格审查</w:t>
      </w:r>
    </w:p>
    <w:p w14:paraId="7B96902E">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（1）开标后，询价小组将依法对供应商的资格进行审查。</w:t>
      </w:r>
    </w:p>
    <w:p w14:paraId="29C248C7">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（2）询价小组依据法律法规和询价文件的规定，对供应商的基本资格条件、特定资格条件进行审查。</w:t>
      </w:r>
    </w:p>
    <w:p w14:paraId="624F697C">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（3）供应商未按照询价文件要求提供与基本资格条件、特定资格条件相应的有效资格证明材料的，视为供应商不具备询价文件中规定的资格要求，其询价无效。并将无效</w:t>
      </w:r>
      <w:r>
        <w:rPr>
          <w:rFonts w:hint="eastAsia" w:ascii="宋体" w:hAnsi="宋体" w:eastAsia="宋体" w:cs="宋体"/>
          <w:bCs/>
          <w:sz w:val="24"/>
          <w:highlight w:val="none"/>
          <w:lang w:eastAsia="zh-CN"/>
        </w:rPr>
        <w:t>缘由</w:t>
      </w:r>
      <w:r>
        <w:rPr>
          <w:rFonts w:hint="eastAsia" w:ascii="宋体" w:hAnsi="宋体" w:eastAsia="宋体" w:cs="宋体"/>
          <w:bCs/>
          <w:sz w:val="24"/>
          <w:highlight w:val="none"/>
        </w:rPr>
        <w:t>告知相关供应商。</w:t>
      </w:r>
    </w:p>
    <w:p w14:paraId="79C396E9">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3.2符合性审查：询价小组依据询价文件的规定，从响应文件的有效性、完整性和对询价文件的响应程度进行审查，以确定是否对询价文件的要求作出实质性响应。出现以下情况的，视为符合性不通过，询价无效。</w:t>
      </w:r>
    </w:p>
    <w:p w14:paraId="1A414A00">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（1）响应文件无法定代表人或其委托授权代表签名或盖章。</w:t>
      </w:r>
    </w:p>
    <w:p w14:paraId="4A85DB23">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（2）响应文件内容虚假的。</w:t>
      </w:r>
    </w:p>
    <w:p w14:paraId="4A104F0F">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（3）响应文件有采购人不能接受的附加条件的。</w:t>
      </w:r>
    </w:p>
    <w:p w14:paraId="7D19B5D8">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（4）询价有效期、服务期等商务条款不能满足询价文件要求的。</w:t>
      </w:r>
    </w:p>
    <w:p w14:paraId="27712443">
      <w:pPr>
        <w:widowControl/>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（5）价格超出预算或最高限价，导致采购单位无法支付的。</w:t>
      </w:r>
    </w:p>
    <w:p w14:paraId="69C8358B">
      <w:pPr>
        <w:widowControl/>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（6）询价文件明确规定的其他无效条款的。</w:t>
      </w:r>
    </w:p>
    <w:p w14:paraId="10371324">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 询价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7F510F">
      <w:pPr>
        <w:pStyle w:val="58"/>
        <w:tabs>
          <w:tab w:val="left" w:pos="0"/>
        </w:tabs>
        <w:spacing w:before="0"/>
        <w:ind w:firstLine="480"/>
        <w:rPr>
          <w:rFonts w:hint="eastAsia" w:ascii="宋体" w:hAnsi="宋体" w:eastAsia="宋体" w:cs="宋体"/>
          <w:highlight w:val="none"/>
        </w:rPr>
      </w:pPr>
      <w:r>
        <w:rPr>
          <w:rFonts w:hint="eastAsia" w:ascii="宋体" w:hAnsi="宋体" w:eastAsia="宋体" w:cs="宋体"/>
          <w:highlight w:val="none"/>
        </w:rPr>
        <w:t>3.4询价小组要求供应商澄清、说明或者更正响应文件应当以书面形式发出。供应商的澄清、说明或者更正应当由法定代表人或其授权代表签字或者加盖公章。由授权代表签字的，应当附法定代表人授权书。</w:t>
      </w:r>
    </w:p>
    <w:p w14:paraId="0DCE71D2">
      <w:pPr>
        <w:snapToGrid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rPr>
        <w:t>4.</w:t>
      </w:r>
      <w:r>
        <w:rPr>
          <w:rFonts w:hint="eastAsia" w:ascii="宋体" w:hAnsi="宋体" w:eastAsia="宋体" w:cs="宋体"/>
          <w:b/>
          <w:bCs/>
          <w:sz w:val="24"/>
          <w:highlight w:val="none"/>
          <w:lang w:val="zh-CN"/>
        </w:rPr>
        <w:t>询价</w:t>
      </w:r>
    </w:p>
    <w:p w14:paraId="33599A4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 初审合格的供应商进入下一步的采购活动。</w:t>
      </w:r>
    </w:p>
    <w:p w14:paraId="08C9F3D2">
      <w:pPr>
        <w:snapToGrid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rPr>
        <w:t>5.</w:t>
      </w:r>
      <w:r>
        <w:rPr>
          <w:rFonts w:hint="eastAsia" w:ascii="宋体" w:hAnsi="宋体" w:eastAsia="宋体" w:cs="宋体"/>
          <w:b/>
          <w:bCs/>
          <w:sz w:val="24"/>
          <w:highlight w:val="none"/>
          <w:lang w:val="zh-CN"/>
        </w:rPr>
        <w:t>报价</w:t>
      </w:r>
    </w:p>
    <w:p w14:paraId="31D8DA7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5.1询价结束后，供应商开启报价文件；</w:t>
      </w:r>
    </w:p>
    <w:p w14:paraId="4F35F56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5.2报价是供应商响应文件的有效组成部分；</w:t>
      </w:r>
    </w:p>
    <w:p w14:paraId="57FBDFAF">
      <w:pPr>
        <w:pStyle w:val="19"/>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6.修正原则</w:t>
      </w:r>
    </w:p>
    <w:p w14:paraId="46B34778">
      <w:pPr>
        <w:pStyle w:val="58"/>
        <w:spacing w:before="0"/>
        <w:ind w:firstLine="480"/>
        <w:rPr>
          <w:rFonts w:hint="eastAsia" w:ascii="宋体" w:hAnsi="宋体" w:eastAsia="宋体" w:cs="宋体"/>
          <w:highlight w:val="none"/>
          <w:lang w:val="zh-CN"/>
        </w:rPr>
      </w:pPr>
      <w:r>
        <w:rPr>
          <w:rFonts w:hint="eastAsia" w:ascii="宋体" w:hAnsi="宋体" w:eastAsia="宋体" w:cs="宋体"/>
          <w:highlight w:val="none"/>
        </w:rPr>
        <w:t>响应</w:t>
      </w:r>
      <w:r>
        <w:rPr>
          <w:rFonts w:hint="eastAsia" w:ascii="宋体" w:hAnsi="宋体" w:eastAsia="宋体" w:cs="宋体"/>
          <w:highlight w:val="none"/>
          <w:lang w:val="zh-CN"/>
        </w:rPr>
        <w:t>文件报价出现前后不一致的，按照下列规定修正：</w:t>
      </w:r>
    </w:p>
    <w:p w14:paraId="26F19C5D">
      <w:pPr>
        <w:pStyle w:val="58"/>
        <w:tabs>
          <w:tab w:val="left" w:pos="0"/>
        </w:tabs>
        <w:spacing w:before="0"/>
        <w:ind w:firstLine="480"/>
        <w:rPr>
          <w:rFonts w:hint="eastAsia" w:ascii="宋体" w:hAnsi="宋体" w:eastAsia="宋体" w:cs="宋体"/>
          <w:highlight w:val="none"/>
          <w:lang w:val="zh-CN"/>
        </w:rPr>
      </w:pPr>
      <w:r>
        <w:rPr>
          <w:rFonts w:hint="eastAsia" w:ascii="宋体" w:hAnsi="宋体" w:eastAsia="宋体" w:cs="宋体"/>
          <w:highlight w:val="none"/>
        </w:rPr>
        <w:t>6.1响应</w:t>
      </w:r>
      <w:r>
        <w:rPr>
          <w:rFonts w:hint="eastAsia" w:ascii="宋体" w:hAnsi="宋体" w:eastAsia="宋体" w:cs="宋体"/>
          <w:highlight w:val="none"/>
          <w:lang w:val="zh-CN"/>
        </w:rPr>
        <w:t>文件中</w:t>
      </w:r>
      <w:r>
        <w:rPr>
          <w:rFonts w:hint="eastAsia" w:ascii="宋体" w:hAnsi="宋体" w:eastAsia="宋体" w:cs="宋体"/>
          <w:highlight w:val="none"/>
        </w:rPr>
        <w:t>报价</w:t>
      </w:r>
      <w:r>
        <w:rPr>
          <w:rFonts w:hint="eastAsia" w:ascii="宋体" w:hAnsi="宋体" w:eastAsia="宋体" w:cs="宋体"/>
          <w:highlight w:val="none"/>
          <w:lang w:val="zh-CN"/>
        </w:rPr>
        <w:t>一览表内容与</w:t>
      </w:r>
      <w:r>
        <w:rPr>
          <w:rFonts w:hint="eastAsia" w:ascii="宋体" w:hAnsi="宋体" w:eastAsia="宋体" w:cs="宋体"/>
          <w:highlight w:val="none"/>
        </w:rPr>
        <w:t>响应</w:t>
      </w:r>
      <w:r>
        <w:rPr>
          <w:rFonts w:hint="eastAsia" w:ascii="宋体" w:hAnsi="宋体" w:eastAsia="宋体" w:cs="宋体"/>
          <w:highlight w:val="none"/>
          <w:lang w:val="zh-CN"/>
        </w:rPr>
        <w:t>文件中相应内容不一致的，以</w:t>
      </w:r>
      <w:r>
        <w:rPr>
          <w:rFonts w:hint="eastAsia" w:ascii="宋体" w:hAnsi="宋体" w:eastAsia="宋体" w:cs="宋体"/>
          <w:highlight w:val="none"/>
        </w:rPr>
        <w:t>报价</w:t>
      </w:r>
      <w:r>
        <w:rPr>
          <w:rFonts w:hint="eastAsia" w:ascii="宋体" w:hAnsi="宋体" w:eastAsia="宋体" w:cs="宋体"/>
          <w:highlight w:val="none"/>
          <w:lang w:val="zh-CN"/>
        </w:rPr>
        <w:t>一览表为准；</w:t>
      </w:r>
    </w:p>
    <w:p w14:paraId="7A336CE5">
      <w:pPr>
        <w:pStyle w:val="58"/>
        <w:tabs>
          <w:tab w:val="left" w:pos="0"/>
        </w:tabs>
        <w:spacing w:before="0"/>
        <w:ind w:firstLine="480"/>
        <w:rPr>
          <w:rFonts w:hint="eastAsia" w:ascii="宋体" w:hAnsi="宋体" w:eastAsia="宋体" w:cs="宋体"/>
          <w:highlight w:val="none"/>
          <w:lang w:val="zh-CN"/>
        </w:rPr>
      </w:pPr>
      <w:r>
        <w:rPr>
          <w:rFonts w:hint="eastAsia" w:ascii="宋体" w:hAnsi="宋体" w:eastAsia="宋体" w:cs="宋体"/>
          <w:highlight w:val="none"/>
        </w:rPr>
        <w:t>6.2</w:t>
      </w:r>
      <w:r>
        <w:rPr>
          <w:rFonts w:hint="eastAsia" w:ascii="宋体" w:hAnsi="宋体" w:eastAsia="宋体" w:cs="宋体"/>
          <w:highlight w:val="none"/>
          <w:lang w:val="zh-CN"/>
        </w:rPr>
        <w:t>大写金额和小写金额不一致的，以大写金额为准；</w:t>
      </w:r>
    </w:p>
    <w:p w14:paraId="74B8BFC4">
      <w:pPr>
        <w:pStyle w:val="58"/>
        <w:tabs>
          <w:tab w:val="left" w:pos="0"/>
        </w:tabs>
        <w:spacing w:before="0"/>
        <w:ind w:firstLine="480"/>
        <w:rPr>
          <w:rFonts w:hint="eastAsia" w:ascii="宋体" w:hAnsi="宋体" w:eastAsia="宋体" w:cs="宋体"/>
          <w:highlight w:val="none"/>
          <w:lang w:val="zh-CN"/>
        </w:rPr>
      </w:pPr>
      <w:r>
        <w:rPr>
          <w:rFonts w:hint="eastAsia" w:ascii="宋体" w:hAnsi="宋体" w:eastAsia="宋体" w:cs="宋体"/>
          <w:highlight w:val="none"/>
        </w:rPr>
        <w:t>6.3</w:t>
      </w:r>
      <w:r>
        <w:rPr>
          <w:rFonts w:hint="eastAsia" w:ascii="宋体" w:hAnsi="宋体" w:eastAsia="宋体" w:cs="宋体"/>
          <w:highlight w:val="none"/>
          <w:lang w:val="zh-CN"/>
        </w:rPr>
        <w:t>单价金额小数点或者百分比有明显错位的，以</w:t>
      </w:r>
      <w:r>
        <w:rPr>
          <w:rFonts w:hint="eastAsia" w:ascii="宋体" w:hAnsi="宋体" w:eastAsia="宋体" w:cs="宋体"/>
          <w:highlight w:val="none"/>
        </w:rPr>
        <w:t>报价</w:t>
      </w:r>
      <w:r>
        <w:rPr>
          <w:rFonts w:hint="eastAsia" w:ascii="宋体" w:hAnsi="宋体" w:eastAsia="宋体" w:cs="宋体"/>
          <w:highlight w:val="none"/>
          <w:lang w:val="zh-CN"/>
        </w:rPr>
        <w:t>一览表的总价为准，并修改单价；</w:t>
      </w:r>
    </w:p>
    <w:p w14:paraId="39904C8B">
      <w:pPr>
        <w:pStyle w:val="58"/>
        <w:tabs>
          <w:tab w:val="left" w:pos="0"/>
        </w:tabs>
        <w:spacing w:before="0"/>
        <w:ind w:firstLine="480"/>
        <w:rPr>
          <w:rFonts w:hint="eastAsia" w:ascii="宋体" w:hAnsi="宋体" w:eastAsia="宋体" w:cs="宋体"/>
          <w:highlight w:val="none"/>
          <w:lang w:val="zh-CN"/>
        </w:rPr>
      </w:pPr>
      <w:r>
        <w:rPr>
          <w:rFonts w:hint="eastAsia" w:ascii="宋体" w:hAnsi="宋体" w:eastAsia="宋体" w:cs="宋体"/>
          <w:highlight w:val="none"/>
        </w:rPr>
        <w:t>6.4</w:t>
      </w:r>
      <w:r>
        <w:rPr>
          <w:rFonts w:hint="eastAsia" w:ascii="宋体" w:hAnsi="宋体" w:eastAsia="宋体" w:cs="宋体"/>
          <w:highlight w:val="none"/>
          <w:lang w:val="zh-CN"/>
        </w:rPr>
        <w:t>总价金额与按单价汇总金额不一致的，以单价金额计算结果为准。</w:t>
      </w:r>
    </w:p>
    <w:p w14:paraId="7A8C896E">
      <w:pPr>
        <w:pStyle w:val="58"/>
        <w:spacing w:before="0"/>
        <w:ind w:firstLine="480"/>
        <w:rPr>
          <w:rFonts w:hint="eastAsia" w:ascii="宋体" w:hAnsi="宋体" w:eastAsia="宋体" w:cs="宋体"/>
          <w:highlight w:val="none"/>
          <w:lang w:val="zh-CN"/>
        </w:rPr>
      </w:pPr>
      <w:r>
        <w:rPr>
          <w:rFonts w:hint="eastAsia" w:ascii="宋体" w:hAnsi="宋体" w:eastAsia="宋体" w:cs="宋体"/>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eastAsia="宋体" w:cs="宋体"/>
          <w:highlight w:val="none"/>
        </w:rPr>
        <w:t>供应商</w:t>
      </w:r>
      <w:r>
        <w:rPr>
          <w:rFonts w:hint="eastAsia" w:ascii="宋体" w:hAnsi="宋体" w:eastAsia="宋体" w:cs="宋体"/>
          <w:highlight w:val="none"/>
          <w:lang w:val="zh-CN"/>
        </w:rPr>
        <w:t>确认后产生约束力，</w:t>
      </w:r>
      <w:r>
        <w:rPr>
          <w:rFonts w:hint="eastAsia" w:ascii="宋体" w:hAnsi="宋体" w:eastAsia="宋体" w:cs="宋体"/>
          <w:highlight w:val="none"/>
        </w:rPr>
        <w:t>供应商</w:t>
      </w:r>
      <w:r>
        <w:rPr>
          <w:rFonts w:hint="eastAsia" w:ascii="宋体" w:hAnsi="宋体" w:eastAsia="宋体" w:cs="宋体"/>
          <w:highlight w:val="none"/>
          <w:lang w:val="zh-CN"/>
        </w:rPr>
        <w:t>不确认的，其询价无效。</w:t>
      </w:r>
    </w:p>
    <w:p w14:paraId="2EAA0A30">
      <w:pPr>
        <w:pStyle w:val="19"/>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7.响应文件的澄清</w:t>
      </w:r>
    </w:p>
    <w:p w14:paraId="3671A433">
      <w:pPr>
        <w:pStyle w:val="58"/>
        <w:tabs>
          <w:tab w:val="left" w:pos="0"/>
        </w:tabs>
        <w:spacing w:before="0"/>
        <w:ind w:firstLine="480"/>
        <w:rPr>
          <w:rFonts w:hint="eastAsia" w:ascii="宋体" w:hAnsi="宋体" w:eastAsia="宋体" w:cs="宋体"/>
          <w:highlight w:val="none"/>
          <w:lang w:val="zh-CN"/>
        </w:rPr>
      </w:pPr>
      <w:r>
        <w:rPr>
          <w:rFonts w:hint="eastAsia" w:ascii="宋体" w:hAnsi="宋体" w:eastAsia="宋体" w:cs="宋体"/>
          <w:highlight w:val="none"/>
        </w:rPr>
        <w:t>7.1</w:t>
      </w:r>
      <w:r>
        <w:rPr>
          <w:rFonts w:hint="eastAsia" w:ascii="宋体" w:hAnsi="宋体" w:eastAsia="宋体" w:cs="宋体"/>
          <w:highlight w:val="none"/>
          <w:lang w:val="zh-CN"/>
        </w:rPr>
        <w:t>评审中因</w:t>
      </w:r>
      <w:r>
        <w:rPr>
          <w:rFonts w:hint="eastAsia" w:ascii="宋体" w:hAnsi="宋体" w:eastAsia="宋体" w:cs="宋体"/>
          <w:highlight w:val="none"/>
        </w:rPr>
        <w:t>响应</w:t>
      </w:r>
      <w:r>
        <w:rPr>
          <w:rFonts w:hint="eastAsia" w:ascii="宋体" w:hAnsi="宋体" w:eastAsia="宋体" w:cs="宋体"/>
          <w:highlight w:val="none"/>
          <w:lang w:val="zh-CN"/>
        </w:rPr>
        <w:t>文件含义不明、表述不一致或有明显计算错误等内容需要供应商作出澄清、说明或者补正的，询价</w:t>
      </w:r>
      <w:r>
        <w:rPr>
          <w:rFonts w:hint="eastAsia" w:ascii="宋体" w:hAnsi="宋体" w:eastAsia="宋体" w:cs="宋体"/>
          <w:highlight w:val="none"/>
        </w:rPr>
        <w:t>小组</w:t>
      </w:r>
      <w:r>
        <w:rPr>
          <w:rFonts w:hint="eastAsia" w:ascii="宋体" w:hAnsi="宋体" w:eastAsia="宋体" w:cs="宋体"/>
          <w:highlight w:val="none"/>
          <w:lang w:val="zh-CN"/>
        </w:rPr>
        <w:t>和供应商应当通过政采云平台交换数据电文，给予供应商提交澄清说明或补正的时间不少于半小时，供应商已经明确表示澄清说明或补正完毕的除外。</w:t>
      </w:r>
    </w:p>
    <w:p w14:paraId="0FC09590">
      <w:pPr>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lang w:val="zh-CN"/>
        </w:rPr>
        <w:t>供应商通过政采云平台交换的数据电文必须进行电子签章。</w:t>
      </w:r>
    </w:p>
    <w:p w14:paraId="3656A182">
      <w:pPr>
        <w:pStyle w:val="5"/>
        <w:numPr>
          <w:ilvl w:val="0"/>
          <w:numId w:val="10"/>
        </w:numPr>
        <w:jc w:val="center"/>
        <w:rPr>
          <w:rFonts w:hint="eastAsia" w:ascii="宋体" w:hAnsi="宋体" w:eastAsia="宋体" w:cs="宋体"/>
          <w:highlight w:val="none"/>
        </w:rPr>
      </w:pPr>
      <w:bookmarkStart w:id="89" w:name="_Toc13265"/>
      <w:bookmarkStart w:id="90" w:name="_Toc118207762"/>
      <w:bookmarkStart w:id="91" w:name="_Toc12816"/>
      <w:r>
        <w:rPr>
          <w:rFonts w:hint="eastAsia" w:ascii="宋体" w:hAnsi="宋体" w:eastAsia="宋体" w:cs="宋体"/>
          <w:highlight w:val="none"/>
        </w:rPr>
        <w:t>注意事项</w:t>
      </w:r>
      <w:bookmarkEnd w:id="89"/>
      <w:bookmarkEnd w:id="90"/>
      <w:bookmarkEnd w:id="91"/>
    </w:p>
    <w:p w14:paraId="77E6DB40">
      <w:pPr>
        <w:pStyle w:val="6"/>
        <w:spacing w:line="336"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时如发现供应商的报价明显低于其他通过符合性审查供应商的报价，有可能影响产品质量或者不能诚信履约的，询价小组可要求该供应商书面说明并提供相关证明材料。该供应商不能合理说明原因并提供证明材料的，评审小组应将该供应商的询价响应文件作无效处理，同时采购组织机构应将该情况报同级财政部门，并视情将其列入不良供应商名单。</w:t>
      </w:r>
    </w:p>
    <w:p w14:paraId="4F9F918A">
      <w:pPr>
        <w:pStyle w:val="5"/>
        <w:numPr>
          <w:ilvl w:val="0"/>
          <w:numId w:val="11"/>
        </w:numPr>
        <w:jc w:val="center"/>
        <w:rPr>
          <w:rFonts w:hint="eastAsia" w:ascii="宋体" w:hAnsi="宋体" w:eastAsia="宋体" w:cs="宋体"/>
          <w:highlight w:val="none"/>
        </w:rPr>
      </w:pPr>
      <w:bookmarkStart w:id="92" w:name="_Toc13782"/>
      <w:bookmarkStart w:id="93" w:name="_Toc20962"/>
      <w:bookmarkStart w:id="94" w:name="_Toc118207763"/>
      <w:r>
        <w:rPr>
          <w:rFonts w:hint="eastAsia" w:ascii="宋体" w:hAnsi="宋体" w:eastAsia="宋体" w:cs="宋体"/>
          <w:highlight w:val="none"/>
        </w:rPr>
        <w:t>评分细则</w:t>
      </w:r>
      <w:bookmarkEnd w:id="92"/>
      <w:bookmarkEnd w:id="93"/>
      <w:bookmarkEnd w:id="94"/>
    </w:p>
    <w:p w14:paraId="70086EFD">
      <w:pPr>
        <w:spacing w:line="44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1.本次采购项目最高限价规定如下：</w:t>
      </w:r>
    </w:p>
    <w:p w14:paraId="1446DB63">
      <w:pPr>
        <w:spacing w:line="360" w:lineRule="auto"/>
        <w:ind w:firstLine="482" w:firstLineChars="200"/>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本项目询价报价的最高限价为人民币</w:t>
      </w:r>
      <w:r>
        <w:rPr>
          <w:rFonts w:hint="eastAsia" w:ascii="宋体" w:hAnsi="宋体" w:eastAsia="宋体" w:cs="宋体"/>
          <w:b/>
          <w:bCs/>
          <w:sz w:val="24"/>
          <w:highlight w:val="none"/>
          <w:u w:val="single"/>
          <w:lang w:val="en-US" w:eastAsia="zh-CN"/>
        </w:rPr>
        <w:t>8</w:t>
      </w:r>
      <w:r>
        <w:rPr>
          <w:rFonts w:hint="eastAsia" w:ascii="宋体" w:hAnsi="宋体" w:cs="宋体"/>
          <w:b/>
          <w:bCs/>
          <w:sz w:val="24"/>
          <w:highlight w:val="none"/>
          <w:u w:val="single"/>
          <w:lang w:val="en-US" w:eastAsia="zh-CN"/>
        </w:rPr>
        <w:t>3</w:t>
      </w:r>
      <w:r>
        <w:rPr>
          <w:rFonts w:hint="eastAsia" w:ascii="宋体" w:hAnsi="宋体" w:eastAsia="宋体" w:cs="宋体"/>
          <w:b/>
          <w:bCs/>
          <w:sz w:val="24"/>
          <w:highlight w:val="none"/>
          <w:u w:val="single"/>
          <w:lang w:val="en-US" w:eastAsia="zh-CN"/>
        </w:rPr>
        <w:t>万元</w:t>
      </w:r>
    </w:p>
    <w:p w14:paraId="6DA22640">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2.供应商的报价在最高限价内的，为有效报价；供应商的报价在最高限价外的，为无效报价。</w:t>
      </w:r>
    </w:p>
    <w:p w14:paraId="6E1FCFDB">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3.</w:t>
      </w:r>
      <w:r>
        <w:rPr>
          <w:rFonts w:hint="eastAsia" w:ascii="宋体" w:hAnsi="宋体" w:eastAsia="宋体" w:cs="宋体"/>
          <w:sz w:val="24"/>
          <w:szCs w:val="21"/>
          <w:highlight w:val="none"/>
        </w:rPr>
        <w:t>响应文件只允许有一个报价，报价应按询价文件中相关附表格式填报，该报价应与明细报价汇总相等，且不允许出现报价优惠、赠送等字样（明细出现“0”元，视同赠送）,如出现则做</w:t>
      </w:r>
      <w:r>
        <w:rPr>
          <w:rFonts w:hint="eastAsia" w:ascii="宋体" w:hAnsi="宋体" w:eastAsia="宋体" w:cs="宋体"/>
          <w:b/>
          <w:bCs/>
          <w:sz w:val="24"/>
          <w:szCs w:val="21"/>
          <w:highlight w:val="none"/>
        </w:rPr>
        <w:t>无效响应</w:t>
      </w:r>
      <w:r>
        <w:rPr>
          <w:rFonts w:hint="eastAsia" w:ascii="宋体" w:hAnsi="宋体" w:eastAsia="宋体" w:cs="宋体"/>
          <w:sz w:val="24"/>
          <w:szCs w:val="21"/>
          <w:highlight w:val="none"/>
        </w:rPr>
        <w:t>处理。</w:t>
      </w:r>
    </w:p>
    <w:p w14:paraId="6419E4D3">
      <w:pPr>
        <w:spacing w:line="336" w:lineRule="auto"/>
        <w:ind w:firstLine="482" w:firstLineChars="200"/>
        <w:rPr>
          <w:rFonts w:hint="eastAsia" w:ascii="宋体" w:hAnsi="宋体" w:eastAsia="宋体" w:cs="宋体"/>
          <w:b/>
          <w:bCs/>
          <w:sz w:val="24"/>
          <w:szCs w:val="32"/>
          <w:highlight w:val="none"/>
        </w:rPr>
      </w:pPr>
      <w:r>
        <w:rPr>
          <w:rFonts w:hint="eastAsia" w:ascii="宋体" w:hAnsi="宋体" w:eastAsia="宋体" w:cs="宋体"/>
          <w:b/>
          <w:bCs/>
          <w:sz w:val="24"/>
          <w:szCs w:val="21"/>
          <w:highlight w:val="none"/>
          <w:lang w:val="en-US" w:eastAsia="zh-CN"/>
        </w:rPr>
        <w:t>4</w:t>
      </w:r>
      <w:r>
        <w:rPr>
          <w:rFonts w:hint="eastAsia" w:ascii="宋体" w:hAnsi="宋体" w:eastAsia="宋体" w:cs="宋体"/>
          <w:b/>
          <w:bCs/>
          <w:sz w:val="24"/>
          <w:szCs w:val="21"/>
          <w:highlight w:val="none"/>
        </w:rPr>
        <w:t>.</w:t>
      </w:r>
      <w:r>
        <w:rPr>
          <w:rFonts w:hint="eastAsia" w:ascii="宋体" w:hAnsi="宋体" w:eastAsia="宋体" w:cs="宋体"/>
          <w:b/>
          <w:bCs/>
          <w:sz w:val="24"/>
          <w:szCs w:val="32"/>
          <w:highlight w:val="none"/>
        </w:rPr>
        <w:t>电子评标程序</w:t>
      </w:r>
    </w:p>
    <w:p w14:paraId="19B4EEBF">
      <w:pPr>
        <w:spacing w:line="336"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.1询价活动由采购代理机构主持,询价响应截止时间后,供应商登录政采云平台对电子响应文件进行在线解密；</w:t>
      </w:r>
    </w:p>
    <w:p w14:paraId="676D18C8">
      <w:pPr>
        <w:spacing w:line="336"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.2响应文件解密结束,开启响应文件,询价小组对资格和商务技术响应文件进行资格审查和符合性审查；</w:t>
      </w:r>
    </w:p>
    <w:p w14:paraId="1143801B">
      <w:pPr>
        <w:pStyle w:val="6"/>
        <w:spacing w:line="336"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.3询价结束后，供应商开启报价文件；</w:t>
      </w:r>
    </w:p>
    <w:p w14:paraId="7ABB4503">
      <w:pPr>
        <w:pStyle w:val="6"/>
        <w:spacing w:line="336"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.4 评审价格最低者为中标候选人；</w:t>
      </w:r>
    </w:p>
    <w:p w14:paraId="2D9ABBD9">
      <w:pPr>
        <w:pStyle w:val="6"/>
        <w:spacing w:line="336"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.5询价小组对报价情况进行评审；</w:t>
      </w:r>
    </w:p>
    <w:p w14:paraId="4DA6637C">
      <w:pPr>
        <w:pStyle w:val="6"/>
        <w:spacing w:line="336"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.6在系统上公开评审结果；</w:t>
      </w:r>
    </w:p>
    <w:p w14:paraId="284D18CE">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.7开标会结束。</w:t>
      </w:r>
    </w:p>
    <w:p w14:paraId="518CD910">
      <w:pPr>
        <w:spacing w:line="360" w:lineRule="auto"/>
        <w:ind w:firstLine="482" w:firstLineChars="200"/>
        <w:rPr>
          <w:rFonts w:hint="eastAsia" w:ascii="宋体" w:hAnsi="宋体" w:eastAsia="宋体" w:cs="宋体"/>
          <w:b/>
          <w:bCs/>
          <w:sz w:val="24"/>
          <w:szCs w:val="24"/>
          <w:highlight w:val="none"/>
        </w:rPr>
      </w:pPr>
    </w:p>
    <w:p w14:paraId="027DD044">
      <w:pPr>
        <w:spacing w:line="360" w:lineRule="auto"/>
        <w:ind w:firstLine="482" w:firstLineChars="200"/>
        <w:rPr>
          <w:rFonts w:hint="eastAsia" w:ascii="宋体" w:hAnsi="宋体" w:eastAsia="宋体" w:cs="宋体"/>
          <w:b/>
          <w:bCs/>
          <w:sz w:val="24"/>
          <w:szCs w:val="24"/>
          <w:highlight w:val="none"/>
        </w:rPr>
      </w:pPr>
    </w:p>
    <w:p w14:paraId="59AC0A6C">
      <w:pPr>
        <w:spacing w:line="360" w:lineRule="auto"/>
        <w:ind w:firstLine="482" w:firstLineChars="200"/>
        <w:rPr>
          <w:rFonts w:hint="eastAsia" w:ascii="宋体" w:hAnsi="宋体" w:eastAsia="宋体" w:cs="宋体"/>
          <w:b/>
          <w:bCs/>
          <w:sz w:val="24"/>
          <w:szCs w:val="24"/>
          <w:highlight w:val="none"/>
        </w:rPr>
      </w:pPr>
    </w:p>
    <w:p w14:paraId="6483E168">
      <w:pPr>
        <w:spacing w:line="360" w:lineRule="auto"/>
        <w:ind w:firstLine="482" w:firstLineChars="200"/>
        <w:rPr>
          <w:rFonts w:hint="eastAsia" w:ascii="宋体" w:hAnsi="宋体" w:eastAsia="宋体" w:cs="宋体"/>
          <w:b/>
          <w:bCs/>
          <w:sz w:val="24"/>
          <w:szCs w:val="24"/>
          <w:highlight w:val="none"/>
        </w:rPr>
      </w:pPr>
    </w:p>
    <w:p w14:paraId="6C45A4C0">
      <w:pPr>
        <w:spacing w:line="360" w:lineRule="auto"/>
        <w:ind w:firstLine="482" w:firstLineChars="200"/>
        <w:rPr>
          <w:rFonts w:hint="eastAsia" w:ascii="宋体" w:hAnsi="宋体" w:eastAsia="宋体" w:cs="宋体"/>
          <w:b/>
          <w:bCs/>
          <w:sz w:val="24"/>
          <w:szCs w:val="24"/>
          <w:highlight w:val="none"/>
        </w:rPr>
      </w:pPr>
    </w:p>
    <w:p w14:paraId="7B2BD4E8">
      <w:pPr>
        <w:spacing w:line="360" w:lineRule="auto"/>
        <w:ind w:firstLine="482" w:firstLineChars="200"/>
        <w:rPr>
          <w:rFonts w:hint="eastAsia" w:ascii="宋体" w:hAnsi="宋体" w:eastAsia="宋体" w:cs="宋体"/>
          <w:b/>
          <w:bCs/>
          <w:sz w:val="24"/>
          <w:szCs w:val="24"/>
          <w:highlight w:val="none"/>
        </w:rPr>
      </w:pPr>
    </w:p>
    <w:p w14:paraId="3417B1C9">
      <w:pPr>
        <w:spacing w:line="360" w:lineRule="auto"/>
        <w:ind w:firstLine="482" w:firstLineChars="200"/>
        <w:rPr>
          <w:rFonts w:hint="eastAsia" w:ascii="宋体" w:hAnsi="宋体" w:eastAsia="宋体" w:cs="宋体"/>
          <w:b/>
          <w:bCs/>
          <w:sz w:val="24"/>
          <w:szCs w:val="24"/>
          <w:highlight w:val="none"/>
        </w:rPr>
      </w:pPr>
    </w:p>
    <w:p w14:paraId="5BDD5E12">
      <w:pPr>
        <w:pStyle w:val="4"/>
        <w:jc w:val="center"/>
        <w:rPr>
          <w:rFonts w:hint="eastAsia" w:ascii="宋体" w:hAnsi="宋体" w:eastAsia="宋体" w:cs="宋体"/>
          <w:highlight w:val="none"/>
        </w:rPr>
      </w:pPr>
      <w:bookmarkStart w:id="95" w:name="_Toc4517"/>
      <w:bookmarkStart w:id="96" w:name="_Toc118207764"/>
      <w:bookmarkStart w:id="97" w:name="_Toc8033"/>
      <w:r>
        <w:rPr>
          <w:rFonts w:hint="eastAsia" w:ascii="宋体" w:hAnsi="宋体" w:eastAsia="宋体" w:cs="宋体"/>
          <w:sz w:val="36"/>
          <w:szCs w:val="36"/>
          <w:highlight w:val="none"/>
        </w:rPr>
        <w:t>第五</w:t>
      </w:r>
      <w:r>
        <w:rPr>
          <w:rFonts w:hint="eastAsia" w:ascii="宋体" w:hAnsi="宋体" w:eastAsia="宋体" w:cs="宋体"/>
          <w:sz w:val="36"/>
          <w:szCs w:val="36"/>
          <w:highlight w:val="none"/>
          <w:lang w:val="en-US" w:eastAsia="zh-CN"/>
        </w:rPr>
        <w:t>章</w:t>
      </w:r>
      <w:r>
        <w:rPr>
          <w:rFonts w:hint="eastAsia" w:ascii="宋体" w:hAnsi="宋体" w:eastAsia="宋体" w:cs="宋体"/>
          <w:sz w:val="36"/>
          <w:szCs w:val="36"/>
          <w:highlight w:val="none"/>
        </w:rPr>
        <w:t xml:space="preserve">  采购合同</w:t>
      </w:r>
      <w:bookmarkEnd w:id="95"/>
      <w:bookmarkEnd w:id="96"/>
      <w:bookmarkEnd w:id="97"/>
    </w:p>
    <w:p w14:paraId="52D2802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8"/>
          <w:highlight w:val="none"/>
          <w:u w:val="single"/>
        </w:rPr>
      </w:pPr>
      <w:r>
        <w:rPr>
          <w:rFonts w:hint="eastAsia" w:ascii="宋体" w:hAnsi="宋体" w:eastAsia="宋体" w:cs="宋体"/>
          <w:sz w:val="24"/>
          <w:highlight w:val="none"/>
        </w:rPr>
        <w:t>　甲方</w:t>
      </w:r>
      <w:r>
        <w:rPr>
          <w:rFonts w:hint="eastAsia" w:ascii="宋体" w:hAnsi="宋体" w:eastAsia="宋体" w:cs="宋体"/>
          <w:sz w:val="28"/>
          <w:highlight w:val="none"/>
        </w:rPr>
        <w:t>：</w:t>
      </w:r>
      <w:r>
        <w:rPr>
          <w:rFonts w:hint="eastAsia" w:ascii="宋体" w:hAnsi="宋体" w:eastAsia="宋体" w:cs="宋体"/>
          <w:sz w:val="28"/>
          <w:highlight w:val="none"/>
          <w:u w:val="single"/>
        </w:rPr>
        <w:t>　　　　　　　　　　　　　</w:t>
      </w:r>
    </w:p>
    <w:p w14:paraId="0E3776F5">
      <w:pPr>
        <w:keepNext w:val="0"/>
        <w:keepLines w:val="0"/>
        <w:pageBreakBefore w:val="0"/>
        <w:kinsoku/>
        <w:wordWrap/>
        <w:overflowPunct/>
        <w:topLinePunct w:val="0"/>
        <w:autoSpaceDE/>
        <w:autoSpaceDN/>
        <w:bidi w:val="0"/>
        <w:adjustRightInd/>
        <w:spacing w:line="500" w:lineRule="exact"/>
        <w:ind w:firstLine="720" w:firstLineChars="300"/>
        <w:jc w:val="left"/>
        <w:textAlignment w:val="auto"/>
        <w:rPr>
          <w:rFonts w:hint="eastAsia" w:ascii="宋体" w:hAnsi="宋体" w:eastAsia="宋体" w:cs="宋体"/>
          <w:sz w:val="28"/>
          <w:highlight w:val="none"/>
          <w:u w:val="single"/>
        </w:rPr>
      </w:pPr>
      <w:r>
        <w:rPr>
          <w:rFonts w:hint="eastAsia" w:ascii="宋体" w:hAnsi="宋体" w:eastAsia="宋体" w:cs="宋体"/>
          <w:sz w:val="24"/>
          <w:highlight w:val="none"/>
        </w:rPr>
        <w:t>乙方</w:t>
      </w:r>
      <w:r>
        <w:rPr>
          <w:rFonts w:hint="eastAsia" w:ascii="宋体" w:hAnsi="宋体" w:eastAsia="宋体" w:cs="宋体"/>
          <w:sz w:val="28"/>
          <w:highlight w:val="none"/>
        </w:rPr>
        <w:t>：</w:t>
      </w:r>
      <w:r>
        <w:rPr>
          <w:rFonts w:hint="eastAsia" w:ascii="宋体" w:hAnsi="宋体" w:eastAsia="宋体" w:cs="宋体"/>
          <w:sz w:val="28"/>
          <w:highlight w:val="none"/>
          <w:u w:val="single"/>
        </w:rPr>
        <w:t>　　　　　　　　　　　　　</w:t>
      </w:r>
    </w:p>
    <w:p w14:paraId="7AE95704">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根据《中华人民共和国民法典》、政府采购编号为</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询价文件、中标人投标文件的规定，经公开招标，签订本合同。</w:t>
      </w:r>
    </w:p>
    <w:p w14:paraId="4A3199A4">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一、货物内容</w:t>
      </w:r>
    </w:p>
    <w:p w14:paraId="5A8FEC1C">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货物名称：</w:t>
      </w:r>
    </w:p>
    <w:p w14:paraId="6B3482DF">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数量（单位）：</w:t>
      </w:r>
    </w:p>
    <w:p w14:paraId="7AE31459">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质量标准：</w:t>
      </w:r>
    </w:p>
    <w:p w14:paraId="09D1E359">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型号规格：</w:t>
      </w:r>
    </w:p>
    <w:p w14:paraId="3DF393D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技术参数：</w:t>
      </w:r>
    </w:p>
    <w:p w14:paraId="4582BE91">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二、价款支付</w:t>
      </w:r>
    </w:p>
    <w:p w14:paraId="57D8C152">
      <w:pPr>
        <w:pStyle w:val="19"/>
        <w:keepNext w:val="0"/>
        <w:keepLines w:val="0"/>
        <w:pageBreakBefore w:val="0"/>
        <w:kinsoku/>
        <w:wordWrap/>
        <w:overflowPunct/>
        <w:topLinePunct w:val="0"/>
        <w:autoSpaceDE/>
        <w:autoSpaceDN/>
        <w:bidi w:val="0"/>
        <w:adjustRightInd/>
        <w:snapToGrid w:val="0"/>
        <w:spacing w:line="500" w:lineRule="exact"/>
        <w:ind w:right="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本合同金额为（大写）：____________________元（￥_______________元）</w:t>
      </w:r>
    </w:p>
    <w:p w14:paraId="62F9DB05">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三、技术资料</w:t>
      </w:r>
    </w:p>
    <w:p w14:paraId="4D7C071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乙方应按招标文件规定的要求、时间和方式向甲方提供使用货物的有关技术资料。</w:t>
      </w:r>
    </w:p>
    <w:p w14:paraId="680F44DC">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D9D97E7">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四、知识产权</w:t>
      </w:r>
    </w:p>
    <w:p w14:paraId="10D20273">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乙方保证所提供的货物或其任何一部分组成均不侵犯任何第三方的知识产权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因乙方货物的知识产权引起的法律责任全部由乙方承担。</w:t>
      </w:r>
    </w:p>
    <w:p w14:paraId="19A4D70E">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五、履约保证金</w:t>
      </w:r>
    </w:p>
    <w:p w14:paraId="4178EAF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中标金额</w:t>
      </w:r>
      <w:r>
        <w:rPr>
          <w:rFonts w:hint="eastAsia" w:ascii="宋体" w:hAnsi="宋体" w:eastAsia="宋体" w:cs="宋体"/>
          <w:snapToGrid w:val="0"/>
          <w:color w:val="auto"/>
          <w:sz w:val="24"/>
          <w:szCs w:val="24"/>
          <w:highlight w:val="none"/>
        </w:rPr>
        <w:t>的 1 %；中标人在收到中标通知书之日起5个工作日内缴纳履约保证金，</w:t>
      </w:r>
      <w:r>
        <w:rPr>
          <w:rFonts w:hint="eastAsia" w:ascii="宋体" w:hAnsi="宋体" w:eastAsia="宋体" w:cs="宋体"/>
          <w:snapToGrid w:val="0"/>
          <w:color w:val="auto"/>
          <w:sz w:val="24"/>
          <w:szCs w:val="24"/>
          <w:highlight w:val="none"/>
          <w:lang w:val="en-US" w:eastAsia="zh-CN"/>
        </w:rPr>
        <w:t>服务期满后</w:t>
      </w:r>
      <w:r>
        <w:rPr>
          <w:rFonts w:hint="eastAsia" w:ascii="宋体" w:hAnsi="宋体" w:eastAsia="宋体" w:cs="宋体"/>
          <w:snapToGrid w:val="0"/>
          <w:color w:val="auto"/>
          <w:sz w:val="24"/>
          <w:szCs w:val="24"/>
          <w:highlight w:val="none"/>
        </w:rPr>
        <w:t>1个月内无息退还。（允许保函，保函有效期须在本项目约定完工日期之日起30日历天后）</w:t>
      </w:r>
    </w:p>
    <w:p w14:paraId="46B8CC27">
      <w:pPr>
        <w:keepNext w:val="0"/>
        <w:keepLines w:val="0"/>
        <w:pageBreakBefore w:val="0"/>
        <w:numPr>
          <w:ilvl w:val="0"/>
          <w:numId w:val="0"/>
        </w:numPr>
        <w:kinsoku/>
        <w:wordWrap/>
        <w:overflowPunct/>
        <w:topLinePunct w:val="0"/>
        <w:autoSpaceDE/>
        <w:autoSpaceDN/>
        <w:bidi w:val="0"/>
        <w:adjustRightInd/>
        <w:spacing w:line="500" w:lineRule="exact"/>
        <w:ind w:leftChars="0" w:firstLine="482" w:firstLineChars="200"/>
        <w:textAlignment w:val="auto"/>
        <w:rPr>
          <w:rFonts w:hint="eastAsia" w:ascii="宋体" w:hAnsi="宋体" w:cs="宋体"/>
          <w:b/>
          <w:color w:val="auto"/>
          <w:sz w:val="24"/>
          <w:szCs w:val="24"/>
          <w:highlight w:val="none"/>
          <w:lang w:val="en-US" w:eastAsia="zh-CN"/>
        </w:rPr>
      </w:pPr>
    </w:p>
    <w:p w14:paraId="4EA1ED60">
      <w:pPr>
        <w:keepNext w:val="0"/>
        <w:keepLines w:val="0"/>
        <w:pageBreakBefore w:val="0"/>
        <w:numPr>
          <w:ilvl w:val="0"/>
          <w:numId w:val="0"/>
        </w:numPr>
        <w:kinsoku/>
        <w:wordWrap/>
        <w:overflowPunct/>
        <w:topLinePunct w:val="0"/>
        <w:autoSpaceDE/>
        <w:autoSpaceDN/>
        <w:bidi w:val="0"/>
        <w:adjustRightInd/>
        <w:spacing w:line="500" w:lineRule="exact"/>
        <w:ind w:leftChars="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lang w:val="en-US" w:eastAsia="zh-CN"/>
        </w:rPr>
        <w:t>供货期</w:t>
      </w:r>
    </w:p>
    <w:p w14:paraId="72BD6430">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合同签订后30天内完成供货、安装，设备安装调试。</w:t>
      </w:r>
    </w:p>
    <w:p w14:paraId="711D8CA6">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七、付款方式</w:t>
      </w:r>
    </w:p>
    <w:p w14:paraId="1D66F8FB">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付款方式：设备到场经相关人员签字确认，且安装完成后一个月内支付该批设备价款的50%，调试运行验收合格后支付至该批设备价款的95%，余款5%作为维修基金，待质量保修期满无质量问题后一个月内付清（不计息）。</w:t>
      </w:r>
    </w:p>
    <w:p w14:paraId="31DF30C9">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、交货期、交货方式及交货地点</w:t>
      </w:r>
    </w:p>
    <w:p w14:paraId="3803FB0F">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.1 交货期：</w:t>
      </w:r>
    </w:p>
    <w:p w14:paraId="16995870">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 交货方式：</w:t>
      </w:r>
    </w:p>
    <w:p w14:paraId="5001E62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3 交货地点：</w:t>
      </w:r>
    </w:p>
    <w:p w14:paraId="2B3B2B35">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、货物包装、发运及运输</w:t>
      </w:r>
    </w:p>
    <w:p w14:paraId="74D280CE">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 乙方应在货物发运前对其进行满足运输距离、防潮、防震、防锈、防破损和装卸等要求进行包装，以保证货物安全运达甲方指定地点。</w:t>
      </w:r>
    </w:p>
    <w:p w14:paraId="59A35876">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货物</w:t>
      </w:r>
      <w:r>
        <w:rPr>
          <w:rFonts w:hint="eastAsia" w:ascii="宋体" w:hAnsi="宋体" w:eastAsia="宋体" w:cs="宋体"/>
          <w:color w:val="auto"/>
          <w:sz w:val="24"/>
          <w:szCs w:val="24"/>
          <w:highlight w:val="none"/>
        </w:rPr>
        <w:t>使用说明书、质量检验证明书、随配附件和工具以及清单一并附于货物内运送。</w:t>
      </w:r>
    </w:p>
    <w:p w14:paraId="0731F464">
      <w:pPr>
        <w:keepNext w:val="0"/>
        <w:keepLines w:val="0"/>
        <w:pageBreakBefore w:val="0"/>
        <w:kinsoku/>
        <w:wordWrap/>
        <w:overflowPunct/>
        <w:topLinePunct w:val="0"/>
        <w:autoSpaceDE/>
        <w:autoSpaceDN/>
        <w:bidi w:val="0"/>
        <w:adjustRightInd/>
        <w:spacing w:line="500" w:lineRule="exact"/>
        <w:ind w:firstLine="468" w:firstLineChars="200"/>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9</w:t>
      </w:r>
      <w:r>
        <w:rPr>
          <w:rFonts w:hint="eastAsia" w:ascii="宋体" w:hAnsi="宋体" w:eastAsia="宋体" w:cs="宋体"/>
          <w:color w:val="auto"/>
          <w:spacing w:val="-3"/>
          <w:sz w:val="24"/>
          <w:szCs w:val="24"/>
          <w:highlight w:val="none"/>
        </w:rPr>
        <w:t>.3 乙方在货物发运手续办理完毕后</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小时内或货到甲方</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小时前通知甲方，以便甲方准备接货。</w:t>
      </w:r>
    </w:p>
    <w:p w14:paraId="5B90D13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.4 货物在甲方初步验收合格</w:t>
      </w:r>
      <w:r>
        <w:rPr>
          <w:rFonts w:hint="eastAsia" w:ascii="宋体" w:hAnsi="宋体" w:eastAsia="宋体" w:cs="宋体"/>
          <w:color w:val="auto"/>
          <w:sz w:val="24"/>
          <w:szCs w:val="24"/>
          <w:highlight w:val="none"/>
          <w:u w:val="single"/>
        </w:rPr>
        <w:t>签收前</w:t>
      </w:r>
      <w:r>
        <w:rPr>
          <w:rFonts w:hint="eastAsia" w:ascii="宋体" w:hAnsi="宋体" w:eastAsia="宋体" w:cs="宋体"/>
          <w:color w:val="auto"/>
          <w:sz w:val="24"/>
          <w:szCs w:val="24"/>
          <w:highlight w:val="none"/>
        </w:rPr>
        <w:t>发生的风险均由乙方负责。</w:t>
      </w:r>
    </w:p>
    <w:p w14:paraId="438B3A25">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、调试和验收</w:t>
      </w:r>
    </w:p>
    <w:p w14:paraId="196E739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rPr>
        <w:t>甲方对乙方提交的货物依据</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采购文件上的技术规格要求和国家有关质量标准进行现场初步验收，外观、说明书符合</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采购文件技术要求的，给予签收，初步验收不合格的不予签收。货到后，甲方需在五个工作日内验收。</w:t>
      </w:r>
    </w:p>
    <w:p w14:paraId="5F9312BC">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10.2</w:t>
      </w:r>
      <w:r>
        <w:rPr>
          <w:rFonts w:hint="eastAsia" w:ascii="宋体" w:hAnsi="宋体" w:eastAsia="宋体" w:cs="宋体"/>
          <w:color w:val="auto"/>
          <w:sz w:val="24"/>
          <w:szCs w:val="24"/>
          <w:highlight w:val="none"/>
        </w:rPr>
        <w:t>乙方交货前应对产品作出全面检查和对验收文件进行整理，并列出清单，作为甲方收货验收和使用的技术条件依据，检验的结果应随货物交甲方。</w:t>
      </w:r>
    </w:p>
    <w:p w14:paraId="1E8FD36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10.3</w:t>
      </w:r>
      <w:r>
        <w:rPr>
          <w:rFonts w:hint="eastAsia" w:ascii="宋体" w:hAnsi="宋体" w:eastAsia="宋体" w:cs="宋体"/>
          <w:color w:val="auto"/>
          <w:sz w:val="24"/>
          <w:szCs w:val="24"/>
          <w:highlight w:val="none"/>
        </w:rPr>
        <w:t>甲方对乙方提供的货物在使用前进行调试时，乙方需负责安装并培训甲方的使用操作人员，并协助甲方一起调试，直到符合技术要求，甲方才做最终验收。</w:t>
      </w:r>
    </w:p>
    <w:p w14:paraId="0EDF377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对技术复杂的货物，甲方应请国家认可的专业检测机构参与初步验收及最终验收，并由其出具质量检测报告。</w:t>
      </w:r>
    </w:p>
    <w:p w14:paraId="0AC5FEF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w:t>
      </w:r>
      <w:r>
        <w:rPr>
          <w:rFonts w:hint="eastAsia" w:ascii="宋体" w:hAnsi="宋体" w:eastAsia="宋体" w:cs="宋体"/>
          <w:color w:val="auto"/>
          <w:sz w:val="24"/>
          <w:szCs w:val="24"/>
          <w:highlight w:val="none"/>
        </w:rPr>
        <w:t>验收时乙方必须在现场，验收完毕后作出验收结果报告；验收费用由甲方负责。</w:t>
      </w:r>
    </w:p>
    <w:p w14:paraId="0592EFFA">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、税费承担</w:t>
      </w:r>
    </w:p>
    <w:p w14:paraId="3FFA81FF">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本合同履行中相关的一切税费均由乙方承担。</w:t>
      </w:r>
    </w:p>
    <w:p w14:paraId="31D43678">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、质量保证期和售后服务</w:t>
      </w:r>
    </w:p>
    <w:p w14:paraId="5987E26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质量保证期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年（自货物最终验收合格之日起计算</w:t>
      </w:r>
      <w:r>
        <w:rPr>
          <w:rFonts w:hint="eastAsia" w:ascii="宋体" w:hAnsi="宋体" w:eastAsia="宋体" w:cs="宋体"/>
          <w:i/>
          <w:color w:val="auto"/>
          <w:sz w:val="24"/>
          <w:szCs w:val="24"/>
          <w:highlight w:val="none"/>
        </w:rPr>
        <w:t>）</w:t>
      </w:r>
      <w:r>
        <w:rPr>
          <w:rFonts w:hint="eastAsia" w:ascii="宋体" w:hAnsi="宋体" w:eastAsia="宋体" w:cs="宋体"/>
          <w:color w:val="auto"/>
          <w:sz w:val="24"/>
          <w:szCs w:val="24"/>
          <w:highlight w:val="none"/>
        </w:rPr>
        <w:t>。</w:t>
      </w:r>
    </w:p>
    <w:p w14:paraId="16981997">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乙方提供的货物存在质量问题，或者达不到技术要求的，根据实际情况，甲方有权选择以下办法处理：</w:t>
      </w:r>
    </w:p>
    <w:p w14:paraId="690626DC">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□⑴更换：由乙方承担更换货物所发生的全部费用。</w:t>
      </w:r>
    </w:p>
    <w:p w14:paraId="55A7918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1F3B5BF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□⑶退货处理：乙方应退还甲方支付的合同货款，同时应承担该货物的直接费用（包括运输、保险、检验、货款利息及银行手续费等）。</w:t>
      </w:r>
    </w:p>
    <w:p w14:paraId="571FCED4">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如在使用过程中发生质量问题，乙方在接到甲方通知后在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小时内到达甲方现场。</w:t>
      </w:r>
    </w:p>
    <w:p w14:paraId="02BDC9CE">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在质保期内，乙方对货物出现的质量及安全问题负责处理解决并承担一切费用。</w:t>
      </w:r>
    </w:p>
    <w:p w14:paraId="293B941D">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、违约责任</w:t>
      </w:r>
    </w:p>
    <w:p w14:paraId="2A34CD53">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甲方无正当理由拒收货物的，向乙方支付拒收货物总价款的百分之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违约金。</w:t>
      </w:r>
    </w:p>
    <w:p w14:paraId="4E7D7B7E">
      <w:pPr>
        <w:keepNext w:val="0"/>
        <w:keepLines w:val="0"/>
        <w:pageBreakBefore w:val="0"/>
        <w:kinsoku/>
        <w:wordWrap/>
        <w:overflowPunct/>
        <w:topLinePunct w:val="0"/>
        <w:autoSpaceDE/>
        <w:autoSpaceDN/>
        <w:bidi w:val="0"/>
        <w:adjustRightInd/>
        <w:spacing w:line="50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.2 甲方无故逾期验收或逾期付款的，应按逾期付款总额每日万分之</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向乙方支付违约金。</w:t>
      </w:r>
    </w:p>
    <w:p w14:paraId="280FEA1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乙方逾期交付货物的，应按逾期交货总价款每日千分之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向甲方支付违约金，由甲方从待付货款中扣除。逾期超过约定日期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个工作日不能交货的，甲方可解除本合同。乙方因逾期交货或因其他违约行为导致甲方解除合同的，乙方应向甲方支付合同总价款百分之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的违约金，如造成甲方损失超过违约金的，超出部分由乙方继续承担赔偿责任。 </w:t>
      </w:r>
    </w:p>
    <w:p w14:paraId="10ACF54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乙方所交的货物品种、型号、规格、技术参数、质量不符合合同约定及招标文件规定标准的，甲方有权拒收该货物或解除合同。乙方愿意更换货物但逾期交货的，按乙方逾期交货处理。乙方拒绝更换货物的，甲方有权解除合同，</w:t>
      </w:r>
      <w:r>
        <w:rPr>
          <w:rFonts w:hint="eastAsia" w:ascii="宋体" w:hAnsi="宋体" w:eastAsia="宋体" w:cs="宋体"/>
          <w:color w:val="auto"/>
          <w:sz w:val="24"/>
          <w:szCs w:val="24"/>
          <w:highlight w:val="none"/>
          <w:u w:val="single"/>
        </w:rPr>
        <w:t>乙方向甲方承担货款总额20%的违约金。</w:t>
      </w:r>
    </w:p>
    <w:p w14:paraId="74748ED6">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.5乙方未依约交纳履约保证金、提供技术资料、承担保密义务的，依合同总价款的10%向甲方支付违约金。</w:t>
      </w:r>
    </w:p>
    <w:p w14:paraId="475D555E">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.6如有转让、分包或委托交付行为，甲方有权解除合同，履约保证金不予退还。如造成损失超过履约保证金金额的，超出部分由乙方继续承担赔偿责任。</w:t>
      </w:r>
    </w:p>
    <w:p w14:paraId="18F53E3C">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十三、不可抗力事件处理</w:t>
      </w:r>
    </w:p>
    <w:p w14:paraId="34D2B790">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在合同有效期内，任何一方因不可抗力事件导致不能履行合同，则合同履行期可延长，其延长期与不可抗力影响期相同。</w:t>
      </w:r>
    </w:p>
    <w:p w14:paraId="33EA50C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不可抗力事件发生后，应立即通知对方，并寄送有关权威机构出具的证明。</w:t>
      </w:r>
    </w:p>
    <w:p w14:paraId="2F02D3B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不可抗力事件延续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天以上，是否继续履行合同双方协商解决。</w:t>
      </w:r>
    </w:p>
    <w:p w14:paraId="789DF46C">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十四、争议处理</w:t>
      </w:r>
    </w:p>
    <w:p w14:paraId="4126C9BF">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本合同履行过程中发生的任何争议，双方当事人均可通过和解或者调解解决；不愿和解、调解或者和解、调解不成的，可以选择以下第条款规定的方式解决：</w:t>
      </w:r>
    </w:p>
    <w:p w14:paraId="3CD31110">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将争议提交</w:t>
      </w:r>
      <w:r>
        <w:rPr>
          <w:rFonts w:hint="eastAsia" w:ascii="宋体" w:hAnsi="宋体" w:eastAsia="宋体" w:cs="宋体"/>
          <w:color w:val="auto"/>
          <w:sz w:val="24"/>
          <w:szCs w:val="24"/>
          <w:highlight w:val="none"/>
          <w:lang w:val="en-US" w:eastAsia="zh-CN"/>
        </w:rPr>
        <w:t>绍兴</w:t>
      </w:r>
      <w:r>
        <w:rPr>
          <w:rFonts w:hint="eastAsia" w:ascii="宋体" w:hAnsi="宋体" w:eastAsia="宋体" w:cs="宋体"/>
          <w:color w:val="auto"/>
          <w:sz w:val="24"/>
          <w:szCs w:val="24"/>
          <w:highlight w:val="none"/>
        </w:rPr>
        <w:t>仲裁委员会</w:t>
      </w:r>
      <w:r>
        <w:rPr>
          <w:rFonts w:hint="eastAsia" w:ascii="宋体" w:hAnsi="宋体" w:eastAsia="宋体" w:cs="宋体"/>
          <w:color w:val="auto"/>
          <w:sz w:val="24"/>
          <w:szCs w:val="24"/>
          <w:highlight w:val="none"/>
          <w:lang w:val="en-US" w:eastAsia="zh-CN"/>
        </w:rPr>
        <w:t>嵊州工作站</w:t>
      </w:r>
      <w:r>
        <w:rPr>
          <w:rFonts w:hint="eastAsia" w:ascii="宋体" w:hAnsi="宋体" w:eastAsia="宋体" w:cs="宋体"/>
          <w:color w:val="auto"/>
          <w:sz w:val="24"/>
          <w:szCs w:val="24"/>
          <w:highlight w:val="none"/>
        </w:rPr>
        <w:t>依申请仲裁时其现行有效的仲裁规则裁决；</w:t>
      </w:r>
    </w:p>
    <w:p w14:paraId="5F3604C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嵊州市</w:t>
      </w:r>
      <w:r>
        <w:rPr>
          <w:rFonts w:hint="eastAsia" w:ascii="宋体" w:hAnsi="宋体" w:eastAsia="宋体" w:cs="宋体"/>
          <w:color w:val="auto"/>
          <w:sz w:val="24"/>
          <w:szCs w:val="24"/>
          <w:highlight w:val="none"/>
        </w:rPr>
        <w:t>人民法院起诉。</w:t>
      </w:r>
    </w:p>
    <w:p w14:paraId="4780805E">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十五、合同生效及其它</w:t>
      </w:r>
    </w:p>
    <w:p w14:paraId="09084D8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合同经双方法定代表人（负责人）或委托代理人签字并加盖单位公章后生效。</w:t>
      </w:r>
    </w:p>
    <w:p w14:paraId="7A6B860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本合同未尽事宜，遵照《中华人民共和国合同民法典》有关条文执行。</w:t>
      </w:r>
    </w:p>
    <w:p w14:paraId="5A2CCA24">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本合同一式四份，具有同等法律效力，甲乙双方、天台县财政局、招标代理机构各执一份。 </w:t>
      </w:r>
    </w:p>
    <w:p w14:paraId="532B7FB2">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甲方（盖章）：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乙方（盖章）：</w:t>
      </w:r>
      <w:r>
        <w:rPr>
          <w:rFonts w:hint="eastAsia" w:ascii="宋体" w:hAnsi="宋体" w:eastAsia="宋体" w:cs="宋体"/>
          <w:color w:val="auto"/>
          <w:kern w:val="0"/>
          <w:sz w:val="24"/>
          <w:szCs w:val="24"/>
          <w:highlight w:val="none"/>
          <w:u w:val="single"/>
        </w:rPr>
        <w:t xml:space="preserve">                         </w:t>
      </w:r>
    </w:p>
    <w:p w14:paraId="756F6C25">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p>
    <w:p w14:paraId="6ABE84F2">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法定代表人或</w:t>
      </w:r>
    </w:p>
    <w:p w14:paraId="7E2C4C4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授权代表（签字）: </w:t>
      </w:r>
    </w:p>
    <w:p w14:paraId="5B1648B8">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4BF9BED8">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3108BF1F">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开户账号：</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开户账号：</w:t>
      </w:r>
    </w:p>
    <w:p w14:paraId="7E892F22">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签约日期：                               签约日期：</w:t>
      </w:r>
    </w:p>
    <w:p w14:paraId="6135FB4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highlight w:val="none"/>
          <w:lang w:val="en-US" w:eastAsia="zh-CN"/>
        </w:rPr>
      </w:pPr>
    </w:p>
    <w:p w14:paraId="4922F26F">
      <w:pPr>
        <w:pStyle w:val="40"/>
        <w:rPr>
          <w:rFonts w:hint="eastAsia" w:ascii="宋体" w:hAnsi="宋体" w:eastAsia="宋体" w:cs="宋体"/>
          <w:highlight w:val="none"/>
        </w:rPr>
      </w:pPr>
    </w:p>
    <w:p w14:paraId="155DDB6B">
      <w:pPr>
        <w:rPr>
          <w:rFonts w:hint="eastAsia" w:ascii="宋体" w:hAnsi="宋体" w:eastAsia="宋体" w:cs="宋体"/>
          <w:sz w:val="36"/>
          <w:szCs w:val="36"/>
          <w:highlight w:val="none"/>
        </w:rPr>
      </w:pPr>
      <w:bookmarkStart w:id="98" w:name="_Toc118207765"/>
      <w:bookmarkStart w:id="99" w:name="_Toc7690"/>
      <w:bookmarkStart w:id="100" w:name="_Toc4669"/>
      <w:r>
        <w:rPr>
          <w:rFonts w:hint="eastAsia" w:ascii="宋体" w:hAnsi="宋体" w:eastAsia="宋体" w:cs="宋体"/>
          <w:sz w:val="36"/>
          <w:szCs w:val="36"/>
          <w:highlight w:val="none"/>
        </w:rPr>
        <w:br w:type="page"/>
      </w:r>
    </w:p>
    <w:p w14:paraId="5646103D">
      <w:pPr>
        <w:pStyle w:val="4"/>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第六部分  应提交的有关格式范例</w:t>
      </w:r>
      <w:bookmarkEnd w:id="98"/>
      <w:bookmarkEnd w:id="99"/>
      <w:bookmarkEnd w:id="100"/>
    </w:p>
    <w:p w14:paraId="29DF4D4B">
      <w:pPr>
        <w:spacing w:line="360" w:lineRule="auto"/>
        <w:ind w:firstLine="480" w:firstLineChars="200"/>
        <w:outlineLvl w:val="0"/>
        <w:rPr>
          <w:rFonts w:hint="eastAsia" w:ascii="宋体" w:hAnsi="宋体" w:eastAsia="宋体" w:cs="宋体"/>
          <w:sz w:val="24"/>
          <w:szCs w:val="24"/>
          <w:highlight w:val="none"/>
        </w:rPr>
      </w:pPr>
    </w:p>
    <w:p w14:paraId="6E6B9DF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供应商按照以下格式编制响应文件，</w:t>
      </w:r>
      <w:r>
        <w:rPr>
          <w:rFonts w:hint="eastAsia" w:ascii="宋体" w:hAnsi="宋体" w:eastAsia="宋体" w:cs="宋体"/>
          <w:b/>
          <w:bCs/>
          <w:sz w:val="24"/>
          <w:szCs w:val="24"/>
          <w:highlight w:val="none"/>
        </w:rPr>
        <w:t>“资格文件”、“商务技术文件”、“报价文件”须分3个PDF格式分别导入。</w:t>
      </w:r>
    </w:p>
    <w:p w14:paraId="19742C23">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此格式内容仅为参考模板，具体内容供应商应根据询价文件要求进行调整。未按以下格式编制响应文件或因格式不规范、页码不清等原因引发的一切后果由供应商自行承担。</w:t>
      </w:r>
    </w:p>
    <w:p w14:paraId="6FD8A5EF">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36"/>
          <w:szCs w:val="36"/>
          <w:highlight w:val="none"/>
        </w:rPr>
        <w:t>资格文件部分</w:t>
      </w:r>
    </w:p>
    <w:p w14:paraId="34EBD0A9">
      <w:pPr>
        <w:spacing w:line="360" w:lineRule="auto"/>
        <w:jc w:val="center"/>
        <w:rPr>
          <w:rFonts w:hint="eastAsia" w:ascii="宋体" w:hAnsi="宋体" w:eastAsia="宋体" w:cs="宋体"/>
          <w:b/>
          <w:bCs/>
          <w:sz w:val="36"/>
          <w:szCs w:val="36"/>
          <w:highlight w:val="none"/>
        </w:rPr>
      </w:pPr>
    </w:p>
    <w:p w14:paraId="2D2E10C0">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目录</w:t>
      </w:r>
    </w:p>
    <w:p w14:paraId="4BE52D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5C67D7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（2）法定代表人（或单位负责人）授权委托书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79A5A550">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法定代表人（或单位负责人）及其授权代表身份证…………………（页码）</w:t>
      </w:r>
    </w:p>
    <w:p w14:paraId="5CDC5C1E">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（4）营业执照（或事业法人登记证书）……………………………………（页码）</w:t>
      </w:r>
    </w:p>
    <w:p w14:paraId="69F13451">
      <w:pPr>
        <w:snapToGri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自采购公告发布之日起至响应文件递交截止日内任意时间的“信用中国”网站（www.creditchina.gov.cn）、“中国政府采购网”（www.ccgp.gov.cn）响应方信用查询网页截图………………………………………………（页码）</w:t>
      </w:r>
    </w:p>
    <w:p w14:paraId="6F671711">
      <w:pPr>
        <w:snapToGrid w:val="0"/>
        <w:spacing w:line="360" w:lineRule="auto"/>
        <w:rPr>
          <w:rFonts w:hint="eastAsia" w:ascii="宋体" w:hAnsi="宋体" w:eastAsia="宋体" w:cs="宋体"/>
          <w:color w:val="auto"/>
          <w:sz w:val="24"/>
          <w:highlight w:val="none"/>
          <w:lang w:val="en-US" w:eastAsia="zh-CN"/>
        </w:rPr>
      </w:pPr>
    </w:p>
    <w:p w14:paraId="23F48337">
      <w:pPr>
        <w:pStyle w:val="18"/>
        <w:ind w:firstLine="486"/>
        <w:rPr>
          <w:rFonts w:hint="eastAsia" w:ascii="宋体" w:hAnsi="宋体" w:eastAsia="宋体" w:cs="宋体"/>
          <w:highlight w:val="none"/>
        </w:rPr>
      </w:pPr>
    </w:p>
    <w:p w14:paraId="433C1A98">
      <w:pPr>
        <w:pStyle w:val="18"/>
        <w:ind w:firstLine="486"/>
        <w:rPr>
          <w:rFonts w:hint="eastAsia" w:ascii="宋体" w:hAnsi="宋体" w:eastAsia="宋体" w:cs="宋体"/>
          <w:highlight w:val="none"/>
        </w:rPr>
      </w:pPr>
    </w:p>
    <w:p w14:paraId="4043661F">
      <w:pPr>
        <w:rPr>
          <w:rFonts w:hint="eastAsia" w:ascii="宋体" w:hAnsi="宋体" w:eastAsia="宋体" w:cs="宋体"/>
          <w:highlight w:val="none"/>
        </w:rPr>
      </w:pPr>
      <w:r>
        <w:rPr>
          <w:rFonts w:hint="eastAsia" w:ascii="宋体" w:hAnsi="宋体" w:eastAsia="宋体" w:cs="宋体"/>
          <w:highlight w:val="none"/>
        </w:rPr>
        <w:br w:type="page"/>
      </w:r>
      <w:bookmarkStart w:id="101" w:name="_Toc24699"/>
    </w:p>
    <w:bookmarkEnd w:id="101"/>
    <w:p w14:paraId="18718A24">
      <w:pPr>
        <w:snapToGrid w:val="0"/>
        <w:spacing w:line="360" w:lineRule="auto"/>
        <w:ind w:right="48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en-US" w:eastAsia="zh-CN"/>
        </w:rPr>
        <w:t>附件1：</w:t>
      </w:r>
      <w:r>
        <w:rPr>
          <w:rFonts w:hint="eastAsia" w:ascii="宋体" w:hAnsi="宋体" w:eastAsia="宋体" w:cs="宋体"/>
          <w:b/>
          <w:color w:val="auto"/>
          <w:kern w:val="0"/>
          <w:sz w:val="32"/>
          <w:szCs w:val="32"/>
          <w:highlight w:val="none"/>
        </w:rPr>
        <w:t xml:space="preserve"> </w:t>
      </w:r>
    </w:p>
    <w:p w14:paraId="5FCB15F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 符合参加政府采购活动应当具备的一般条件的承诺函</w:t>
      </w:r>
    </w:p>
    <w:p w14:paraId="3A47922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9886F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7995345A">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E8655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952F7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3E763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E73B0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6AFEC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7F066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B828C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DC89B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75DDA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5FEB9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D2FC796">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262CA9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1C045F0">
      <w:pPr>
        <w:snapToGrid w:val="0"/>
        <w:spacing w:line="360" w:lineRule="auto"/>
        <w:ind w:right="480"/>
        <w:jc w:val="center"/>
        <w:rPr>
          <w:rFonts w:hint="eastAsia" w:ascii="宋体" w:hAnsi="宋体" w:eastAsia="宋体" w:cs="宋体"/>
          <w:b/>
          <w:color w:val="auto"/>
          <w:kern w:val="0"/>
          <w:sz w:val="32"/>
          <w:szCs w:val="32"/>
          <w:highlight w:val="none"/>
        </w:rPr>
      </w:pPr>
    </w:p>
    <w:p w14:paraId="57E88839">
      <w:pPr>
        <w:snapToGrid w:val="0"/>
        <w:spacing w:line="360" w:lineRule="auto"/>
        <w:ind w:right="480"/>
        <w:jc w:val="center"/>
        <w:rPr>
          <w:rFonts w:hint="eastAsia" w:ascii="宋体" w:hAnsi="宋体" w:eastAsia="宋体" w:cs="宋体"/>
          <w:b/>
          <w:color w:val="auto"/>
          <w:kern w:val="0"/>
          <w:sz w:val="32"/>
          <w:szCs w:val="32"/>
          <w:highlight w:val="none"/>
        </w:rPr>
      </w:pPr>
    </w:p>
    <w:p w14:paraId="1F8DD841">
      <w:pPr>
        <w:snapToGrid w:val="0"/>
        <w:spacing w:line="360" w:lineRule="auto"/>
        <w:ind w:right="480"/>
        <w:jc w:val="center"/>
        <w:rPr>
          <w:rFonts w:hint="eastAsia" w:ascii="宋体" w:hAnsi="宋体" w:eastAsia="宋体" w:cs="宋体"/>
          <w:b/>
          <w:color w:val="auto"/>
          <w:kern w:val="0"/>
          <w:sz w:val="32"/>
          <w:szCs w:val="32"/>
          <w:highlight w:val="none"/>
        </w:rPr>
      </w:pPr>
    </w:p>
    <w:p w14:paraId="3E691D59">
      <w:pPr>
        <w:rPr>
          <w:rFonts w:hint="eastAsia" w:ascii="宋体" w:hAnsi="宋体" w:eastAsia="宋体" w:cs="宋体"/>
          <w:color w:val="auto"/>
          <w:highlight w:val="none"/>
        </w:rPr>
      </w:pPr>
    </w:p>
    <w:p w14:paraId="15990DD6">
      <w:pPr>
        <w:snapToGrid w:val="0"/>
        <w:spacing w:line="360" w:lineRule="auto"/>
        <w:ind w:right="480"/>
        <w:jc w:val="both"/>
        <w:rPr>
          <w:rFonts w:hint="eastAsia" w:ascii="宋体" w:hAnsi="宋体" w:eastAsia="宋体" w:cs="宋体"/>
          <w:b/>
          <w:color w:val="auto"/>
          <w:kern w:val="0"/>
          <w:sz w:val="32"/>
          <w:szCs w:val="32"/>
          <w:highlight w:val="none"/>
        </w:rPr>
      </w:pPr>
    </w:p>
    <w:p w14:paraId="7C911957">
      <w:pPr>
        <w:pStyle w:val="90"/>
        <w:shd w:val="clear" w:color="auto" w:fill="auto"/>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：法定代表人</w:t>
      </w:r>
      <w:r>
        <w:rPr>
          <w:rFonts w:hint="eastAsia" w:ascii="宋体" w:hAnsi="宋体" w:eastAsia="宋体" w:cs="宋体"/>
          <w:b/>
          <w:bCs/>
          <w:color w:val="auto"/>
          <w:sz w:val="28"/>
          <w:szCs w:val="28"/>
          <w:highlight w:val="none"/>
          <w:lang w:eastAsia="zh-CN"/>
        </w:rPr>
        <w:t>（或单位负责人）</w:t>
      </w:r>
      <w:r>
        <w:rPr>
          <w:rFonts w:hint="eastAsia" w:ascii="宋体" w:hAnsi="宋体" w:eastAsia="宋体" w:cs="宋体"/>
          <w:b/>
          <w:bCs/>
          <w:color w:val="auto"/>
          <w:sz w:val="28"/>
          <w:szCs w:val="28"/>
          <w:highlight w:val="none"/>
        </w:rPr>
        <w:t>授权委托书</w:t>
      </w:r>
    </w:p>
    <w:p w14:paraId="47358811">
      <w:pPr>
        <w:shd w:val="clear" w:color="auto" w:fill="auto"/>
        <w:snapToGrid w:val="0"/>
        <w:spacing w:before="50" w:after="50"/>
        <w:jc w:val="center"/>
        <w:rPr>
          <w:rFonts w:hint="eastAsia" w:ascii="宋体" w:hAnsi="宋体" w:eastAsia="宋体" w:cs="宋体"/>
          <w:b/>
          <w:color w:val="auto"/>
          <w:sz w:val="36"/>
          <w:szCs w:val="36"/>
          <w:highlight w:val="none"/>
        </w:rPr>
      </w:pPr>
    </w:p>
    <w:p w14:paraId="5E0BC764">
      <w:pPr>
        <w:shd w:val="clear" w:color="auto" w:fill="auto"/>
        <w:snapToGrid w:val="0"/>
        <w:spacing w:before="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w:t>
      </w:r>
      <w:r>
        <w:rPr>
          <w:rFonts w:hint="eastAsia" w:ascii="宋体" w:hAnsi="宋体" w:eastAsia="宋体" w:cs="宋体"/>
          <w:b/>
          <w:color w:val="auto"/>
          <w:sz w:val="36"/>
          <w:szCs w:val="36"/>
          <w:highlight w:val="none"/>
          <w:lang w:eastAsia="zh-CN"/>
        </w:rPr>
        <w:t>（或单位负责人）</w:t>
      </w:r>
      <w:r>
        <w:rPr>
          <w:rFonts w:hint="eastAsia" w:ascii="宋体" w:hAnsi="宋体" w:eastAsia="宋体" w:cs="宋体"/>
          <w:b/>
          <w:color w:val="auto"/>
          <w:sz w:val="36"/>
          <w:szCs w:val="36"/>
          <w:highlight w:val="none"/>
        </w:rPr>
        <w:t>授权委托书</w:t>
      </w:r>
    </w:p>
    <w:p w14:paraId="5715F2CA">
      <w:pPr>
        <w:shd w:val="clear" w:color="auto" w:fill="auto"/>
        <w:snapToGrid w:val="0"/>
        <w:spacing w:before="156" w:beforeLines="50" w:after="50" w:line="46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（采购代理机构或采购人名称）</w:t>
      </w:r>
      <w:r>
        <w:rPr>
          <w:rFonts w:hint="eastAsia" w:ascii="宋体" w:hAnsi="宋体" w:eastAsia="宋体" w:cs="宋体"/>
          <w:bCs/>
          <w:color w:val="auto"/>
          <w:sz w:val="24"/>
          <w:szCs w:val="24"/>
          <w:highlight w:val="none"/>
        </w:rPr>
        <w:t>：</w:t>
      </w:r>
    </w:p>
    <w:p w14:paraId="595ED70D">
      <w:pPr>
        <w:shd w:val="clear" w:color="auto" w:fill="auto"/>
        <w:snapToGrid w:val="0"/>
        <w:spacing w:before="156" w:beforeLines="50" w:after="50" w:line="4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（或单位负责人）</w:t>
      </w:r>
      <w:r>
        <w:rPr>
          <w:rFonts w:hint="eastAsia" w:ascii="宋体" w:hAnsi="宋体" w:eastAsia="宋体" w:cs="宋体"/>
          <w:color w:val="auto"/>
          <w:sz w:val="24"/>
          <w:szCs w:val="24"/>
          <w:highlight w:val="none"/>
        </w:rPr>
        <w:t xml:space="preserve">，现授权委托 </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为授权代表，以我方的名义参加</w:t>
      </w:r>
      <w:r>
        <w:rPr>
          <w:rFonts w:hint="eastAsia" w:ascii="宋体" w:hAnsi="宋体" w:eastAsia="宋体" w:cs="宋体"/>
          <w:color w:val="auto"/>
          <w:sz w:val="24"/>
          <w:szCs w:val="24"/>
          <w:highlight w:val="none"/>
          <w:u w:val="single"/>
        </w:rPr>
        <w:t xml:space="preserve">   （项目名称及编号）    </w:t>
      </w:r>
      <w:r>
        <w:rPr>
          <w:rFonts w:hint="eastAsia" w:ascii="宋体" w:hAnsi="宋体" w:eastAsia="宋体" w:cs="宋体"/>
          <w:color w:val="auto"/>
          <w:sz w:val="24"/>
          <w:szCs w:val="24"/>
          <w:highlight w:val="none"/>
        </w:rPr>
        <w:t>的投标活动，并代表我方全权办理针对上述项目的投标、开标、评标、签约等具体事务和签署相关文件。我方对授权代表的签名事项负全部认可并承担责任。</w:t>
      </w:r>
    </w:p>
    <w:p w14:paraId="4AC1023B">
      <w:pPr>
        <w:shd w:val="clear" w:color="auto" w:fill="auto"/>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2D284E4C">
      <w:pPr>
        <w:shd w:val="clear" w:color="auto" w:fill="auto"/>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075D453A">
      <w:pPr>
        <w:shd w:val="clear" w:color="auto" w:fill="auto"/>
        <w:snapToGrid w:val="0"/>
        <w:spacing w:before="156" w:beforeLines="50" w:after="50" w:line="460" w:lineRule="exact"/>
        <w:ind w:firstLine="480"/>
        <w:rPr>
          <w:rFonts w:hint="eastAsia" w:ascii="宋体" w:hAnsi="宋体" w:eastAsia="宋体" w:cs="宋体"/>
          <w:color w:val="auto"/>
          <w:sz w:val="24"/>
          <w:szCs w:val="24"/>
          <w:highlight w:val="none"/>
        </w:rPr>
      </w:pPr>
    </w:p>
    <w:p w14:paraId="2B22C37D">
      <w:pPr>
        <w:shd w:val="clear" w:color="auto" w:fill="auto"/>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p>
    <w:p w14:paraId="24422BAB">
      <w:pPr>
        <w:shd w:val="clear" w:color="auto" w:fill="auto"/>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45AE02E">
      <w:pPr>
        <w:shd w:val="clear" w:color="auto" w:fill="auto"/>
        <w:snapToGrid w:val="0"/>
        <w:spacing w:before="156" w:beforeLines="50" w:after="50" w:line="460" w:lineRule="exact"/>
        <w:rPr>
          <w:rFonts w:hint="eastAsia" w:ascii="宋体" w:hAnsi="宋体" w:eastAsia="宋体" w:cs="宋体"/>
          <w:color w:val="auto"/>
          <w:sz w:val="24"/>
          <w:szCs w:val="24"/>
          <w:highlight w:val="none"/>
        </w:rPr>
      </w:pPr>
    </w:p>
    <w:p w14:paraId="08B9C86C">
      <w:pPr>
        <w:shd w:val="clear" w:color="auto" w:fill="auto"/>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（或单位负责人）</w:t>
      </w:r>
      <w:r>
        <w:rPr>
          <w:rFonts w:hint="eastAsia" w:ascii="宋体" w:hAnsi="宋体" w:eastAsia="宋体" w:cs="宋体"/>
          <w:color w:val="auto"/>
          <w:sz w:val="24"/>
          <w:szCs w:val="24"/>
          <w:highlight w:val="none"/>
        </w:rPr>
        <w:t>签字（或盖章）：</w:t>
      </w:r>
    </w:p>
    <w:p w14:paraId="4DC89D62">
      <w:pPr>
        <w:shd w:val="clear" w:color="auto" w:fill="auto"/>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（或单位负责人）</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B5CB547">
      <w:pPr>
        <w:shd w:val="clear" w:color="auto" w:fill="auto"/>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AA50083">
      <w:pPr>
        <w:shd w:val="clear" w:color="auto" w:fill="auto"/>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投标人全称（盖公章）：            日  期：</w:t>
      </w:r>
      <w:r>
        <w:rPr>
          <w:rFonts w:hint="eastAsia" w:ascii="宋体" w:hAnsi="宋体" w:eastAsia="宋体" w:cs="宋体"/>
          <w:color w:val="auto"/>
          <w:sz w:val="24"/>
          <w:szCs w:val="24"/>
          <w:highlight w:val="none"/>
          <w:u w:val="single"/>
        </w:rPr>
        <w:t xml:space="preserve">     年   月  日</w:t>
      </w:r>
    </w:p>
    <w:p w14:paraId="6E5DACE1">
      <w:pPr>
        <w:widowControl/>
        <w:shd w:val="clear" w:color="auto" w:fill="auto"/>
        <w:jc w:val="left"/>
        <w:rPr>
          <w:rFonts w:hint="eastAsia" w:ascii="宋体" w:hAnsi="宋体" w:eastAsia="宋体" w:cs="宋体"/>
          <w:color w:val="auto"/>
          <w:sz w:val="24"/>
          <w:szCs w:val="24"/>
          <w:highlight w:val="none"/>
          <w:u w:val="single"/>
        </w:rPr>
      </w:pPr>
    </w:p>
    <w:p w14:paraId="01F754D8">
      <w:pPr>
        <w:shd w:val="clear" w:color="auto" w:fill="auto"/>
        <w:snapToGrid w:val="0"/>
        <w:spacing w:before="50" w:after="5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友情提示：</w:t>
      </w:r>
      <w:r>
        <w:rPr>
          <w:rFonts w:hint="eastAsia" w:ascii="宋体" w:hAnsi="宋体" w:eastAsia="宋体" w:cs="宋体"/>
          <w:b/>
          <w:bCs/>
          <w:color w:val="auto"/>
          <w:sz w:val="24"/>
          <w:szCs w:val="24"/>
          <w:highlight w:val="none"/>
          <w:u w:val="single"/>
        </w:rPr>
        <w:t>1、请仔细核对身份证号码，若填写错误，作无效投标处理。</w:t>
      </w:r>
    </w:p>
    <w:p w14:paraId="7F39B3E3">
      <w:pPr>
        <w:ind w:firstLine="4920" w:firstLineChars="2050"/>
        <w:jc w:val="left"/>
        <w:rPr>
          <w:rFonts w:ascii="仿宋" w:hAnsi="仿宋" w:eastAsia="仿宋" w:cs="仿宋"/>
          <w:color w:val="auto"/>
          <w:sz w:val="24"/>
          <w:highlight w:val="none"/>
        </w:rPr>
      </w:pPr>
    </w:p>
    <w:p w14:paraId="2CC01259">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45CB12A0">
      <w:pPr>
        <w:pStyle w:val="14"/>
        <w:rPr>
          <w:rFonts w:hint="eastAsia"/>
          <w:highlight w:val="none"/>
        </w:rPr>
      </w:pPr>
    </w:p>
    <w:p w14:paraId="67415A3F">
      <w:pPr>
        <w:shd w:val="clear" w:color="auto" w:fill="auto"/>
        <w:snapToGrid w:val="0"/>
        <w:spacing w:before="50" w:after="50"/>
        <w:jc w:val="left"/>
        <w:rPr>
          <w:rFonts w:hint="eastAsia" w:ascii="宋体" w:hAnsi="宋体" w:eastAsia="宋体" w:cs="宋体"/>
          <w:b/>
          <w:color w:val="auto"/>
          <w:sz w:val="24"/>
          <w:szCs w:val="24"/>
          <w:highlight w:val="none"/>
        </w:rPr>
      </w:pPr>
    </w:p>
    <w:p w14:paraId="76525D59">
      <w:pPr>
        <w:pStyle w:val="90"/>
        <w:shd w:val="clear" w:color="auto" w:fill="auto"/>
        <w:spacing w:after="50" w:afterLines="0" w:line="440" w:lineRule="exact"/>
        <w:ind w:left="0" w:firstLine="0" w:firstLineChars="0"/>
        <w:rPr>
          <w:rFonts w:hint="eastAsia" w:ascii="宋体" w:hAnsi="宋体" w:eastAsia="宋体" w:cs="宋体"/>
          <w:b/>
          <w:bCs/>
          <w:color w:val="auto"/>
          <w:sz w:val="28"/>
          <w:szCs w:val="28"/>
          <w:highlight w:val="none"/>
        </w:rPr>
      </w:pPr>
    </w:p>
    <w:p w14:paraId="4BAE4CCD">
      <w:pPr>
        <w:pStyle w:val="90"/>
        <w:shd w:val="clear" w:color="auto" w:fill="auto"/>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：法定代表人</w:t>
      </w:r>
      <w:r>
        <w:rPr>
          <w:rFonts w:hint="eastAsia" w:ascii="宋体" w:hAnsi="宋体" w:eastAsia="宋体" w:cs="宋体"/>
          <w:b/>
          <w:bCs/>
          <w:color w:val="auto"/>
          <w:sz w:val="28"/>
          <w:szCs w:val="28"/>
          <w:highlight w:val="none"/>
          <w:lang w:eastAsia="zh-CN"/>
        </w:rPr>
        <w:t>（或单位负责人）</w:t>
      </w:r>
      <w:r>
        <w:rPr>
          <w:rFonts w:hint="eastAsia" w:ascii="宋体" w:hAnsi="宋体" w:eastAsia="宋体" w:cs="宋体"/>
          <w:b/>
          <w:bCs/>
          <w:color w:val="auto"/>
          <w:sz w:val="28"/>
          <w:szCs w:val="28"/>
          <w:highlight w:val="none"/>
        </w:rPr>
        <w:t>及其授权代表身份证</w:t>
      </w:r>
    </w:p>
    <w:p w14:paraId="5C592D83">
      <w:pPr>
        <w:pStyle w:val="90"/>
        <w:shd w:val="clear" w:color="auto" w:fill="auto"/>
        <w:spacing w:after="50" w:afterLines="0" w:line="440" w:lineRule="exact"/>
        <w:ind w:left="0" w:firstLine="0" w:firstLineChars="0"/>
        <w:rPr>
          <w:rFonts w:hint="eastAsia" w:ascii="宋体" w:hAnsi="宋体" w:eastAsia="宋体" w:cs="宋体"/>
          <w:b/>
          <w:bCs/>
          <w:color w:val="auto"/>
          <w:sz w:val="28"/>
          <w:szCs w:val="28"/>
          <w:highlight w:val="none"/>
        </w:rPr>
      </w:pPr>
    </w:p>
    <w:p w14:paraId="34EB6EF6">
      <w:pPr>
        <w:pStyle w:val="90"/>
        <w:shd w:val="clear" w:color="auto" w:fill="auto"/>
        <w:spacing w:after="50" w:afterLines="0" w:line="44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制作说明：</w:t>
      </w:r>
    </w:p>
    <w:p w14:paraId="4194412B">
      <w:pPr>
        <w:pStyle w:val="90"/>
        <w:numPr>
          <w:ilvl w:val="0"/>
          <w:numId w:val="12"/>
        </w:numPr>
        <w:shd w:val="clear" w:color="auto" w:fill="auto"/>
        <w:spacing w:after="50" w:afterLines="0" w:line="44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提供身份证原件正反两面的</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，内容清晰可辨，加盖单位CA签章，否则视为无效投标。</w:t>
      </w:r>
    </w:p>
    <w:p w14:paraId="16CCED29">
      <w:pPr>
        <w:pStyle w:val="90"/>
        <w:shd w:val="clear" w:color="auto" w:fill="auto"/>
        <w:spacing w:after="50" w:afterLines="0" w:line="440" w:lineRule="exact"/>
        <w:ind w:left="0" w:firstLine="0" w:firstLineChars="0"/>
        <w:rPr>
          <w:rFonts w:hint="eastAsia" w:ascii="宋体" w:hAnsi="宋体" w:eastAsia="宋体" w:cs="宋体"/>
          <w:color w:val="auto"/>
          <w:sz w:val="24"/>
          <w:szCs w:val="24"/>
          <w:highlight w:val="none"/>
        </w:rPr>
      </w:pPr>
    </w:p>
    <w:p w14:paraId="2DE4931C">
      <w:pPr>
        <w:rPr>
          <w:rFonts w:hint="eastAsia" w:ascii="宋体" w:hAnsi="宋体" w:eastAsia="宋体" w:cs="宋体"/>
          <w:b/>
          <w:bCs/>
          <w:sz w:val="36"/>
          <w:szCs w:val="36"/>
          <w:highlight w:val="none"/>
        </w:rPr>
      </w:pPr>
    </w:p>
    <w:p w14:paraId="3CF3151A">
      <w:pP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附件4：营业执照</w:t>
      </w:r>
    </w:p>
    <w:p w14:paraId="4A04E3C3">
      <w:pPr>
        <w:rPr>
          <w:rFonts w:hint="eastAsia" w:ascii="宋体" w:hAnsi="宋体" w:eastAsia="宋体" w:cs="宋体"/>
          <w:b/>
          <w:bCs/>
          <w:color w:val="auto"/>
          <w:kern w:val="0"/>
          <w:sz w:val="28"/>
          <w:szCs w:val="28"/>
          <w:highlight w:val="none"/>
          <w:lang w:val="en-US" w:eastAsia="zh-CN" w:bidi="ar-SA"/>
        </w:rPr>
      </w:pPr>
    </w:p>
    <w:p w14:paraId="67D61893">
      <w:pPr>
        <w:rPr>
          <w:rFonts w:hint="eastAsia" w:ascii="宋体" w:hAnsi="宋体" w:eastAsia="宋体" w:cs="宋体"/>
          <w:b/>
          <w:bCs/>
          <w:color w:val="auto"/>
          <w:kern w:val="0"/>
          <w:sz w:val="28"/>
          <w:szCs w:val="28"/>
          <w:highlight w:val="none"/>
          <w:lang w:val="en-US" w:eastAsia="zh-CN" w:bidi="ar-SA"/>
        </w:rPr>
      </w:pPr>
    </w:p>
    <w:p w14:paraId="6F83DF90">
      <w:pP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附件5：</w:t>
      </w:r>
    </w:p>
    <w:p w14:paraId="713CD2ED">
      <w:pPr>
        <w:rPr>
          <w:rFonts w:hint="eastAsia" w:ascii="宋体" w:hAnsi="宋体" w:eastAsia="宋体" w:cs="宋体"/>
          <w:b/>
          <w:bCs/>
          <w:sz w:val="36"/>
          <w:szCs w:val="36"/>
          <w:highlight w:val="none"/>
        </w:rPr>
      </w:pPr>
      <w:r>
        <w:rPr>
          <w:rFonts w:hint="eastAsia" w:ascii="宋体" w:hAnsi="宋体" w:eastAsia="宋体" w:cs="宋体"/>
          <w:color w:val="auto"/>
          <w:kern w:val="0"/>
          <w:sz w:val="24"/>
          <w:szCs w:val="24"/>
          <w:highlight w:val="none"/>
          <w:lang w:val="en-US" w:eastAsia="zh-CN" w:bidi="ar-SA"/>
        </w:rPr>
        <w:t>自采购公告发布之日起至响应文件递交截止日内任意时间的“信用中国”网站（www.creditchina.gov.cn）、“中国政府采购网”（www.ccgp.gov.cn）响应方信用查询网页截图</w:t>
      </w:r>
      <w:r>
        <w:rPr>
          <w:rFonts w:hint="eastAsia" w:ascii="宋体" w:hAnsi="宋体" w:eastAsia="宋体" w:cs="宋体"/>
          <w:b/>
          <w:bCs/>
          <w:sz w:val="36"/>
          <w:szCs w:val="36"/>
          <w:highlight w:val="none"/>
        </w:rPr>
        <w:br w:type="page"/>
      </w:r>
    </w:p>
    <w:p w14:paraId="35D24DA0">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商务技术文件</w:t>
      </w:r>
    </w:p>
    <w:p w14:paraId="441C199C">
      <w:pPr>
        <w:spacing w:line="360" w:lineRule="auto"/>
        <w:jc w:val="center"/>
        <w:rPr>
          <w:rFonts w:hint="eastAsia" w:ascii="宋体" w:hAnsi="宋体" w:eastAsia="宋体" w:cs="宋体"/>
          <w:b/>
          <w:bCs/>
          <w:sz w:val="36"/>
          <w:szCs w:val="36"/>
          <w:highlight w:val="none"/>
        </w:rPr>
      </w:pPr>
    </w:p>
    <w:p w14:paraId="33BD24B9">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目录</w:t>
      </w:r>
    </w:p>
    <w:p w14:paraId="08EADBC5">
      <w:pPr>
        <w:pStyle w:val="18"/>
        <w:ind w:left="426" w:firstLine="486"/>
        <w:rPr>
          <w:rFonts w:hint="eastAsia" w:ascii="宋体" w:hAnsi="宋体" w:eastAsia="宋体" w:cs="宋体"/>
          <w:highlight w:val="none"/>
        </w:rPr>
      </w:pPr>
    </w:p>
    <w:p w14:paraId="555A6C91">
      <w:pPr>
        <w:pStyle w:val="58"/>
        <w:numPr>
          <w:ilvl w:val="0"/>
          <w:numId w:val="0"/>
        </w:numPr>
        <w:spacing w:before="0" w:line="336" w:lineRule="auto"/>
        <w:ind w:firstLine="240" w:firstLineChars="1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技术响应及建议表（格式见附件）</w:t>
      </w:r>
      <w:r>
        <w:rPr>
          <w:rFonts w:hint="eastAsia" w:ascii="宋体" w:hAnsi="宋体" w:eastAsia="宋体" w:cs="宋体"/>
          <w:color w:val="auto"/>
          <w:sz w:val="24"/>
          <w:highlight w:val="none"/>
          <w:lang w:val="en-US" w:eastAsia="zh-CN"/>
        </w:rPr>
        <w:t>…………………………………（页码）</w:t>
      </w:r>
    </w:p>
    <w:p w14:paraId="26BE9AB5">
      <w:pPr>
        <w:pStyle w:val="58"/>
        <w:numPr>
          <w:ilvl w:val="0"/>
          <w:numId w:val="0"/>
        </w:numPr>
        <w:spacing w:before="0" w:line="336" w:lineRule="auto"/>
        <w:ind w:firstLine="240" w:firstLineChars="1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项目实施方案</w:t>
      </w:r>
      <w:r>
        <w:rPr>
          <w:rFonts w:hint="eastAsia" w:ascii="宋体" w:hAnsi="宋体" w:eastAsia="宋体" w:cs="宋体"/>
          <w:color w:val="auto"/>
          <w:sz w:val="24"/>
          <w:highlight w:val="none"/>
          <w:lang w:val="en-US" w:eastAsia="zh-CN"/>
        </w:rPr>
        <w:t>………………………………………………………（页码）</w:t>
      </w:r>
    </w:p>
    <w:p w14:paraId="711C4CAD">
      <w:pPr>
        <w:pStyle w:val="58"/>
        <w:numPr>
          <w:ilvl w:val="0"/>
          <w:numId w:val="0"/>
        </w:numPr>
        <w:spacing w:before="0" w:line="336" w:lineRule="auto"/>
        <w:ind w:firstLine="240" w:firstLineChars="1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eastAsia="宋体" w:cs="宋体"/>
          <w:highlight w:val="none"/>
        </w:rPr>
        <w:t>售后服务方案</w:t>
      </w:r>
      <w:r>
        <w:rPr>
          <w:rFonts w:hint="eastAsia" w:ascii="宋体" w:hAnsi="宋体" w:eastAsia="宋体" w:cs="宋体"/>
          <w:color w:val="auto"/>
          <w:sz w:val="24"/>
          <w:highlight w:val="none"/>
          <w:lang w:val="en-US" w:eastAsia="zh-CN"/>
        </w:rPr>
        <w:t>………………………………………………………（页码）</w:t>
      </w:r>
    </w:p>
    <w:p w14:paraId="51F8BED5">
      <w:pPr>
        <w:pStyle w:val="58"/>
        <w:numPr>
          <w:ilvl w:val="0"/>
          <w:numId w:val="0"/>
        </w:numPr>
        <w:spacing w:before="0" w:line="336" w:lineRule="auto"/>
        <w:ind w:firstLine="240" w:firstLineChars="1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rPr>
        <w:t>保修证明</w:t>
      </w:r>
      <w:r>
        <w:rPr>
          <w:rFonts w:hint="eastAsia" w:ascii="宋体" w:hAnsi="宋体" w:eastAsia="宋体" w:cs="宋体"/>
          <w:color w:val="auto"/>
          <w:sz w:val="24"/>
          <w:highlight w:val="none"/>
          <w:lang w:val="en-US" w:eastAsia="zh-CN"/>
        </w:rPr>
        <w:t>……………………………………………………………（页码）</w:t>
      </w:r>
    </w:p>
    <w:p w14:paraId="051256ED">
      <w:pPr>
        <w:pStyle w:val="58"/>
        <w:numPr>
          <w:ilvl w:val="0"/>
          <w:numId w:val="0"/>
        </w:numPr>
        <w:spacing w:before="0" w:line="336" w:lineRule="auto"/>
        <w:ind w:firstLine="240" w:firstLineChars="1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highlight w:val="none"/>
        </w:rPr>
        <w:t>供应商认为需要的其他文件资料</w:t>
      </w:r>
      <w:r>
        <w:rPr>
          <w:rFonts w:hint="eastAsia" w:ascii="宋体" w:hAnsi="宋体" w:eastAsia="宋体" w:cs="宋体"/>
          <w:color w:val="auto"/>
          <w:sz w:val="24"/>
          <w:highlight w:val="none"/>
          <w:lang w:val="en-US" w:eastAsia="zh-CN"/>
        </w:rPr>
        <w:t>…………………………………（页码）</w:t>
      </w:r>
      <w:r>
        <w:rPr>
          <w:rFonts w:hint="eastAsia" w:ascii="宋体" w:hAnsi="宋体" w:eastAsia="宋体" w:cs="宋体"/>
          <w:highlight w:val="none"/>
        </w:rPr>
        <w:t xml:space="preserve"> </w:t>
      </w:r>
    </w:p>
    <w:p w14:paraId="70632952">
      <w:pPr>
        <w:pStyle w:val="19"/>
        <w:spacing w:line="500" w:lineRule="exact"/>
        <w:ind w:firstLine="480" w:firstLineChars="200"/>
        <w:rPr>
          <w:rFonts w:hint="eastAsia" w:ascii="宋体" w:hAnsi="宋体" w:eastAsia="宋体" w:cs="宋体"/>
          <w:sz w:val="24"/>
          <w:szCs w:val="24"/>
          <w:highlight w:val="none"/>
        </w:rPr>
      </w:pPr>
    </w:p>
    <w:p w14:paraId="53B87EDD">
      <w:pPr>
        <w:spacing w:line="360" w:lineRule="auto"/>
        <w:ind w:firstLine="480" w:firstLineChars="200"/>
        <w:rPr>
          <w:rFonts w:hint="eastAsia" w:ascii="宋体" w:hAnsi="宋体" w:eastAsia="宋体" w:cs="宋体"/>
          <w:sz w:val="24"/>
          <w:szCs w:val="24"/>
          <w:highlight w:val="none"/>
        </w:rPr>
      </w:pPr>
    </w:p>
    <w:p w14:paraId="1C9ED9F5">
      <w:pPr>
        <w:pStyle w:val="18"/>
        <w:ind w:firstLine="566"/>
        <w:rPr>
          <w:rFonts w:hint="eastAsia" w:ascii="宋体" w:hAnsi="宋体" w:eastAsia="宋体" w:cs="宋体"/>
          <w:sz w:val="28"/>
          <w:szCs w:val="28"/>
          <w:highlight w:val="none"/>
        </w:rPr>
      </w:pPr>
    </w:p>
    <w:p w14:paraId="5F8D98F2">
      <w:pPr>
        <w:pStyle w:val="18"/>
        <w:ind w:firstLine="566"/>
        <w:rPr>
          <w:rFonts w:hint="eastAsia" w:ascii="宋体" w:hAnsi="宋体" w:eastAsia="宋体" w:cs="宋体"/>
          <w:sz w:val="28"/>
          <w:szCs w:val="28"/>
          <w:highlight w:val="none"/>
        </w:rPr>
      </w:pPr>
    </w:p>
    <w:p w14:paraId="71C497EB">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6BD0B49">
      <w:pPr>
        <w:jc w:val="center"/>
        <w:rPr>
          <w:rFonts w:hint="eastAsia" w:ascii="宋体" w:hAnsi="宋体" w:eastAsia="宋体" w:cs="宋体"/>
          <w:b/>
          <w:bCs/>
          <w:sz w:val="32"/>
          <w:szCs w:val="32"/>
          <w:highlight w:val="none"/>
          <w:lang w:eastAsia="zh-CN"/>
        </w:rPr>
      </w:pPr>
      <w:bookmarkStart w:id="102" w:name="_Toc118207626"/>
      <w:bookmarkStart w:id="103" w:name="_Toc118207766"/>
      <w:bookmarkStart w:id="104" w:name="_Toc15735"/>
      <w:bookmarkStart w:id="105" w:name="_Toc1271"/>
      <w:bookmarkStart w:id="106" w:name="_Toc13778"/>
      <w:r>
        <w:rPr>
          <w:rFonts w:hint="eastAsia" w:ascii="宋体" w:hAnsi="宋体" w:eastAsia="宋体" w:cs="宋体"/>
          <w:b/>
          <w:bCs/>
          <w:sz w:val="32"/>
          <w:szCs w:val="32"/>
          <w:highlight w:val="none"/>
          <w:lang w:val="en-US" w:eastAsia="zh-CN"/>
        </w:rPr>
        <w:t>一、</w:t>
      </w:r>
      <w:r>
        <w:rPr>
          <w:rFonts w:hint="eastAsia" w:ascii="宋体" w:hAnsi="宋体" w:eastAsia="宋体" w:cs="宋体"/>
          <w:b/>
          <w:bCs/>
          <w:sz w:val="32"/>
          <w:szCs w:val="32"/>
          <w:highlight w:val="none"/>
        </w:rPr>
        <w:t>技术响应</w:t>
      </w:r>
      <w:bookmarkEnd w:id="102"/>
      <w:bookmarkEnd w:id="103"/>
      <w:bookmarkEnd w:id="104"/>
      <w:bookmarkEnd w:id="105"/>
      <w:bookmarkEnd w:id="106"/>
      <w:r>
        <w:rPr>
          <w:rFonts w:hint="eastAsia" w:ascii="宋体" w:hAnsi="宋体" w:eastAsia="宋体" w:cs="宋体"/>
          <w:b/>
          <w:bCs/>
          <w:sz w:val="32"/>
          <w:szCs w:val="32"/>
          <w:highlight w:val="none"/>
          <w:lang w:val="en-US" w:eastAsia="zh-CN"/>
        </w:rPr>
        <w:t>表</w:t>
      </w:r>
    </w:p>
    <w:p w14:paraId="4D132F6C">
      <w:pPr>
        <w:spacing w:line="360" w:lineRule="auto"/>
        <w:ind w:firstLine="480" w:firstLineChars="200"/>
        <w:rPr>
          <w:rFonts w:hint="eastAsia" w:ascii="宋体" w:hAnsi="宋体" w:eastAsia="宋体" w:cs="宋体"/>
          <w:sz w:val="24"/>
          <w:highlight w:val="none"/>
        </w:rPr>
      </w:pPr>
    </w:p>
    <w:p w14:paraId="570F01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项目名称：</w:t>
      </w:r>
    </w:p>
    <w:p w14:paraId="1B25011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采购编号：</w:t>
      </w:r>
    </w:p>
    <w:tbl>
      <w:tblPr>
        <w:tblStyle w:val="3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6539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28172BA9">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440" w:type="dxa"/>
            <w:noWrap/>
            <w:vAlign w:val="center"/>
          </w:tcPr>
          <w:p w14:paraId="6218815D">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货物名称</w:t>
            </w:r>
          </w:p>
        </w:tc>
        <w:tc>
          <w:tcPr>
            <w:tcW w:w="1980" w:type="dxa"/>
            <w:noWrap/>
            <w:vAlign w:val="center"/>
          </w:tcPr>
          <w:p w14:paraId="562B98FA">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询价文件要求</w:t>
            </w:r>
          </w:p>
        </w:tc>
        <w:tc>
          <w:tcPr>
            <w:tcW w:w="2520" w:type="dxa"/>
            <w:noWrap/>
            <w:vAlign w:val="center"/>
          </w:tcPr>
          <w:p w14:paraId="6A6EF486">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响应文件响应</w:t>
            </w:r>
          </w:p>
        </w:tc>
        <w:tc>
          <w:tcPr>
            <w:tcW w:w="1953" w:type="dxa"/>
            <w:noWrap/>
            <w:vAlign w:val="center"/>
          </w:tcPr>
          <w:p w14:paraId="291AE32E">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偏离情况</w:t>
            </w:r>
          </w:p>
        </w:tc>
      </w:tr>
      <w:tr w14:paraId="143B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62C2508F">
            <w:pPr>
              <w:snapToGrid w:val="0"/>
              <w:spacing w:before="50" w:after="50"/>
              <w:jc w:val="center"/>
              <w:rPr>
                <w:rFonts w:hint="eastAsia" w:ascii="宋体" w:hAnsi="宋体" w:eastAsia="宋体" w:cs="宋体"/>
                <w:sz w:val="24"/>
                <w:highlight w:val="none"/>
              </w:rPr>
            </w:pPr>
          </w:p>
        </w:tc>
        <w:tc>
          <w:tcPr>
            <w:tcW w:w="1440" w:type="dxa"/>
            <w:noWrap/>
            <w:vAlign w:val="center"/>
          </w:tcPr>
          <w:p w14:paraId="1388AC50">
            <w:pPr>
              <w:snapToGrid w:val="0"/>
              <w:spacing w:before="50" w:after="50"/>
              <w:jc w:val="center"/>
              <w:rPr>
                <w:rFonts w:hint="eastAsia" w:ascii="宋体" w:hAnsi="宋体" w:eastAsia="宋体" w:cs="宋体"/>
                <w:sz w:val="24"/>
                <w:highlight w:val="none"/>
              </w:rPr>
            </w:pPr>
          </w:p>
        </w:tc>
        <w:tc>
          <w:tcPr>
            <w:tcW w:w="1980" w:type="dxa"/>
            <w:noWrap/>
            <w:vAlign w:val="center"/>
          </w:tcPr>
          <w:p w14:paraId="6C9F8D5F">
            <w:pPr>
              <w:snapToGrid w:val="0"/>
              <w:spacing w:before="50" w:after="50"/>
              <w:jc w:val="center"/>
              <w:rPr>
                <w:rFonts w:hint="eastAsia" w:ascii="宋体" w:hAnsi="宋体" w:eastAsia="宋体" w:cs="宋体"/>
                <w:sz w:val="24"/>
                <w:highlight w:val="none"/>
              </w:rPr>
            </w:pPr>
          </w:p>
        </w:tc>
        <w:tc>
          <w:tcPr>
            <w:tcW w:w="2520" w:type="dxa"/>
            <w:noWrap/>
            <w:vAlign w:val="center"/>
          </w:tcPr>
          <w:p w14:paraId="7818E12B">
            <w:pPr>
              <w:snapToGrid w:val="0"/>
              <w:spacing w:before="50" w:after="50"/>
              <w:jc w:val="center"/>
              <w:rPr>
                <w:rFonts w:hint="eastAsia" w:ascii="宋体" w:hAnsi="宋体" w:eastAsia="宋体" w:cs="宋体"/>
                <w:sz w:val="24"/>
                <w:highlight w:val="none"/>
              </w:rPr>
            </w:pPr>
          </w:p>
        </w:tc>
        <w:tc>
          <w:tcPr>
            <w:tcW w:w="1953" w:type="dxa"/>
            <w:noWrap/>
            <w:vAlign w:val="center"/>
          </w:tcPr>
          <w:p w14:paraId="735695FC">
            <w:pPr>
              <w:snapToGrid w:val="0"/>
              <w:spacing w:before="50" w:after="50"/>
              <w:jc w:val="center"/>
              <w:rPr>
                <w:rFonts w:hint="eastAsia" w:ascii="宋体" w:hAnsi="宋体" w:eastAsia="宋体" w:cs="宋体"/>
                <w:sz w:val="24"/>
                <w:highlight w:val="none"/>
              </w:rPr>
            </w:pPr>
          </w:p>
        </w:tc>
      </w:tr>
      <w:tr w14:paraId="6E91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5B758F07">
            <w:pPr>
              <w:snapToGrid w:val="0"/>
              <w:spacing w:before="50" w:after="50"/>
              <w:jc w:val="center"/>
              <w:rPr>
                <w:rFonts w:hint="eastAsia" w:ascii="宋体" w:hAnsi="宋体" w:eastAsia="宋体" w:cs="宋体"/>
                <w:sz w:val="24"/>
                <w:highlight w:val="none"/>
              </w:rPr>
            </w:pPr>
          </w:p>
        </w:tc>
        <w:tc>
          <w:tcPr>
            <w:tcW w:w="1440" w:type="dxa"/>
            <w:noWrap/>
            <w:vAlign w:val="center"/>
          </w:tcPr>
          <w:p w14:paraId="3FE35E2E">
            <w:pPr>
              <w:snapToGrid w:val="0"/>
              <w:spacing w:before="50" w:after="50"/>
              <w:jc w:val="center"/>
              <w:rPr>
                <w:rFonts w:hint="eastAsia" w:ascii="宋体" w:hAnsi="宋体" w:eastAsia="宋体" w:cs="宋体"/>
                <w:sz w:val="24"/>
                <w:highlight w:val="none"/>
              </w:rPr>
            </w:pPr>
          </w:p>
        </w:tc>
        <w:tc>
          <w:tcPr>
            <w:tcW w:w="1980" w:type="dxa"/>
            <w:noWrap/>
            <w:vAlign w:val="center"/>
          </w:tcPr>
          <w:p w14:paraId="20F70078">
            <w:pPr>
              <w:snapToGrid w:val="0"/>
              <w:spacing w:before="50" w:after="50"/>
              <w:jc w:val="center"/>
              <w:rPr>
                <w:rFonts w:hint="eastAsia" w:ascii="宋体" w:hAnsi="宋体" w:eastAsia="宋体" w:cs="宋体"/>
                <w:sz w:val="24"/>
                <w:highlight w:val="none"/>
              </w:rPr>
            </w:pPr>
          </w:p>
        </w:tc>
        <w:tc>
          <w:tcPr>
            <w:tcW w:w="2520" w:type="dxa"/>
            <w:noWrap/>
            <w:vAlign w:val="center"/>
          </w:tcPr>
          <w:p w14:paraId="193D7D6D">
            <w:pPr>
              <w:snapToGrid w:val="0"/>
              <w:spacing w:before="50" w:after="50"/>
              <w:jc w:val="center"/>
              <w:rPr>
                <w:rFonts w:hint="eastAsia" w:ascii="宋体" w:hAnsi="宋体" w:eastAsia="宋体" w:cs="宋体"/>
                <w:sz w:val="24"/>
                <w:highlight w:val="none"/>
              </w:rPr>
            </w:pPr>
          </w:p>
        </w:tc>
        <w:tc>
          <w:tcPr>
            <w:tcW w:w="1953" w:type="dxa"/>
            <w:noWrap/>
            <w:vAlign w:val="center"/>
          </w:tcPr>
          <w:p w14:paraId="3CB43F7A">
            <w:pPr>
              <w:snapToGrid w:val="0"/>
              <w:spacing w:before="50" w:after="50"/>
              <w:jc w:val="center"/>
              <w:rPr>
                <w:rFonts w:hint="eastAsia" w:ascii="宋体" w:hAnsi="宋体" w:eastAsia="宋体" w:cs="宋体"/>
                <w:sz w:val="24"/>
                <w:highlight w:val="none"/>
              </w:rPr>
            </w:pPr>
          </w:p>
        </w:tc>
      </w:tr>
      <w:tr w14:paraId="084C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2DC84E3E">
            <w:pPr>
              <w:snapToGrid w:val="0"/>
              <w:spacing w:before="50" w:after="50"/>
              <w:jc w:val="center"/>
              <w:rPr>
                <w:rFonts w:hint="eastAsia" w:ascii="宋体" w:hAnsi="宋体" w:eastAsia="宋体" w:cs="宋体"/>
                <w:sz w:val="24"/>
                <w:highlight w:val="none"/>
              </w:rPr>
            </w:pPr>
          </w:p>
        </w:tc>
        <w:tc>
          <w:tcPr>
            <w:tcW w:w="1440" w:type="dxa"/>
            <w:noWrap/>
            <w:vAlign w:val="center"/>
          </w:tcPr>
          <w:p w14:paraId="4A941B3A">
            <w:pPr>
              <w:snapToGrid w:val="0"/>
              <w:spacing w:before="50" w:after="50"/>
              <w:jc w:val="center"/>
              <w:rPr>
                <w:rFonts w:hint="eastAsia" w:ascii="宋体" w:hAnsi="宋体" w:eastAsia="宋体" w:cs="宋体"/>
                <w:sz w:val="24"/>
                <w:highlight w:val="none"/>
              </w:rPr>
            </w:pPr>
          </w:p>
        </w:tc>
        <w:tc>
          <w:tcPr>
            <w:tcW w:w="1980" w:type="dxa"/>
            <w:noWrap/>
            <w:vAlign w:val="center"/>
          </w:tcPr>
          <w:p w14:paraId="3A70ADA6">
            <w:pPr>
              <w:snapToGrid w:val="0"/>
              <w:spacing w:before="50" w:after="50"/>
              <w:jc w:val="center"/>
              <w:rPr>
                <w:rFonts w:hint="eastAsia" w:ascii="宋体" w:hAnsi="宋体" w:eastAsia="宋体" w:cs="宋体"/>
                <w:sz w:val="24"/>
                <w:highlight w:val="none"/>
              </w:rPr>
            </w:pPr>
          </w:p>
        </w:tc>
        <w:tc>
          <w:tcPr>
            <w:tcW w:w="2520" w:type="dxa"/>
            <w:noWrap/>
            <w:vAlign w:val="center"/>
          </w:tcPr>
          <w:p w14:paraId="40759672">
            <w:pPr>
              <w:snapToGrid w:val="0"/>
              <w:spacing w:before="50" w:after="50"/>
              <w:jc w:val="center"/>
              <w:rPr>
                <w:rFonts w:hint="eastAsia" w:ascii="宋体" w:hAnsi="宋体" w:eastAsia="宋体" w:cs="宋体"/>
                <w:sz w:val="24"/>
                <w:highlight w:val="none"/>
              </w:rPr>
            </w:pPr>
          </w:p>
        </w:tc>
        <w:tc>
          <w:tcPr>
            <w:tcW w:w="1953" w:type="dxa"/>
            <w:noWrap/>
            <w:vAlign w:val="center"/>
          </w:tcPr>
          <w:p w14:paraId="4E8D0DDB">
            <w:pPr>
              <w:snapToGrid w:val="0"/>
              <w:spacing w:before="50" w:after="50"/>
              <w:jc w:val="center"/>
              <w:rPr>
                <w:rFonts w:hint="eastAsia" w:ascii="宋体" w:hAnsi="宋体" w:eastAsia="宋体" w:cs="宋体"/>
                <w:sz w:val="24"/>
                <w:highlight w:val="none"/>
              </w:rPr>
            </w:pPr>
          </w:p>
        </w:tc>
      </w:tr>
      <w:tr w14:paraId="13E3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6C3D08CD">
            <w:pPr>
              <w:snapToGrid w:val="0"/>
              <w:spacing w:before="50" w:after="50"/>
              <w:jc w:val="center"/>
              <w:rPr>
                <w:rFonts w:hint="eastAsia" w:ascii="宋体" w:hAnsi="宋体" w:eastAsia="宋体" w:cs="宋体"/>
                <w:sz w:val="24"/>
                <w:highlight w:val="none"/>
              </w:rPr>
            </w:pPr>
          </w:p>
        </w:tc>
        <w:tc>
          <w:tcPr>
            <w:tcW w:w="1440" w:type="dxa"/>
            <w:noWrap/>
            <w:vAlign w:val="center"/>
          </w:tcPr>
          <w:p w14:paraId="02875EDF">
            <w:pPr>
              <w:snapToGrid w:val="0"/>
              <w:spacing w:before="50" w:after="50"/>
              <w:jc w:val="center"/>
              <w:rPr>
                <w:rFonts w:hint="eastAsia" w:ascii="宋体" w:hAnsi="宋体" w:eastAsia="宋体" w:cs="宋体"/>
                <w:sz w:val="24"/>
                <w:highlight w:val="none"/>
              </w:rPr>
            </w:pPr>
          </w:p>
        </w:tc>
        <w:tc>
          <w:tcPr>
            <w:tcW w:w="1980" w:type="dxa"/>
            <w:noWrap/>
            <w:vAlign w:val="center"/>
          </w:tcPr>
          <w:p w14:paraId="3DFBB193">
            <w:pPr>
              <w:snapToGrid w:val="0"/>
              <w:spacing w:before="50" w:after="50"/>
              <w:jc w:val="center"/>
              <w:rPr>
                <w:rFonts w:hint="eastAsia" w:ascii="宋体" w:hAnsi="宋体" w:eastAsia="宋体" w:cs="宋体"/>
                <w:sz w:val="24"/>
                <w:highlight w:val="none"/>
              </w:rPr>
            </w:pPr>
          </w:p>
        </w:tc>
        <w:tc>
          <w:tcPr>
            <w:tcW w:w="2520" w:type="dxa"/>
            <w:noWrap/>
            <w:vAlign w:val="center"/>
          </w:tcPr>
          <w:p w14:paraId="66FF5F59">
            <w:pPr>
              <w:snapToGrid w:val="0"/>
              <w:spacing w:before="50" w:after="50"/>
              <w:jc w:val="center"/>
              <w:rPr>
                <w:rFonts w:hint="eastAsia" w:ascii="宋体" w:hAnsi="宋体" w:eastAsia="宋体" w:cs="宋体"/>
                <w:sz w:val="24"/>
                <w:highlight w:val="none"/>
              </w:rPr>
            </w:pPr>
          </w:p>
        </w:tc>
        <w:tc>
          <w:tcPr>
            <w:tcW w:w="1953" w:type="dxa"/>
            <w:noWrap/>
            <w:vAlign w:val="center"/>
          </w:tcPr>
          <w:p w14:paraId="231533FD">
            <w:pPr>
              <w:snapToGrid w:val="0"/>
              <w:spacing w:before="50" w:after="50"/>
              <w:jc w:val="center"/>
              <w:rPr>
                <w:rFonts w:hint="eastAsia" w:ascii="宋体" w:hAnsi="宋体" w:eastAsia="宋体" w:cs="宋体"/>
                <w:sz w:val="24"/>
                <w:highlight w:val="none"/>
              </w:rPr>
            </w:pPr>
          </w:p>
        </w:tc>
      </w:tr>
      <w:tr w14:paraId="1458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6B7CD8D8">
            <w:pPr>
              <w:snapToGrid w:val="0"/>
              <w:spacing w:before="50" w:after="50"/>
              <w:jc w:val="center"/>
              <w:rPr>
                <w:rFonts w:hint="eastAsia" w:ascii="宋体" w:hAnsi="宋体" w:eastAsia="宋体" w:cs="宋体"/>
                <w:sz w:val="24"/>
                <w:highlight w:val="none"/>
              </w:rPr>
            </w:pPr>
          </w:p>
        </w:tc>
        <w:tc>
          <w:tcPr>
            <w:tcW w:w="1440" w:type="dxa"/>
            <w:noWrap/>
            <w:vAlign w:val="center"/>
          </w:tcPr>
          <w:p w14:paraId="5BE2B1FF">
            <w:pPr>
              <w:snapToGrid w:val="0"/>
              <w:spacing w:before="50" w:after="50"/>
              <w:jc w:val="center"/>
              <w:rPr>
                <w:rFonts w:hint="eastAsia" w:ascii="宋体" w:hAnsi="宋体" w:eastAsia="宋体" w:cs="宋体"/>
                <w:sz w:val="24"/>
                <w:highlight w:val="none"/>
              </w:rPr>
            </w:pPr>
          </w:p>
        </w:tc>
        <w:tc>
          <w:tcPr>
            <w:tcW w:w="1980" w:type="dxa"/>
            <w:noWrap/>
            <w:vAlign w:val="center"/>
          </w:tcPr>
          <w:p w14:paraId="4332B810">
            <w:pPr>
              <w:snapToGrid w:val="0"/>
              <w:spacing w:before="50" w:after="50"/>
              <w:jc w:val="center"/>
              <w:rPr>
                <w:rFonts w:hint="eastAsia" w:ascii="宋体" w:hAnsi="宋体" w:eastAsia="宋体" w:cs="宋体"/>
                <w:sz w:val="24"/>
                <w:highlight w:val="none"/>
              </w:rPr>
            </w:pPr>
          </w:p>
        </w:tc>
        <w:tc>
          <w:tcPr>
            <w:tcW w:w="2520" w:type="dxa"/>
            <w:noWrap/>
            <w:vAlign w:val="center"/>
          </w:tcPr>
          <w:p w14:paraId="029149F3">
            <w:pPr>
              <w:snapToGrid w:val="0"/>
              <w:spacing w:before="50" w:after="50"/>
              <w:jc w:val="center"/>
              <w:rPr>
                <w:rFonts w:hint="eastAsia" w:ascii="宋体" w:hAnsi="宋体" w:eastAsia="宋体" w:cs="宋体"/>
                <w:sz w:val="24"/>
                <w:highlight w:val="none"/>
              </w:rPr>
            </w:pPr>
          </w:p>
        </w:tc>
        <w:tc>
          <w:tcPr>
            <w:tcW w:w="1953" w:type="dxa"/>
            <w:noWrap/>
            <w:vAlign w:val="center"/>
          </w:tcPr>
          <w:p w14:paraId="2D7EFD8E">
            <w:pPr>
              <w:snapToGrid w:val="0"/>
              <w:spacing w:before="50" w:after="50"/>
              <w:jc w:val="center"/>
              <w:rPr>
                <w:rFonts w:hint="eastAsia" w:ascii="宋体" w:hAnsi="宋体" w:eastAsia="宋体" w:cs="宋体"/>
                <w:sz w:val="24"/>
                <w:highlight w:val="none"/>
              </w:rPr>
            </w:pPr>
          </w:p>
        </w:tc>
      </w:tr>
      <w:tr w14:paraId="3052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ign w:val="center"/>
          </w:tcPr>
          <w:p w14:paraId="26733444">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响应建议</w:t>
            </w:r>
          </w:p>
        </w:tc>
        <w:tc>
          <w:tcPr>
            <w:tcW w:w="6453" w:type="dxa"/>
            <w:gridSpan w:val="3"/>
            <w:noWrap/>
            <w:vAlign w:val="center"/>
          </w:tcPr>
          <w:p w14:paraId="424E9105">
            <w:pPr>
              <w:spacing w:line="360" w:lineRule="auto"/>
              <w:jc w:val="center"/>
              <w:rPr>
                <w:rFonts w:hint="eastAsia" w:ascii="宋体" w:hAnsi="宋体" w:eastAsia="宋体" w:cs="宋体"/>
                <w:sz w:val="24"/>
                <w:highlight w:val="none"/>
              </w:rPr>
            </w:pPr>
          </w:p>
        </w:tc>
      </w:tr>
    </w:tbl>
    <w:p w14:paraId="002A29D9">
      <w:pPr>
        <w:snapToGrid w:val="0"/>
        <w:spacing w:line="360" w:lineRule="auto"/>
        <w:rPr>
          <w:rFonts w:hint="eastAsia" w:ascii="宋体" w:hAnsi="宋体" w:eastAsia="宋体" w:cs="宋体"/>
          <w:sz w:val="24"/>
          <w:highlight w:val="none"/>
          <w:lang w:val="en-US" w:eastAsia="zh-CN"/>
        </w:rPr>
      </w:pPr>
    </w:p>
    <w:p w14:paraId="632A9897">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sz w:val="24"/>
          <w:highlight w:val="none"/>
          <w:lang w:val="en-US" w:eastAsia="zh-CN"/>
        </w:rPr>
        <w:t>注：</w:t>
      </w:r>
      <w:r>
        <w:rPr>
          <w:rFonts w:hint="eastAsia" w:ascii="宋体" w:hAnsi="宋体" w:eastAsia="宋体" w:cs="宋体"/>
          <w:color w:val="auto"/>
          <w:kern w:val="0"/>
          <w:sz w:val="24"/>
          <w:highlight w:val="none"/>
        </w:rPr>
        <w:t>1.结合</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文件相比较且对应真实填写，在“偏离说明”栏注明“正偏离”、“负偏离”或“无偏离”。</w:t>
      </w:r>
      <w:r>
        <w:rPr>
          <w:rFonts w:hint="eastAsia" w:ascii="宋体" w:hAnsi="宋体" w:eastAsia="宋体" w:cs="宋体"/>
          <w:color w:val="auto"/>
          <w:kern w:val="0"/>
          <w:sz w:val="24"/>
          <w:highlight w:val="none"/>
          <w:lang w:val="en-US" w:eastAsia="zh-CN"/>
        </w:rPr>
        <w:t>以上内容为实质性条款，“负偏离”做无效响应处理。</w:t>
      </w:r>
    </w:p>
    <w:p w14:paraId="748F6202">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color w:val="auto"/>
          <w:kern w:val="0"/>
          <w:sz w:val="24"/>
          <w:highlight w:val="none"/>
        </w:rPr>
        <w:t>2.不提供此表或注明“无偏离”均将视为完全响应及满足</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文件要求。</w:t>
      </w:r>
    </w:p>
    <w:p w14:paraId="4B265948">
      <w:pPr>
        <w:pStyle w:val="18"/>
        <w:rPr>
          <w:rFonts w:hint="eastAsia" w:ascii="宋体" w:hAnsi="宋体" w:eastAsia="宋体" w:cs="宋体"/>
          <w:highlight w:val="none"/>
        </w:rPr>
      </w:pPr>
    </w:p>
    <w:p w14:paraId="2A148E8B">
      <w:pPr>
        <w:pStyle w:val="18"/>
        <w:rPr>
          <w:rFonts w:hint="eastAsia" w:ascii="宋体" w:hAnsi="宋体" w:eastAsia="宋体" w:cs="宋体"/>
          <w:highlight w:val="none"/>
        </w:rPr>
      </w:pPr>
    </w:p>
    <w:p w14:paraId="08DACCAC">
      <w:pPr>
        <w:snapToGrid w:val="0"/>
        <w:spacing w:beforeLines="50"/>
        <w:rPr>
          <w:rFonts w:hint="eastAsia" w:ascii="宋体" w:hAnsi="宋体" w:eastAsia="宋体" w:cs="宋体"/>
          <w:sz w:val="24"/>
          <w:szCs w:val="24"/>
          <w:highlight w:val="none"/>
        </w:rPr>
      </w:pPr>
    </w:p>
    <w:p w14:paraId="554357A0">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9416FD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4570700C">
      <w:pPr>
        <w:snapToGrid w:val="0"/>
        <w:spacing w:before="50" w:after="50"/>
        <w:rPr>
          <w:rFonts w:hint="eastAsia" w:ascii="宋体" w:hAnsi="宋体" w:eastAsia="宋体" w:cs="宋体"/>
          <w:spacing w:val="20"/>
          <w:sz w:val="24"/>
          <w:szCs w:val="24"/>
          <w:highlight w:val="none"/>
        </w:rPr>
      </w:pPr>
    </w:p>
    <w:p w14:paraId="36C32C4E">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26E323E3">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二、商务技术响应表</w:t>
      </w:r>
    </w:p>
    <w:p w14:paraId="104F765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项目名称：</w:t>
      </w:r>
    </w:p>
    <w:p w14:paraId="4920A64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采购编号：</w:t>
      </w:r>
    </w:p>
    <w:tbl>
      <w:tblPr>
        <w:tblStyle w:val="3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7BC3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128FF8F1">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440" w:type="dxa"/>
            <w:noWrap/>
            <w:vAlign w:val="center"/>
          </w:tcPr>
          <w:p w14:paraId="5EBDB834">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项目</w:t>
            </w:r>
          </w:p>
        </w:tc>
        <w:tc>
          <w:tcPr>
            <w:tcW w:w="1980" w:type="dxa"/>
            <w:noWrap/>
            <w:vAlign w:val="center"/>
          </w:tcPr>
          <w:p w14:paraId="2C1E9BAC">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招标文件要求</w:t>
            </w:r>
          </w:p>
        </w:tc>
        <w:tc>
          <w:tcPr>
            <w:tcW w:w="2520" w:type="dxa"/>
            <w:noWrap/>
            <w:vAlign w:val="center"/>
          </w:tcPr>
          <w:p w14:paraId="7F10B815">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是否响应</w:t>
            </w:r>
          </w:p>
        </w:tc>
        <w:tc>
          <w:tcPr>
            <w:tcW w:w="1953" w:type="dxa"/>
            <w:noWrap/>
            <w:vAlign w:val="center"/>
          </w:tcPr>
          <w:p w14:paraId="54000A48">
            <w:pPr>
              <w:snapToGrid w:val="0"/>
              <w:spacing w:before="50" w:after="50"/>
              <w:jc w:val="center"/>
              <w:rPr>
                <w:rFonts w:hint="eastAsia" w:ascii="宋体" w:hAnsi="宋体" w:eastAsia="宋体" w:cs="宋体"/>
                <w:sz w:val="24"/>
                <w:highlight w:val="none"/>
              </w:rPr>
            </w:pPr>
            <w:r>
              <w:rPr>
                <w:rFonts w:hint="eastAsia" w:ascii="宋体" w:hAnsi="宋体" w:eastAsia="宋体" w:cs="宋体"/>
                <w:sz w:val="24"/>
                <w:highlight w:val="none"/>
              </w:rPr>
              <w:t>投标人的承诺或说明</w:t>
            </w:r>
          </w:p>
        </w:tc>
      </w:tr>
      <w:tr w14:paraId="5BB4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30554544">
            <w:pPr>
              <w:snapToGrid w:val="0"/>
              <w:spacing w:before="50" w:after="50"/>
              <w:jc w:val="center"/>
              <w:rPr>
                <w:rFonts w:hint="eastAsia" w:ascii="宋体" w:hAnsi="宋体" w:eastAsia="宋体" w:cs="宋体"/>
                <w:sz w:val="24"/>
                <w:highlight w:val="none"/>
              </w:rPr>
            </w:pPr>
          </w:p>
        </w:tc>
        <w:tc>
          <w:tcPr>
            <w:tcW w:w="1440" w:type="dxa"/>
            <w:shd w:val="clear" w:color="auto" w:fill="auto"/>
            <w:noWrap/>
            <w:vAlign w:val="center"/>
          </w:tcPr>
          <w:p w14:paraId="03E7D184">
            <w:pPr>
              <w:tabs>
                <w:tab w:val="left" w:pos="877"/>
              </w:tabs>
              <w:bidi w:val="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售后服务</w:t>
            </w:r>
          </w:p>
        </w:tc>
        <w:tc>
          <w:tcPr>
            <w:tcW w:w="1980" w:type="dxa"/>
            <w:noWrap/>
            <w:vAlign w:val="center"/>
          </w:tcPr>
          <w:p w14:paraId="7DA98E9D">
            <w:pPr>
              <w:snapToGrid w:val="0"/>
              <w:spacing w:before="50" w:after="50"/>
              <w:jc w:val="center"/>
              <w:rPr>
                <w:rFonts w:hint="eastAsia" w:ascii="宋体" w:hAnsi="宋体" w:eastAsia="宋体" w:cs="宋体"/>
                <w:sz w:val="24"/>
                <w:highlight w:val="none"/>
              </w:rPr>
            </w:pPr>
          </w:p>
        </w:tc>
        <w:tc>
          <w:tcPr>
            <w:tcW w:w="2520" w:type="dxa"/>
            <w:noWrap/>
            <w:vAlign w:val="center"/>
          </w:tcPr>
          <w:p w14:paraId="770B9CF9">
            <w:pPr>
              <w:snapToGrid w:val="0"/>
              <w:spacing w:before="50" w:after="50"/>
              <w:jc w:val="center"/>
              <w:rPr>
                <w:rFonts w:hint="eastAsia" w:ascii="宋体" w:hAnsi="宋体" w:eastAsia="宋体" w:cs="宋体"/>
                <w:sz w:val="24"/>
                <w:highlight w:val="none"/>
              </w:rPr>
            </w:pPr>
          </w:p>
        </w:tc>
        <w:tc>
          <w:tcPr>
            <w:tcW w:w="1953" w:type="dxa"/>
            <w:noWrap/>
            <w:vAlign w:val="center"/>
          </w:tcPr>
          <w:p w14:paraId="4D1A67E5">
            <w:pPr>
              <w:snapToGrid w:val="0"/>
              <w:spacing w:before="50" w:after="50"/>
              <w:jc w:val="center"/>
              <w:rPr>
                <w:rFonts w:hint="eastAsia" w:ascii="宋体" w:hAnsi="宋体" w:eastAsia="宋体" w:cs="宋体"/>
                <w:sz w:val="24"/>
                <w:highlight w:val="none"/>
              </w:rPr>
            </w:pPr>
          </w:p>
        </w:tc>
      </w:tr>
      <w:tr w14:paraId="07B3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22D8E06D">
            <w:pPr>
              <w:snapToGrid w:val="0"/>
              <w:spacing w:before="50" w:after="50"/>
              <w:jc w:val="center"/>
              <w:rPr>
                <w:rFonts w:hint="eastAsia" w:ascii="宋体" w:hAnsi="宋体" w:eastAsia="宋体" w:cs="宋体"/>
                <w:sz w:val="24"/>
                <w:highlight w:val="none"/>
              </w:rPr>
            </w:pPr>
          </w:p>
        </w:tc>
        <w:tc>
          <w:tcPr>
            <w:tcW w:w="1440" w:type="dxa"/>
            <w:shd w:val="clear" w:color="auto" w:fill="auto"/>
            <w:noWrap/>
            <w:vAlign w:val="center"/>
          </w:tcPr>
          <w:p w14:paraId="0E47CB5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备品备件</w:t>
            </w:r>
          </w:p>
        </w:tc>
        <w:tc>
          <w:tcPr>
            <w:tcW w:w="1980" w:type="dxa"/>
            <w:noWrap/>
            <w:vAlign w:val="center"/>
          </w:tcPr>
          <w:p w14:paraId="267FBD30">
            <w:pPr>
              <w:snapToGrid w:val="0"/>
              <w:spacing w:before="50" w:after="50"/>
              <w:jc w:val="center"/>
              <w:rPr>
                <w:rFonts w:hint="eastAsia" w:ascii="宋体" w:hAnsi="宋体" w:eastAsia="宋体" w:cs="宋体"/>
                <w:sz w:val="24"/>
                <w:highlight w:val="none"/>
              </w:rPr>
            </w:pPr>
          </w:p>
        </w:tc>
        <w:tc>
          <w:tcPr>
            <w:tcW w:w="2520" w:type="dxa"/>
            <w:noWrap/>
            <w:vAlign w:val="center"/>
          </w:tcPr>
          <w:p w14:paraId="1B44F9BA">
            <w:pPr>
              <w:snapToGrid w:val="0"/>
              <w:spacing w:before="50" w:after="50"/>
              <w:jc w:val="center"/>
              <w:rPr>
                <w:rFonts w:hint="eastAsia" w:ascii="宋体" w:hAnsi="宋体" w:eastAsia="宋体" w:cs="宋体"/>
                <w:sz w:val="24"/>
                <w:highlight w:val="none"/>
              </w:rPr>
            </w:pPr>
          </w:p>
        </w:tc>
        <w:tc>
          <w:tcPr>
            <w:tcW w:w="1953" w:type="dxa"/>
            <w:noWrap/>
            <w:vAlign w:val="center"/>
          </w:tcPr>
          <w:p w14:paraId="15FB3758">
            <w:pPr>
              <w:snapToGrid w:val="0"/>
              <w:spacing w:before="50" w:after="50"/>
              <w:jc w:val="center"/>
              <w:rPr>
                <w:rFonts w:hint="eastAsia" w:ascii="宋体" w:hAnsi="宋体" w:eastAsia="宋体" w:cs="宋体"/>
                <w:sz w:val="24"/>
                <w:highlight w:val="none"/>
              </w:rPr>
            </w:pPr>
          </w:p>
        </w:tc>
      </w:tr>
      <w:tr w14:paraId="599E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62D0D5DF">
            <w:pPr>
              <w:snapToGrid w:val="0"/>
              <w:spacing w:before="50" w:after="50"/>
              <w:jc w:val="center"/>
              <w:rPr>
                <w:rFonts w:hint="eastAsia" w:ascii="宋体" w:hAnsi="宋体" w:eastAsia="宋体" w:cs="宋体"/>
                <w:sz w:val="24"/>
                <w:highlight w:val="none"/>
              </w:rPr>
            </w:pPr>
          </w:p>
        </w:tc>
        <w:tc>
          <w:tcPr>
            <w:tcW w:w="1440" w:type="dxa"/>
            <w:shd w:val="clear" w:color="auto" w:fill="auto"/>
            <w:noWrap/>
            <w:vAlign w:val="center"/>
          </w:tcPr>
          <w:p w14:paraId="2CF799C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验收要求</w:t>
            </w:r>
          </w:p>
        </w:tc>
        <w:tc>
          <w:tcPr>
            <w:tcW w:w="1980" w:type="dxa"/>
            <w:noWrap/>
            <w:vAlign w:val="center"/>
          </w:tcPr>
          <w:p w14:paraId="500B2A79">
            <w:pPr>
              <w:snapToGrid w:val="0"/>
              <w:spacing w:before="50" w:after="50"/>
              <w:jc w:val="center"/>
              <w:rPr>
                <w:rFonts w:hint="eastAsia" w:ascii="宋体" w:hAnsi="宋体" w:eastAsia="宋体" w:cs="宋体"/>
                <w:sz w:val="24"/>
                <w:highlight w:val="none"/>
              </w:rPr>
            </w:pPr>
          </w:p>
        </w:tc>
        <w:tc>
          <w:tcPr>
            <w:tcW w:w="2520" w:type="dxa"/>
            <w:noWrap/>
            <w:vAlign w:val="center"/>
          </w:tcPr>
          <w:p w14:paraId="5D5204EA">
            <w:pPr>
              <w:snapToGrid w:val="0"/>
              <w:spacing w:before="50" w:after="50"/>
              <w:jc w:val="center"/>
              <w:rPr>
                <w:rFonts w:hint="eastAsia" w:ascii="宋体" w:hAnsi="宋体" w:eastAsia="宋体" w:cs="宋体"/>
                <w:sz w:val="24"/>
                <w:highlight w:val="none"/>
              </w:rPr>
            </w:pPr>
          </w:p>
        </w:tc>
        <w:tc>
          <w:tcPr>
            <w:tcW w:w="1953" w:type="dxa"/>
            <w:noWrap/>
            <w:vAlign w:val="center"/>
          </w:tcPr>
          <w:p w14:paraId="6A60E6A6">
            <w:pPr>
              <w:snapToGrid w:val="0"/>
              <w:spacing w:before="50" w:after="50"/>
              <w:jc w:val="center"/>
              <w:rPr>
                <w:rFonts w:hint="eastAsia" w:ascii="宋体" w:hAnsi="宋体" w:eastAsia="宋体" w:cs="宋体"/>
                <w:sz w:val="24"/>
                <w:highlight w:val="none"/>
              </w:rPr>
            </w:pPr>
          </w:p>
        </w:tc>
      </w:tr>
      <w:tr w14:paraId="4634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4A58A2AB">
            <w:pPr>
              <w:snapToGrid w:val="0"/>
              <w:spacing w:before="50" w:after="50"/>
              <w:jc w:val="center"/>
              <w:rPr>
                <w:rFonts w:hint="eastAsia" w:ascii="宋体" w:hAnsi="宋体" w:eastAsia="宋体" w:cs="宋体"/>
                <w:sz w:val="24"/>
                <w:highlight w:val="none"/>
              </w:rPr>
            </w:pPr>
          </w:p>
        </w:tc>
        <w:tc>
          <w:tcPr>
            <w:tcW w:w="1440" w:type="dxa"/>
            <w:shd w:val="clear" w:color="auto" w:fill="auto"/>
            <w:noWrap/>
            <w:vAlign w:val="center"/>
          </w:tcPr>
          <w:p w14:paraId="314B3D66">
            <w:pPr>
              <w:snapToGrid w:val="0"/>
              <w:jc w:val="center"/>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交货和完工</w:t>
            </w:r>
          </w:p>
          <w:p w14:paraId="47C7979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napToGrid w:val="0"/>
                <w:sz w:val="24"/>
                <w:szCs w:val="24"/>
                <w:highlight w:val="none"/>
                <w:lang w:val="en-US" w:eastAsia="zh-CN"/>
              </w:rPr>
              <w:t>期限</w:t>
            </w:r>
          </w:p>
        </w:tc>
        <w:tc>
          <w:tcPr>
            <w:tcW w:w="1980" w:type="dxa"/>
            <w:noWrap/>
            <w:vAlign w:val="center"/>
          </w:tcPr>
          <w:p w14:paraId="4720F0BA">
            <w:pPr>
              <w:snapToGrid w:val="0"/>
              <w:spacing w:before="50" w:after="50"/>
              <w:jc w:val="center"/>
              <w:rPr>
                <w:rFonts w:hint="eastAsia" w:ascii="宋体" w:hAnsi="宋体" w:eastAsia="宋体" w:cs="宋体"/>
                <w:sz w:val="24"/>
                <w:highlight w:val="none"/>
              </w:rPr>
            </w:pPr>
          </w:p>
        </w:tc>
        <w:tc>
          <w:tcPr>
            <w:tcW w:w="2520" w:type="dxa"/>
            <w:noWrap/>
            <w:vAlign w:val="center"/>
          </w:tcPr>
          <w:p w14:paraId="7618615F">
            <w:pPr>
              <w:snapToGrid w:val="0"/>
              <w:spacing w:before="50" w:after="50"/>
              <w:jc w:val="center"/>
              <w:rPr>
                <w:rFonts w:hint="eastAsia" w:ascii="宋体" w:hAnsi="宋体" w:eastAsia="宋体" w:cs="宋体"/>
                <w:sz w:val="24"/>
                <w:highlight w:val="none"/>
              </w:rPr>
            </w:pPr>
          </w:p>
        </w:tc>
        <w:tc>
          <w:tcPr>
            <w:tcW w:w="1953" w:type="dxa"/>
            <w:noWrap/>
            <w:vAlign w:val="center"/>
          </w:tcPr>
          <w:p w14:paraId="502769D2">
            <w:pPr>
              <w:snapToGrid w:val="0"/>
              <w:spacing w:before="50" w:after="50"/>
              <w:jc w:val="center"/>
              <w:rPr>
                <w:rFonts w:hint="eastAsia" w:ascii="宋体" w:hAnsi="宋体" w:eastAsia="宋体" w:cs="宋体"/>
                <w:sz w:val="24"/>
                <w:highlight w:val="none"/>
              </w:rPr>
            </w:pPr>
          </w:p>
        </w:tc>
      </w:tr>
      <w:tr w14:paraId="42E7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767BC3E7">
            <w:pPr>
              <w:snapToGrid w:val="0"/>
              <w:spacing w:before="50" w:after="50"/>
              <w:jc w:val="center"/>
              <w:rPr>
                <w:rFonts w:hint="eastAsia" w:ascii="宋体" w:hAnsi="宋体" w:eastAsia="宋体" w:cs="宋体"/>
                <w:sz w:val="24"/>
                <w:highlight w:val="none"/>
              </w:rPr>
            </w:pPr>
          </w:p>
        </w:tc>
        <w:tc>
          <w:tcPr>
            <w:tcW w:w="1440" w:type="dxa"/>
            <w:shd w:val="clear" w:color="auto" w:fill="auto"/>
            <w:noWrap/>
            <w:vAlign w:val="center"/>
          </w:tcPr>
          <w:p w14:paraId="3BC8DAD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交货地点</w:t>
            </w:r>
          </w:p>
        </w:tc>
        <w:tc>
          <w:tcPr>
            <w:tcW w:w="1980" w:type="dxa"/>
            <w:noWrap/>
            <w:vAlign w:val="center"/>
          </w:tcPr>
          <w:p w14:paraId="32F0CEAC">
            <w:pPr>
              <w:snapToGrid w:val="0"/>
              <w:spacing w:before="50" w:after="50"/>
              <w:jc w:val="center"/>
              <w:rPr>
                <w:rFonts w:hint="eastAsia" w:ascii="宋体" w:hAnsi="宋体" w:eastAsia="宋体" w:cs="宋体"/>
                <w:sz w:val="24"/>
                <w:highlight w:val="none"/>
              </w:rPr>
            </w:pPr>
          </w:p>
        </w:tc>
        <w:tc>
          <w:tcPr>
            <w:tcW w:w="2520" w:type="dxa"/>
            <w:noWrap/>
            <w:vAlign w:val="center"/>
          </w:tcPr>
          <w:p w14:paraId="10EDC3F9">
            <w:pPr>
              <w:snapToGrid w:val="0"/>
              <w:spacing w:before="50" w:after="50"/>
              <w:jc w:val="center"/>
              <w:rPr>
                <w:rFonts w:hint="eastAsia" w:ascii="宋体" w:hAnsi="宋体" w:eastAsia="宋体" w:cs="宋体"/>
                <w:sz w:val="24"/>
                <w:highlight w:val="none"/>
              </w:rPr>
            </w:pPr>
          </w:p>
        </w:tc>
        <w:tc>
          <w:tcPr>
            <w:tcW w:w="1953" w:type="dxa"/>
            <w:noWrap/>
            <w:vAlign w:val="center"/>
          </w:tcPr>
          <w:p w14:paraId="7D04FA4B">
            <w:pPr>
              <w:snapToGrid w:val="0"/>
              <w:spacing w:before="50" w:after="50"/>
              <w:jc w:val="center"/>
              <w:rPr>
                <w:rFonts w:hint="eastAsia" w:ascii="宋体" w:hAnsi="宋体" w:eastAsia="宋体" w:cs="宋体"/>
                <w:sz w:val="24"/>
                <w:highlight w:val="none"/>
              </w:rPr>
            </w:pPr>
          </w:p>
        </w:tc>
      </w:tr>
      <w:tr w14:paraId="3046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047FFAE8">
            <w:pPr>
              <w:snapToGrid w:val="0"/>
              <w:spacing w:before="50" w:after="50"/>
              <w:jc w:val="center"/>
              <w:rPr>
                <w:rFonts w:hint="eastAsia" w:ascii="宋体" w:hAnsi="宋体" w:eastAsia="宋体" w:cs="宋体"/>
                <w:sz w:val="24"/>
                <w:highlight w:val="none"/>
              </w:rPr>
            </w:pPr>
          </w:p>
        </w:tc>
        <w:tc>
          <w:tcPr>
            <w:tcW w:w="1440" w:type="dxa"/>
            <w:shd w:val="clear" w:color="auto" w:fill="auto"/>
            <w:noWrap/>
            <w:vAlign w:val="center"/>
          </w:tcPr>
          <w:p w14:paraId="6B2C315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结算方式</w:t>
            </w:r>
          </w:p>
        </w:tc>
        <w:tc>
          <w:tcPr>
            <w:tcW w:w="1980" w:type="dxa"/>
            <w:noWrap/>
            <w:vAlign w:val="center"/>
          </w:tcPr>
          <w:p w14:paraId="1637D174">
            <w:pPr>
              <w:snapToGrid w:val="0"/>
              <w:spacing w:before="50" w:after="50"/>
              <w:jc w:val="center"/>
              <w:rPr>
                <w:rFonts w:hint="eastAsia" w:ascii="宋体" w:hAnsi="宋体" w:eastAsia="宋体" w:cs="宋体"/>
                <w:sz w:val="24"/>
                <w:highlight w:val="none"/>
              </w:rPr>
            </w:pPr>
          </w:p>
        </w:tc>
        <w:tc>
          <w:tcPr>
            <w:tcW w:w="2520" w:type="dxa"/>
            <w:noWrap/>
            <w:vAlign w:val="center"/>
          </w:tcPr>
          <w:p w14:paraId="59ED029F">
            <w:pPr>
              <w:snapToGrid w:val="0"/>
              <w:spacing w:before="50" w:after="50"/>
              <w:jc w:val="center"/>
              <w:rPr>
                <w:rFonts w:hint="eastAsia" w:ascii="宋体" w:hAnsi="宋体" w:eastAsia="宋体" w:cs="宋体"/>
                <w:sz w:val="24"/>
                <w:highlight w:val="none"/>
              </w:rPr>
            </w:pPr>
          </w:p>
        </w:tc>
        <w:tc>
          <w:tcPr>
            <w:tcW w:w="1953" w:type="dxa"/>
            <w:noWrap/>
            <w:vAlign w:val="center"/>
          </w:tcPr>
          <w:p w14:paraId="257A6B85">
            <w:pPr>
              <w:snapToGrid w:val="0"/>
              <w:spacing w:before="50" w:after="50"/>
              <w:jc w:val="center"/>
              <w:rPr>
                <w:rFonts w:hint="eastAsia" w:ascii="宋体" w:hAnsi="宋体" w:eastAsia="宋体" w:cs="宋体"/>
                <w:sz w:val="24"/>
                <w:highlight w:val="none"/>
              </w:rPr>
            </w:pPr>
          </w:p>
        </w:tc>
      </w:tr>
      <w:tr w14:paraId="5530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14EF46ED">
            <w:pPr>
              <w:snapToGrid w:val="0"/>
              <w:spacing w:before="50" w:after="50"/>
              <w:jc w:val="center"/>
              <w:rPr>
                <w:rFonts w:hint="eastAsia" w:ascii="宋体" w:hAnsi="宋体" w:eastAsia="宋体" w:cs="宋体"/>
                <w:sz w:val="24"/>
                <w:highlight w:val="none"/>
              </w:rPr>
            </w:pPr>
          </w:p>
        </w:tc>
        <w:tc>
          <w:tcPr>
            <w:tcW w:w="1440" w:type="dxa"/>
            <w:shd w:val="clear" w:color="auto" w:fill="auto"/>
            <w:noWrap/>
            <w:vAlign w:val="center"/>
          </w:tcPr>
          <w:p w14:paraId="4346978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付款方式</w:t>
            </w:r>
          </w:p>
        </w:tc>
        <w:tc>
          <w:tcPr>
            <w:tcW w:w="1980" w:type="dxa"/>
            <w:noWrap/>
            <w:vAlign w:val="center"/>
          </w:tcPr>
          <w:p w14:paraId="111C4D8E">
            <w:pPr>
              <w:snapToGrid w:val="0"/>
              <w:spacing w:before="50" w:after="50"/>
              <w:jc w:val="center"/>
              <w:rPr>
                <w:rFonts w:hint="eastAsia" w:ascii="宋体" w:hAnsi="宋体" w:eastAsia="宋体" w:cs="宋体"/>
                <w:sz w:val="24"/>
                <w:highlight w:val="none"/>
              </w:rPr>
            </w:pPr>
          </w:p>
        </w:tc>
        <w:tc>
          <w:tcPr>
            <w:tcW w:w="2520" w:type="dxa"/>
            <w:noWrap/>
            <w:vAlign w:val="center"/>
          </w:tcPr>
          <w:p w14:paraId="42F78E79">
            <w:pPr>
              <w:snapToGrid w:val="0"/>
              <w:spacing w:before="50" w:after="50"/>
              <w:jc w:val="center"/>
              <w:rPr>
                <w:rFonts w:hint="eastAsia" w:ascii="宋体" w:hAnsi="宋体" w:eastAsia="宋体" w:cs="宋体"/>
                <w:sz w:val="24"/>
                <w:highlight w:val="none"/>
              </w:rPr>
            </w:pPr>
          </w:p>
        </w:tc>
        <w:tc>
          <w:tcPr>
            <w:tcW w:w="1953" w:type="dxa"/>
            <w:noWrap/>
            <w:vAlign w:val="center"/>
          </w:tcPr>
          <w:p w14:paraId="64CBEF4F">
            <w:pPr>
              <w:snapToGrid w:val="0"/>
              <w:spacing w:before="50" w:after="50"/>
              <w:jc w:val="center"/>
              <w:rPr>
                <w:rFonts w:hint="eastAsia" w:ascii="宋体" w:hAnsi="宋体" w:eastAsia="宋体" w:cs="宋体"/>
                <w:sz w:val="24"/>
                <w:highlight w:val="none"/>
              </w:rPr>
            </w:pPr>
          </w:p>
        </w:tc>
      </w:tr>
      <w:tr w14:paraId="4AD4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3AA6EA9B">
            <w:pPr>
              <w:snapToGrid w:val="0"/>
              <w:spacing w:before="50" w:after="50"/>
              <w:jc w:val="center"/>
              <w:rPr>
                <w:rFonts w:hint="eastAsia" w:ascii="宋体" w:hAnsi="宋体" w:eastAsia="宋体" w:cs="宋体"/>
                <w:sz w:val="24"/>
                <w:highlight w:val="none"/>
              </w:rPr>
            </w:pPr>
          </w:p>
        </w:tc>
        <w:tc>
          <w:tcPr>
            <w:tcW w:w="1440" w:type="dxa"/>
            <w:shd w:val="clear" w:color="auto" w:fill="auto"/>
            <w:noWrap/>
            <w:vAlign w:val="center"/>
          </w:tcPr>
          <w:p w14:paraId="158DD63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履约保证金</w:t>
            </w:r>
          </w:p>
        </w:tc>
        <w:tc>
          <w:tcPr>
            <w:tcW w:w="1980" w:type="dxa"/>
            <w:noWrap/>
            <w:vAlign w:val="center"/>
          </w:tcPr>
          <w:p w14:paraId="7924C98D">
            <w:pPr>
              <w:snapToGrid w:val="0"/>
              <w:spacing w:before="50" w:after="50"/>
              <w:jc w:val="center"/>
              <w:rPr>
                <w:rFonts w:hint="eastAsia" w:ascii="宋体" w:hAnsi="宋体" w:eastAsia="宋体" w:cs="宋体"/>
                <w:sz w:val="24"/>
                <w:highlight w:val="none"/>
              </w:rPr>
            </w:pPr>
          </w:p>
        </w:tc>
        <w:tc>
          <w:tcPr>
            <w:tcW w:w="2520" w:type="dxa"/>
            <w:noWrap/>
            <w:vAlign w:val="center"/>
          </w:tcPr>
          <w:p w14:paraId="0647B2F8">
            <w:pPr>
              <w:snapToGrid w:val="0"/>
              <w:spacing w:before="50" w:after="50"/>
              <w:jc w:val="center"/>
              <w:rPr>
                <w:rFonts w:hint="eastAsia" w:ascii="宋体" w:hAnsi="宋体" w:eastAsia="宋体" w:cs="宋体"/>
                <w:sz w:val="24"/>
                <w:highlight w:val="none"/>
              </w:rPr>
            </w:pPr>
          </w:p>
        </w:tc>
        <w:tc>
          <w:tcPr>
            <w:tcW w:w="1953" w:type="dxa"/>
            <w:noWrap/>
            <w:vAlign w:val="center"/>
          </w:tcPr>
          <w:p w14:paraId="28E5F0FE">
            <w:pPr>
              <w:snapToGrid w:val="0"/>
              <w:spacing w:before="50" w:after="50"/>
              <w:jc w:val="center"/>
              <w:rPr>
                <w:rFonts w:hint="eastAsia" w:ascii="宋体" w:hAnsi="宋体" w:eastAsia="宋体" w:cs="宋体"/>
                <w:sz w:val="24"/>
                <w:highlight w:val="none"/>
              </w:rPr>
            </w:pPr>
          </w:p>
        </w:tc>
      </w:tr>
      <w:tr w14:paraId="2E8B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14:paraId="38339AED">
            <w:pPr>
              <w:snapToGrid w:val="0"/>
              <w:spacing w:before="50" w:after="50"/>
              <w:jc w:val="center"/>
              <w:rPr>
                <w:rFonts w:hint="eastAsia" w:ascii="宋体" w:hAnsi="宋体" w:eastAsia="宋体" w:cs="宋体"/>
                <w:sz w:val="24"/>
                <w:highlight w:val="none"/>
              </w:rPr>
            </w:pPr>
          </w:p>
        </w:tc>
        <w:tc>
          <w:tcPr>
            <w:tcW w:w="1440" w:type="dxa"/>
            <w:shd w:val="clear" w:color="auto" w:fill="auto"/>
            <w:noWrap/>
            <w:vAlign w:val="center"/>
          </w:tcPr>
          <w:p w14:paraId="038378D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安全责任</w:t>
            </w:r>
          </w:p>
        </w:tc>
        <w:tc>
          <w:tcPr>
            <w:tcW w:w="1980" w:type="dxa"/>
            <w:noWrap/>
            <w:vAlign w:val="center"/>
          </w:tcPr>
          <w:p w14:paraId="14CFB901">
            <w:pPr>
              <w:snapToGrid w:val="0"/>
              <w:spacing w:before="50" w:after="50"/>
              <w:jc w:val="center"/>
              <w:rPr>
                <w:rFonts w:hint="eastAsia" w:ascii="宋体" w:hAnsi="宋体" w:eastAsia="宋体" w:cs="宋体"/>
                <w:sz w:val="24"/>
                <w:highlight w:val="none"/>
              </w:rPr>
            </w:pPr>
          </w:p>
        </w:tc>
        <w:tc>
          <w:tcPr>
            <w:tcW w:w="2520" w:type="dxa"/>
            <w:noWrap/>
            <w:vAlign w:val="center"/>
          </w:tcPr>
          <w:p w14:paraId="770184B2">
            <w:pPr>
              <w:snapToGrid w:val="0"/>
              <w:spacing w:before="50" w:after="50"/>
              <w:jc w:val="center"/>
              <w:rPr>
                <w:rFonts w:hint="eastAsia" w:ascii="宋体" w:hAnsi="宋体" w:eastAsia="宋体" w:cs="宋体"/>
                <w:sz w:val="24"/>
                <w:highlight w:val="none"/>
              </w:rPr>
            </w:pPr>
          </w:p>
        </w:tc>
        <w:tc>
          <w:tcPr>
            <w:tcW w:w="1953" w:type="dxa"/>
            <w:noWrap/>
            <w:vAlign w:val="center"/>
          </w:tcPr>
          <w:p w14:paraId="1E72A184">
            <w:pPr>
              <w:snapToGrid w:val="0"/>
              <w:spacing w:before="50" w:after="50"/>
              <w:jc w:val="center"/>
              <w:rPr>
                <w:rFonts w:hint="eastAsia" w:ascii="宋体" w:hAnsi="宋体" w:eastAsia="宋体" w:cs="宋体"/>
                <w:sz w:val="24"/>
                <w:highlight w:val="none"/>
              </w:rPr>
            </w:pPr>
          </w:p>
        </w:tc>
      </w:tr>
    </w:tbl>
    <w:p w14:paraId="38D5FF26">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w:t>
      </w:r>
      <w:r>
        <w:rPr>
          <w:rFonts w:hint="eastAsia" w:ascii="宋体" w:hAnsi="宋体" w:eastAsia="宋体" w:cs="宋体"/>
          <w:color w:val="auto"/>
          <w:kern w:val="0"/>
          <w:sz w:val="24"/>
          <w:highlight w:val="none"/>
        </w:rPr>
        <w:t>1.结合</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文件相比较且对应真实填写，在“偏离说明”栏注明“正偏离”、“负偏离”或“无偏离”。</w:t>
      </w:r>
      <w:r>
        <w:rPr>
          <w:rFonts w:hint="eastAsia" w:ascii="宋体" w:hAnsi="宋体" w:eastAsia="宋体" w:cs="宋体"/>
          <w:color w:val="auto"/>
          <w:kern w:val="0"/>
          <w:sz w:val="24"/>
          <w:highlight w:val="none"/>
          <w:lang w:val="en-US" w:eastAsia="zh-CN"/>
        </w:rPr>
        <w:t>以上内容为实质性条款，“负偏离”做无效响应处理。</w:t>
      </w:r>
    </w:p>
    <w:p w14:paraId="0ABDCA67">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color w:val="auto"/>
          <w:kern w:val="0"/>
          <w:sz w:val="24"/>
          <w:highlight w:val="none"/>
        </w:rPr>
        <w:t>2.不提供此表或注明“无偏离”均将视为完全响应及满足</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文件要求。</w:t>
      </w:r>
    </w:p>
    <w:p w14:paraId="3D93ECC9">
      <w:pPr>
        <w:snapToGrid w:val="0"/>
        <w:spacing w:before="50" w:afterLines="50" w:line="460" w:lineRule="exact"/>
        <w:jc w:val="left"/>
        <w:rPr>
          <w:rFonts w:hint="eastAsia" w:ascii="宋体" w:hAnsi="宋体" w:eastAsia="宋体" w:cs="宋体"/>
          <w:sz w:val="24"/>
          <w:highlight w:val="none"/>
        </w:rPr>
      </w:pPr>
    </w:p>
    <w:p w14:paraId="4F08B0F3">
      <w:pPr>
        <w:pStyle w:val="18"/>
        <w:rPr>
          <w:rFonts w:hint="eastAsia" w:ascii="宋体" w:hAnsi="宋体" w:eastAsia="宋体" w:cs="宋体"/>
          <w:highlight w:val="none"/>
        </w:rPr>
      </w:pPr>
    </w:p>
    <w:p w14:paraId="71BB8E57">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3158505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0B26E1B0">
      <w:pPr>
        <w:spacing w:line="360" w:lineRule="auto"/>
        <w:jc w:val="center"/>
        <w:rPr>
          <w:rFonts w:hint="eastAsia" w:ascii="宋体" w:hAnsi="宋体" w:eastAsia="宋体" w:cs="宋体"/>
          <w:spacing w:val="20"/>
          <w:sz w:val="30"/>
          <w:szCs w:val="30"/>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25" w:charSpace="0"/>
        </w:sectPr>
      </w:pPr>
    </w:p>
    <w:p w14:paraId="5579BB39">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三</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项目实施方案</w:t>
      </w:r>
    </w:p>
    <w:p w14:paraId="5402B601">
      <w:pPr>
        <w:jc w:val="center"/>
        <w:rPr>
          <w:rFonts w:hint="eastAsia" w:ascii="宋体" w:hAnsi="宋体" w:eastAsia="宋体" w:cs="宋体"/>
          <w:b/>
          <w:bCs/>
          <w:sz w:val="36"/>
          <w:szCs w:val="36"/>
          <w:highlight w:val="none"/>
        </w:rPr>
      </w:pPr>
    </w:p>
    <w:p w14:paraId="7365A881">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D9516A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457C5DD8">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6"/>
          <w:szCs w:val="36"/>
          <w:highlight w:val="none"/>
        </w:rPr>
        <w:br w:type="page"/>
      </w:r>
      <w:r>
        <w:rPr>
          <w:rFonts w:hint="eastAsia" w:ascii="宋体" w:hAnsi="宋体" w:eastAsia="宋体" w:cs="宋体"/>
          <w:b/>
          <w:bCs/>
          <w:sz w:val="32"/>
          <w:szCs w:val="32"/>
          <w:highlight w:val="none"/>
          <w:lang w:val="en-US" w:eastAsia="zh-CN"/>
        </w:rPr>
        <w:t>四、售后服务方案</w:t>
      </w:r>
    </w:p>
    <w:p w14:paraId="26EA2826">
      <w:pPr>
        <w:rPr>
          <w:rFonts w:hint="eastAsia" w:ascii="宋体" w:hAnsi="宋体" w:eastAsia="宋体" w:cs="宋体"/>
          <w:b/>
          <w:bCs/>
          <w:sz w:val="36"/>
          <w:szCs w:val="36"/>
          <w:highlight w:val="none"/>
        </w:rPr>
      </w:pPr>
    </w:p>
    <w:p w14:paraId="2FA7DCD4">
      <w:pPr>
        <w:spacing w:line="360" w:lineRule="auto"/>
        <w:jc w:val="center"/>
        <w:rPr>
          <w:rFonts w:hint="eastAsia" w:ascii="宋体" w:hAnsi="宋体" w:eastAsia="宋体" w:cs="宋体"/>
          <w:b/>
          <w:bCs/>
          <w:sz w:val="36"/>
          <w:szCs w:val="36"/>
          <w:highlight w:val="none"/>
        </w:rPr>
      </w:pPr>
    </w:p>
    <w:p w14:paraId="47681025">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5E05D2B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31A3118C">
      <w:pPr>
        <w:pStyle w:val="2"/>
        <w:rPr>
          <w:rFonts w:hint="eastAsia" w:ascii="宋体" w:hAnsi="宋体" w:eastAsia="宋体" w:cs="宋体"/>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pPr>
    </w:p>
    <w:p w14:paraId="09BC5BA2">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报价文件</w:t>
      </w:r>
    </w:p>
    <w:p w14:paraId="186C7FF6">
      <w:pPr>
        <w:spacing w:line="360" w:lineRule="auto"/>
        <w:jc w:val="center"/>
        <w:rPr>
          <w:rFonts w:hint="eastAsia" w:ascii="宋体" w:hAnsi="宋体" w:eastAsia="宋体" w:cs="宋体"/>
          <w:b/>
          <w:bCs/>
          <w:sz w:val="36"/>
          <w:szCs w:val="36"/>
          <w:highlight w:val="none"/>
        </w:rPr>
      </w:pPr>
    </w:p>
    <w:p w14:paraId="42E551BC">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目录</w:t>
      </w:r>
    </w:p>
    <w:p w14:paraId="1FDA1AE0">
      <w:pPr>
        <w:pStyle w:val="18"/>
        <w:ind w:firstLine="723"/>
        <w:rPr>
          <w:rFonts w:hint="eastAsia" w:ascii="宋体" w:hAnsi="宋体" w:eastAsia="宋体" w:cs="宋体"/>
          <w:b/>
          <w:bCs/>
          <w:sz w:val="36"/>
          <w:szCs w:val="36"/>
          <w:highlight w:val="none"/>
        </w:rPr>
      </w:pPr>
    </w:p>
    <w:p w14:paraId="5AFA46A6">
      <w:pPr>
        <w:pStyle w:val="58"/>
        <w:numPr>
          <w:ilvl w:val="0"/>
          <w:numId w:val="0"/>
        </w:numPr>
        <w:spacing w:before="0" w:line="336" w:lineRule="auto"/>
        <w:ind w:firstLine="240" w:firstLineChars="100"/>
        <w:rPr>
          <w:rFonts w:hint="eastAsia" w:ascii="宋体" w:hAnsi="宋体" w:eastAsia="宋体" w:cs="宋体"/>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询价函（格式见附件）</w:t>
      </w:r>
      <w:r>
        <w:rPr>
          <w:rFonts w:hint="eastAsia" w:ascii="宋体" w:hAnsi="宋体" w:eastAsia="宋体" w:cs="宋体"/>
          <w:color w:val="auto"/>
          <w:sz w:val="24"/>
          <w:highlight w:val="none"/>
          <w:lang w:val="en-US" w:eastAsia="zh-CN"/>
        </w:rPr>
        <w:t>…………………………………（页码）</w:t>
      </w:r>
    </w:p>
    <w:p w14:paraId="7FE35721">
      <w:pPr>
        <w:pStyle w:val="58"/>
        <w:numPr>
          <w:ilvl w:val="0"/>
          <w:numId w:val="0"/>
        </w:numPr>
        <w:spacing w:before="0" w:line="336" w:lineRule="auto"/>
        <w:ind w:firstLine="240" w:firstLineChars="100"/>
        <w:rPr>
          <w:rFonts w:hint="eastAsia" w:ascii="宋体" w:hAnsi="宋体" w:eastAsia="宋体" w:cs="宋体"/>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报价一览表（格式见附件）</w:t>
      </w:r>
      <w:r>
        <w:rPr>
          <w:rFonts w:hint="eastAsia" w:ascii="宋体" w:hAnsi="宋体" w:eastAsia="宋体" w:cs="宋体"/>
          <w:color w:val="auto"/>
          <w:sz w:val="24"/>
          <w:highlight w:val="none"/>
          <w:lang w:val="en-US" w:eastAsia="zh-CN"/>
        </w:rPr>
        <w:t>…………………………………（页码）</w:t>
      </w:r>
    </w:p>
    <w:p w14:paraId="2BC21EF1">
      <w:pPr>
        <w:pStyle w:val="58"/>
        <w:numPr>
          <w:ilvl w:val="0"/>
          <w:numId w:val="0"/>
        </w:numPr>
        <w:spacing w:before="0" w:line="336" w:lineRule="auto"/>
        <w:ind w:firstLine="240" w:firstLineChars="100"/>
        <w:rPr>
          <w:rFonts w:hint="eastAsia" w:ascii="宋体" w:hAnsi="宋体" w:eastAsia="宋体" w:cs="宋体"/>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询价报价明细表（格式见附件）</w:t>
      </w:r>
      <w:r>
        <w:rPr>
          <w:rFonts w:hint="eastAsia" w:ascii="宋体" w:hAnsi="宋体" w:eastAsia="宋体" w:cs="宋体"/>
          <w:color w:val="auto"/>
          <w:sz w:val="24"/>
          <w:highlight w:val="none"/>
          <w:lang w:val="en-US" w:eastAsia="zh-CN"/>
        </w:rPr>
        <w:t>…………………………………（页码）</w:t>
      </w:r>
    </w:p>
    <w:p w14:paraId="3644DA29">
      <w:pPr>
        <w:numPr>
          <w:ilvl w:val="0"/>
          <w:numId w:val="0"/>
        </w:numPr>
        <w:spacing w:line="360" w:lineRule="auto"/>
        <w:ind w:leftChars="200"/>
        <w:rPr>
          <w:rFonts w:hint="eastAsia" w:ascii="宋体" w:hAnsi="宋体" w:eastAsia="宋体" w:cs="宋体"/>
          <w:sz w:val="24"/>
          <w:szCs w:val="24"/>
          <w:highlight w:val="none"/>
        </w:rPr>
      </w:pPr>
    </w:p>
    <w:p w14:paraId="348B9AC5">
      <w:pPr>
        <w:rPr>
          <w:rFonts w:hint="eastAsia" w:ascii="宋体" w:hAnsi="宋体" w:eastAsia="宋体" w:cs="宋体"/>
          <w:highlight w:val="none"/>
        </w:rPr>
      </w:pPr>
      <w:r>
        <w:rPr>
          <w:rFonts w:hint="eastAsia" w:ascii="宋体" w:hAnsi="宋体" w:eastAsia="宋体" w:cs="宋体"/>
          <w:highlight w:val="none"/>
        </w:rPr>
        <w:br w:type="page"/>
      </w:r>
    </w:p>
    <w:p w14:paraId="058B2131">
      <w:pPr>
        <w:jc w:val="center"/>
        <w:rPr>
          <w:rFonts w:hint="eastAsia" w:ascii="宋体" w:hAnsi="宋体" w:eastAsia="宋体" w:cs="宋体"/>
          <w:b/>
          <w:bCs/>
          <w:sz w:val="32"/>
          <w:szCs w:val="32"/>
          <w:highlight w:val="none"/>
        </w:rPr>
      </w:pPr>
      <w:bookmarkStart w:id="107" w:name="_Toc130094924"/>
      <w:bookmarkStart w:id="108" w:name="_Toc98731770"/>
      <w:bookmarkStart w:id="109" w:name="_Toc3094"/>
      <w:r>
        <w:rPr>
          <w:rFonts w:hint="eastAsia" w:ascii="宋体" w:hAnsi="宋体" w:eastAsia="宋体" w:cs="宋体"/>
          <w:b/>
          <w:bCs/>
          <w:sz w:val="32"/>
          <w:szCs w:val="32"/>
          <w:highlight w:val="none"/>
          <w:lang w:val="en-US" w:eastAsia="zh-CN"/>
        </w:rPr>
        <w:t>一、</w:t>
      </w:r>
      <w:r>
        <w:rPr>
          <w:rFonts w:hint="eastAsia" w:ascii="宋体" w:hAnsi="宋体" w:eastAsia="宋体" w:cs="宋体"/>
          <w:b/>
          <w:bCs/>
          <w:sz w:val="32"/>
          <w:szCs w:val="32"/>
          <w:highlight w:val="none"/>
        </w:rPr>
        <w:t>报价函</w:t>
      </w:r>
      <w:bookmarkEnd w:id="107"/>
      <w:bookmarkEnd w:id="108"/>
      <w:bookmarkEnd w:id="109"/>
    </w:p>
    <w:p w14:paraId="6FD24D5D">
      <w:pPr>
        <w:spacing w:line="360" w:lineRule="auto"/>
        <w:ind w:firstLine="480" w:firstLineChars="200"/>
        <w:rPr>
          <w:rFonts w:hint="eastAsia" w:ascii="宋体" w:hAnsi="宋体" w:eastAsia="宋体" w:cs="宋体"/>
          <w:sz w:val="24"/>
          <w:szCs w:val="24"/>
          <w:highlight w:val="none"/>
          <w:u w:val="single"/>
        </w:rPr>
      </w:pPr>
    </w:p>
    <w:p w14:paraId="246D935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嵊州市水联贸易有限公司</w:t>
      </w:r>
      <w:r>
        <w:rPr>
          <w:rFonts w:hint="eastAsia" w:ascii="宋体" w:hAnsi="宋体" w:eastAsia="宋体" w:cs="宋体"/>
          <w:sz w:val="24"/>
          <w:szCs w:val="24"/>
          <w:highlight w:val="none"/>
        </w:rPr>
        <w:t>：</w:t>
      </w:r>
    </w:p>
    <w:p w14:paraId="43BCCB4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浙江建诚工程管理咨询有限公司</w:t>
      </w:r>
      <w:r>
        <w:rPr>
          <w:rFonts w:hint="eastAsia" w:ascii="宋体" w:hAnsi="宋体" w:eastAsia="宋体" w:cs="宋体"/>
          <w:sz w:val="24"/>
          <w:szCs w:val="24"/>
          <w:highlight w:val="none"/>
        </w:rPr>
        <w:t>：</w:t>
      </w:r>
    </w:p>
    <w:p w14:paraId="63EB7921">
      <w:pPr>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我单位认真研究了关于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14:paraId="53D6FC3D">
      <w:pPr>
        <w:spacing w:line="360" w:lineRule="auto"/>
        <w:ind w:firstLine="480" w:firstLineChars="240"/>
        <w:rPr>
          <w:rFonts w:hint="eastAsia" w:ascii="宋体" w:hAnsi="宋体" w:eastAsia="宋体" w:cs="宋体"/>
          <w:sz w:val="24"/>
          <w:szCs w:val="24"/>
          <w:highlight w:val="none"/>
        </w:rPr>
      </w:pPr>
      <w:r>
        <w:rPr>
          <w:rFonts w:hint="eastAsia" w:ascii="宋体" w:hAnsi="宋体" w:eastAsia="宋体" w:cs="宋体"/>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sz w:val="24"/>
          <w:szCs w:val="24"/>
          <w:highlight w:val="none"/>
        </w:rPr>
        <w:t>1、一旦我单位中标，我单位愿意承接报价一览表中所列的服务。</w:t>
      </w:r>
    </w:p>
    <w:p w14:paraId="704E424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2、我单位同意提供按照采购人的可能要求与其投标有关的一切数据和资料，完全理解采购人不一定要接受最低价者作为成交供应商。</w:t>
      </w:r>
    </w:p>
    <w:p w14:paraId="0EA45BF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3、一旦我单位中标，我们保证按照询价文件的要求，完成服务。</w:t>
      </w:r>
    </w:p>
    <w:p w14:paraId="4606D17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4、如果我单位中标，我方将按照要求严格履行合同义务。</w:t>
      </w:r>
    </w:p>
    <w:p w14:paraId="6263AEF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5、除非另行达成协议并生效，你方的成交通知书和本询价函将构成约束你我双方的合同。</w:t>
      </w:r>
    </w:p>
    <w:p w14:paraId="1F1E93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6、我单位承诺，一旦发生询价文件第二部分第11条规定情形之一的，承担该条款约定的责任。</w:t>
      </w:r>
    </w:p>
    <w:p w14:paraId="600C4509">
      <w:pPr>
        <w:pStyle w:val="19"/>
        <w:snapToGrid w:val="0"/>
        <w:spacing w:line="360" w:lineRule="auto"/>
        <w:ind w:left="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E44DE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single"/>
        </w:rPr>
        <w:t xml:space="preserve">                 </w:t>
      </w:r>
    </w:p>
    <w:p w14:paraId="5E46B29C">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p>
    <w:p w14:paraId="5E688D0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7BE595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w:t>
      </w:r>
    </w:p>
    <w:p w14:paraId="102F6803">
      <w:pPr>
        <w:spacing w:line="360" w:lineRule="auto"/>
        <w:ind w:firstLine="480" w:firstLineChars="200"/>
        <w:rPr>
          <w:rFonts w:hint="eastAsia" w:ascii="宋体" w:hAnsi="宋体" w:eastAsia="宋体" w:cs="宋体"/>
          <w:sz w:val="24"/>
          <w:szCs w:val="24"/>
          <w:highlight w:val="none"/>
        </w:rPr>
      </w:pPr>
    </w:p>
    <w:p w14:paraId="3AE8144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25F8B3D">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D40721C">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033E4653">
      <w:pPr>
        <w:spacing w:line="360" w:lineRule="auto"/>
        <w:ind w:firstLine="5280" w:firstLineChars="2200"/>
        <w:rPr>
          <w:rFonts w:hint="eastAsia" w:ascii="宋体" w:hAnsi="宋体" w:eastAsia="宋体" w:cs="宋体"/>
          <w:sz w:val="24"/>
          <w:szCs w:val="24"/>
          <w:highlight w:val="none"/>
        </w:rPr>
      </w:pPr>
    </w:p>
    <w:p w14:paraId="7F0D27AD">
      <w:pPr>
        <w:rPr>
          <w:rFonts w:hint="eastAsia" w:ascii="宋体" w:hAnsi="宋体" w:eastAsia="宋体" w:cs="宋体"/>
          <w:sz w:val="24"/>
          <w:szCs w:val="24"/>
          <w:highlight w:val="none"/>
          <w:lang w:val="zh-CN"/>
        </w:rPr>
      </w:pPr>
      <w:bookmarkStart w:id="110" w:name="_Toc12011"/>
      <w:r>
        <w:rPr>
          <w:rFonts w:hint="eastAsia" w:ascii="宋体" w:hAnsi="宋体" w:eastAsia="宋体" w:cs="宋体"/>
          <w:sz w:val="24"/>
          <w:szCs w:val="24"/>
          <w:highlight w:val="none"/>
          <w:lang w:val="zh-CN"/>
        </w:rPr>
        <w:br w:type="page"/>
      </w:r>
    </w:p>
    <w:p w14:paraId="11ACD366">
      <w:pPr>
        <w:jc w:val="center"/>
        <w:rPr>
          <w:rFonts w:hint="eastAsia" w:ascii="宋体" w:hAnsi="宋体" w:eastAsia="宋体" w:cs="宋体"/>
          <w:b/>
          <w:bCs/>
          <w:sz w:val="32"/>
          <w:szCs w:val="32"/>
          <w:highlight w:val="none"/>
        </w:rPr>
      </w:pPr>
      <w:bookmarkStart w:id="111" w:name="_Toc130094925"/>
      <w:bookmarkStart w:id="112" w:name="_Toc98731771"/>
      <w:r>
        <w:rPr>
          <w:rFonts w:hint="eastAsia" w:ascii="宋体" w:hAnsi="宋体" w:eastAsia="宋体" w:cs="宋体"/>
          <w:b/>
          <w:bCs/>
          <w:sz w:val="32"/>
          <w:szCs w:val="32"/>
          <w:highlight w:val="none"/>
          <w:lang w:val="en-US" w:eastAsia="zh-CN"/>
        </w:rPr>
        <w:t>二、</w:t>
      </w:r>
      <w:r>
        <w:rPr>
          <w:rFonts w:hint="eastAsia" w:ascii="宋体" w:hAnsi="宋体" w:eastAsia="宋体" w:cs="宋体"/>
          <w:b/>
          <w:bCs/>
          <w:sz w:val="32"/>
          <w:szCs w:val="32"/>
          <w:highlight w:val="none"/>
        </w:rPr>
        <w:t>报价一览表</w:t>
      </w:r>
      <w:bookmarkEnd w:id="110"/>
      <w:bookmarkEnd w:id="111"/>
      <w:bookmarkEnd w:id="112"/>
    </w:p>
    <w:p w14:paraId="2710BA7E">
      <w:pPr>
        <w:pStyle w:val="19"/>
        <w:spacing w:line="360" w:lineRule="auto"/>
        <w:rPr>
          <w:rFonts w:hint="eastAsia" w:ascii="宋体" w:hAnsi="宋体" w:eastAsia="宋体" w:cs="宋体"/>
          <w:sz w:val="24"/>
          <w:szCs w:val="24"/>
          <w:highlight w:val="none"/>
        </w:rPr>
      </w:pPr>
    </w:p>
    <w:p w14:paraId="18CD9BF8">
      <w:pP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00AEBD7">
      <w:pPr>
        <w:snapToGrid w:val="0"/>
        <w:spacing w:line="336"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我方承诺按照如下开标一览表（报价表）的价格完成</w:t>
      </w:r>
      <w:r>
        <w:rPr>
          <w:rFonts w:hint="eastAsia" w:ascii="宋体" w:hAnsi="宋体" w:eastAsia="宋体" w:cs="宋体"/>
          <w:color w:val="auto"/>
          <w:sz w:val="24"/>
          <w:highlight w:val="none"/>
        </w:rPr>
        <w:t>（项目名称）（采购编号）的实施</w:t>
      </w:r>
      <w:r>
        <w:rPr>
          <w:rFonts w:hint="eastAsia" w:ascii="宋体" w:hAnsi="宋体" w:eastAsia="宋体" w:cs="宋体"/>
          <w:color w:val="auto"/>
          <w:kern w:val="0"/>
          <w:sz w:val="24"/>
          <w:highlight w:val="none"/>
          <w:lang w:val="zh-CN"/>
        </w:rPr>
        <w:t>。</w:t>
      </w:r>
    </w:p>
    <w:tbl>
      <w:tblPr>
        <w:tblStyle w:val="32"/>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0"/>
        <w:gridCol w:w="3150"/>
        <w:gridCol w:w="2276"/>
      </w:tblGrid>
      <w:tr w14:paraId="7395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3350" w:type="dxa"/>
            <w:noWrap w:val="0"/>
            <w:vAlign w:val="center"/>
          </w:tcPr>
          <w:p w14:paraId="182FF25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p>
        </w:tc>
        <w:tc>
          <w:tcPr>
            <w:tcW w:w="3150" w:type="dxa"/>
            <w:noWrap w:val="0"/>
            <w:vAlign w:val="center"/>
          </w:tcPr>
          <w:p w14:paraId="2D02FD7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总投标报价</w:t>
            </w:r>
          </w:p>
        </w:tc>
        <w:tc>
          <w:tcPr>
            <w:tcW w:w="2276" w:type="dxa"/>
            <w:noWrap w:val="0"/>
            <w:vAlign w:val="center"/>
          </w:tcPr>
          <w:p w14:paraId="5B5377F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备注</w:t>
            </w:r>
          </w:p>
        </w:tc>
      </w:tr>
      <w:tr w14:paraId="6B12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3350" w:type="dxa"/>
            <w:noWrap w:val="0"/>
            <w:vAlign w:val="center"/>
          </w:tcPr>
          <w:p w14:paraId="7ED3B60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3150" w:type="dxa"/>
            <w:noWrap w:val="0"/>
            <w:vAlign w:val="center"/>
          </w:tcPr>
          <w:p w14:paraId="3912CC5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2276" w:type="dxa"/>
            <w:noWrap w:val="0"/>
            <w:vAlign w:val="center"/>
          </w:tcPr>
          <w:p w14:paraId="79B3104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bl>
    <w:p w14:paraId="45B8BD46">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color w:val="auto"/>
          <w:sz w:val="24"/>
          <w:szCs w:val="24"/>
          <w:highlight w:val="none"/>
          <w:lang w:eastAsia="zh-CN"/>
        </w:rPr>
        <w:t>。</w:t>
      </w:r>
    </w:p>
    <w:p w14:paraId="462BBE07">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响应报价是完成本项目服务内容和要求所产生的所有费用，包括但不限于提供服务所需的材料费、人工费（包含交通费、通讯费等）、机械费、设备费（包含购买或租赁、进出场等）、技术服务费、风险费、保险费、税金、利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政策性文件规定等其他所有交付采购人可能产生的相关费用及代理服务费等一切相关服务的所有费用</w:t>
      </w:r>
      <w:r>
        <w:rPr>
          <w:rFonts w:hint="eastAsia" w:ascii="宋体" w:hAnsi="宋体" w:eastAsia="宋体" w:cs="宋体"/>
          <w:color w:val="auto"/>
          <w:sz w:val="24"/>
          <w:szCs w:val="24"/>
          <w:highlight w:val="none"/>
          <w:lang w:eastAsia="zh-CN"/>
        </w:rPr>
        <w:t>。</w:t>
      </w:r>
    </w:p>
    <w:p w14:paraId="6F5AEB2A">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color w:val="auto"/>
          <w:sz w:val="24"/>
          <w:szCs w:val="24"/>
          <w:highlight w:val="none"/>
        </w:rPr>
        <w:t>否则视为投标文件含有采购人不能接受的附加条件，投标无效</w:t>
      </w:r>
      <w:r>
        <w:rPr>
          <w:rFonts w:hint="eastAsia" w:ascii="宋体" w:hAnsi="宋体" w:eastAsia="宋体" w:cs="宋体"/>
          <w:color w:val="auto"/>
          <w:sz w:val="24"/>
          <w:szCs w:val="24"/>
          <w:highlight w:val="none"/>
          <w:lang w:eastAsia="zh-CN"/>
        </w:rPr>
        <w:t>。</w:t>
      </w:r>
    </w:p>
    <w:p w14:paraId="29843737">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按国家规定由成交人缴纳的各种税收已包含在报价内，由成交人向税务机关缴纳。响应单位所填写的报价在合同实施期间不因市场因素而变动，响应单位在计算报价时应考虑一定的风险系数（由响应单位自行考虑）。</w:t>
      </w:r>
    </w:p>
    <w:p w14:paraId="4993DAB7">
      <w:pPr>
        <w:spacing w:line="336" w:lineRule="auto"/>
        <w:rPr>
          <w:rFonts w:hint="eastAsia" w:ascii="宋体" w:hAnsi="宋体" w:eastAsia="宋体" w:cs="宋体"/>
          <w:color w:val="auto"/>
          <w:sz w:val="24"/>
          <w:highlight w:val="none"/>
        </w:rPr>
      </w:pPr>
    </w:p>
    <w:p w14:paraId="011AE8AD">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7ED8BD6D">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日期：  年   月   日</w:t>
      </w:r>
    </w:p>
    <w:p w14:paraId="3177757B">
      <w:pPr>
        <w:widowControl/>
        <w:adjustRightInd/>
        <w:spacing w:line="336" w:lineRule="auto"/>
        <w:jc w:val="left"/>
        <w:rPr>
          <w:rFonts w:hint="eastAsia" w:ascii="宋体" w:hAnsi="宋体" w:eastAsia="宋体" w:cs="宋体"/>
          <w:color w:val="auto"/>
          <w:kern w:val="0"/>
          <w:sz w:val="24"/>
          <w:highlight w:val="none"/>
          <w:lang w:val="zh-CN"/>
        </w:rPr>
        <w:sectPr>
          <w:pgSz w:w="11906" w:h="16838"/>
          <w:pgMar w:top="1474" w:right="1814" w:bottom="1474" w:left="1814" w:header="851" w:footer="992" w:gutter="0"/>
          <w:pgNumType w:fmt="decimal"/>
          <w:cols w:space="720" w:num="1"/>
          <w:titlePg/>
          <w:docGrid w:linePitch="312" w:charSpace="0"/>
        </w:sectPr>
      </w:pPr>
    </w:p>
    <w:p w14:paraId="274DD0C2">
      <w:pPr>
        <w:pStyle w:val="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二、开标明细表</w:t>
      </w:r>
    </w:p>
    <w:p w14:paraId="0F00AB00">
      <w:pPr>
        <w:spacing w:line="360" w:lineRule="auto"/>
        <w:jc w:val="righ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单位均为人民币元</w:t>
      </w:r>
    </w:p>
    <w:tbl>
      <w:tblPr>
        <w:tblStyle w:val="3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B77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D1F0020">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417" w:type="dxa"/>
            <w:vAlign w:val="center"/>
          </w:tcPr>
          <w:p w14:paraId="4F384167">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843" w:type="dxa"/>
          </w:tcPr>
          <w:p w14:paraId="796F97B4">
            <w:pPr>
              <w:keepNext/>
              <w:keepLines/>
              <w:tabs>
                <w:tab w:val="left" w:pos="432"/>
              </w:tabs>
              <w:spacing w:line="360" w:lineRule="auto"/>
              <w:ind w:hanging="432"/>
              <w:jc w:val="center"/>
              <w:outlineLvl w:val="0"/>
              <w:rPr>
                <w:rFonts w:hint="eastAsia" w:ascii="宋体" w:hAnsi="宋体" w:eastAsia="宋体" w:cs="宋体"/>
                <w:b/>
                <w:color w:val="000000" w:themeColor="text1"/>
                <w:sz w:val="24"/>
                <w:highlight w:val="none"/>
                <w14:textFill>
                  <w14:solidFill>
                    <w14:schemeClr w14:val="tx1"/>
                  </w14:solidFill>
                </w14:textFill>
              </w:rPr>
            </w:pPr>
          </w:p>
          <w:p w14:paraId="7A1298F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3118" w:type="dxa"/>
            <w:vAlign w:val="center"/>
          </w:tcPr>
          <w:p w14:paraId="3A5CA39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993" w:type="dxa"/>
            <w:vAlign w:val="center"/>
          </w:tcPr>
          <w:p w14:paraId="4CD52DC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59" w:type="dxa"/>
            <w:vAlign w:val="center"/>
          </w:tcPr>
          <w:p w14:paraId="4ACCC36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1984" w:type="dxa"/>
            <w:vAlign w:val="center"/>
          </w:tcPr>
          <w:p w14:paraId="1CF842D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w:t>
            </w:r>
          </w:p>
        </w:tc>
        <w:tc>
          <w:tcPr>
            <w:tcW w:w="3119" w:type="dxa"/>
            <w:vAlign w:val="center"/>
          </w:tcPr>
          <w:p w14:paraId="48AA43EF">
            <w:pPr>
              <w:keepNext/>
              <w:keepLines/>
              <w:tabs>
                <w:tab w:val="left" w:pos="432"/>
              </w:tabs>
              <w:spacing w:line="360" w:lineRule="auto"/>
              <w:ind w:hanging="432"/>
              <w:jc w:val="center"/>
              <w:outlineLvl w:val="0"/>
              <w:rPr>
                <w:rFonts w:hint="eastAsia" w:ascii="宋体" w:hAnsi="宋体" w:eastAsia="宋体" w:cs="宋体"/>
                <w:b/>
                <w:color w:val="000000" w:themeColor="text1"/>
                <w:sz w:val="24"/>
                <w:highlight w:val="none"/>
                <w14:textFill>
                  <w14:solidFill>
                    <w14:schemeClr w14:val="tx1"/>
                  </w14:solidFill>
                </w14:textFill>
              </w:rPr>
            </w:pPr>
          </w:p>
          <w:p w14:paraId="7F277EF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6F215D0B">
            <w:pPr>
              <w:keepNext/>
              <w:keepLines/>
              <w:tabs>
                <w:tab w:val="left" w:pos="432"/>
              </w:tabs>
              <w:spacing w:line="360" w:lineRule="auto"/>
              <w:ind w:hanging="432"/>
              <w:jc w:val="center"/>
              <w:outlineLvl w:val="0"/>
              <w:rPr>
                <w:rFonts w:hint="eastAsia" w:ascii="宋体" w:hAnsi="宋体" w:eastAsia="宋体" w:cs="宋体"/>
                <w:b/>
                <w:color w:val="000000" w:themeColor="text1"/>
                <w:sz w:val="24"/>
                <w:highlight w:val="none"/>
                <w14:textFill>
                  <w14:solidFill>
                    <w14:schemeClr w14:val="tx1"/>
                  </w14:solidFill>
                </w14:textFill>
              </w:rPr>
            </w:pPr>
          </w:p>
        </w:tc>
      </w:tr>
      <w:tr w14:paraId="250B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073698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417" w:type="dxa"/>
            <w:vAlign w:val="center"/>
          </w:tcPr>
          <w:p w14:paraId="6B4CD6C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1843" w:type="dxa"/>
            <w:vAlign w:val="center"/>
          </w:tcPr>
          <w:p w14:paraId="2DB4913F">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7B819119">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51803B80">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15357D31">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658C368A">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7AEECE88">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r>
      <w:tr w14:paraId="0395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E41D4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417" w:type="dxa"/>
            <w:vAlign w:val="center"/>
          </w:tcPr>
          <w:p w14:paraId="0DFE8A9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1843" w:type="dxa"/>
            <w:vAlign w:val="center"/>
          </w:tcPr>
          <w:p w14:paraId="7DE5539C">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16A8F38C">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68D639B6">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70052926">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7BE5E16E">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040E0A4F">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r>
      <w:tr w14:paraId="18BB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925748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417" w:type="dxa"/>
            <w:vAlign w:val="center"/>
          </w:tcPr>
          <w:p w14:paraId="270F0F95">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14:paraId="327ABC20">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4DB0B71E">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6DD498DD">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24063699">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638DB2D3">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7BE4D230">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r>
      <w:tr w14:paraId="1454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F43338">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14:paraId="4E46E989">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14:paraId="763ED237">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53A1FD71">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6F81D232">
            <w:pPr>
              <w:keepNext/>
              <w:keepLines/>
              <w:tabs>
                <w:tab w:val="left" w:pos="432"/>
              </w:tabs>
              <w:snapToGrid w:val="0"/>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2149D707">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49762E77">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6FFA9D92">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r>
      <w:tr w14:paraId="47E2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173074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590B99BA">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r>
      <w:tr w14:paraId="11F5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DB6C4B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4D308324">
            <w:pPr>
              <w:keepNext/>
              <w:keepLines/>
              <w:tabs>
                <w:tab w:val="left" w:pos="432"/>
              </w:tabs>
              <w:spacing w:line="360" w:lineRule="auto"/>
              <w:ind w:hanging="432"/>
              <w:jc w:val="center"/>
              <w:outlineLvl w:val="0"/>
              <w:rPr>
                <w:rFonts w:hint="eastAsia" w:ascii="宋体" w:hAnsi="宋体" w:eastAsia="宋体" w:cs="宋体"/>
                <w:color w:val="000000" w:themeColor="text1"/>
                <w:sz w:val="24"/>
                <w:highlight w:val="none"/>
                <w14:textFill>
                  <w14:solidFill>
                    <w14:schemeClr w14:val="tx1"/>
                  </w14:solidFill>
                </w14:textFill>
              </w:rPr>
            </w:pPr>
          </w:p>
        </w:tc>
      </w:tr>
    </w:tbl>
    <w:p w14:paraId="039AEB18">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5429E215">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C73D110">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sectPr>
          <w:pgSz w:w="16838" w:h="11906" w:orient="landscape"/>
          <w:pgMar w:top="1440" w:right="1800" w:bottom="1440" w:left="1800" w:header="964" w:footer="992" w:gutter="0"/>
          <w:cols w:space="720" w:num="1"/>
          <w:titlePg/>
          <w:docGrid w:linePitch="312" w:charSpace="0"/>
        </w:sect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77C614BA">
      <w:pPr>
        <w:rPr>
          <w:rFonts w:hint="eastAsia" w:ascii="宋体" w:hAnsi="宋体" w:eastAsia="宋体" w:cs="宋体"/>
          <w:b w:val="0"/>
          <w:bCs w:val="0"/>
          <w:color w:val="auto"/>
          <w:sz w:val="24"/>
          <w:szCs w:val="24"/>
          <w:highlight w:val="none"/>
          <w:u w:val="none"/>
        </w:rPr>
      </w:pPr>
    </w:p>
    <w:p w14:paraId="458761C9">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宋体" w:hAnsi="宋体" w:eastAsia="宋体" w:cs="宋体"/>
          <w:b w:val="0"/>
          <w:bCs w:val="0"/>
          <w:color w:val="auto"/>
          <w:sz w:val="24"/>
          <w:szCs w:val="24"/>
          <w:highlight w:val="none"/>
          <w:u w:val="none"/>
        </w:rPr>
        <w:fldChar w:fldCharType="separate"/>
      </w:r>
      <w:r>
        <w:rPr>
          <w:rStyle w:val="37"/>
          <w:rFonts w:hint="eastAsia" w:ascii="宋体" w:hAnsi="宋体" w:eastAsia="宋体" w:cs="宋体"/>
          <w:b w:val="0"/>
          <w:bCs w:val="0"/>
          <w:color w:val="auto"/>
          <w:sz w:val="24"/>
          <w:szCs w:val="24"/>
          <w:highlight w:val="none"/>
          <w:u w:val="none"/>
        </w:rPr>
        <w:t>根据浙江省财政厅关于印发《浙江省政府采购活动现场组织管理办法》的通知（浙财采监【2015】13号）文件要求，由各投标供应商在投标文件解密后</w:t>
      </w:r>
      <w:r>
        <w:rPr>
          <w:rStyle w:val="37"/>
          <w:rFonts w:hint="eastAsia" w:ascii="宋体" w:hAnsi="宋体" w:eastAsia="宋体" w:cs="宋体"/>
          <w:b w:val="0"/>
          <w:bCs w:val="0"/>
          <w:color w:val="auto"/>
          <w:sz w:val="24"/>
          <w:szCs w:val="24"/>
          <w:highlight w:val="none"/>
          <w:u w:val="none"/>
          <w:lang w:eastAsia="zh-CN"/>
        </w:rPr>
        <w:t>半小时内</w:t>
      </w:r>
      <w:r>
        <w:rPr>
          <w:rStyle w:val="37"/>
          <w:rFonts w:hint="eastAsia" w:ascii="宋体" w:hAnsi="宋体" w:eastAsia="宋体" w:cs="宋体"/>
          <w:b w:val="0"/>
          <w:bCs w:val="0"/>
          <w:color w:val="auto"/>
          <w:sz w:val="24"/>
          <w:szCs w:val="24"/>
          <w:highlight w:val="none"/>
          <w:u w:val="none"/>
        </w:rPr>
        <w:t>如实填写政府采购活动现场确认声明书，并以扫描件形式发送至</w:t>
      </w:r>
      <w:r>
        <w:rPr>
          <w:rStyle w:val="37"/>
          <w:rFonts w:hint="eastAsia" w:ascii="宋体" w:hAnsi="宋体" w:eastAsia="宋体" w:cs="宋体"/>
          <w:b w:val="0"/>
          <w:bCs w:val="0"/>
          <w:color w:val="auto"/>
          <w:sz w:val="24"/>
          <w:szCs w:val="24"/>
          <w:highlight w:val="none"/>
          <w:u w:val="none"/>
          <w:lang w:val="en-US" w:eastAsia="zh-CN"/>
        </w:rPr>
        <w:t>1402437534</w:t>
      </w:r>
      <w:r>
        <w:rPr>
          <w:rStyle w:val="37"/>
          <w:rFonts w:hint="eastAsia" w:ascii="宋体" w:hAnsi="宋体" w:eastAsia="宋体" w:cs="宋体"/>
          <w:b w:val="0"/>
          <w:bCs w:val="0"/>
          <w:color w:val="auto"/>
          <w:sz w:val="24"/>
          <w:szCs w:val="24"/>
          <w:highlight w:val="none"/>
          <w:u w:val="none"/>
        </w:rPr>
        <w:t>@qq.com邮箱，如未如实填写，将有可能影响你的投标文件评审（政府采购活动现场确认声明书格式</w:t>
      </w:r>
      <w:r>
        <w:rPr>
          <w:rStyle w:val="37"/>
          <w:rFonts w:hint="eastAsia" w:ascii="宋体" w:hAnsi="宋体" w:eastAsia="宋体" w:cs="宋体"/>
          <w:b w:val="0"/>
          <w:bCs w:val="0"/>
          <w:color w:val="auto"/>
          <w:sz w:val="24"/>
          <w:szCs w:val="24"/>
          <w:highlight w:val="none"/>
          <w:u w:val="none"/>
          <w:lang w:eastAsia="zh-CN"/>
        </w:rPr>
        <w:t>如下</w:t>
      </w:r>
      <w:r>
        <w:rPr>
          <w:rStyle w:val="37"/>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rPr>
        <w:fldChar w:fldCharType="end"/>
      </w:r>
    </w:p>
    <w:p w14:paraId="17E0D82E">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7F8DCA22">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143AA985">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68DF28E1">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019E5AE5">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4A61CC25">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3E81F63F">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46C20A05">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73B2966E">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70A88CB4">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433B650C">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3ACB7655">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25CBF34A">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4B9E2296">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6A3C6137">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542AC1DA">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35472D4C">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6C10B3C1">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7641C9C9">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0E17CA50">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0910E939">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2FEE9434">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05ECF752">
      <w:pPr>
        <w:pStyle w:val="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7C17B312">
      <w:pPr>
        <w:pStyle w:val="91"/>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8"/>
          <w:szCs w:val="28"/>
          <w:highlight w:val="none"/>
        </w:rPr>
      </w:pPr>
    </w:p>
    <w:p w14:paraId="04C2B31F">
      <w:pPr>
        <w:pStyle w:val="91"/>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政府采购活动现场确认声明书</w:t>
      </w:r>
    </w:p>
    <w:p w14:paraId="3D274DE6">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lang w:val="en-US" w:eastAsia="zh-CN"/>
        </w:rPr>
        <w:t>浙江建诚工程管理咨询有限公司</w:t>
      </w:r>
      <w:r>
        <w:rPr>
          <w:rFonts w:hint="eastAsia" w:ascii="宋体" w:hAnsi="宋体" w:eastAsia="宋体" w:cs="宋体"/>
          <w:color w:val="auto"/>
          <w:kern w:val="0"/>
          <w:sz w:val="24"/>
          <w:szCs w:val="24"/>
          <w:highlight w:val="none"/>
        </w:rPr>
        <w:t>：</w:t>
      </w:r>
    </w:p>
    <w:p w14:paraId="1580D0B1">
      <w:pPr>
        <w:pStyle w:val="91"/>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i/>
          <w:iCs/>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rPr>
        <w:t>（姓名）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414DE41E">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一、本单位与采购人之间 </w:t>
      </w:r>
    </w:p>
    <w:p w14:paraId="696A0156">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□不存在利害关系;</w:t>
      </w:r>
    </w:p>
    <w:p w14:paraId="5B9C49A4">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A29B9E0">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334F770E">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32F4BD99">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kern w:val="0"/>
          <w:sz w:val="24"/>
          <w:szCs w:val="24"/>
          <w:highlight w:val="none"/>
        </w:rPr>
        <w:t xml:space="preserve">现已清楚知道参加本项目采购活动的其他所有供应商名称，本单位 </w:t>
      </w:r>
    </w:p>
    <w:p w14:paraId="3248E147">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□与其他所有供应商之间均不存在利害关系 </w:t>
      </w:r>
    </w:p>
    <w:p w14:paraId="73F3E48E">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D536EB0">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29A467DD">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41048E86">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41836707">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537691ED">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5EE30630">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201BC251">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06CB15C8">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21E80EB0">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36E8ABB">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三、现已清楚知道并</w:t>
      </w:r>
      <w:r>
        <w:rPr>
          <w:rFonts w:hint="eastAsia" w:ascii="宋体" w:hAnsi="宋体" w:eastAsia="宋体" w:cs="宋体"/>
          <w:color w:val="auto"/>
          <w:kern w:val="0"/>
          <w:sz w:val="24"/>
          <w:szCs w:val="24"/>
          <w:highlight w:val="none"/>
        </w:rPr>
        <w:t>严格遵守政府采购法律法规和现场纪律。</w:t>
      </w:r>
    </w:p>
    <w:p w14:paraId="3357E276">
      <w:pPr>
        <w:pStyle w:val="9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1B00F86E">
      <w:pPr>
        <w:pStyle w:val="9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（供应商代表签名）：                                       </w:t>
      </w:r>
    </w:p>
    <w:p w14:paraId="6F362ED1">
      <w:pPr>
        <w:pStyle w:val="91"/>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rPr>
        <w:t xml:space="preserve">  月   日</w:t>
      </w:r>
    </w:p>
    <w:p w14:paraId="5D3B3175">
      <w:pPr>
        <w:pStyle w:val="14"/>
        <w:rPr>
          <w:rFonts w:hint="eastAsia" w:ascii="宋体" w:hAnsi="宋体" w:eastAsia="宋体" w:cs="宋体"/>
          <w:color w:val="auto"/>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566042"/>
    </w:sdtPr>
    <w:sdtContent>
      <w:p w14:paraId="75EC5123">
        <w:pPr>
          <w:pStyle w:val="23"/>
          <w:jc w:val="center"/>
        </w:pPr>
        <w:r>
          <w:fldChar w:fldCharType="begin"/>
        </w:r>
        <w:r>
          <w:instrText xml:space="preserve">PAGE   \* MERGEFORMAT</w:instrText>
        </w:r>
        <w:r>
          <w:fldChar w:fldCharType="separate"/>
        </w:r>
        <w:r>
          <w:rPr>
            <w:lang w:val="zh-CN"/>
          </w:rPr>
          <w:t>9</w:t>
        </w:r>
        <w:r>
          <w:rPr>
            <w:lang w:val="zh-CN"/>
          </w:rPr>
          <w:fldChar w:fldCharType="end"/>
        </w:r>
      </w:p>
    </w:sdtContent>
  </w:sdt>
  <w:p w14:paraId="50C8AE48">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E528">
    <w:pPr>
      <w:pStyle w:val="2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507906">
                          <w:pPr>
                            <w:pStyle w:val="23"/>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2B507906">
                    <w:pPr>
                      <w:pStyle w:val="2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946E">
    <w:pPr>
      <w:pStyle w:val="24"/>
      <w:pBdr>
        <w:bottom w:val="none" w:color="auto" w:sz="0" w:space="1"/>
      </w:pBdr>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9E7D436F"/>
    <w:multiLevelType w:val="singleLevel"/>
    <w:tmpl w:val="9E7D436F"/>
    <w:lvl w:ilvl="0" w:tentative="0">
      <w:start w:val="1"/>
      <w:numFmt w:val="chineseCounting"/>
      <w:suff w:val="nothing"/>
      <w:lvlText w:val="%1、"/>
      <w:lvlJc w:val="left"/>
      <w:rPr>
        <w:rFonts w:hint="eastAsia"/>
      </w:rPr>
    </w:lvl>
  </w:abstractNum>
  <w:abstractNum w:abstractNumId="2">
    <w:nsid w:val="12F353C5"/>
    <w:multiLevelType w:val="singleLevel"/>
    <w:tmpl w:val="12F353C5"/>
    <w:lvl w:ilvl="0" w:tentative="0">
      <w:start w:val="1"/>
      <w:numFmt w:val="chineseCounting"/>
      <w:suff w:val="nothing"/>
      <w:lvlText w:val="%1、"/>
      <w:lvlJc w:val="left"/>
      <w:rPr>
        <w:rFonts w:hint="eastAsia"/>
      </w:rPr>
    </w:lvl>
  </w:abstractNum>
  <w:abstractNum w:abstractNumId="3">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4">
    <w:nsid w:val="1EC1A361"/>
    <w:multiLevelType w:val="singleLevel"/>
    <w:tmpl w:val="1EC1A361"/>
    <w:lvl w:ilvl="0" w:tentative="0">
      <w:start w:val="1"/>
      <w:numFmt w:val="decimalEnclosedCircleChinese"/>
      <w:suff w:val="nothing"/>
      <w:lvlText w:val="%1　"/>
      <w:lvlJc w:val="left"/>
      <w:pPr>
        <w:ind w:firstLine="397"/>
      </w:pPr>
      <w:rPr>
        <w:rFonts w:hint="eastAsia"/>
      </w:rPr>
    </w:lvl>
  </w:abstractNum>
  <w:abstractNum w:abstractNumId="5">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6">
    <w:nsid w:val="31213A5A"/>
    <w:multiLevelType w:val="singleLevel"/>
    <w:tmpl w:val="31213A5A"/>
    <w:lvl w:ilvl="0" w:tentative="0">
      <w:start w:val="4"/>
      <w:numFmt w:val="chineseCounting"/>
      <w:suff w:val="nothing"/>
      <w:lvlText w:val="%1、"/>
      <w:lvlJc w:val="left"/>
      <w:rPr>
        <w:rFonts w:hint="eastAsia"/>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466C6E1F"/>
    <w:multiLevelType w:val="multilevel"/>
    <w:tmpl w:val="466C6E1F"/>
    <w:lvl w:ilvl="0" w:tentative="0">
      <w:start w:val="1"/>
      <w:numFmt w:val="upperLetter"/>
      <w:pStyle w:val="7"/>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9">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0">
    <w:nsid w:val="5B4344E3"/>
    <w:multiLevelType w:val="singleLevel"/>
    <w:tmpl w:val="5B4344E3"/>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11">
    <w:nsid w:val="7B2826C6"/>
    <w:multiLevelType w:val="singleLevel"/>
    <w:tmpl w:val="7B2826C6"/>
    <w:lvl w:ilvl="0" w:tentative="0">
      <w:start w:val="1"/>
      <w:numFmt w:val="decimal"/>
      <w:suff w:val="nothing"/>
      <w:lvlText w:val="%1．"/>
      <w:lvlJc w:val="left"/>
      <w:pPr>
        <w:ind w:firstLine="397"/>
      </w:pPr>
      <w:rPr>
        <w:rFonts w:hint="default"/>
      </w:rPr>
    </w:lvl>
  </w:abstractNum>
  <w:num w:numId="1">
    <w:abstractNumId w:val="8"/>
  </w:num>
  <w:num w:numId="2">
    <w:abstractNumId w:val="11"/>
  </w:num>
  <w:num w:numId="3">
    <w:abstractNumId w:val="9"/>
  </w:num>
  <w:num w:numId="4">
    <w:abstractNumId w:val="3"/>
  </w:num>
  <w:num w:numId="5">
    <w:abstractNumId w:val="4"/>
  </w:num>
  <w:num w:numId="6">
    <w:abstractNumId w:val="2"/>
  </w:num>
  <w:num w:numId="7">
    <w:abstractNumId w:val="0"/>
  </w:num>
  <w:num w:numId="8">
    <w:abstractNumId w:val="5"/>
  </w:num>
  <w:num w:numId="9">
    <w:abstractNumId w:val="1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WE4MWU2OTlkNDAxMWY3MGJiNDBlNGFiOGRjZDkifQ=="/>
  </w:docVars>
  <w:rsids>
    <w:rsidRoot w:val="00172A27"/>
    <w:rsid w:val="00001D22"/>
    <w:rsid w:val="0002407B"/>
    <w:rsid w:val="00037E77"/>
    <w:rsid w:val="00040E9F"/>
    <w:rsid w:val="00050642"/>
    <w:rsid w:val="00054261"/>
    <w:rsid w:val="0006706B"/>
    <w:rsid w:val="00067DF5"/>
    <w:rsid w:val="00072534"/>
    <w:rsid w:val="00075356"/>
    <w:rsid w:val="00084DB8"/>
    <w:rsid w:val="00085ECB"/>
    <w:rsid w:val="000A6093"/>
    <w:rsid w:val="000B5F29"/>
    <w:rsid w:val="000C0FDF"/>
    <w:rsid w:val="000C1626"/>
    <w:rsid w:val="000C4314"/>
    <w:rsid w:val="000E642D"/>
    <w:rsid w:val="000F31C0"/>
    <w:rsid w:val="000F34AF"/>
    <w:rsid w:val="0010390D"/>
    <w:rsid w:val="001039CA"/>
    <w:rsid w:val="00105576"/>
    <w:rsid w:val="00110359"/>
    <w:rsid w:val="00110A33"/>
    <w:rsid w:val="00116BCE"/>
    <w:rsid w:val="00120C78"/>
    <w:rsid w:val="00126054"/>
    <w:rsid w:val="0015146D"/>
    <w:rsid w:val="00163764"/>
    <w:rsid w:val="00164E30"/>
    <w:rsid w:val="00172A27"/>
    <w:rsid w:val="0018216C"/>
    <w:rsid w:val="00183780"/>
    <w:rsid w:val="001A1822"/>
    <w:rsid w:val="001B4CF1"/>
    <w:rsid w:val="001B54C1"/>
    <w:rsid w:val="001C6880"/>
    <w:rsid w:val="001D0BF7"/>
    <w:rsid w:val="001D21F3"/>
    <w:rsid w:val="001F490F"/>
    <w:rsid w:val="001F5EC6"/>
    <w:rsid w:val="00200E37"/>
    <w:rsid w:val="0020445A"/>
    <w:rsid w:val="002078E3"/>
    <w:rsid w:val="00207B3B"/>
    <w:rsid w:val="0021296F"/>
    <w:rsid w:val="00215DB1"/>
    <w:rsid w:val="00221D1D"/>
    <w:rsid w:val="00223E24"/>
    <w:rsid w:val="00224103"/>
    <w:rsid w:val="002247BF"/>
    <w:rsid w:val="00233BF7"/>
    <w:rsid w:val="002600D8"/>
    <w:rsid w:val="0026106F"/>
    <w:rsid w:val="00263D2B"/>
    <w:rsid w:val="00273B76"/>
    <w:rsid w:val="00273F1A"/>
    <w:rsid w:val="00275466"/>
    <w:rsid w:val="0028317D"/>
    <w:rsid w:val="002839D8"/>
    <w:rsid w:val="002A36CC"/>
    <w:rsid w:val="002B04D3"/>
    <w:rsid w:val="002C34CA"/>
    <w:rsid w:val="002E0800"/>
    <w:rsid w:val="002E49E5"/>
    <w:rsid w:val="002F3992"/>
    <w:rsid w:val="002F5B3B"/>
    <w:rsid w:val="00313B8D"/>
    <w:rsid w:val="003171E5"/>
    <w:rsid w:val="003211E5"/>
    <w:rsid w:val="0032125A"/>
    <w:rsid w:val="00323682"/>
    <w:rsid w:val="00325068"/>
    <w:rsid w:val="003470DA"/>
    <w:rsid w:val="0035424B"/>
    <w:rsid w:val="0035715D"/>
    <w:rsid w:val="00357184"/>
    <w:rsid w:val="00362121"/>
    <w:rsid w:val="00363AFD"/>
    <w:rsid w:val="003641B1"/>
    <w:rsid w:val="00373640"/>
    <w:rsid w:val="00374E3E"/>
    <w:rsid w:val="003914B1"/>
    <w:rsid w:val="00392B4C"/>
    <w:rsid w:val="00393C1C"/>
    <w:rsid w:val="003A0D36"/>
    <w:rsid w:val="003A23E8"/>
    <w:rsid w:val="003A514B"/>
    <w:rsid w:val="003B0654"/>
    <w:rsid w:val="003B4AB3"/>
    <w:rsid w:val="003B6DDD"/>
    <w:rsid w:val="003C7061"/>
    <w:rsid w:val="003D07BA"/>
    <w:rsid w:val="003D14AE"/>
    <w:rsid w:val="003D5064"/>
    <w:rsid w:val="003F49CC"/>
    <w:rsid w:val="003F7768"/>
    <w:rsid w:val="00400657"/>
    <w:rsid w:val="00402FF9"/>
    <w:rsid w:val="00421C81"/>
    <w:rsid w:val="004277E5"/>
    <w:rsid w:val="004420E7"/>
    <w:rsid w:val="00442B78"/>
    <w:rsid w:val="00447FEE"/>
    <w:rsid w:val="004536A0"/>
    <w:rsid w:val="00463C96"/>
    <w:rsid w:val="00467AC4"/>
    <w:rsid w:val="0047282C"/>
    <w:rsid w:val="004823D2"/>
    <w:rsid w:val="00487216"/>
    <w:rsid w:val="004B5248"/>
    <w:rsid w:val="004E2791"/>
    <w:rsid w:val="004E63AF"/>
    <w:rsid w:val="004E7DB7"/>
    <w:rsid w:val="004E7EE9"/>
    <w:rsid w:val="004F61AD"/>
    <w:rsid w:val="00502B33"/>
    <w:rsid w:val="0050528B"/>
    <w:rsid w:val="00506127"/>
    <w:rsid w:val="00506AF8"/>
    <w:rsid w:val="005079CF"/>
    <w:rsid w:val="00534CA8"/>
    <w:rsid w:val="00536BAE"/>
    <w:rsid w:val="00542925"/>
    <w:rsid w:val="005529D2"/>
    <w:rsid w:val="00557361"/>
    <w:rsid w:val="005617C4"/>
    <w:rsid w:val="005739BB"/>
    <w:rsid w:val="005768DC"/>
    <w:rsid w:val="00577BC7"/>
    <w:rsid w:val="00584EF5"/>
    <w:rsid w:val="00592197"/>
    <w:rsid w:val="005971F4"/>
    <w:rsid w:val="005A54F0"/>
    <w:rsid w:val="005B3EDB"/>
    <w:rsid w:val="005B7D1F"/>
    <w:rsid w:val="005C1859"/>
    <w:rsid w:val="005C3597"/>
    <w:rsid w:val="005D6FEC"/>
    <w:rsid w:val="005E096B"/>
    <w:rsid w:val="005E2847"/>
    <w:rsid w:val="005E4D64"/>
    <w:rsid w:val="00610F38"/>
    <w:rsid w:val="00616FF9"/>
    <w:rsid w:val="00623E00"/>
    <w:rsid w:val="0064397B"/>
    <w:rsid w:val="00646067"/>
    <w:rsid w:val="0065029C"/>
    <w:rsid w:val="006579F9"/>
    <w:rsid w:val="0066397B"/>
    <w:rsid w:val="006904D3"/>
    <w:rsid w:val="00691A05"/>
    <w:rsid w:val="00692F21"/>
    <w:rsid w:val="00694047"/>
    <w:rsid w:val="006964E3"/>
    <w:rsid w:val="006973E5"/>
    <w:rsid w:val="006A4184"/>
    <w:rsid w:val="006A6850"/>
    <w:rsid w:val="006A691A"/>
    <w:rsid w:val="006C7C7C"/>
    <w:rsid w:val="006D1033"/>
    <w:rsid w:val="006D3DB7"/>
    <w:rsid w:val="006E4D94"/>
    <w:rsid w:val="00705021"/>
    <w:rsid w:val="00710F26"/>
    <w:rsid w:val="00711D56"/>
    <w:rsid w:val="00714DDC"/>
    <w:rsid w:val="00716C37"/>
    <w:rsid w:val="00721DB0"/>
    <w:rsid w:val="007271B4"/>
    <w:rsid w:val="00736DA6"/>
    <w:rsid w:val="007422DB"/>
    <w:rsid w:val="007536BB"/>
    <w:rsid w:val="007617EB"/>
    <w:rsid w:val="00774172"/>
    <w:rsid w:val="00780526"/>
    <w:rsid w:val="00783C8D"/>
    <w:rsid w:val="00785F08"/>
    <w:rsid w:val="0079084C"/>
    <w:rsid w:val="00792349"/>
    <w:rsid w:val="00793A06"/>
    <w:rsid w:val="00796AA3"/>
    <w:rsid w:val="007A3B0D"/>
    <w:rsid w:val="007A4C8A"/>
    <w:rsid w:val="007C1988"/>
    <w:rsid w:val="007C36F2"/>
    <w:rsid w:val="007D1674"/>
    <w:rsid w:val="007E6406"/>
    <w:rsid w:val="007F2F1F"/>
    <w:rsid w:val="007F61D2"/>
    <w:rsid w:val="00804A32"/>
    <w:rsid w:val="00815016"/>
    <w:rsid w:val="00816086"/>
    <w:rsid w:val="00820B40"/>
    <w:rsid w:val="00830E59"/>
    <w:rsid w:val="00830F9A"/>
    <w:rsid w:val="00831737"/>
    <w:rsid w:val="00841FBD"/>
    <w:rsid w:val="008450B2"/>
    <w:rsid w:val="008602FF"/>
    <w:rsid w:val="00860F2A"/>
    <w:rsid w:val="008651FF"/>
    <w:rsid w:val="00867A8C"/>
    <w:rsid w:val="00870215"/>
    <w:rsid w:val="00873263"/>
    <w:rsid w:val="00875467"/>
    <w:rsid w:val="00880A2D"/>
    <w:rsid w:val="00883369"/>
    <w:rsid w:val="00893230"/>
    <w:rsid w:val="00895859"/>
    <w:rsid w:val="008C2439"/>
    <w:rsid w:val="008C3E0D"/>
    <w:rsid w:val="008E0A0C"/>
    <w:rsid w:val="008E35FD"/>
    <w:rsid w:val="008E755B"/>
    <w:rsid w:val="008F0B85"/>
    <w:rsid w:val="008F27BD"/>
    <w:rsid w:val="008F2DF7"/>
    <w:rsid w:val="0090108D"/>
    <w:rsid w:val="00903C73"/>
    <w:rsid w:val="00913BA9"/>
    <w:rsid w:val="00913DF5"/>
    <w:rsid w:val="00916700"/>
    <w:rsid w:val="00920D39"/>
    <w:rsid w:val="0092340A"/>
    <w:rsid w:val="009241BF"/>
    <w:rsid w:val="009261EE"/>
    <w:rsid w:val="00927DB4"/>
    <w:rsid w:val="00940AB4"/>
    <w:rsid w:val="009459C8"/>
    <w:rsid w:val="00955604"/>
    <w:rsid w:val="00961B43"/>
    <w:rsid w:val="0097128A"/>
    <w:rsid w:val="009716D5"/>
    <w:rsid w:val="009975D9"/>
    <w:rsid w:val="009B0354"/>
    <w:rsid w:val="009D038C"/>
    <w:rsid w:val="009D0708"/>
    <w:rsid w:val="009D1851"/>
    <w:rsid w:val="009D73E9"/>
    <w:rsid w:val="009E20BC"/>
    <w:rsid w:val="009E27CB"/>
    <w:rsid w:val="009E3B64"/>
    <w:rsid w:val="009E6407"/>
    <w:rsid w:val="009F7B97"/>
    <w:rsid w:val="00A0160A"/>
    <w:rsid w:val="00A01782"/>
    <w:rsid w:val="00A03E00"/>
    <w:rsid w:val="00A05250"/>
    <w:rsid w:val="00A06FE3"/>
    <w:rsid w:val="00A118F1"/>
    <w:rsid w:val="00A234DB"/>
    <w:rsid w:val="00A2724A"/>
    <w:rsid w:val="00A27BF9"/>
    <w:rsid w:val="00A41B49"/>
    <w:rsid w:val="00A466AB"/>
    <w:rsid w:val="00A52CBC"/>
    <w:rsid w:val="00A564DB"/>
    <w:rsid w:val="00A67E9E"/>
    <w:rsid w:val="00A7118A"/>
    <w:rsid w:val="00A73AC4"/>
    <w:rsid w:val="00A74A0A"/>
    <w:rsid w:val="00A82FD6"/>
    <w:rsid w:val="00A92CDF"/>
    <w:rsid w:val="00AA112C"/>
    <w:rsid w:val="00AA163C"/>
    <w:rsid w:val="00AB3663"/>
    <w:rsid w:val="00AD549D"/>
    <w:rsid w:val="00AD66AA"/>
    <w:rsid w:val="00AE721D"/>
    <w:rsid w:val="00AF40FC"/>
    <w:rsid w:val="00AF7730"/>
    <w:rsid w:val="00B01569"/>
    <w:rsid w:val="00B06D5A"/>
    <w:rsid w:val="00B074CC"/>
    <w:rsid w:val="00B122C2"/>
    <w:rsid w:val="00B1386B"/>
    <w:rsid w:val="00B20B66"/>
    <w:rsid w:val="00B25893"/>
    <w:rsid w:val="00B34795"/>
    <w:rsid w:val="00B41C43"/>
    <w:rsid w:val="00B4273B"/>
    <w:rsid w:val="00B47103"/>
    <w:rsid w:val="00B5379E"/>
    <w:rsid w:val="00B633BD"/>
    <w:rsid w:val="00B63F10"/>
    <w:rsid w:val="00B67512"/>
    <w:rsid w:val="00B94244"/>
    <w:rsid w:val="00B96A5B"/>
    <w:rsid w:val="00BA2B11"/>
    <w:rsid w:val="00BA4648"/>
    <w:rsid w:val="00BA48B6"/>
    <w:rsid w:val="00BB406D"/>
    <w:rsid w:val="00BD0B2B"/>
    <w:rsid w:val="00BD4629"/>
    <w:rsid w:val="00BD7B06"/>
    <w:rsid w:val="00BF557D"/>
    <w:rsid w:val="00C012B0"/>
    <w:rsid w:val="00C03291"/>
    <w:rsid w:val="00C07237"/>
    <w:rsid w:val="00C07473"/>
    <w:rsid w:val="00C2285C"/>
    <w:rsid w:val="00C23406"/>
    <w:rsid w:val="00C25F67"/>
    <w:rsid w:val="00C33063"/>
    <w:rsid w:val="00C42D7F"/>
    <w:rsid w:val="00C50363"/>
    <w:rsid w:val="00C527D8"/>
    <w:rsid w:val="00C56888"/>
    <w:rsid w:val="00C62CD4"/>
    <w:rsid w:val="00C63423"/>
    <w:rsid w:val="00C70180"/>
    <w:rsid w:val="00C775D0"/>
    <w:rsid w:val="00C779A5"/>
    <w:rsid w:val="00C86AB2"/>
    <w:rsid w:val="00C93598"/>
    <w:rsid w:val="00C94E3D"/>
    <w:rsid w:val="00C95AF7"/>
    <w:rsid w:val="00C96E23"/>
    <w:rsid w:val="00C97493"/>
    <w:rsid w:val="00C976E7"/>
    <w:rsid w:val="00CA0E59"/>
    <w:rsid w:val="00CA29A3"/>
    <w:rsid w:val="00CA379F"/>
    <w:rsid w:val="00CB3271"/>
    <w:rsid w:val="00CC4B2E"/>
    <w:rsid w:val="00CD21E4"/>
    <w:rsid w:val="00CE14EC"/>
    <w:rsid w:val="00CE2677"/>
    <w:rsid w:val="00D00F9A"/>
    <w:rsid w:val="00D03574"/>
    <w:rsid w:val="00D03BCD"/>
    <w:rsid w:val="00D03F28"/>
    <w:rsid w:val="00D10E1B"/>
    <w:rsid w:val="00D131CF"/>
    <w:rsid w:val="00D208F6"/>
    <w:rsid w:val="00D247A4"/>
    <w:rsid w:val="00D33AD9"/>
    <w:rsid w:val="00D40761"/>
    <w:rsid w:val="00D4632B"/>
    <w:rsid w:val="00D510CF"/>
    <w:rsid w:val="00D62849"/>
    <w:rsid w:val="00D6422E"/>
    <w:rsid w:val="00D67DE5"/>
    <w:rsid w:val="00D81B23"/>
    <w:rsid w:val="00D822DF"/>
    <w:rsid w:val="00DB26CF"/>
    <w:rsid w:val="00DB481B"/>
    <w:rsid w:val="00DC4478"/>
    <w:rsid w:val="00DD0487"/>
    <w:rsid w:val="00DD1A28"/>
    <w:rsid w:val="00DD533A"/>
    <w:rsid w:val="00DE7CF8"/>
    <w:rsid w:val="00DF40D8"/>
    <w:rsid w:val="00DF56D8"/>
    <w:rsid w:val="00DF663A"/>
    <w:rsid w:val="00DF7B80"/>
    <w:rsid w:val="00E027CF"/>
    <w:rsid w:val="00E109DA"/>
    <w:rsid w:val="00E13814"/>
    <w:rsid w:val="00E13DFE"/>
    <w:rsid w:val="00E15315"/>
    <w:rsid w:val="00E20822"/>
    <w:rsid w:val="00E257C8"/>
    <w:rsid w:val="00E263E6"/>
    <w:rsid w:val="00E42FD9"/>
    <w:rsid w:val="00E43D91"/>
    <w:rsid w:val="00E53562"/>
    <w:rsid w:val="00E55984"/>
    <w:rsid w:val="00E60A51"/>
    <w:rsid w:val="00E71DA1"/>
    <w:rsid w:val="00E734E7"/>
    <w:rsid w:val="00E77AEE"/>
    <w:rsid w:val="00E92159"/>
    <w:rsid w:val="00E937EB"/>
    <w:rsid w:val="00EA0033"/>
    <w:rsid w:val="00EA0DD7"/>
    <w:rsid w:val="00EA28CD"/>
    <w:rsid w:val="00EB1ACE"/>
    <w:rsid w:val="00EC1EE6"/>
    <w:rsid w:val="00ED0982"/>
    <w:rsid w:val="00ED39CC"/>
    <w:rsid w:val="00ED3A33"/>
    <w:rsid w:val="00EF45AA"/>
    <w:rsid w:val="00EF6565"/>
    <w:rsid w:val="00F043A7"/>
    <w:rsid w:val="00F12831"/>
    <w:rsid w:val="00F257DD"/>
    <w:rsid w:val="00F44CF9"/>
    <w:rsid w:val="00F459FB"/>
    <w:rsid w:val="00F4616F"/>
    <w:rsid w:val="00F50C5D"/>
    <w:rsid w:val="00F519CA"/>
    <w:rsid w:val="00F673E5"/>
    <w:rsid w:val="00F869FA"/>
    <w:rsid w:val="00F90819"/>
    <w:rsid w:val="00F91F4A"/>
    <w:rsid w:val="00FA6DC6"/>
    <w:rsid w:val="00FA71FC"/>
    <w:rsid w:val="00FB1A08"/>
    <w:rsid w:val="00FB2C91"/>
    <w:rsid w:val="00FC0E55"/>
    <w:rsid w:val="00FC3CBE"/>
    <w:rsid w:val="00FC4C1B"/>
    <w:rsid w:val="00FD4EC1"/>
    <w:rsid w:val="00FD5E6A"/>
    <w:rsid w:val="00FF2D3E"/>
    <w:rsid w:val="0149271B"/>
    <w:rsid w:val="02710CE9"/>
    <w:rsid w:val="02FB0AA9"/>
    <w:rsid w:val="02FB1EF4"/>
    <w:rsid w:val="03082F4B"/>
    <w:rsid w:val="03604B36"/>
    <w:rsid w:val="03D535D0"/>
    <w:rsid w:val="063127B9"/>
    <w:rsid w:val="07B86A00"/>
    <w:rsid w:val="08E11EDE"/>
    <w:rsid w:val="0A34069F"/>
    <w:rsid w:val="0AA7304A"/>
    <w:rsid w:val="0B0F1369"/>
    <w:rsid w:val="0C79216A"/>
    <w:rsid w:val="0D0A552D"/>
    <w:rsid w:val="0E0216F3"/>
    <w:rsid w:val="0EC2197A"/>
    <w:rsid w:val="0F8B2F3A"/>
    <w:rsid w:val="0F9E5390"/>
    <w:rsid w:val="10411993"/>
    <w:rsid w:val="104145F9"/>
    <w:rsid w:val="119A7465"/>
    <w:rsid w:val="11CF6577"/>
    <w:rsid w:val="12547039"/>
    <w:rsid w:val="12C7301C"/>
    <w:rsid w:val="13495BED"/>
    <w:rsid w:val="13975F78"/>
    <w:rsid w:val="13AC4857"/>
    <w:rsid w:val="1521181B"/>
    <w:rsid w:val="155D552F"/>
    <w:rsid w:val="157D7686"/>
    <w:rsid w:val="15830AE2"/>
    <w:rsid w:val="15A07E8D"/>
    <w:rsid w:val="15BB45B7"/>
    <w:rsid w:val="1648774C"/>
    <w:rsid w:val="16946675"/>
    <w:rsid w:val="16EB43B2"/>
    <w:rsid w:val="17255A12"/>
    <w:rsid w:val="17EF5C82"/>
    <w:rsid w:val="17F9467F"/>
    <w:rsid w:val="188460A0"/>
    <w:rsid w:val="19061AA7"/>
    <w:rsid w:val="1A626595"/>
    <w:rsid w:val="1A7E7A54"/>
    <w:rsid w:val="1B155261"/>
    <w:rsid w:val="1BB5293D"/>
    <w:rsid w:val="1BBC7011"/>
    <w:rsid w:val="1BDB27A5"/>
    <w:rsid w:val="1C6B3317"/>
    <w:rsid w:val="1CFF0A9F"/>
    <w:rsid w:val="1D2148A0"/>
    <w:rsid w:val="1D743260"/>
    <w:rsid w:val="1D916EAD"/>
    <w:rsid w:val="1E1D4217"/>
    <w:rsid w:val="1E202786"/>
    <w:rsid w:val="1EDA1EFB"/>
    <w:rsid w:val="1EFA0EE6"/>
    <w:rsid w:val="1F2B0346"/>
    <w:rsid w:val="1F431821"/>
    <w:rsid w:val="1F890C4B"/>
    <w:rsid w:val="205B73C3"/>
    <w:rsid w:val="20D34487"/>
    <w:rsid w:val="21537272"/>
    <w:rsid w:val="215A3622"/>
    <w:rsid w:val="217C1A22"/>
    <w:rsid w:val="21FF3D3B"/>
    <w:rsid w:val="224C47AB"/>
    <w:rsid w:val="22514430"/>
    <w:rsid w:val="22883309"/>
    <w:rsid w:val="232B05BB"/>
    <w:rsid w:val="23AB6A13"/>
    <w:rsid w:val="24343749"/>
    <w:rsid w:val="244B0D45"/>
    <w:rsid w:val="246102B6"/>
    <w:rsid w:val="26451EEA"/>
    <w:rsid w:val="26704F2E"/>
    <w:rsid w:val="27A10BBA"/>
    <w:rsid w:val="28C62F56"/>
    <w:rsid w:val="28DA203A"/>
    <w:rsid w:val="28F0407A"/>
    <w:rsid w:val="291A7D32"/>
    <w:rsid w:val="29655706"/>
    <w:rsid w:val="2A471E03"/>
    <w:rsid w:val="2A837D0C"/>
    <w:rsid w:val="2B2C517A"/>
    <w:rsid w:val="2B907A2D"/>
    <w:rsid w:val="2C1E1BE9"/>
    <w:rsid w:val="2D346E5C"/>
    <w:rsid w:val="2DA32DCF"/>
    <w:rsid w:val="2E21325F"/>
    <w:rsid w:val="2E664953"/>
    <w:rsid w:val="2F5037C6"/>
    <w:rsid w:val="2FB70373"/>
    <w:rsid w:val="30712E45"/>
    <w:rsid w:val="30C95219"/>
    <w:rsid w:val="30FB7A19"/>
    <w:rsid w:val="310261A7"/>
    <w:rsid w:val="31803746"/>
    <w:rsid w:val="32A75185"/>
    <w:rsid w:val="33220830"/>
    <w:rsid w:val="33340B4D"/>
    <w:rsid w:val="349413EA"/>
    <w:rsid w:val="34B73AE1"/>
    <w:rsid w:val="351B3885"/>
    <w:rsid w:val="353A4F98"/>
    <w:rsid w:val="359202CF"/>
    <w:rsid w:val="35E33BCD"/>
    <w:rsid w:val="364544FD"/>
    <w:rsid w:val="3671028E"/>
    <w:rsid w:val="36723436"/>
    <w:rsid w:val="36CE34E8"/>
    <w:rsid w:val="37020770"/>
    <w:rsid w:val="370C51FE"/>
    <w:rsid w:val="37D56F67"/>
    <w:rsid w:val="382525C1"/>
    <w:rsid w:val="3AFE5362"/>
    <w:rsid w:val="3BFB70AA"/>
    <w:rsid w:val="3D5D52D9"/>
    <w:rsid w:val="3DCE50EF"/>
    <w:rsid w:val="3E1371FC"/>
    <w:rsid w:val="3E1918E3"/>
    <w:rsid w:val="3E3759DF"/>
    <w:rsid w:val="3F124E16"/>
    <w:rsid w:val="401C7E0E"/>
    <w:rsid w:val="40E80A95"/>
    <w:rsid w:val="410F3913"/>
    <w:rsid w:val="415C3716"/>
    <w:rsid w:val="41B603E1"/>
    <w:rsid w:val="41C50CBF"/>
    <w:rsid w:val="41D45DF7"/>
    <w:rsid w:val="42234900"/>
    <w:rsid w:val="42914373"/>
    <w:rsid w:val="4297507F"/>
    <w:rsid w:val="42A44E8B"/>
    <w:rsid w:val="42E76419"/>
    <w:rsid w:val="436C497E"/>
    <w:rsid w:val="4417389B"/>
    <w:rsid w:val="45C344D5"/>
    <w:rsid w:val="46562959"/>
    <w:rsid w:val="467001B9"/>
    <w:rsid w:val="467F690A"/>
    <w:rsid w:val="46B85F59"/>
    <w:rsid w:val="46BA7B74"/>
    <w:rsid w:val="46C6427C"/>
    <w:rsid w:val="46F4266C"/>
    <w:rsid w:val="481E5144"/>
    <w:rsid w:val="4824615D"/>
    <w:rsid w:val="48621071"/>
    <w:rsid w:val="48CB30ED"/>
    <w:rsid w:val="492D7C31"/>
    <w:rsid w:val="4939021E"/>
    <w:rsid w:val="49C134CC"/>
    <w:rsid w:val="4AD245F0"/>
    <w:rsid w:val="4B5C045F"/>
    <w:rsid w:val="4B7B7A9A"/>
    <w:rsid w:val="4BE44EED"/>
    <w:rsid w:val="4C433E3C"/>
    <w:rsid w:val="4CDD24A8"/>
    <w:rsid w:val="4CF131A3"/>
    <w:rsid w:val="4D6C7E13"/>
    <w:rsid w:val="4D782815"/>
    <w:rsid w:val="4E236FF8"/>
    <w:rsid w:val="4EC72E3E"/>
    <w:rsid w:val="4F2E54CA"/>
    <w:rsid w:val="4FFA39D6"/>
    <w:rsid w:val="50240369"/>
    <w:rsid w:val="508F05EA"/>
    <w:rsid w:val="51C82055"/>
    <w:rsid w:val="52A01E26"/>
    <w:rsid w:val="538502F9"/>
    <w:rsid w:val="541A312C"/>
    <w:rsid w:val="54A90D98"/>
    <w:rsid w:val="54C42617"/>
    <w:rsid w:val="54F65EBA"/>
    <w:rsid w:val="56F203B4"/>
    <w:rsid w:val="57FC55AA"/>
    <w:rsid w:val="580928E7"/>
    <w:rsid w:val="58184501"/>
    <w:rsid w:val="58320CE2"/>
    <w:rsid w:val="58551F7D"/>
    <w:rsid w:val="59045A92"/>
    <w:rsid w:val="594F4796"/>
    <w:rsid w:val="59F767DB"/>
    <w:rsid w:val="5AA412FE"/>
    <w:rsid w:val="5AC72F10"/>
    <w:rsid w:val="5B317A04"/>
    <w:rsid w:val="5C6F225F"/>
    <w:rsid w:val="5CA558C9"/>
    <w:rsid w:val="5D217374"/>
    <w:rsid w:val="5DCE2F2A"/>
    <w:rsid w:val="5DE81AA6"/>
    <w:rsid w:val="5E2B51A2"/>
    <w:rsid w:val="5E6006BB"/>
    <w:rsid w:val="5F5B667A"/>
    <w:rsid w:val="5FD125EC"/>
    <w:rsid w:val="600C0AFA"/>
    <w:rsid w:val="608B78E2"/>
    <w:rsid w:val="612A2884"/>
    <w:rsid w:val="61396DD0"/>
    <w:rsid w:val="638717D9"/>
    <w:rsid w:val="63F7269F"/>
    <w:rsid w:val="643D4DC0"/>
    <w:rsid w:val="64A14715"/>
    <w:rsid w:val="665E3A26"/>
    <w:rsid w:val="671B6AB8"/>
    <w:rsid w:val="67411D7E"/>
    <w:rsid w:val="67821C5D"/>
    <w:rsid w:val="67996221"/>
    <w:rsid w:val="67CB6FEA"/>
    <w:rsid w:val="67EE6D37"/>
    <w:rsid w:val="681E7F53"/>
    <w:rsid w:val="690B2BE6"/>
    <w:rsid w:val="69A14E77"/>
    <w:rsid w:val="69B83AA1"/>
    <w:rsid w:val="69D4530F"/>
    <w:rsid w:val="6B5070BC"/>
    <w:rsid w:val="6D644BEF"/>
    <w:rsid w:val="6D88336F"/>
    <w:rsid w:val="6DAD5655"/>
    <w:rsid w:val="6E056F1D"/>
    <w:rsid w:val="6E3E4CE3"/>
    <w:rsid w:val="6E6A0A18"/>
    <w:rsid w:val="6E957640"/>
    <w:rsid w:val="6ED13AB0"/>
    <w:rsid w:val="6EDE22D4"/>
    <w:rsid w:val="6F5E2C15"/>
    <w:rsid w:val="6F780C5E"/>
    <w:rsid w:val="6FE102B5"/>
    <w:rsid w:val="706245CD"/>
    <w:rsid w:val="712946BF"/>
    <w:rsid w:val="71713FF1"/>
    <w:rsid w:val="71844E20"/>
    <w:rsid w:val="71942BF7"/>
    <w:rsid w:val="72955284"/>
    <w:rsid w:val="72B926C4"/>
    <w:rsid w:val="72EA0AEA"/>
    <w:rsid w:val="732D4BB8"/>
    <w:rsid w:val="73302F9C"/>
    <w:rsid w:val="73AC6B4F"/>
    <w:rsid w:val="73EB3D22"/>
    <w:rsid w:val="74155EAB"/>
    <w:rsid w:val="75126D7A"/>
    <w:rsid w:val="7551102A"/>
    <w:rsid w:val="757E013E"/>
    <w:rsid w:val="75BA5477"/>
    <w:rsid w:val="75E435E5"/>
    <w:rsid w:val="75F72A95"/>
    <w:rsid w:val="770A4BFA"/>
    <w:rsid w:val="774E25FB"/>
    <w:rsid w:val="77537603"/>
    <w:rsid w:val="777F747E"/>
    <w:rsid w:val="77E63ABE"/>
    <w:rsid w:val="78937CF7"/>
    <w:rsid w:val="7895503C"/>
    <w:rsid w:val="78E746E7"/>
    <w:rsid w:val="79ED6971"/>
    <w:rsid w:val="7A082333"/>
    <w:rsid w:val="7A102BA9"/>
    <w:rsid w:val="7A560E98"/>
    <w:rsid w:val="7AA33536"/>
    <w:rsid w:val="7BD10583"/>
    <w:rsid w:val="7BDD1145"/>
    <w:rsid w:val="7BFE1E83"/>
    <w:rsid w:val="7DBF21A5"/>
    <w:rsid w:val="7DE93C59"/>
    <w:rsid w:val="7EB4296F"/>
    <w:rsid w:val="7EFB51B8"/>
    <w:rsid w:val="7F3F61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9" w:semiHidden="0" w:name="heading 5" w:locked="1"/>
    <w:lsdException w:qFormat="1" w:uiPriority="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iPriority="0" w:semiHidden="0"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44"/>
    <w:qFormat/>
    <w:uiPriority w:val="0"/>
    <w:pPr>
      <w:keepNext/>
      <w:keepLines/>
      <w:spacing w:line="576" w:lineRule="auto"/>
      <w:outlineLvl w:val="0"/>
    </w:pPr>
    <w:rPr>
      <w:rFonts w:ascii="Calibri" w:hAnsi="Calibri" w:cs="Calibri"/>
      <w:b/>
      <w:bCs/>
      <w:kern w:val="44"/>
      <w:sz w:val="44"/>
      <w:szCs w:val="44"/>
    </w:rPr>
  </w:style>
  <w:style w:type="paragraph" w:styleId="5">
    <w:name w:val="heading 2"/>
    <w:basedOn w:val="1"/>
    <w:next w:val="6"/>
    <w:link w:val="45"/>
    <w:qFormat/>
    <w:uiPriority w:val="0"/>
    <w:pPr>
      <w:keepNext/>
      <w:spacing w:line="216" w:lineRule="auto"/>
      <w:outlineLvl w:val="1"/>
    </w:pPr>
    <w:rPr>
      <w:rFonts w:ascii="宋体" w:hAnsi="Calibri" w:cs="宋体"/>
      <w:b/>
      <w:bCs/>
      <w:sz w:val="28"/>
      <w:szCs w:val="28"/>
    </w:rPr>
  </w:style>
  <w:style w:type="paragraph" w:styleId="7">
    <w:name w:val="heading 3"/>
    <w:next w:val="8"/>
    <w:link w:val="46"/>
    <w:qFormat/>
    <w:uiPriority w:val="0"/>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9">
    <w:name w:val="heading 4"/>
    <w:basedOn w:val="1"/>
    <w:next w:val="1"/>
    <w:qFormat/>
    <w:locked/>
    <w:uiPriority w:val="0"/>
    <w:pPr>
      <w:keepLines/>
      <w:autoSpaceDE w:val="0"/>
      <w:autoSpaceDN w:val="0"/>
      <w:adjustRightInd w:val="0"/>
      <w:textAlignment w:val="baseline"/>
      <w:outlineLvl w:val="3"/>
    </w:pPr>
    <w:rPr>
      <w:rFonts w:eastAsia="楷体_GB2312"/>
      <w:b/>
      <w:snapToGrid w:val="0"/>
      <w:sz w:val="24"/>
    </w:rPr>
  </w:style>
  <w:style w:type="paragraph" w:styleId="10">
    <w:name w:val="heading 5"/>
    <w:next w:val="1"/>
    <w:link w:val="87"/>
    <w:unhideWhenUsed/>
    <w:qFormat/>
    <w:locked/>
    <w:uiPriority w:val="9"/>
    <w:pPr>
      <w:keepNext/>
      <w:widowControl w:val="0"/>
      <w:spacing w:before="60" w:after="60" w:line="360" w:lineRule="auto"/>
      <w:ind w:left="1008" w:hanging="1008"/>
      <w:outlineLvl w:val="4"/>
    </w:pPr>
    <w:rPr>
      <w:rFonts w:ascii="宋体" w:eastAsia="宋体" w:hAnsiTheme="minorHAnsi" w:cstheme="minorBidi"/>
      <w:b/>
      <w:bCs/>
      <w:kern w:val="2"/>
      <w:sz w:val="24"/>
      <w:szCs w:val="28"/>
      <w:lang w:val="en-US" w:eastAsia="zh-CN" w:bidi="ar-SA"/>
    </w:rPr>
  </w:style>
  <w:style w:type="paragraph" w:styleId="11">
    <w:name w:val="heading 6"/>
    <w:next w:val="1"/>
    <w:link w:val="88"/>
    <w:unhideWhenUsed/>
    <w:qFormat/>
    <w:locked/>
    <w:uiPriority w:val="9"/>
    <w:pPr>
      <w:keepNext/>
      <w:widowControl w:val="0"/>
      <w:spacing w:before="60" w:after="60" w:line="360" w:lineRule="auto"/>
      <w:ind w:left="1152" w:hanging="1152"/>
      <w:outlineLvl w:val="5"/>
    </w:pPr>
    <w:rPr>
      <w:rFonts w:eastAsia="宋体" w:asciiTheme="minorHAnsi" w:hAnsiTheme="minorHAnsi" w:cstheme="majorBidi"/>
      <w:b/>
      <w:bCs/>
      <w:kern w:val="2"/>
      <w:sz w:val="24"/>
      <w:szCs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6">
    <w:name w:val="Normal Indent"/>
    <w:basedOn w:val="1"/>
    <w:next w:val="1"/>
    <w:qFormat/>
    <w:uiPriority w:val="0"/>
    <w:pPr>
      <w:ind w:firstLine="420"/>
    </w:pPr>
  </w:style>
  <w:style w:type="paragraph" w:customStyle="1" w:styleId="8">
    <w:name w:val="正文缩进1"/>
    <w:qFormat/>
    <w:uiPriority w:val="0"/>
    <w:pPr>
      <w:ind w:firstLine="420" w:firstLineChars="200"/>
    </w:pPr>
    <w:rPr>
      <w:rFonts w:ascii="Times New Roman" w:hAnsi="Times New Roman" w:eastAsia="宋体" w:cs="Times New Roman"/>
      <w:lang w:val="en-US" w:eastAsia="zh-CN" w:bidi="ar-SA"/>
    </w:rPr>
  </w:style>
  <w:style w:type="paragraph" w:styleId="12">
    <w:name w:val="annotation text"/>
    <w:basedOn w:val="1"/>
    <w:qFormat/>
    <w:uiPriority w:val="0"/>
    <w:pPr>
      <w:adjustRightInd w:val="0"/>
      <w:jc w:val="left"/>
    </w:pPr>
  </w:style>
  <w:style w:type="paragraph" w:styleId="13">
    <w:name w:val="Closing"/>
    <w:basedOn w:val="1"/>
    <w:unhideWhenUsed/>
    <w:qFormat/>
    <w:uiPriority w:val="0"/>
    <w:pPr>
      <w:ind w:left="100" w:leftChars="2100"/>
    </w:pPr>
  </w:style>
  <w:style w:type="paragraph" w:styleId="14">
    <w:name w:val="Body Text"/>
    <w:basedOn w:val="1"/>
    <w:next w:val="15"/>
    <w:link w:val="47"/>
    <w:qFormat/>
    <w:uiPriority w:val="99"/>
  </w:style>
  <w:style w:type="paragraph" w:customStyle="1" w:styleId="15">
    <w:name w:val="样式 表格正文 + 两端对齐"/>
    <w:next w:val="16"/>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16">
    <w:name w:val="正文1"/>
    <w:basedOn w:val="17"/>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styleId="17">
    <w:name w:val="toc 3"/>
    <w:basedOn w:val="1"/>
    <w:next w:val="1"/>
    <w:semiHidden/>
    <w:qFormat/>
    <w:uiPriority w:val="99"/>
    <w:pPr>
      <w:ind w:left="840" w:leftChars="400"/>
    </w:pPr>
    <w:rPr>
      <w:rFonts w:ascii="Times New Roman" w:hAnsi="Times New Roman" w:eastAsia="宋体" w:cs="Times New Roman"/>
      <w:lang w:val="en-US" w:eastAsia="zh-CN" w:bidi="ar-SA"/>
    </w:rPr>
  </w:style>
  <w:style w:type="paragraph" w:styleId="18">
    <w:name w:val="Body Text Indent"/>
    <w:basedOn w:val="1"/>
    <w:next w:val="1"/>
    <w:link w:val="51"/>
    <w:qFormat/>
    <w:uiPriority w:val="99"/>
    <w:pPr>
      <w:adjustRightInd w:val="0"/>
      <w:spacing w:line="360" w:lineRule="auto"/>
      <w:ind w:firstLine="490"/>
    </w:pPr>
    <w:rPr>
      <w:rFonts w:ascii="宋体" w:hAnsi="宋体" w:cs="宋体"/>
      <w:sz w:val="24"/>
      <w:szCs w:val="24"/>
    </w:rPr>
  </w:style>
  <w:style w:type="paragraph" w:styleId="19">
    <w:name w:val="Plain Text"/>
    <w:basedOn w:val="1"/>
    <w:next w:val="20"/>
    <w:link w:val="52"/>
    <w:qFormat/>
    <w:uiPriority w:val="0"/>
    <w:rPr>
      <w:rFonts w:ascii="宋体" w:hAnsi="Courier New" w:cs="宋体"/>
    </w:rPr>
  </w:style>
  <w:style w:type="paragraph" w:styleId="20">
    <w:name w:val="toc 2"/>
    <w:basedOn w:val="1"/>
    <w:next w:val="1"/>
    <w:qFormat/>
    <w:uiPriority w:val="39"/>
    <w:pPr>
      <w:ind w:left="420" w:leftChars="200"/>
    </w:pPr>
    <w:rPr>
      <w:rFonts w:ascii="Times New Roman" w:hAnsi="Times New Roman" w:eastAsia="宋体" w:cs="Times New Roman"/>
      <w:lang w:val="en-US" w:eastAsia="zh-CN" w:bidi="ar-SA"/>
    </w:rPr>
  </w:style>
  <w:style w:type="paragraph" w:styleId="21">
    <w:name w:val="Date"/>
    <w:basedOn w:val="1"/>
    <w:next w:val="1"/>
    <w:link w:val="53"/>
    <w:qFormat/>
    <w:uiPriority w:val="99"/>
    <w:pPr>
      <w:ind w:left="100" w:leftChars="2500"/>
    </w:pPr>
    <w:rPr>
      <w:rFonts w:ascii="宋体" w:hAnsi="宋体" w:cs="宋体"/>
      <w:color w:val="000000"/>
      <w:sz w:val="24"/>
      <w:szCs w:val="24"/>
    </w:rPr>
  </w:style>
  <w:style w:type="paragraph" w:styleId="22">
    <w:name w:val="Balloon Text"/>
    <w:link w:val="54"/>
    <w:semiHidden/>
    <w:qFormat/>
    <w:uiPriority w:val="99"/>
    <w:rPr>
      <w:rFonts w:ascii="Times New Roman" w:hAnsi="Times New Roman" w:eastAsia="宋体" w:cs="Times New Roman"/>
      <w:sz w:val="18"/>
      <w:szCs w:val="18"/>
      <w:lang w:val="en-US" w:eastAsia="zh-CN" w:bidi="ar-SA"/>
    </w:rPr>
  </w:style>
  <w:style w:type="paragraph" w:styleId="23">
    <w:name w:val="footer"/>
    <w:basedOn w:val="1"/>
    <w:link w:val="55"/>
    <w:qFormat/>
    <w:uiPriority w:val="99"/>
    <w:pPr>
      <w:tabs>
        <w:tab w:val="center" w:pos="4153"/>
        <w:tab w:val="right" w:pos="8306"/>
      </w:tabs>
      <w:snapToGrid w:val="0"/>
    </w:pPr>
    <w:rPr>
      <w:sz w:val="18"/>
      <w:szCs w:val="18"/>
    </w:rPr>
  </w:style>
  <w:style w:type="paragraph" w:styleId="24">
    <w:name w:val="header"/>
    <w:basedOn w:val="1"/>
    <w:link w:val="5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25">
    <w:name w:val="toc 1"/>
    <w:next w:val="1"/>
    <w:qFormat/>
    <w:uiPriority w:val="39"/>
    <w:rPr>
      <w:rFonts w:ascii="Times New Roman" w:hAnsi="Times New Roman" w:eastAsia="宋体" w:cs="Times New Roman"/>
      <w:lang w:val="en-US" w:eastAsia="zh-CN" w:bidi="ar-SA"/>
    </w:rPr>
  </w:style>
  <w:style w:type="paragraph" w:styleId="26">
    <w:name w:val="toc 4"/>
    <w:basedOn w:val="1"/>
    <w:next w:val="1"/>
    <w:semiHidden/>
    <w:qFormat/>
    <w:uiPriority w:val="0"/>
    <w:pPr>
      <w:ind w:left="1260" w:leftChars="600"/>
    </w:pPr>
  </w:style>
  <w:style w:type="paragraph" w:styleId="27">
    <w:name w:val="toc 6"/>
    <w:basedOn w:val="1"/>
    <w:next w:val="1"/>
    <w:semiHidden/>
    <w:qFormat/>
    <w:uiPriority w:val="0"/>
    <w:pPr>
      <w:ind w:left="2100" w:leftChars="1000"/>
    </w:pPr>
  </w:style>
  <w:style w:type="paragraph" w:styleId="28">
    <w:name w:val="Normal (Web)"/>
    <w:qFormat/>
    <w:uiPriority w:val="99"/>
    <w:pPr>
      <w:spacing w:before="100" w:beforeAutospacing="1" w:after="100" w:afterAutospacing="1"/>
    </w:pPr>
    <w:rPr>
      <w:rFonts w:ascii="宋体" w:hAnsi="宋体" w:eastAsia="宋体" w:cs="宋体"/>
      <w:sz w:val="24"/>
      <w:szCs w:val="24"/>
      <w:lang w:val="en-US" w:eastAsia="zh-CN" w:bidi="ar-SA"/>
    </w:rPr>
  </w:style>
  <w:style w:type="paragraph" w:styleId="29">
    <w:name w:val="Body Text First Indent"/>
    <w:basedOn w:val="14"/>
    <w:next w:val="27"/>
    <w:link w:val="57"/>
    <w:qFormat/>
    <w:uiPriority w:val="99"/>
    <w:pPr>
      <w:ind w:firstLine="420" w:firstLineChars="100"/>
    </w:pPr>
  </w:style>
  <w:style w:type="paragraph" w:styleId="30">
    <w:name w:val="Body Text First Indent 2"/>
    <w:basedOn w:val="18"/>
    <w:next w:val="31"/>
    <w:qFormat/>
    <w:uiPriority w:val="0"/>
    <w:pPr>
      <w:ind w:firstLine="420"/>
    </w:p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line="100" w:lineRule="exact"/>
      <w:jc w:val="center"/>
    </w:pPr>
    <w:rPr>
      <w:rFonts w:ascii="宋体" w:hAnsi="宋体"/>
      <w:b/>
      <w:bCs/>
      <w:kern w:val="0"/>
      <w:sz w:val="20"/>
      <w:szCs w:val="20"/>
    </w:rPr>
  </w:style>
  <w:style w:type="table" w:styleId="33">
    <w:name w:val="Table Grid"/>
    <w:basedOn w:val="32"/>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99"/>
    <w:rPr>
      <w:b/>
      <w:bCs/>
    </w:rPr>
  </w:style>
  <w:style w:type="character" w:styleId="36">
    <w:name w:val="page number"/>
    <w:basedOn w:val="34"/>
    <w:qFormat/>
    <w:uiPriority w:val="99"/>
  </w:style>
  <w:style w:type="character" w:styleId="37">
    <w:name w:val="Hyperlink"/>
    <w:basedOn w:val="34"/>
    <w:qFormat/>
    <w:uiPriority w:val="99"/>
    <w:rPr>
      <w:color w:val="0000FF"/>
      <w:u w:val="single"/>
    </w:rPr>
  </w:style>
  <w:style w:type="paragraph" w:customStyle="1" w:styleId="38">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列出段落1"/>
    <w:qFormat/>
    <w:uiPriority w:val="0"/>
    <w:pPr>
      <w:ind w:firstLine="420"/>
    </w:pPr>
    <w:rPr>
      <w:rFonts w:ascii="Times New Roman" w:hAnsi="Times New Roman" w:eastAsia="宋体" w:cs="Times New Roman"/>
      <w:lang w:val="en-US" w:eastAsia="zh-CN" w:bidi="ar-SA"/>
    </w:rPr>
  </w:style>
  <w:style w:type="paragraph" w:customStyle="1" w:styleId="40">
    <w:name w:val="BodyText1I2"/>
    <w:basedOn w:val="41"/>
    <w:qFormat/>
    <w:uiPriority w:val="0"/>
    <w:pPr>
      <w:ind w:firstLine="420"/>
    </w:pPr>
    <w:rPr>
      <w:sz w:val="21"/>
    </w:rPr>
  </w:style>
  <w:style w:type="paragraph" w:customStyle="1" w:styleId="41">
    <w:name w:val="BodyTextIndent"/>
    <w:basedOn w:val="1"/>
    <w:next w:val="40"/>
    <w:qFormat/>
    <w:uiPriority w:val="0"/>
    <w:pPr>
      <w:spacing w:line="360" w:lineRule="auto"/>
      <w:ind w:firstLine="490"/>
      <w:jc w:val="left"/>
    </w:pPr>
    <w:rPr>
      <w:rFonts w:ascii="宋体" w:hAnsi="宋体"/>
      <w:sz w:val="24"/>
    </w:rPr>
  </w:style>
  <w:style w:type="paragraph" w:customStyle="1" w:styleId="42">
    <w:name w:val="表格文字"/>
    <w:basedOn w:val="18"/>
    <w:next w:val="14"/>
    <w:qFormat/>
    <w:uiPriority w:val="0"/>
    <w:pPr>
      <w:spacing w:line="420" w:lineRule="atLeast"/>
      <w:textAlignment w:val="baseline"/>
    </w:pPr>
    <w:rPr>
      <w:rFonts w:ascii="Times New Roman" w:hAnsi="Times New Roman" w:cs="Times New Roman"/>
    </w:rPr>
  </w:style>
  <w:style w:type="paragraph" w:customStyle="1" w:styleId="43">
    <w:name w:val="Body Text First Indent1"/>
    <w:basedOn w:val="14"/>
    <w:qFormat/>
    <w:uiPriority w:val="0"/>
    <w:pPr>
      <w:tabs>
        <w:tab w:val="left" w:pos="1275"/>
      </w:tabs>
      <w:ind w:firstLine="420" w:firstLineChars="100"/>
    </w:pPr>
  </w:style>
  <w:style w:type="character" w:customStyle="1" w:styleId="44">
    <w:name w:val="标题 1 Char"/>
    <w:basedOn w:val="34"/>
    <w:link w:val="4"/>
    <w:qFormat/>
    <w:locked/>
    <w:uiPriority w:val="99"/>
    <w:rPr>
      <w:b/>
      <w:bCs/>
      <w:kern w:val="44"/>
      <w:sz w:val="44"/>
      <w:szCs w:val="44"/>
    </w:rPr>
  </w:style>
  <w:style w:type="character" w:customStyle="1" w:styleId="45">
    <w:name w:val="标题 2 Char"/>
    <w:basedOn w:val="34"/>
    <w:link w:val="5"/>
    <w:qFormat/>
    <w:locked/>
    <w:uiPriority w:val="99"/>
    <w:rPr>
      <w:rFonts w:ascii="宋体" w:cs="宋体"/>
      <w:b/>
      <w:bCs/>
      <w:kern w:val="2"/>
      <w:sz w:val="28"/>
      <w:szCs w:val="28"/>
    </w:rPr>
  </w:style>
  <w:style w:type="character" w:customStyle="1" w:styleId="46">
    <w:name w:val="标题 3 Char"/>
    <w:basedOn w:val="34"/>
    <w:link w:val="7"/>
    <w:qFormat/>
    <w:locked/>
    <w:uiPriority w:val="99"/>
    <w:rPr>
      <w:rFonts w:ascii="宋体" w:cs="宋体"/>
      <w:b/>
      <w:bCs/>
      <w:kern w:val="2"/>
      <w:sz w:val="28"/>
      <w:szCs w:val="28"/>
    </w:rPr>
  </w:style>
  <w:style w:type="character" w:customStyle="1" w:styleId="47">
    <w:name w:val="正文文本 Char"/>
    <w:basedOn w:val="34"/>
    <w:link w:val="14"/>
    <w:semiHidden/>
    <w:qFormat/>
    <w:uiPriority w:val="99"/>
    <w:rPr>
      <w:rFonts w:ascii="Times New Roman" w:hAnsi="Times New Roman"/>
      <w:szCs w:val="21"/>
    </w:rPr>
  </w:style>
  <w:style w:type="paragraph" w:customStyle="1" w:styleId="48">
    <w:name w:val="自动更正"/>
    <w:next w:val="4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xl39"/>
    <w:next w:val="50"/>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50">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51">
    <w:name w:val="正文文本缩进 Char"/>
    <w:basedOn w:val="34"/>
    <w:link w:val="18"/>
    <w:semiHidden/>
    <w:qFormat/>
    <w:uiPriority w:val="99"/>
    <w:rPr>
      <w:rFonts w:ascii="Times New Roman" w:hAnsi="Times New Roman"/>
      <w:szCs w:val="21"/>
    </w:rPr>
  </w:style>
  <w:style w:type="character" w:customStyle="1" w:styleId="52">
    <w:name w:val="纯文本 Char"/>
    <w:basedOn w:val="34"/>
    <w:link w:val="19"/>
    <w:semiHidden/>
    <w:qFormat/>
    <w:uiPriority w:val="99"/>
    <w:rPr>
      <w:rFonts w:ascii="宋体" w:hAnsi="Courier New" w:cs="Courier New"/>
      <w:szCs w:val="21"/>
    </w:rPr>
  </w:style>
  <w:style w:type="character" w:customStyle="1" w:styleId="53">
    <w:name w:val="日期 Char"/>
    <w:basedOn w:val="34"/>
    <w:link w:val="21"/>
    <w:semiHidden/>
    <w:qFormat/>
    <w:uiPriority w:val="99"/>
    <w:rPr>
      <w:rFonts w:ascii="Times New Roman" w:hAnsi="Times New Roman"/>
      <w:szCs w:val="21"/>
    </w:rPr>
  </w:style>
  <w:style w:type="character" w:customStyle="1" w:styleId="54">
    <w:name w:val="批注框文本 Char"/>
    <w:basedOn w:val="34"/>
    <w:link w:val="22"/>
    <w:qFormat/>
    <w:locked/>
    <w:uiPriority w:val="99"/>
    <w:rPr>
      <w:kern w:val="2"/>
      <w:sz w:val="18"/>
      <w:szCs w:val="18"/>
    </w:rPr>
  </w:style>
  <w:style w:type="character" w:customStyle="1" w:styleId="55">
    <w:name w:val="页脚 Char"/>
    <w:basedOn w:val="34"/>
    <w:link w:val="23"/>
    <w:qFormat/>
    <w:uiPriority w:val="99"/>
    <w:rPr>
      <w:rFonts w:ascii="Times New Roman" w:hAnsi="Times New Roman"/>
      <w:sz w:val="18"/>
      <w:szCs w:val="18"/>
    </w:rPr>
  </w:style>
  <w:style w:type="character" w:customStyle="1" w:styleId="56">
    <w:name w:val="页眉 Char"/>
    <w:basedOn w:val="34"/>
    <w:link w:val="24"/>
    <w:qFormat/>
    <w:uiPriority w:val="99"/>
    <w:rPr>
      <w:rFonts w:ascii="Times New Roman" w:hAnsi="Times New Roman"/>
      <w:sz w:val="18"/>
      <w:szCs w:val="18"/>
    </w:rPr>
  </w:style>
  <w:style w:type="character" w:customStyle="1" w:styleId="57">
    <w:name w:val="正文首行缩进 Char"/>
    <w:basedOn w:val="47"/>
    <w:link w:val="29"/>
    <w:semiHidden/>
    <w:qFormat/>
    <w:uiPriority w:val="99"/>
    <w:rPr>
      <w:rFonts w:ascii="Times New Roman" w:hAnsi="Times New Roman"/>
      <w:szCs w:val="21"/>
    </w:rPr>
  </w:style>
  <w:style w:type="paragraph" w:customStyle="1" w:styleId="58">
    <w:name w:val="正文2"/>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9">
    <w:name w:val="List Paragraph1"/>
    <w:qFormat/>
    <w:uiPriority w:val="99"/>
    <w:pPr>
      <w:ind w:firstLine="420" w:firstLineChars="200"/>
    </w:pPr>
    <w:rPr>
      <w:rFonts w:ascii="Calibri" w:hAnsi="Calibri" w:eastAsia="宋体" w:cs="Calibri"/>
      <w:lang w:val="en-US" w:eastAsia="zh-CN" w:bidi="ar-SA"/>
    </w:rPr>
  </w:style>
  <w:style w:type="character" w:customStyle="1" w:styleId="60">
    <w:name w:val="style81"/>
    <w:qFormat/>
    <w:uiPriority w:val="99"/>
    <w:rPr>
      <w:sz w:val="20"/>
      <w:szCs w:val="20"/>
    </w:rPr>
  </w:style>
  <w:style w:type="paragraph" w:customStyle="1" w:styleId="61">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62">
    <w:name w:val="02 Char"/>
    <w:link w:val="63"/>
    <w:qFormat/>
    <w:locked/>
    <w:uiPriority w:val="99"/>
    <w:rPr>
      <w:rFonts w:ascii="宋体" w:cs="宋体"/>
      <w:b/>
      <w:bCs/>
      <w:color w:val="FF0000"/>
      <w:kern w:val="2"/>
      <w:sz w:val="28"/>
      <w:szCs w:val="28"/>
    </w:rPr>
  </w:style>
  <w:style w:type="paragraph" w:customStyle="1" w:styleId="63">
    <w:name w:val="02"/>
    <w:basedOn w:val="5"/>
    <w:link w:val="62"/>
    <w:qFormat/>
    <w:uiPriority w:val="99"/>
    <w:pPr>
      <w:jc w:val="center"/>
    </w:pPr>
    <w:rPr>
      <w:color w:val="FF0000"/>
    </w:rPr>
  </w:style>
  <w:style w:type="character" w:customStyle="1" w:styleId="64">
    <w:name w:val="03 Char"/>
    <w:link w:val="65"/>
    <w:qFormat/>
    <w:locked/>
    <w:uiPriority w:val="99"/>
    <w:rPr>
      <w:rFonts w:ascii="宋体" w:cs="宋体"/>
      <w:b/>
      <w:bCs/>
      <w:kern w:val="2"/>
      <w:sz w:val="28"/>
      <w:szCs w:val="28"/>
    </w:rPr>
  </w:style>
  <w:style w:type="paragraph" w:customStyle="1" w:styleId="65">
    <w:name w:val="03"/>
    <w:basedOn w:val="7"/>
    <w:link w:val="64"/>
    <w:qFormat/>
    <w:uiPriority w:val="99"/>
    <w:pPr>
      <w:numPr>
        <w:ilvl w:val="0"/>
        <w:numId w:val="0"/>
      </w:numPr>
    </w:pPr>
  </w:style>
  <w:style w:type="character" w:customStyle="1" w:styleId="66">
    <w:name w:val="宋体小四 Char"/>
    <w:link w:val="67"/>
    <w:qFormat/>
    <w:locked/>
    <w:uiPriority w:val="99"/>
    <w:rPr>
      <w:rFonts w:ascii="宋体" w:eastAsia="宋体" w:cs="宋体"/>
      <w:kern w:val="2"/>
      <w:sz w:val="24"/>
      <w:szCs w:val="24"/>
    </w:rPr>
  </w:style>
  <w:style w:type="paragraph" w:customStyle="1" w:styleId="67">
    <w:name w:val="宋体小四"/>
    <w:link w:val="66"/>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8">
    <w:name w:val="fontstyle01"/>
    <w:basedOn w:val="34"/>
    <w:qFormat/>
    <w:uiPriority w:val="99"/>
    <w:rPr>
      <w:rFonts w:ascii="宋体" w:eastAsia="宋体" w:cs="宋体"/>
      <w:color w:val="000000"/>
      <w:sz w:val="22"/>
      <w:szCs w:val="22"/>
    </w:rPr>
  </w:style>
  <w:style w:type="paragraph" w:customStyle="1" w:styleId="69">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70">
    <w:name w:val="居中表格内容标题"/>
    <w:basedOn w:val="71"/>
    <w:qFormat/>
    <w:uiPriority w:val="0"/>
    <w:pPr>
      <w:jc w:val="center"/>
    </w:pPr>
    <w:rPr>
      <w:b/>
    </w:rPr>
  </w:style>
  <w:style w:type="paragraph" w:customStyle="1" w:styleId="71">
    <w:name w:val="居中表格内容"/>
    <w:qFormat/>
    <w:uiPriority w:val="0"/>
    <w:rPr>
      <w:rFonts w:ascii="Times New Roman" w:hAnsi="Times New Roman" w:eastAsia="宋体" w:cs="Times New Roman"/>
      <w:szCs w:val="28"/>
      <w:lang w:val="en-US" w:eastAsia="zh-CN" w:bidi="ar-SA"/>
    </w:rPr>
  </w:style>
  <w:style w:type="paragraph" w:styleId="72">
    <w:name w:val="List Paragraph"/>
    <w:basedOn w:val="1"/>
    <w:link w:val="73"/>
    <w:qFormat/>
    <w:uiPriority w:val="34"/>
    <w:pPr>
      <w:ind w:firstLine="420" w:firstLineChars="200"/>
    </w:pPr>
  </w:style>
  <w:style w:type="character" w:customStyle="1" w:styleId="73">
    <w:name w:val="列出段落 Char"/>
    <w:basedOn w:val="34"/>
    <w:link w:val="72"/>
    <w:qFormat/>
    <w:uiPriority w:val="34"/>
  </w:style>
  <w:style w:type="table" w:customStyle="1" w:styleId="74">
    <w:name w:val="网格型浅色1"/>
    <w:basedOn w:val="3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75">
    <w:name w:val="正文（首行缩进2字符）"/>
    <w:basedOn w:val="1"/>
    <w:qFormat/>
    <w:uiPriority w:val="0"/>
    <w:pPr>
      <w:spacing w:line="360" w:lineRule="auto"/>
      <w:ind w:firstLine="480" w:firstLineChars="200"/>
    </w:pPr>
    <w:rPr>
      <w:kern w:val="2"/>
      <w:sz w:val="24"/>
    </w:rPr>
  </w:style>
  <w:style w:type="paragraph" w:customStyle="1" w:styleId="76">
    <w:name w:val="Body Text First Indent 21"/>
    <w:basedOn w:val="77"/>
    <w:qFormat/>
    <w:uiPriority w:val="0"/>
    <w:pPr>
      <w:ind w:firstLine="420"/>
    </w:pPr>
    <w:rPr>
      <w:rFonts w:cs="宋体"/>
    </w:rPr>
  </w:style>
  <w:style w:type="paragraph" w:customStyle="1" w:styleId="77">
    <w:name w:val="Body Text Indent1"/>
    <w:basedOn w:val="1"/>
    <w:next w:val="1"/>
    <w:qFormat/>
    <w:uiPriority w:val="0"/>
    <w:pPr>
      <w:spacing w:after="120"/>
      <w:ind w:left="420" w:leftChars="200"/>
    </w:pPr>
  </w:style>
  <w:style w:type="character" w:customStyle="1" w:styleId="78">
    <w:name w:val="font101"/>
    <w:basedOn w:val="34"/>
    <w:qFormat/>
    <w:uiPriority w:val="0"/>
    <w:rPr>
      <w:rFonts w:hint="eastAsia" w:ascii="宋体" w:hAnsi="宋体" w:eastAsia="宋体" w:cs="宋体"/>
      <w:b/>
      <w:bCs/>
      <w:color w:val="000000"/>
      <w:sz w:val="24"/>
      <w:szCs w:val="24"/>
      <w:u w:val="none"/>
    </w:rPr>
  </w:style>
  <w:style w:type="character" w:customStyle="1" w:styleId="79">
    <w:name w:val="font41"/>
    <w:basedOn w:val="34"/>
    <w:qFormat/>
    <w:uiPriority w:val="0"/>
    <w:rPr>
      <w:rFonts w:hint="eastAsia" w:ascii="仿宋" w:hAnsi="仿宋" w:eastAsia="仿宋" w:cs="仿宋"/>
      <w:color w:val="000000"/>
      <w:sz w:val="24"/>
      <w:szCs w:val="24"/>
      <w:u w:val="none"/>
    </w:rPr>
  </w:style>
  <w:style w:type="character" w:customStyle="1" w:styleId="80">
    <w:name w:val="font11"/>
    <w:basedOn w:val="34"/>
    <w:qFormat/>
    <w:uiPriority w:val="0"/>
    <w:rPr>
      <w:rFonts w:hint="eastAsia" w:ascii="仿宋" w:hAnsi="仿宋" w:eastAsia="仿宋" w:cs="仿宋"/>
      <w:color w:val="FF0000"/>
      <w:sz w:val="24"/>
      <w:szCs w:val="24"/>
      <w:u w:val="none"/>
    </w:rPr>
  </w:style>
  <w:style w:type="character" w:customStyle="1" w:styleId="81">
    <w:name w:val="font01"/>
    <w:basedOn w:val="34"/>
    <w:qFormat/>
    <w:uiPriority w:val="0"/>
    <w:rPr>
      <w:rFonts w:ascii="Arial" w:hAnsi="Arial" w:cs="Arial"/>
      <w:color w:val="FF0000"/>
      <w:sz w:val="24"/>
      <w:szCs w:val="24"/>
      <w:u w:val="none"/>
    </w:rPr>
  </w:style>
  <w:style w:type="character" w:customStyle="1" w:styleId="82">
    <w:name w:val="font51"/>
    <w:basedOn w:val="34"/>
    <w:qFormat/>
    <w:uiPriority w:val="0"/>
    <w:rPr>
      <w:rFonts w:hint="eastAsia" w:ascii="仿宋" w:hAnsi="仿宋" w:eastAsia="仿宋" w:cs="仿宋"/>
      <w:color w:val="000000"/>
      <w:sz w:val="24"/>
      <w:szCs w:val="24"/>
      <w:u w:val="none"/>
    </w:rPr>
  </w:style>
  <w:style w:type="character" w:customStyle="1" w:styleId="83">
    <w:name w:val="font61"/>
    <w:basedOn w:val="34"/>
    <w:qFormat/>
    <w:uiPriority w:val="0"/>
    <w:rPr>
      <w:rFonts w:hint="default" w:ascii="Arial" w:hAnsi="Arial" w:cs="Arial"/>
      <w:color w:val="000000"/>
      <w:sz w:val="24"/>
      <w:szCs w:val="24"/>
      <w:u w:val="none"/>
    </w:rPr>
  </w:style>
  <w:style w:type="character" w:customStyle="1" w:styleId="84">
    <w:name w:val="font71"/>
    <w:basedOn w:val="34"/>
    <w:qFormat/>
    <w:uiPriority w:val="0"/>
    <w:rPr>
      <w:rFonts w:hint="eastAsia" w:ascii="宋体" w:hAnsi="宋体" w:eastAsia="宋体" w:cs="宋体"/>
      <w:color w:val="000000"/>
      <w:sz w:val="24"/>
      <w:szCs w:val="24"/>
      <w:u w:val="none"/>
    </w:rPr>
  </w:style>
  <w:style w:type="paragraph" w:customStyle="1" w:styleId="85">
    <w:name w:val="样式 首行缩进:  0 字符"/>
    <w:basedOn w:val="1"/>
    <w:link w:val="86"/>
    <w:qFormat/>
    <w:uiPriority w:val="0"/>
    <w:pPr>
      <w:spacing w:line="360" w:lineRule="auto"/>
      <w:ind w:firstLine="200"/>
    </w:pPr>
    <w:rPr>
      <w:rFonts w:eastAsia="仿宋" w:cstheme="minorBidi"/>
      <w:kern w:val="2"/>
      <w:sz w:val="24"/>
      <w:szCs w:val="21"/>
    </w:rPr>
  </w:style>
  <w:style w:type="character" w:customStyle="1" w:styleId="86">
    <w:name w:val="样式 首行缩进:  0 字符 Char"/>
    <w:link w:val="85"/>
    <w:qFormat/>
    <w:uiPriority w:val="0"/>
    <w:rPr>
      <w:rFonts w:eastAsia="仿宋" w:cstheme="minorBidi"/>
      <w:kern w:val="2"/>
      <w:sz w:val="24"/>
      <w:szCs w:val="21"/>
    </w:rPr>
  </w:style>
  <w:style w:type="character" w:customStyle="1" w:styleId="87">
    <w:name w:val="标题 5 Char"/>
    <w:basedOn w:val="34"/>
    <w:link w:val="10"/>
    <w:qFormat/>
    <w:uiPriority w:val="9"/>
    <w:rPr>
      <w:rFonts w:ascii="宋体" w:hAnsiTheme="minorHAnsi" w:cstheme="minorBidi"/>
      <w:b/>
      <w:bCs/>
      <w:kern w:val="2"/>
      <w:sz w:val="24"/>
      <w:szCs w:val="28"/>
    </w:rPr>
  </w:style>
  <w:style w:type="character" w:customStyle="1" w:styleId="88">
    <w:name w:val="标题 6 Char"/>
    <w:basedOn w:val="34"/>
    <w:link w:val="11"/>
    <w:qFormat/>
    <w:uiPriority w:val="9"/>
    <w:rPr>
      <w:rFonts w:asciiTheme="minorHAnsi" w:hAnsiTheme="minorHAnsi" w:cstheme="majorBidi"/>
      <w:b/>
      <w:bCs/>
      <w:kern w:val="2"/>
      <w:sz w:val="24"/>
      <w:szCs w:val="24"/>
    </w:rPr>
  </w:style>
  <w:style w:type="paragraph" w:customStyle="1" w:styleId="8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90">
    <w:name w:val="正文段"/>
    <w:autoRedefine/>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91">
    <w:name w:val="Plain Text"/>
    <w:basedOn w:val="92"/>
    <w:autoRedefine/>
    <w:qFormat/>
    <w:uiPriority w:val="0"/>
    <w:pPr>
      <w:widowControl/>
      <w:jc w:val="left"/>
    </w:pPr>
    <w:rPr>
      <w:rFonts w:ascii="宋体" w:hAnsi="Courier New"/>
    </w:rPr>
  </w:style>
  <w:style w:type="paragraph" w:customStyle="1" w:styleId="92">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354B3-CBC7-45E4-97EB-69D4395ECA3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55</Pages>
  <Words>14678</Words>
  <Characters>15742</Characters>
  <Lines>228</Lines>
  <Paragraphs>64</Paragraphs>
  <TotalTime>2</TotalTime>
  <ScaleCrop>false</ScaleCrop>
  <LinksUpToDate>false</LinksUpToDate>
  <CharactersWithSpaces>16002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2022-11-01T06:22:00Z</dcterms:created>
  <dc:creator>陈圣楠</dc:creator>
  <cp:lastModifiedBy>Perfect</cp:lastModifiedBy>
  <cp:lastPrinted>2024-11-15T04:42:00Z</cp:lastPrinted>
  <dcterms:modified xsi:type="dcterms:W3CDTF">2024-11-19T01:51:38Z</dcterms:modified>
  <dc:title>浙江绍兴上虞人民调解服务标准化</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CB0229C7103A488CAFAEE1CF05F0BE4D_13</vt:lpwstr>
  </property>
</Properties>
</file>