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F2679F">
      <w:pPr>
        <w:jc w:val="both"/>
        <w:outlineLvl w:val="0"/>
        <w:rPr>
          <w:rFonts w:hint="eastAsia" w:ascii="仿宋_GB2312" w:hAnsi="仿宋_GB2312" w:eastAsia="仿宋_GB2312" w:cs="仿宋_GB2312"/>
          <w:b/>
          <w:color w:val="auto"/>
          <w:spacing w:val="-12"/>
          <w:sz w:val="48"/>
          <w:szCs w:val="48"/>
          <w:lang w:val="en-US" w:eastAsia="zh-CN"/>
        </w:rPr>
      </w:pPr>
    </w:p>
    <w:p w14:paraId="37D60DDB">
      <w:pPr>
        <w:jc w:val="center"/>
        <w:outlineLvl w:val="0"/>
        <w:rPr>
          <w:rFonts w:hint="eastAsia" w:ascii="仿宋_GB2312" w:hAnsi="仿宋_GB2312" w:eastAsia="仿宋_GB2312" w:cs="仿宋_GB2312"/>
          <w:color w:val="auto"/>
          <w:lang w:val="en-US" w:eastAsia="zh-CN"/>
        </w:rPr>
      </w:pPr>
      <w:r>
        <w:rPr>
          <w:rFonts w:hint="eastAsia" w:ascii="仿宋_GB2312" w:hAnsi="仿宋_GB2312" w:eastAsia="仿宋_GB2312" w:cs="仿宋_GB2312"/>
          <w:b/>
          <w:color w:val="auto"/>
          <w:sz w:val="44"/>
          <w:szCs w:val="44"/>
          <w:highlight w:val="none"/>
        </w:rPr>
        <w:t>绍兴市镜湖康体中心教学活动场所教学活动类设备设施器材-教学场所设备采购</w:t>
      </w:r>
      <w:r>
        <w:rPr>
          <w:rFonts w:hint="eastAsia" w:ascii="仿宋_GB2312" w:hAnsi="仿宋_GB2312" w:eastAsia="仿宋_GB2312" w:cs="仿宋_GB2312"/>
          <w:b/>
          <w:color w:val="auto"/>
          <w:sz w:val="44"/>
          <w:szCs w:val="44"/>
          <w:highlight w:val="none"/>
          <w:lang w:eastAsia="zh-CN"/>
        </w:rPr>
        <w:t>项目</w:t>
      </w:r>
    </w:p>
    <w:p w14:paraId="3786ACD8">
      <w:pPr>
        <w:outlineLvl w:val="0"/>
        <w:rPr>
          <w:rFonts w:hint="eastAsia" w:ascii="仿宋_GB2312" w:hAnsi="仿宋_GB2312" w:eastAsia="仿宋_GB2312" w:cs="仿宋_GB2312"/>
          <w:b/>
          <w:color w:val="auto"/>
          <w:sz w:val="72"/>
          <w:szCs w:val="72"/>
        </w:rPr>
      </w:pPr>
    </w:p>
    <w:p w14:paraId="067930DD">
      <w:pPr>
        <w:rPr>
          <w:rFonts w:hint="eastAsia" w:ascii="仿宋_GB2312" w:hAnsi="仿宋_GB2312" w:eastAsia="仿宋_GB2312" w:cs="仿宋_GB2312"/>
          <w:color w:val="auto"/>
        </w:rPr>
      </w:pPr>
    </w:p>
    <w:p w14:paraId="0D085ADA">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公</w:t>
      </w:r>
    </w:p>
    <w:p w14:paraId="7FE68ABB">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开</w:t>
      </w:r>
    </w:p>
    <w:p w14:paraId="32A92124">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招</w:t>
      </w:r>
    </w:p>
    <w:p w14:paraId="09B3C864">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标</w:t>
      </w:r>
    </w:p>
    <w:p w14:paraId="1D5EFBC3">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14:paraId="7146FC9C">
      <w:pPr>
        <w:jc w:val="center"/>
        <w:outlineLvl w:val="0"/>
        <w:rPr>
          <w:rFonts w:hint="eastAsia" w:ascii="仿宋_GB2312" w:hAnsi="仿宋_GB2312" w:eastAsia="仿宋_GB2312" w:cs="仿宋_GB2312"/>
          <w:color w:val="auto"/>
          <w:sz w:val="44"/>
        </w:rPr>
      </w:pPr>
      <w:r>
        <w:rPr>
          <w:rFonts w:hint="eastAsia" w:ascii="仿宋_GB2312" w:hAnsi="仿宋_GB2312" w:eastAsia="仿宋_GB2312" w:cs="仿宋_GB2312"/>
          <w:b/>
          <w:color w:val="auto"/>
          <w:sz w:val="72"/>
          <w:szCs w:val="72"/>
        </w:rPr>
        <w:t>件</w:t>
      </w:r>
    </w:p>
    <w:p w14:paraId="7D065E45">
      <w:pPr>
        <w:jc w:val="center"/>
        <w:outlineLvl w:val="0"/>
        <w:rPr>
          <w:rFonts w:hint="eastAsia" w:ascii="仿宋_GB2312" w:hAnsi="仿宋_GB2312" w:eastAsia="仿宋_GB2312" w:cs="仿宋_GB2312"/>
          <w:color w:val="auto"/>
          <w:sz w:val="44"/>
        </w:rPr>
      </w:pPr>
      <w:r>
        <w:rPr>
          <w:rFonts w:hint="eastAsia" w:ascii="仿宋_GB2312" w:hAnsi="仿宋_GB2312" w:eastAsia="仿宋_GB2312" w:cs="仿宋_GB2312"/>
          <w:color w:val="auto"/>
          <w:sz w:val="44"/>
        </w:rPr>
        <w:t>（电子招投标）</w:t>
      </w:r>
    </w:p>
    <w:p w14:paraId="4727C31D">
      <w:pPr>
        <w:outlineLvl w:val="0"/>
        <w:rPr>
          <w:rFonts w:hint="eastAsia" w:ascii="仿宋_GB2312" w:hAnsi="仿宋_GB2312" w:eastAsia="仿宋_GB2312" w:cs="仿宋_GB2312"/>
          <w:color w:val="auto"/>
          <w:sz w:val="44"/>
        </w:rPr>
      </w:pPr>
    </w:p>
    <w:p w14:paraId="1E9E640C">
      <w:pPr>
        <w:pStyle w:val="2"/>
        <w:rPr>
          <w:rFonts w:hint="eastAsia" w:ascii="仿宋_GB2312" w:hAnsi="仿宋_GB2312" w:eastAsia="仿宋_GB2312" w:cs="仿宋_GB2312"/>
          <w:color w:val="auto"/>
          <w:sz w:val="44"/>
        </w:rPr>
      </w:pPr>
    </w:p>
    <w:p w14:paraId="68810D6A">
      <w:pPr>
        <w:pStyle w:val="3"/>
        <w:rPr>
          <w:rFonts w:hint="eastAsia" w:ascii="仿宋_GB2312" w:hAnsi="仿宋_GB2312" w:eastAsia="仿宋_GB2312" w:cs="仿宋_GB2312"/>
          <w:color w:val="auto"/>
        </w:rPr>
      </w:pPr>
    </w:p>
    <w:p w14:paraId="3F9D2065">
      <w:pPr>
        <w:jc w:val="center"/>
        <w:rPr>
          <w:rFonts w:hint="default"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rPr>
        <w:t>招标编号:</w:t>
      </w:r>
      <w:r>
        <w:rPr>
          <w:rFonts w:hint="eastAsia" w:ascii="仿宋_GB2312" w:hAnsi="仿宋_GB2312" w:eastAsia="仿宋_GB2312" w:cs="仿宋_GB2312"/>
          <w:color w:val="auto"/>
        </w:rPr>
        <w:t xml:space="preserve"> </w:t>
      </w:r>
      <w:r>
        <w:rPr>
          <w:rFonts w:hint="eastAsia" w:ascii="仿宋_GB2312" w:hAnsi="仿宋_GB2312" w:eastAsia="仿宋_GB2312" w:cs="仿宋_GB2312"/>
          <w:b/>
          <w:color w:val="auto"/>
          <w:sz w:val="28"/>
          <w:szCs w:val="28"/>
        </w:rPr>
        <w:t>CGSHZJ-2024-N001074</w:t>
      </w:r>
      <w:r>
        <w:rPr>
          <w:rFonts w:hint="eastAsia" w:ascii="仿宋_GB2312" w:hAnsi="仿宋_GB2312" w:eastAsia="仿宋_GB2312" w:cs="仿宋_GB2312"/>
          <w:b/>
          <w:color w:val="auto"/>
          <w:sz w:val="28"/>
          <w:szCs w:val="28"/>
          <w:lang w:val="en-US" w:eastAsia="zh-CN"/>
        </w:rPr>
        <w:t>-1</w:t>
      </w:r>
    </w:p>
    <w:tbl>
      <w:tblPr>
        <w:tblStyle w:val="66"/>
        <w:tblW w:w="7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5445"/>
      </w:tblGrid>
      <w:tr w14:paraId="69A9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356" w:type="dxa"/>
          </w:tcPr>
          <w:p w14:paraId="0B73A0B6">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3"/>
                <w:kern w:val="0"/>
                <w:sz w:val="28"/>
                <w:szCs w:val="28"/>
              </w:rPr>
              <w:t>采购单</w:t>
            </w:r>
            <w:r>
              <w:rPr>
                <w:rFonts w:hint="eastAsia" w:ascii="仿宋_GB2312" w:hAnsi="仿宋_GB2312" w:eastAsia="仿宋_GB2312" w:cs="仿宋_GB2312"/>
                <w:color w:val="auto"/>
                <w:spacing w:val="1"/>
                <w:kern w:val="0"/>
                <w:sz w:val="28"/>
                <w:szCs w:val="28"/>
              </w:rPr>
              <w:t>位</w:t>
            </w:r>
            <w:r>
              <w:rPr>
                <w:rFonts w:hint="eastAsia" w:ascii="仿宋_GB2312" w:hAnsi="仿宋_GB2312" w:eastAsia="仿宋_GB2312" w:cs="仿宋_GB2312"/>
                <w:color w:val="auto"/>
                <w:sz w:val="28"/>
                <w:szCs w:val="28"/>
              </w:rPr>
              <w:t>：</w:t>
            </w:r>
          </w:p>
        </w:tc>
        <w:tc>
          <w:tcPr>
            <w:tcW w:w="5445" w:type="dxa"/>
            <w:vAlign w:val="center"/>
          </w:tcPr>
          <w:p w14:paraId="592FC460">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绍兴市镜湖健康产业开发有限公司</w:t>
            </w:r>
          </w:p>
        </w:tc>
      </w:tr>
      <w:tr w14:paraId="12A5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356" w:type="dxa"/>
          </w:tcPr>
          <w:p w14:paraId="2E40A651">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0"/>
                <w:w w:val="100"/>
                <w:kern w:val="0"/>
                <w:sz w:val="28"/>
                <w:szCs w:val="28"/>
                <w:fitText w:val="1680" w:id="1"/>
              </w:rPr>
              <w:t>采购代理机构</w:t>
            </w:r>
            <w:r>
              <w:rPr>
                <w:rFonts w:hint="eastAsia" w:ascii="仿宋_GB2312" w:hAnsi="仿宋_GB2312" w:eastAsia="仿宋_GB2312" w:cs="仿宋_GB2312"/>
                <w:color w:val="auto"/>
                <w:sz w:val="28"/>
                <w:szCs w:val="28"/>
              </w:rPr>
              <w:t>：</w:t>
            </w:r>
          </w:p>
        </w:tc>
        <w:tc>
          <w:tcPr>
            <w:tcW w:w="5445" w:type="dxa"/>
          </w:tcPr>
          <w:p w14:paraId="392F19C6">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浙江建诚工程管理咨询有限公司</w:t>
            </w:r>
          </w:p>
        </w:tc>
      </w:tr>
      <w:tr w14:paraId="7FF5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6" w:type="dxa"/>
            <w:vAlign w:val="center"/>
          </w:tcPr>
          <w:p w14:paraId="324EACE4">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3"/>
                <w:kern w:val="0"/>
                <w:sz w:val="28"/>
                <w:szCs w:val="28"/>
                <w:fitText w:val="1680" w:id="2"/>
              </w:rPr>
              <w:t>监督单</w:t>
            </w:r>
            <w:r>
              <w:rPr>
                <w:rFonts w:hint="eastAsia" w:ascii="仿宋_GB2312" w:hAnsi="仿宋_GB2312" w:eastAsia="仿宋_GB2312" w:cs="仿宋_GB2312"/>
                <w:color w:val="auto"/>
                <w:spacing w:val="1"/>
                <w:kern w:val="0"/>
                <w:sz w:val="28"/>
                <w:szCs w:val="28"/>
                <w:fitText w:val="1680" w:id="2"/>
              </w:rPr>
              <w:t>位</w:t>
            </w:r>
            <w:r>
              <w:rPr>
                <w:rFonts w:hint="eastAsia" w:ascii="仿宋_GB2312" w:hAnsi="仿宋_GB2312" w:eastAsia="仿宋_GB2312" w:cs="仿宋_GB2312"/>
                <w:color w:val="auto"/>
                <w:sz w:val="28"/>
                <w:szCs w:val="28"/>
              </w:rPr>
              <w:t>：</w:t>
            </w:r>
          </w:p>
        </w:tc>
        <w:tc>
          <w:tcPr>
            <w:tcW w:w="5445" w:type="dxa"/>
          </w:tcPr>
          <w:p w14:paraId="2B1B5483">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绍兴市镜湖开发集团有限公司</w:t>
            </w:r>
          </w:p>
        </w:tc>
      </w:tr>
      <w:tr w14:paraId="5A04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801" w:type="dxa"/>
            <w:gridSpan w:val="2"/>
          </w:tcPr>
          <w:p w14:paraId="692E0C4F">
            <w:pPr>
              <w:keepNext w:val="0"/>
              <w:keepLines w:val="0"/>
              <w:suppressLineNumbers w:val="0"/>
              <w:spacing w:before="0" w:beforeAutospacing="0" w:after="100" w:afterAutospacing="1" w:line="440" w:lineRule="exact"/>
              <w:ind w:left="0" w:right="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二○二四年十</w:t>
            </w:r>
            <w:r>
              <w:rPr>
                <w:rFonts w:hint="eastAsia" w:ascii="仿宋_GB2312" w:hAnsi="仿宋_GB2312" w:eastAsia="仿宋_GB2312" w:cs="仿宋_GB2312"/>
                <w:color w:val="auto"/>
                <w:sz w:val="28"/>
                <w:szCs w:val="28"/>
                <w:lang w:eastAsia="zh-CN"/>
              </w:rPr>
              <w:t>一</w:t>
            </w:r>
            <w:r>
              <w:rPr>
                <w:rFonts w:hint="eastAsia" w:ascii="仿宋_GB2312" w:hAnsi="仿宋_GB2312" w:eastAsia="仿宋_GB2312" w:cs="仿宋_GB2312"/>
                <w:color w:val="auto"/>
                <w:sz w:val="28"/>
                <w:szCs w:val="28"/>
              </w:rPr>
              <w:t>月</w:t>
            </w:r>
          </w:p>
        </w:tc>
      </w:tr>
    </w:tbl>
    <w:p w14:paraId="04A328FE">
      <w:pPr>
        <w:pageBreakBefore/>
        <w:jc w:val="center"/>
        <w:rPr>
          <w:rFonts w:hint="eastAsia" w:ascii="仿宋_GB2312" w:hAnsi="仿宋_GB2312" w:eastAsia="仿宋_GB2312" w:cs="仿宋_GB2312"/>
          <w:b/>
          <w:color w:val="auto"/>
          <w:sz w:val="44"/>
          <w:szCs w:val="44"/>
        </w:rPr>
      </w:pPr>
    </w:p>
    <w:p w14:paraId="6B1CCC7D">
      <w:pPr>
        <w:jc w:val="center"/>
        <w:rPr>
          <w:rFonts w:hint="eastAsia" w:ascii="仿宋_GB2312" w:hAnsi="仿宋_GB2312" w:eastAsia="仿宋_GB2312" w:cs="仿宋_GB2312"/>
          <w:b/>
          <w:color w:val="auto"/>
          <w:sz w:val="44"/>
          <w:szCs w:val="44"/>
        </w:rPr>
      </w:pPr>
    </w:p>
    <w:p w14:paraId="57B39D51">
      <w:pPr>
        <w:jc w:val="center"/>
        <w:rPr>
          <w:rFonts w:hint="eastAsia" w:ascii="仿宋_GB2312" w:hAnsi="仿宋_GB2312" w:eastAsia="仿宋_GB2312" w:cs="仿宋_GB2312"/>
          <w:b/>
          <w:color w:val="auto"/>
          <w:sz w:val="44"/>
          <w:szCs w:val="44"/>
        </w:rPr>
      </w:pPr>
      <w:r>
        <w:rPr>
          <w:rFonts w:hint="eastAsia" w:ascii="仿宋_GB2312" w:hAnsi="仿宋_GB2312" w:eastAsia="仿宋_GB2312" w:cs="仿宋_GB2312"/>
          <w:b/>
          <w:color w:val="auto"/>
          <w:sz w:val="44"/>
          <w:szCs w:val="44"/>
        </w:rPr>
        <w:t>目录</w:t>
      </w:r>
    </w:p>
    <w:p w14:paraId="2775930F">
      <w:pPr>
        <w:jc w:val="center"/>
        <w:rPr>
          <w:rFonts w:hint="eastAsia" w:ascii="仿宋_GB2312" w:hAnsi="仿宋_GB2312" w:eastAsia="仿宋_GB2312" w:cs="仿宋_GB2312"/>
          <w:b/>
          <w:color w:val="auto"/>
          <w:sz w:val="44"/>
          <w:szCs w:val="44"/>
        </w:rPr>
      </w:pPr>
    </w:p>
    <w:p w14:paraId="6D9FC2C6">
      <w:pPr>
        <w:jc w:val="center"/>
        <w:rPr>
          <w:rFonts w:hint="eastAsia" w:ascii="仿宋_GB2312" w:hAnsi="仿宋_GB2312" w:eastAsia="仿宋_GB2312" w:cs="仿宋_GB2312"/>
          <w:color w:val="auto"/>
        </w:rPr>
      </w:pPr>
    </w:p>
    <w:p w14:paraId="1C15A86B">
      <w:pPr>
        <w:snapToGrid w:val="0"/>
        <w:spacing w:line="480" w:lineRule="auto"/>
        <w:ind w:firstLine="1807" w:firstLineChars="500"/>
        <w:jc w:val="left"/>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第一部分    招标公告</w:t>
      </w:r>
    </w:p>
    <w:p w14:paraId="4891CD89">
      <w:pPr>
        <w:snapToGrid w:val="0"/>
        <w:spacing w:line="480" w:lineRule="auto"/>
        <w:ind w:firstLine="1807" w:firstLineChars="500"/>
        <w:jc w:val="left"/>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 xml:space="preserve">第二部分  </w:t>
      </w:r>
      <w:r>
        <w:rPr>
          <w:rFonts w:hint="eastAsia" w:ascii="仿宋_GB2312" w:hAnsi="仿宋_GB2312" w:eastAsia="仿宋_GB2312" w:cs="仿宋_GB2312"/>
          <w:b/>
          <w:color w:val="auto"/>
          <w:sz w:val="36"/>
          <w:szCs w:val="36"/>
          <w:lang w:val="en-US" w:eastAsia="zh-CN"/>
        </w:rPr>
        <w:t xml:space="preserve"> </w:t>
      </w:r>
      <w:r>
        <w:rPr>
          <w:rFonts w:hint="eastAsia" w:ascii="仿宋_GB2312" w:hAnsi="仿宋_GB2312" w:eastAsia="仿宋_GB2312" w:cs="仿宋_GB2312"/>
          <w:b/>
          <w:color w:val="auto"/>
          <w:sz w:val="36"/>
          <w:szCs w:val="36"/>
        </w:rPr>
        <w:t xml:space="preserve"> 投标须知</w:t>
      </w:r>
    </w:p>
    <w:p w14:paraId="1B6A7B05">
      <w:pPr>
        <w:snapToGrid w:val="0"/>
        <w:spacing w:line="480" w:lineRule="auto"/>
        <w:ind w:firstLine="1807" w:firstLineChars="500"/>
        <w:jc w:val="left"/>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第三部分    招标项目范围及要求</w:t>
      </w:r>
    </w:p>
    <w:p w14:paraId="499C2B0C">
      <w:pPr>
        <w:snapToGrid w:val="0"/>
        <w:spacing w:line="480" w:lineRule="auto"/>
        <w:ind w:firstLine="1807" w:firstLineChars="500"/>
        <w:jc w:val="left"/>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第四部分    合同的主要条款</w:t>
      </w:r>
    </w:p>
    <w:p w14:paraId="06ACD8B3">
      <w:pPr>
        <w:snapToGrid w:val="0"/>
        <w:spacing w:line="480" w:lineRule="auto"/>
        <w:ind w:firstLine="1807" w:firstLineChars="500"/>
        <w:jc w:val="left"/>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第五部分    评标方法及标准</w:t>
      </w:r>
    </w:p>
    <w:p w14:paraId="5BE9BA0D">
      <w:pPr>
        <w:snapToGrid w:val="0"/>
        <w:spacing w:line="480" w:lineRule="auto"/>
        <w:ind w:firstLine="1807" w:firstLineChars="500"/>
        <w:jc w:val="left"/>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第六部分    投标文件及其附件格式</w:t>
      </w:r>
    </w:p>
    <w:p w14:paraId="0E06EDAC">
      <w:pPr>
        <w:snapToGrid w:val="0"/>
        <w:spacing w:line="480" w:lineRule="auto"/>
        <w:jc w:val="left"/>
        <w:rPr>
          <w:rFonts w:hint="eastAsia" w:ascii="仿宋_GB2312" w:hAnsi="仿宋_GB2312" w:eastAsia="仿宋_GB2312" w:cs="仿宋_GB2312"/>
          <w:color w:val="auto"/>
          <w:sz w:val="36"/>
          <w:szCs w:val="36"/>
        </w:rPr>
      </w:pPr>
    </w:p>
    <w:tbl>
      <w:tblPr>
        <w:tblStyle w:val="66"/>
        <w:tblW w:w="8846" w:type="dxa"/>
        <w:jc w:val="center"/>
        <w:tblLayout w:type="fixed"/>
        <w:tblCellMar>
          <w:top w:w="0" w:type="dxa"/>
          <w:left w:w="0" w:type="dxa"/>
          <w:bottom w:w="0" w:type="dxa"/>
          <w:right w:w="0" w:type="dxa"/>
        </w:tblCellMar>
      </w:tblPr>
      <w:tblGrid>
        <w:gridCol w:w="8846"/>
      </w:tblGrid>
      <w:tr w14:paraId="72A7B075">
        <w:tblPrEx>
          <w:tblCellMar>
            <w:top w:w="0" w:type="dxa"/>
            <w:left w:w="0" w:type="dxa"/>
            <w:bottom w:w="0" w:type="dxa"/>
            <w:right w:w="0" w:type="dxa"/>
          </w:tblCellMar>
        </w:tblPrEx>
        <w:trPr>
          <w:trHeight w:val="13118" w:hRule="atLeast"/>
          <w:jc w:val="center"/>
        </w:trPr>
        <w:tc>
          <w:tcPr>
            <w:tcW w:w="8846" w:type="dxa"/>
            <w:vAlign w:val="center"/>
          </w:tcPr>
          <w:p w14:paraId="1E2B06B9">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b/>
                <w:color w:val="auto"/>
                <w:sz w:val="36"/>
                <w:szCs w:val="36"/>
              </w:rPr>
              <w:t>第一部分 招标公告</w:t>
            </w:r>
          </w:p>
          <w:p w14:paraId="26A21A53">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br w:type="page"/>
            </w:r>
          </w:p>
          <w:tbl>
            <w:tblPr>
              <w:tblStyle w:val="66"/>
              <w:tblW w:w="8542"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2"/>
            </w:tblGrid>
            <w:tr w14:paraId="06FE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542" w:type="dxa"/>
                </w:tcPr>
                <w:p w14:paraId="582CEC9B">
                  <w:pPr>
                    <w:pStyle w:val="101"/>
                    <w:keepNext w:val="0"/>
                    <w:keepLines w:val="0"/>
                    <w:suppressLineNumbers w:val="0"/>
                    <w:spacing w:before="0" w:beforeAutospacing="0" w:after="0" w:afterLines="0" w:afterAutospacing="0" w:line="400" w:lineRule="exact"/>
                    <w:ind w:left="0" w:right="0" w:firstLine="0" w:firstLineChars="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项目概况：</w:t>
                  </w:r>
                </w:p>
                <w:p w14:paraId="7555E632">
                  <w:pPr>
                    <w:pStyle w:val="21"/>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u w:val="none"/>
                    </w:rPr>
                    <w:t xml:space="preserve">   </w:t>
                  </w:r>
                  <w:r>
                    <w:rPr>
                      <w:rStyle w:val="80"/>
                      <w:rFonts w:hint="eastAsia" w:ascii="仿宋_GB2312" w:hAnsi="仿宋_GB2312" w:eastAsia="仿宋_GB2312" w:cs="仿宋_GB2312"/>
                      <w:color w:val="auto"/>
                      <w:sz w:val="24"/>
                      <w:highlight w:val="none"/>
                      <w:u w:val="none"/>
                    </w:rPr>
                    <w:t xml:space="preserve"> </w:t>
                  </w:r>
                  <w:r>
                    <w:rPr>
                      <w:rStyle w:val="80"/>
                      <w:rFonts w:hint="eastAsia" w:ascii="仿宋_GB2312" w:hAnsi="仿宋_GB2312" w:eastAsia="仿宋_GB2312" w:cs="仿宋_GB2312"/>
                      <w:color w:val="auto"/>
                      <w:sz w:val="24"/>
                      <w:highlight w:val="none"/>
                    </w:rPr>
                    <w:t>绍兴市镜湖康体中心教学活动场所教学活动类设备设施器材-教学场所设备采购</w:t>
                  </w:r>
                  <w:r>
                    <w:rPr>
                      <w:rFonts w:hint="eastAsia" w:ascii="仿宋_GB2312" w:hAnsi="仿宋_GB2312" w:eastAsia="仿宋_GB2312" w:cs="仿宋_GB2312"/>
                      <w:color w:val="auto"/>
                      <w:sz w:val="24"/>
                      <w:highlight w:val="none"/>
                    </w:rPr>
                    <w:t>项目的潜在投标人应在乐采云平台（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"https://www.zcygov.cn/）获取（下载）招标文件，并于2024年"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https://www.lecaiyun.com/</w:t>
                  </w:r>
                  <w:r>
                    <w:rPr>
                      <w:rStyle w:val="80"/>
                      <w:rFonts w:hint="eastAsia" w:ascii="仿宋_GB2312" w:hAnsi="仿宋_GB2312" w:eastAsia="仿宋_GB2312" w:cs="仿宋_GB2312"/>
                      <w:color w:val="auto"/>
                      <w:sz w:val="24"/>
                      <w:highlight w:val="none"/>
                    </w:rPr>
                    <w:t>）获取（下载）招标文件，并于2024年</w:t>
                  </w:r>
                  <w:r>
                    <w:rPr>
                      <w:rStyle w:val="80"/>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日</w:t>
                  </w:r>
                  <w:r>
                    <w:rPr>
                      <w:rFonts w:hint="eastAsia" w:ascii="仿宋_GB2312" w:hAnsi="仿宋_GB2312" w:eastAsia="仿宋_GB2312" w:cs="仿宋_GB2312"/>
                      <w:color w:val="auto"/>
                      <w:sz w:val="24"/>
                      <w:highlight w:val="none"/>
                      <w:lang w:val="en-US" w:eastAsia="zh-CN"/>
                    </w:rPr>
                    <w:t>9</w:t>
                  </w:r>
                  <w:r>
                    <w:rPr>
                      <w:rFonts w:hint="eastAsia" w:ascii="仿宋_GB2312" w:hAnsi="仿宋_GB2312" w:eastAsia="仿宋_GB2312" w:cs="仿宋_GB2312"/>
                      <w:color w:val="auto"/>
                      <w:sz w:val="24"/>
                      <w:highlight w:val="none"/>
                    </w:rPr>
                    <w:t>点</w:t>
                  </w:r>
                  <w:r>
                    <w:rPr>
                      <w:rFonts w:hint="eastAsia" w:ascii="仿宋_GB2312" w:hAnsi="仿宋_GB2312" w:eastAsia="仿宋_GB2312" w:cs="仿宋_GB2312"/>
                      <w:color w:val="auto"/>
                      <w:sz w:val="24"/>
                      <w:highlight w:val="none"/>
                      <w:lang w:val="en-US" w:eastAsia="zh-CN"/>
                    </w:rPr>
                    <w:t>00</w:t>
                  </w:r>
                  <w:r>
                    <w:rPr>
                      <w:rFonts w:hint="eastAsia" w:ascii="仿宋_GB2312" w:hAnsi="仿宋_GB2312" w:eastAsia="仿宋_GB2312" w:cs="仿宋_GB2312"/>
                      <w:color w:val="auto"/>
                      <w:sz w:val="24"/>
                      <w:highlight w:val="none"/>
                    </w:rPr>
                    <w:t xml:space="preserve"> 分</w:t>
                  </w:r>
                  <w:r>
                    <w:rPr>
                      <w:rFonts w:hint="eastAsia" w:ascii="仿宋_GB2312" w:hAnsi="仿宋_GB2312" w:eastAsia="仿宋_GB2312" w:cs="仿宋_GB2312"/>
                      <w:color w:val="auto"/>
                      <w:sz w:val="24"/>
                      <w:highlight w:val="none"/>
                      <w:lang w:val="en-US" w:eastAsia="zh-CN"/>
                    </w:rPr>
                    <w:t>00</w:t>
                  </w:r>
                  <w:r>
                    <w:rPr>
                      <w:rFonts w:hint="eastAsia" w:ascii="仿宋_GB2312" w:hAnsi="仿宋_GB2312" w:eastAsia="仿宋_GB2312" w:cs="仿宋_GB2312"/>
                      <w:color w:val="auto"/>
                      <w:sz w:val="24"/>
                      <w:highlight w:val="none"/>
                    </w:rPr>
                    <w:t>秒（北京时间）前递交（上传）投标文件。</w:t>
                  </w:r>
                </w:p>
              </w:tc>
            </w:tr>
          </w:tbl>
          <w:p w14:paraId="10A83C31">
            <w:pPr>
              <w:pStyle w:val="101"/>
              <w:keepNext w:val="0"/>
              <w:keepLines w:val="0"/>
              <w:suppressLineNumbers w:val="0"/>
              <w:spacing w:before="0" w:beforeAutospacing="0" w:after="0" w:afterLines="0" w:afterAutospacing="0" w:line="400" w:lineRule="exact"/>
              <w:ind w:left="0" w:right="0" w:firstLine="482"/>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一、项目基本情况</w:t>
            </w:r>
          </w:p>
          <w:p w14:paraId="30B884DE">
            <w:pPr>
              <w:pStyle w:val="101"/>
              <w:keepNext w:val="0"/>
              <w:keepLines w:val="0"/>
              <w:suppressLineNumbers w:val="0"/>
              <w:spacing w:before="0" w:beforeAutospacing="0" w:after="0" w:afterLines="0" w:afterAutospacing="0" w:line="400" w:lineRule="exact"/>
              <w:ind w:left="0" w:right="0" w:firstLine="482"/>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color w:val="auto"/>
                <w:szCs w:val="24"/>
                <w:highlight w:val="none"/>
              </w:rPr>
              <w:t>项目编号</w:t>
            </w:r>
            <w:r>
              <w:rPr>
                <w:rFonts w:hint="eastAsia" w:ascii="仿宋_GB2312" w:hAnsi="仿宋_GB2312" w:eastAsia="仿宋_GB2312" w:cs="仿宋_GB2312"/>
                <w:color w:val="auto"/>
                <w:szCs w:val="24"/>
                <w:highlight w:val="none"/>
              </w:rPr>
              <w:t>：CGSHZJ-2024-N001074</w:t>
            </w:r>
            <w:r>
              <w:rPr>
                <w:rFonts w:hint="eastAsia" w:ascii="仿宋_GB2312" w:hAnsi="仿宋_GB2312" w:eastAsia="仿宋_GB2312" w:cs="仿宋_GB2312"/>
                <w:color w:val="auto"/>
                <w:szCs w:val="24"/>
                <w:highlight w:val="none"/>
                <w:lang w:val="en-US" w:eastAsia="zh-CN"/>
              </w:rPr>
              <w:t>-1</w:t>
            </w:r>
          </w:p>
          <w:p w14:paraId="2303A7A4">
            <w:pPr>
              <w:pStyle w:val="101"/>
              <w:keepNext w:val="0"/>
              <w:keepLines w:val="0"/>
              <w:suppressLineNumbers w:val="0"/>
              <w:spacing w:before="0" w:beforeAutospacing="0" w:after="0" w:afterLines="0" w:afterAutospacing="0" w:line="400" w:lineRule="exact"/>
              <w:ind w:left="0" w:right="-31" w:rightChars="-15"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项目名称：</w:t>
            </w:r>
            <w:r>
              <w:rPr>
                <w:rFonts w:hint="eastAsia" w:ascii="仿宋_GB2312" w:hAnsi="仿宋_GB2312" w:eastAsia="仿宋_GB2312" w:cs="仿宋_GB2312"/>
                <w:color w:val="auto"/>
                <w:szCs w:val="24"/>
                <w:highlight w:val="none"/>
              </w:rPr>
              <w:t>绍兴市镜湖康体中心教学活动场所教学活动类设备设施器材-教学场所设备采购项目</w:t>
            </w:r>
          </w:p>
          <w:p w14:paraId="3B9B02CA">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color w:val="auto"/>
                <w:szCs w:val="24"/>
                <w:highlight w:val="none"/>
              </w:rPr>
              <w:t>预算金额（元）</w:t>
            </w:r>
            <w:r>
              <w:rPr>
                <w:rFonts w:hint="eastAsia" w:ascii="仿宋_GB2312" w:hAnsi="仿宋_GB2312" w:eastAsia="仿宋_GB2312" w:cs="仿宋_GB2312"/>
                <w:color w:val="auto"/>
                <w:szCs w:val="24"/>
                <w:highlight w:val="none"/>
              </w:rPr>
              <w:t>：5013907</w:t>
            </w:r>
          </w:p>
          <w:p w14:paraId="0E055C18">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Cs/>
                <w:color w:val="auto"/>
                <w:szCs w:val="24"/>
                <w:highlight w:val="none"/>
              </w:rPr>
            </w:pPr>
            <w:r>
              <w:rPr>
                <w:rFonts w:hint="eastAsia" w:ascii="仿宋_GB2312" w:hAnsi="仿宋_GB2312" w:eastAsia="仿宋_GB2312" w:cs="仿宋_GB2312"/>
                <w:b/>
                <w:color w:val="auto"/>
                <w:szCs w:val="24"/>
                <w:highlight w:val="none"/>
              </w:rPr>
              <w:t>最高限价（元）：</w:t>
            </w:r>
            <w:r>
              <w:rPr>
                <w:rFonts w:hint="eastAsia" w:ascii="仿宋_GB2312" w:hAnsi="仿宋_GB2312" w:eastAsia="仿宋_GB2312" w:cs="仿宋_GB2312"/>
                <w:color w:val="auto"/>
                <w:szCs w:val="24"/>
                <w:highlight w:val="none"/>
              </w:rPr>
              <w:t>5013907</w:t>
            </w:r>
          </w:p>
          <w:p w14:paraId="03C03A96">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采购需求：</w:t>
            </w:r>
          </w:p>
          <w:p w14:paraId="3F8DD34D">
            <w:pPr>
              <w:pStyle w:val="101"/>
              <w:keepNext w:val="0"/>
              <w:keepLines w:val="0"/>
              <w:suppressLineNumbers w:val="0"/>
              <w:spacing w:before="0" w:beforeAutospacing="0" w:after="0" w:afterLines="0" w:afterAutospacing="0" w:line="400" w:lineRule="exact"/>
              <w:ind w:left="0" w:right="101" w:rightChars="48" w:firstLine="48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标项一:</w:t>
            </w:r>
          </w:p>
          <w:p w14:paraId="47AAAC99">
            <w:pPr>
              <w:pStyle w:val="101"/>
              <w:keepNext w:val="0"/>
              <w:keepLines w:val="0"/>
              <w:suppressLineNumbers w:val="0"/>
              <w:spacing w:before="0" w:beforeAutospacing="0" w:after="0" w:afterLines="0" w:afterAutospacing="0" w:line="400" w:lineRule="exact"/>
              <w:ind w:left="0" w:right="101" w:rightChars="48" w:firstLine="480"/>
              <w:jc w:val="left"/>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highlight w:val="none"/>
              </w:rPr>
              <w:t>  标项名称:</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Cs w:val="24"/>
                <w:highlight w:val="none"/>
              </w:rPr>
              <w:t>绍兴市镜湖康体中心教学活动场所教学活动类设备设施器材-教学场所设备采购项目</w:t>
            </w:r>
          </w:p>
          <w:p w14:paraId="42438335">
            <w:pPr>
              <w:pStyle w:val="101"/>
              <w:keepNext w:val="0"/>
              <w:keepLines w:val="0"/>
              <w:suppressLineNumbers w:val="0"/>
              <w:spacing w:before="0" w:beforeAutospacing="0" w:after="0" w:afterLines="0" w:afterAutospacing="0" w:line="400" w:lineRule="exact"/>
              <w:ind w:left="0" w:right="101" w:rightChars="48" w:firstLine="480"/>
              <w:jc w:val="left"/>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数量:1</w:t>
            </w:r>
          </w:p>
          <w:p w14:paraId="1F4C84D5">
            <w:pPr>
              <w:pStyle w:val="101"/>
              <w:keepNext w:val="0"/>
              <w:keepLines w:val="0"/>
              <w:suppressLineNumbers w:val="0"/>
              <w:spacing w:before="0" w:beforeAutospacing="0" w:after="0" w:afterLines="0" w:afterAutospacing="0" w:line="400" w:lineRule="exact"/>
              <w:ind w:left="0" w:right="101" w:rightChars="48" w:firstLine="480"/>
              <w:jc w:val="left"/>
              <w:rPr>
                <w:rFonts w:hint="eastAsia" w:ascii="仿宋_GB2312" w:hAnsi="仿宋_GB2312" w:eastAsia="仿宋_GB2312" w:cs="仿宋_GB2312"/>
                <w:color w:val="auto"/>
                <w:szCs w:val="24"/>
                <w:lang w:val="en-US"/>
              </w:rPr>
            </w:pPr>
            <w:r>
              <w:rPr>
                <w:rFonts w:hint="eastAsia" w:ascii="仿宋_GB2312" w:hAnsi="仿宋_GB2312" w:eastAsia="仿宋_GB2312" w:cs="仿宋_GB2312"/>
                <w:color w:val="auto"/>
                <w:szCs w:val="24"/>
              </w:rPr>
              <w:t>预算金额（元）:</w:t>
            </w:r>
            <w:r>
              <w:rPr>
                <w:rFonts w:hint="eastAsia" w:ascii="仿宋_GB2312" w:hAnsi="仿宋_GB2312" w:eastAsia="仿宋_GB2312" w:cs="仿宋_GB2312"/>
                <w:color w:val="auto"/>
                <w:szCs w:val="24"/>
                <w:highlight w:val="none"/>
              </w:rPr>
              <w:t>5013907</w:t>
            </w:r>
          </w:p>
          <w:p w14:paraId="5CCBFCDF">
            <w:pPr>
              <w:pStyle w:val="101"/>
              <w:keepNext w:val="0"/>
              <w:keepLines w:val="0"/>
              <w:suppressLineNumbers w:val="0"/>
              <w:spacing w:before="0" w:beforeAutospacing="0" w:after="0" w:afterLines="0" w:afterAutospacing="0" w:line="400" w:lineRule="exact"/>
              <w:ind w:left="0" w:right="101" w:rightChars="48" w:firstLine="480"/>
              <w:jc w:val="left"/>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主要内容：简要规格描述</w:t>
            </w:r>
            <w:r>
              <w:rPr>
                <w:rFonts w:hint="eastAsia" w:ascii="仿宋_GB2312" w:hAnsi="仿宋_GB2312" w:eastAsia="仿宋_GB2312" w:cs="仿宋_GB2312"/>
                <w:color w:val="auto"/>
                <w:szCs w:val="24"/>
                <w:lang w:eastAsia="zh-CN"/>
              </w:rPr>
              <w:t>或</w:t>
            </w:r>
            <w:r>
              <w:rPr>
                <w:rFonts w:hint="eastAsia" w:ascii="仿宋_GB2312" w:hAnsi="仿宋_GB2312" w:eastAsia="仿宋_GB2312" w:cs="仿宋_GB2312"/>
                <w:color w:val="auto"/>
                <w:szCs w:val="24"/>
              </w:rPr>
              <w:t>项目基本概况介绍、用途：详见</w:t>
            </w:r>
            <w:r>
              <w:rPr>
                <w:rFonts w:hint="eastAsia" w:ascii="仿宋_GB2312" w:hAnsi="仿宋_GB2312" w:eastAsia="仿宋_GB2312" w:cs="仿宋_GB2312"/>
                <w:color w:val="auto"/>
                <w:szCs w:val="24"/>
                <w:lang w:eastAsia="zh-CN"/>
              </w:rPr>
              <w:t>招标</w:t>
            </w:r>
            <w:r>
              <w:rPr>
                <w:rFonts w:hint="eastAsia" w:ascii="仿宋_GB2312" w:hAnsi="仿宋_GB2312" w:eastAsia="仿宋_GB2312" w:cs="仿宋_GB2312"/>
                <w:color w:val="auto"/>
                <w:szCs w:val="24"/>
              </w:rPr>
              <w:t>文件。 </w:t>
            </w:r>
          </w:p>
          <w:p w14:paraId="23EF6DCD">
            <w:pPr>
              <w:pStyle w:val="101"/>
              <w:keepNext w:val="0"/>
              <w:keepLines w:val="0"/>
              <w:suppressLineNumbers w:val="0"/>
              <w:spacing w:before="0" w:beforeAutospacing="0" w:after="0" w:afterLines="0" w:afterAutospacing="0" w:line="400" w:lineRule="exact"/>
              <w:ind w:left="0" w:right="101" w:rightChars="48" w:firstLine="482"/>
              <w:jc w:val="left"/>
              <w:rPr>
                <w:rFonts w:hint="eastAsia" w:ascii="仿宋_GB2312" w:hAnsi="仿宋_GB2312" w:eastAsia="仿宋_GB2312" w:cs="仿宋_GB2312"/>
                <w:color w:val="auto"/>
                <w:szCs w:val="24"/>
              </w:rPr>
            </w:pPr>
            <w:r>
              <w:rPr>
                <w:rFonts w:hint="eastAsia" w:ascii="仿宋_GB2312" w:hAnsi="仿宋_GB2312" w:eastAsia="仿宋_GB2312" w:cs="仿宋_GB2312"/>
                <w:b/>
                <w:bCs/>
                <w:color w:val="auto"/>
                <w:szCs w:val="24"/>
              </w:rPr>
              <w:t>合同履</w:t>
            </w:r>
            <w:r>
              <w:rPr>
                <w:rFonts w:hint="eastAsia" w:ascii="仿宋_GB2312" w:hAnsi="仿宋_GB2312" w:eastAsia="仿宋_GB2312" w:cs="仿宋_GB2312"/>
                <w:b/>
                <w:bCs/>
                <w:color w:val="auto"/>
                <w:szCs w:val="24"/>
                <w:lang w:eastAsia="zh-CN"/>
              </w:rPr>
              <w:t>行</w:t>
            </w:r>
            <w:r>
              <w:rPr>
                <w:rFonts w:hint="eastAsia" w:ascii="仿宋_GB2312" w:hAnsi="仿宋_GB2312" w:eastAsia="仿宋_GB2312" w:cs="仿宋_GB2312"/>
                <w:b/>
                <w:bCs/>
                <w:color w:val="auto"/>
                <w:szCs w:val="24"/>
              </w:rPr>
              <w:t>期限：</w:t>
            </w:r>
            <w:r>
              <w:rPr>
                <w:rFonts w:hint="eastAsia" w:ascii="仿宋_GB2312" w:hAnsi="仿宋_GB2312" w:eastAsia="仿宋_GB2312" w:cs="仿宋_GB2312"/>
                <w:color w:val="auto"/>
                <w:szCs w:val="24"/>
              </w:rPr>
              <w:t>按双方合同约定条款执行。</w:t>
            </w:r>
          </w:p>
          <w:p w14:paraId="5E2F99A5">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本项目接受联合体投标：</w:t>
            </w:r>
            <w:sdt>
              <w:sdtPr>
                <w:rPr>
                  <w:rFonts w:hint="eastAsia" w:ascii="仿宋_GB2312" w:hAnsi="仿宋_GB2312" w:eastAsia="仿宋_GB2312" w:cs="仿宋_GB2312"/>
                  <w:color w:val="auto"/>
                  <w:highlight w:val="none"/>
                </w:rPr>
                <w:id w:val="147456288"/>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color w:val="auto"/>
                <w:szCs w:val="24"/>
                <w:highlight w:val="none"/>
              </w:rPr>
              <w:t>是，</w:t>
            </w:r>
            <w:r>
              <w:rPr>
                <w:rFonts w:hint="eastAsia" w:ascii="仿宋_GB2312" w:hAnsi="仿宋_GB2312" w:eastAsia="仿宋_GB2312" w:cs="仿宋_GB2312"/>
                <w:color w:val="auto"/>
                <w:highlight w:val="none"/>
              </w:rPr>
              <w:t xml:space="preserve"> </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00A8"/>
                </w:r>
              </w:sdtContent>
            </w:sdt>
            <w:r>
              <w:rPr>
                <w:rFonts w:hint="eastAsia" w:ascii="仿宋_GB2312" w:hAnsi="仿宋_GB2312" w:eastAsia="仿宋_GB2312" w:cs="仿宋_GB2312"/>
                <w:color w:val="auto"/>
                <w:szCs w:val="24"/>
                <w:highlight w:val="none"/>
              </w:rPr>
              <w:t>否。</w:t>
            </w:r>
          </w:p>
          <w:p w14:paraId="080F0630">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二、申请人的资格要求：</w:t>
            </w:r>
          </w:p>
          <w:p w14:paraId="196B4087">
            <w:pPr>
              <w:pStyle w:val="101"/>
              <w:keepNext w:val="0"/>
              <w:keepLines w:val="0"/>
              <w:suppressLineNumbers w:val="0"/>
              <w:spacing w:before="0" w:beforeAutospacing="0" w:after="0" w:afterLines="0" w:afterAutospacing="0" w:line="400" w:lineRule="exact"/>
              <w:ind w:left="0" w:right="101" w:rightChars="48" w:firstLine="480"/>
              <w:jc w:val="left"/>
              <w:rPr>
                <w:rFonts w:hint="eastAsia" w:ascii="仿宋_GB2312" w:hAnsi="仿宋_GB2312" w:eastAsia="仿宋_GB2312" w:cs="仿宋_GB2312"/>
                <w:color w:val="auto"/>
                <w:szCs w:val="24"/>
                <w:lang w:eastAsia="zh-CN"/>
              </w:rPr>
            </w:pPr>
            <w:r>
              <w:rPr>
                <w:rFonts w:hint="eastAsia" w:ascii="仿宋_GB2312" w:hAnsi="仿宋_GB2312" w:eastAsia="仿宋_GB2312" w:cs="仿宋_GB2312"/>
                <w:color w:val="auto"/>
                <w:szCs w:val="24"/>
              </w:rPr>
              <w:t>1.</w:t>
            </w:r>
            <w:r>
              <w:rPr>
                <w:rFonts w:hint="eastAsia" w:ascii="仿宋_GB2312" w:hAnsi="仿宋_GB2312" w:eastAsia="仿宋_GB2312" w:cs="仿宋_GB2312"/>
                <w:color w:val="auto"/>
                <w:szCs w:val="24"/>
                <w:lang w:eastAsia="zh-CN"/>
              </w:rPr>
              <w:t>满足</w:t>
            </w:r>
            <w:r>
              <w:rPr>
                <w:rFonts w:hint="eastAsia" w:ascii="仿宋_GB2312" w:hAnsi="仿宋_GB2312" w:eastAsia="仿宋_GB2312" w:cs="仿宋_GB2312"/>
                <w:color w:val="auto"/>
                <w:szCs w:val="24"/>
              </w:rPr>
              <w:t>《中华人民共和国政府采购法》第二十二的规定 ；未被“信用中国”（www.creditchina.gov.cn）、中国政府采购网（www.ccgp.gov.cn）列入失信被执行人、重大税收违法案件当事人名单、政府采购严重违法失信行为记录名单</w:t>
            </w:r>
            <w:r>
              <w:rPr>
                <w:rFonts w:hint="eastAsia" w:ascii="仿宋_GB2312" w:hAnsi="仿宋_GB2312" w:eastAsia="仿宋_GB2312" w:cs="仿宋_GB2312"/>
                <w:color w:val="auto"/>
                <w:szCs w:val="24"/>
                <w:lang w:eastAsia="zh-CN"/>
              </w:rPr>
              <w:t>；</w:t>
            </w:r>
          </w:p>
          <w:p w14:paraId="46F24979">
            <w:pPr>
              <w:pStyle w:val="101"/>
              <w:keepNext w:val="0"/>
              <w:keepLines w:val="0"/>
              <w:suppressLineNumbers w:val="0"/>
              <w:spacing w:before="0" w:beforeAutospacing="0" w:after="0" w:afterLines="0" w:afterAutospacing="0" w:line="400" w:lineRule="exact"/>
              <w:ind w:left="0" w:right="0" w:firstLine="480"/>
              <w:jc w:val="left"/>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2.以联合体形式投标的，提供联合体协议（本项目不接受联合体投标或者投标人不以联合体形式投标的，则不需要提供）；</w:t>
            </w:r>
          </w:p>
          <w:p w14:paraId="3E1CD60F">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3.落实采购政策需满足的资格要求：</w:t>
            </w:r>
          </w:p>
          <w:p w14:paraId="5578752E">
            <w:pPr>
              <w:pStyle w:val="101"/>
              <w:keepNext w:val="0"/>
              <w:keepLines w:val="0"/>
              <w:suppressLineNumbers w:val="0"/>
              <w:spacing w:before="0" w:beforeAutospacing="0" w:after="0" w:afterLines="0" w:afterAutospacing="0" w:line="400" w:lineRule="exact"/>
              <w:ind w:left="0" w:right="0" w:firstLine="525" w:firstLineChars="250"/>
              <w:rPr>
                <w:rFonts w:hint="eastAsia" w:ascii="仿宋_GB2312" w:hAnsi="仿宋_GB2312" w:eastAsia="仿宋_GB2312" w:cs="仿宋_GB2312"/>
                <w:color w:val="auto"/>
                <w:szCs w:val="24"/>
                <w:highlight w:val="none"/>
              </w:rPr>
            </w:pPr>
            <w:sdt>
              <w:sdtPr>
                <w:rPr>
                  <w:rFonts w:hint="eastAsia" w:ascii="仿宋_GB2312" w:hAnsi="仿宋_GB2312" w:eastAsia="仿宋_GB2312" w:cs="仿宋_GB2312"/>
                  <w:color w:val="auto"/>
                  <w:sz w:val="21"/>
                  <w:szCs w:val="21"/>
                  <w:highlight w:val="none"/>
                </w:rPr>
                <w:id w:val="725337177"/>
              </w:sdtPr>
              <w:sdtEndPr>
                <w:rPr>
                  <w:rFonts w:hint="eastAsia" w:ascii="仿宋_GB2312" w:hAnsi="仿宋_GB2312" w:eastAsia="仿宋_GB2312" w:cs="仿宋_GB2312"/>
                  <w:color w:val="auto"/>
                  <w:sz w:val="24"/>
                  <w:szCs w:val="24"/>
                  <w:highlight w:val="none"/>
                </w:rPr>
              </w:sdtEndPr>
              <w:sdtContent>
                <w:sdt>
                  <w:sdtPr>
                    <w:rPr>
                      <w:rFonts w:hint="eastAsia" w:ascii="仿宋_GB2312" w:hAnsi="仿宋_GB2312" w:eastAsia="仿宋_GB2312" w:cs="仿宋_GB2312"/>
                      <w:color w:val="auto"/>
                      <w:kern w:val="0"/>
                      <w:sz w:val="24"/>
                      <w:highlight w:val="none"/>
                    </w:rPr>
                    <w:id w:val="147465753"/>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sz w:val="24"/>
                        <w:highlight w:val="none"/>
                        <w:lang w:eastAsia="zh-CN"/>
                      </w:rPr>
                      <w:t>☑</w:t>
                    </w:r>
                  </w:sdtContent>
                </w:sdt>
              </w:sdtContent>
            </w:sdt>
            <w:r>
              <w:rPr>
                <w:rFonts w:hint="eastAsia" w:ascii="仿宋_GB2312" w:hAnsi="仿宋_GB2312" w:eastAsia="仿宋_GB2312" w:cs="仿宋_GB2312"/>
                <w:color w:val="auto"/>
                <w:szCs w:val="24"/>
                <w:highlight w:val="none"/>
              </w:rPr>
              <w:t>无；</w:t>
            </w:r>
          </w:p>
          <w:p w14:paraId="255B0A86">
            <w:pPr>
              <w:keepNext w:val="0"/>
              <w:keepLines w:val="0"/>
              <w:suppressLineNumbers w:val="0"/>
              <w:spacing w:before="0" w:beforeAutospacing="0" w:after="0" w:afterAutospacing="0" w:line="400" w:lineRule="exact"/>
              <w:ind w:left="0" w:right="0" w:firstLine="480" w:firstLineChars="20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49"/>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1898A2C8">
            <w:pPr>
              <w:keepNext w:val="0"/>
              <w:keepLines w:val="0"/>
              <w:suppressLineNumbers w:val="0"/>
              <w:spacing w:before="0" w:beforeAutospacing="0" w:after="0" w:afterAutospacing="0" w:line="400" w:lineRule="exact"/>
              <w:ind w:left="0" w:right="0" w:firstLine="897" w:firstLineChars="374"/>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w:t>
            </w:r>
            <w:r>
              <w:rPr>
                <w:rFonts w:hint="eastAsia" w:ascii="仿宋_GB2312" w:hAnsi="仿宋_GB2312" w:eastAsia="仿宋_GB2312" w:cs="仿宋_GB2312"/>
                <w:color w:val="auto"/>
                <w:sz w:val="24"/>
              </w:rPr>
              <w:t>策要求的中小企业制造，提供中小企业声明函；</w:t>
            </w:r>
          </w:p>
          <w:p w14:paraId="4BE8847A">
            <w:pPr>
              <w:keepNext w:val="0"/>
              <w:keepLines w:val="0"/>
              <w:suppressLineNumbers w:val="0"/>
              <w:spacing w:before="0" w:beforeAutospacing="0" w:after="0" w:afterAutospacing="0" w:line="400" w:lineRule="exact"/>
              <w:ind w:left="0" w:right="0" w:firstLine="897" w:firstLineChars="374"/>
              <w:rPr>
                <w:rFonts w:hint="eastAsia" w:ascii="仿宋_GB2312" w:hAnsi="仿宋_GB2312" w:eastAsia="仿宋_GB2312" w:cs="仿宋_GB2312"/>
                <w:color w:val="auto"/>
                <w:sz w:val="24"/>
              </w:rPr>
            </w:pPr>
            <w:sdt>
              <w:sdtPr>
                <w:rPr>
                  <w:rFonts w:hint="eastAsia" w:ascii="仿宋_GB2312" w:hAnsi="仿宋_GB2312" w:eastAsia="仿宋_GB2312" w:cs="仿宋_GB2312"/>
                  <w:color w:val="auto"/>
                  <w:kern w:val="0"/>
                  <w:sz w:val="24"/>
                </w:rPr>
                <w:id w:val="98"/>
              </w:sdtPr>
              <w:sdtEndPr>
                <w:rPr>
                  <w:rFonts w:hint="eastAsia" w:ascii="仿宋_GB2312" w:hAnsi="仿宋_GB2312" w:eastAsia="仿宋_GB2312" w:cs="仿宋_GB2312"/>
                  <w:color w:val="auto"/>
                  <w:kern w:val="0"/>
                  <w:sz w:val="24"/>
                </w:rPr>
              </w:sdtEndPr>
              <w:sdtContent>
                <w:sdt>
                  <w:sdtPr>
                    <w:rPr>
                      <w:rFonts w:hint="eastAsia" w:ascii="仿宋_GB2312" w:hAnsi="仿宋_GB2312" w:eastAsia="仿宋_GB2312" w:cs="仿宋_GB2312"/>
                      <w:color w:val="auto"/>
                      <w:kern w:val="0"/>
                      <w:sz w:val="24"/>
                    </w:rPr>
                    <w:id w:val="279565509"/>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sdtContent>
            </w:sdt>
            <w:r>
              <w:rPr>
                <w:rFonts w:hint="eastAsia" w:ascii="仿宋_GB2312" w:hAnsi="仿宋_GB2312" w:eastAsia="仿宋_GB2312" w:cs="仿宋_GB2312"/>
                <w:color w:val="auto"/>
                <w:sz w:val="24"/>
              </w:rPr>
              <w:t>货物全部由符合政策要求的小微企业制造，提供中小企业声明函；</w:t>
            </w:r>
          </w:p>
          <w:p w14:paraId="6F9FC44F">
            <w:pPr>
              <w:keepNext w:val="0"/>
              <w:keepLines w:val="0"/>
              <w:suppressLineNumbers w:val="0"/>
              <w:spacing w:before="0" w:beforeAutospacing="0" w:after="0" w:afterAutospacing="0" w:line="400" w:lineRule="exact"/>
              <w:ind w:left="0" w:right="0" w:firstLine="480" w:firstLineChars="200"/>
              <w:rPr>
                <w:rFonts w:hint="eastAsia" w:ascii="仿宋_GB2312" w:hAnsi="仿宋_GB2312" w:eastAsia="仿宋_GB2312" w:cs="仿宋_GB2312"/>
                <w:color w:val="auto"/>
                <w:sz w:val="24"/>
              </w:rPr>
            </w:pPr>
            <w:sdt>
              <w:sdtPr>
                <w:rPr>
                  <w:rFonts w:hint="eastAsia" w:ascii="仿宋_GB2312" w:hAnsi="仿宋_GB2312" w:eastAsia="仿宋_GB2312" w:cs="仿宋_GB2312"/>
                  <w:color w:val="auto"/>
                  <w:kern w:val="0"/>
                  <w:sz w:val="24"/>
                </w:rPr>
                <w:id w:val="603697228"/>
              </w:sdtPr>
              <w:sdtEndPr>
                <w:rPr>
                  <w:rFonts w:hint="eastAsia" w:ascii="仿宋_GB2312" w:hAnsi="仿宋_GB2312" w:eastAsia="仿宋_GB2312" w:cs="仿宋_GB2312"/>
                  <w:color w:val="auto"/>
                  <w:kern w:val="0"/>
                  <w:sz w:val="24"/>
                </w:rPr>
              </w:sdtEndPr>
              <w:sdtContent>
                <w:sdt>
                  <w:sdtPr>
                    <w:rPr>
                      <w:rFonts w:hint="eastAsia" w:ascii="仿宋_GB2312" w:hAnsi="仿宋_GB2312" w:eastAsia="仿宋_GB2312" w:cs="仿宋_GB2312"/>
                      <w:color w:val="auto"/>
                      <w:kern w:val="0"/>
                      <w:sz w:val="24"/>
                    </w:rPr>
                    <w:id w:val="279565515"/>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sdtContent>
            </w:sdt>
            <w:r>
              <w:rPr>
                <w:rFonts w:hint="eastAsia" w:ascii="仿宋_GB2312" w:hAnsi="仿宋_GB2312" w:eastAsia="仿宋_GB2312" w:cs="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eastAsia="zh-CN"/>
              </w:rPr>
              <w:t>其中</w:t>
            </w:r>
            <w:r>
              <w:rPr>
                <w:rFonts w:hint="eastAsia" w:ascii="仿宋_GB2312" w:hAnsi="仿宋_GB2312" w:eastAsia="仿宋_GB2312" w:cs="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pacing w:val="8"/>
                <w:kern w:val="0"/>
                <w:sz w:val="24"/>
              </w:rPr>
              <w:t>如果供应商本身提供所有标的均由中小企业制造、承建或承接，</w:t>
            </w:r>
            <w:r>
              <w:rPr>
                <w:rFonts w:hint="eastAsia" w:ascii="仿宋_GB2312" w:hAnsi="仿宋_GB2312" w:eastAsia="仿宋_GB2312" w:cs="仿宋_GB2312"/>
                <w:color w:val="auto"/>
                <w:spacing w:val="8"/>
                <w:kern w:val="0"/>
                <w:sz w:val="24"/>
                <w:lang w:eastAsia="zh-CN"/>
              </w:rPr>
              <w:t>并相应达到了前述比例要求，</w:t>
            </w:r>
            <w:r>
              <w:rPr>
                <w:rFonts w:hint="eastAsia" w:ascii="仿宋_GB2312" w:hAnsi="仿宋_GB2312" w:eastAsia="仿宋_GB2312" w:cs="仿宋_GB2312"/>
                <w:color w:val="auto"/>
                <w:spacing w:val="8"/>
                <w:kern w:val="0"/>
                <w:sz w:val="24"/>
              </w:rPr>
              <w:t>视同符合了资格条件，无需再与其他中小企业组成联合体参加采购活动，无需提供联合协议</w:t>
            </w:r>
            <w:r>
              <w:rPr>
                <w:rFonts w:hint="eastAsia" w:ascii="仿宋_GB2312" w:hAnsi="仿宋_GB2312" w:eastAsia="仿宋_GB2312" w:cs="仿宋_GB2312"/>
                <w:color w:val="auto"/>
                <w:sz w:val="24"/>
              </w:rPr>
              <w:t>；</w:t>
            </w:r>
          </w:p>
          <w:p w14:paraId="65E8BC63">
            <w:pPr>
              <w:keepNext w:val="0"/>
              <w:keepLines w:val="0"/>
              <w:suppressLineNumbers w:val="0"/>
              <w:spacing w:before="0" w:beforeAutospacing="0" w:after="0" w:afterAutospacing="0" w:line="400" w:lineRule="exact"/>
              <w:ind w:left="0" w:right="0" w:firstLine="480" w:firstLineChars="200"/>
              <w:rPr>
                <w:rFonts w:hint="eastAsia" w:ascii="仿宋_GB2312" w:hAnsi="仿宋_GB2312" w:eastAsia="仿宋_GB2312" w:cs="仿宋_GB2312"/>
                <w:color w:val="auto"/>
                <w:sz w:val="24"/>
              </w:rPr>
            </w:pPr>
            <w:sdt>
              <w:sdtPr>
                <w:rPr>
                  <w:rFonts w:hint="eastAsia" w:ascii="仿宋_GB2312" w:hAnsi="仿宋_GB2312" w:eastAsia="仿宋_GB2312" w:cs="仿宋_GB2312"/>
                  <w:color w:val="auto"/>
                  <w:kern w:val="0"/>
                  <w:sz w:val="24"/>
                </w:rPr>
                <w:id w:val="34630645"/>
              </w:sdtPr>
              <w:sdtEndPr>
                <w:rPr>
                  <w:rFonts w:hint="eastAsia" w:ascii="仿宋_GB2312" w:hAnsi="仿宋_GB2312" w:eastAsia="仿宋_GB2312" w:cs="仿宋_GB2312"/>
                  <w:color w:val="auto"/>
                  <w:kern w:val="0"/>
                  <w:sz w:val="24"/>
                </w:rPr>
              </w:sdtEndPr>
              <w:sdtContent>
                <w:sdt>
                  <w:sdtPr>
                    <w:rPr>
                      <w:rFonts w:hint="eastAsia" w:ascii="仿宋_GB2312" w:hAnsi="仿宋_GB2312" w:eastAsia="仿宋_GB2312" w:cs="仿宋_GB2312"/>
                      <w:color w:val="auto"/>
                      <w:kern w:val="0"/>
                      <w:sz w:val="24"/>
                    </w:rPr>
                    <w:id w:val="279565517"/>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sdtContent>
            </w:sdt>
            <w:r>
              <w:rPr>
                <w:rFonts w:hint="eastAsia" w:ascii="仿宋_GB2312" w:hAnsi="仿宋_GB2312" w:eastAsia="仿宋_GB2312" w:cs="仿宋_GB2312"/>
                <w:color w:val="auto"/>
                <w:sz w:val="24"/>
              </w:rPr>
              <w:t>要求合同分包，提供分包意向协议和中小企业声明函，分包意向协议中中小企业合同金额应当达到</w:t>
            </w:r>
            <w:r>
              <w:rPr>
                <w:rFonts w:hint="eastAsia" w:ascii="仿宋_GB2312" w:hAnsi="仿宋" w:eastAsia="仿宋_GB2312"/>
                <w:color w:val="auto"/>
                <w:sz w:val="24"/>
                <w:u w:val="single"/>
              </w:rPr>
              <w:t xml:space="preserve">  </w:t>
            </w:r>
            <w:r>
              <w:rPr>
                <w:rFonts w:hint="eastAsia" w:ascii="仿宋_GB2312" w:hAnsi="仿宋_GB2312" w:eastAsia="仿宋_GB2312" w:cs="仿宋_GB2312"/>
                <w:color w:val="auto"/>
                <w:sz w:val="24"/>
              </w:rPr>
              <w:t>% ，</w:t>
            </w:r>
            <w:r>
              <w:rPr>
                <w:rFonts w:hint="eastAsia" w:ascii="仿宋_GB2312" w:hAnsi="仿宋_GB2312" w:eastAsia="仿宋_GB2312" w:cs="仿宋_GB2312"/>
                <w:color w:val="auto"/>
                <w:sz w:val="24"/>
                <w:lang w:eastAsia="zh-CN"/>
              </w:rPr>
              <w:t>其中</w:t>
            </w:r>
            <w:r>
              <w:rPr>
                <w:rFonts w:hint="eastAsia" w:ascii="仿宋_GB2312" w:hAnsi="仿宋_GB2312" w:eastAsia="仿宋_GB2312" w:cs="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_GB2312" w:eastAsia="仿宋_GB2312" w:cs="仿宋_GB2312"/>
                <w:color w:val="auto"/>
                <w:sz w:val="24"/>
              </w:rPr>
              <w:t>% ;</w:t>
            </w:r>
            <w:r>
              <w:rPr>
                <w:rFonts w:hint="eastAsia" w:ascii="仿宋_GB2312" w:hAnsi="仿宋_GB2312" w:eastAsia="仿宋_GB2312" w:cs="仿宋_GB2312"/>
                <w:color w:val="auto"/>
                <w:spacing w:val="8"/>
                <w:kern w:val="0"/>
                <w:sz w:val="24"/>
              </w:rPr>
              <w:t>如果供应商本身提供所有标的均由中小企业制造、承建或承接，</w:t>
            </w:r>
            <w:r>
              <w:rPr>
                <w:rFonts w:hint="eastAsia" w:ascii="仿宋_GB2312" w:hAnsi="仿宋_GB2312" w:eastAsia="仿宋_GB2312" w:cs="仿宋_GB2312"/>
                <w:color w:val="auto"/>
                <w:spacing w:val="8"/>
                <w:kern w:val="0"/>
                <w:sz w:val="24"/>
                <w:lang w:eastAsia="zh-CN"/>
              </w:rPr>
              <w:t>并相应达到了前述比例要求，</w:t>
            </w:r>
            <w:r>
              <w:rPr>
                <w:rFonts w:hint="eastAsia" w:ascii="仿宋_GB2312" w:hAnsi="仿宋_GB2312" w:eastAsia="仿宋_GB2312" w:cs="仿宋_GB2312"/>
                <w:color w:val="auto"/>
                <w:spacing w:val="8"/>
                <w:kern w:val="0"/>
                <w:sz w:val="24"/>
              </w:rPr>
              <w:t>视同符合了资格条件，无需再向中小企业分包，无需提供分包意向协议</w:t>
            </w:r>
            <w:r>
              <w:rPr>
                <w:rFonts w:hint="eastAsia" w:ascii="仿宋_GB2312" w:hAnsi="仿宋_GB2312" w:eastAsia="仿宋_GB2312" w:cs="仿宋_GB2312"/>
                <w:color w:val="auto"/>
                <w:sz w:val="24"/>
              </w:rPr>
              <w:t>；</w:t>
            </w:r>
          </w:p>
          <w:p w14:paraId="7E9C8353">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4.本项目的特定资格要求：无；</w:t>
            </w:r>
          </w:p>
          <w:p w14:paraId="36053820">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364CEF83">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三、获取招标文件 </w:t>
            </w:r>
          </w:p>
          <w:p w14:paraId="2CB85F6E">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color w:val="auto"/>
                <w:szCs w:val="24"/>
              </w:rPr>
            </w:pPr>
            <w:r>
              <w:rPr>
                <w:rFonts w:hint="eastAsia" w:ascii="仿宋_GB2312" w:hAnsi="仿宋_GB2312" w:eastAsia="仿宋_GB2312" w:cs="仿宋_GB2312"/>
                <w:b/>
                <w:color w:val="auto"/>
                <w:szCs w:val="24"/>
              </w:rPr>
              <w:t>时间：</w:t>
            </w:r>
            <w:r>
              <w:rPr>
                <w:rFonts w:hint="eastAsia" w:ascii="仿宋_GB2312" w:hAnsi="仿宋_GB2312" w:eastAsia="仿宋_GB2312" w:cs="仿宋_GB2312"/>
                <w:color w:val="auto"/>
                <w:szCs w:val="24"/>
              </w:rPr>
              <w:t>/至</w:t>
            </w:r>
            <w:r>
              <w:rPr>
                <w:rFonts w:hint="eastAsia" w:ascii="仿宋_GB2312" w:hAnsi="仿宋_GB2312" w:eastAsia="仿宋_GB2312" w:cs="仿宋_GB2312"/>
                <w:color w:val="auto"/>
                <w:szCs w:val="24"/>
                <w:u w:val="single"/>
              </w:rPr>
              <w:t>2024年</w:t>
            </w:r>
            <w:r>
              <w:rPr>
                <w:rFonts w:hint="eastAsia" w:ascii="仿宋_GB2312" w:hAnsi="仿宋_GB2312" w:eastAsia="仿宋_GB2312" w:cs="仿宋_GB2312"/>
                <w:color w:val="auto"/>
                <w:szCs w:val="24"/>
                <w:u w:val="single"/>
                <w:lang w:val="en-US" w:eastAsia="zh-CN"/>
              </w:rPr>
              <w:t>12</w:t>
            </w:r>
            <w:r>
              <w:rPr>
                <w:rFonts w:hint="eastAsia" w:ascii="仿宋_GB2312" w:hAnsi="仿宋_GB2312" w:eastAsia="仿宋_GB2312" w:cs="仿宋_GB2312"/>
                <w:color w:val="auto"/>
                <w:szCs w:val="24"/>
                <w:u w:val="single"/>
              </w:rPr>
              <w:t>月</w:t>
            </w:r>
            <w:r>
              <w:rPr>
                <w:rFonts w:hint="eastAsia" w:ascii="仿宋_GB2312" w:hAnsi="仿宋_GB2312" w:eastAsia="仿宋_GB2312" w:cs="仿宋_GB2312"/>
                <w:color w:val="auto"/>
                <w:szCs w:val="24"/>
                <w:u w:val="single"/>
                <w:lang w:val="en-US" w:eastAsia="zh-CN"/>
              </w:rPr>
              <w:t>4</w:t>
            </w:r>
            <w:r>
              <w:rPr>
                <w:rFonts w:hint="eastAsia" w:ascii="仿宋_GB2312" w:hAnsi="仿宋_GB2312" w:eastAsia="仿宋_GB2312" w:cs="仿宋_GB2312"/>
                <w:color w:val="auto"/>
                <w:szCs w:val="24"/>
                <w:u w:val="single"/>
              </w:rPr>
              <w:t>日</w:t>
            </w:r>
            <w:r>
              <w:rPr>
                <w:rFonts w:hint="eastAsia" w:ascii="仿宋_GB2312" w:hAnsi="仿宋_GB2312" w:eastAsia="仿宋_GB2312" w:cs="仿宋_GB2312"/>
                <w:color w:val="auto"/>
                <w:szCs w:val="24"/>
              </w:rPr>
              <w:t>，每天上午00:00至12:00 ，下午12:00至23:59（北京时间，线上获取法定节假日均可，线下获取文件法定节假日除外）</w:t>
            </w:r>
          </w:p>
          <w:p w14:paraId="16F8E948">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rPr>
              <w:t>地点（网址）</w:t>
            </w:r>
            <w:r>
              <w:rPr>
                <w:rFonts w:hint="eastAsia" w:ascii="仿宋_GB2312" w:hAnsi="仿宋_GB2312" w:eastAsia="仿宋_GB2312" w:cs="仿宋_GB2312"/>
                <w:b/>
                <w:color w:val="auto"/>
                <w:szCs w:val="24"/>
                <w:highlight w:val="none"/>
              </w:rPr>
              <w:t>：</w:t>
            </w:r>
            <w:r>
              <w:rPr>
                <w:rFonts w:hint="eastAsia" w:ascii="仿宋_GB2312" w:hAnsi="仿宋_GB2312" w:eastAsia="仿宋_GB2312" w:cs="仿宋_GB2312"/>
                <w:bCs/>
                <w:color w:val="auto"/>
                <w:highlight w:val="none"/>
              </w:rPr>
              <w:t>乐采云平台（https://www.lecaiyun.com/）</w:t>
            </w:r>
            <w:r>
              <w:rPr>
                <w:rFonts w:hint="eastAsia" w:ascii="仿宋_GB2312" w:hAnsi="仿宋_GB2312" w:eastAsia="仿宋_GB2312" w:cs="仿宋_GB2312"/>
                <w:color w:val="auto"/>
                <w:szCs w:val="24"/>
                <w:highlight w:val="none"/>
              </w:rPr>
              <w:t> </w:t>
            </w:r>
          </w:p>
          <w:p w14:paraId="6DE4A6B9">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方式：</w:t>
            </w:r>
            <w:r>
              <w:rPr>
                <w:rFonts w:hint="eastAsia" w:ascii="仿宋_GB2312" w:hAnsi="仿宋_GB2312" w:eastAsia="仿宋_GB2312" w:cs="仿宋_GB2312"/>
                <w:bCs/>
                <w:color w:val="auto"/>
                <w:highlight w:val="none"/>
              </w:rPr>
              <w:t>供应商</w:t>
            </w:r>
            <w:r>
              <w:rPr>
                <w:rFonts w:hint="eastAsia" w:ascii="仿宋_GB2312" w:hAnsi="仿宋_GB2312" w:eastAsia="仿宋_GB2312" w:cs="仿宋_GB2312"/>
                <w:bCs/>
                <w:color w:val="auto"/>
                <w:highlight w:val="none"/>
                <w:lang w:eastAsia="zh-CN"/>
              </w:rPr>
              <w:t>登录</w:t>
            </w:r>
            <w:r>
              <w:rPr>
                <w:rFonts w:hint="eastAsia" w:ascii="仿宋_GB2312" w:hAnsi="仿宋_GB2312" w:eastAsia="仿宋_GB2312" w:cs="仿宋_GB2312"/>
                <w:bCs/>
                <w:color w:val="auto"/>
                <w:highlight w:val="none"/>
              </w:rPr>
              <w:t>乐采云平台https://www.lecaiyun.com/，在线申请获取采购文件（进入“项目采购”应用，在获取采购文件菜单中选择项目，申请获取采购文件）。</w:t>
            </w:r>
          </w:p>
          <w:p w14:paraId="1C377002">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售价（元）：</w:t>
            </w:r>
            <w:r>
              <w:rPr>
                <w:rFonts w:hint="eastAsia" w:ascii="仿宋_GB2312" w:hAnsi="仿宋_GB2312" w:eastAsia="仿宋_GB2312" w:cs="仿宋_GB2312"/>
                <w:color w:val="auto"/>
                <w:szCs w:val="24"/>
                <w:highlight w:val="none"/>
              </w:rPr>
              <w:t>0 </w:t>
            </w:r>
          </w:p>
          <w:p w14:paraId="04CC4ED8">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四、提交投标文件截止时间、开标时间和地点</w:t>
            </w:r>
          </w:p>
          <w:p w14:paraId="6032C993">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提交投标文件截止时间：</w:t>
            </w:r>
            <w:r>
              <w:rPr>
                <w:rFonts w:hint="eastAsia" w:ascii="仿宋_GB2312" w:hAnsi="仿宋_GB2312" w:eastAsia="仿宋_GB2312" w:cs="仿宋_GB2312"/>
                <w:color w:val="auto"/>
                <w:szCs w:val="24"/>
                <w:highlight w:val="none"/>
                <w:u w:val="single"/>
              </w:rPr>
              <w:t>2024年</w:t>
            </w:r>
            <w:r>
              <w:rPr>
                <w:rFonts w:hint="eastAsia" w:ascii="仿宋_GB2312" w:hAnsi="仿宋_GB2312" w:eastAsia="仿宋_GB2312" w:cs="仿宋_GB2312"/>
                <w:color w:val="auto"/>
                <w:szCs w:val="24"/>
                <w:highlight w:val="none"/>
                <w:u w:val="single"/>
                <w:lang w:val="en-US" w:eastAsia="zh-CN"/>
              </w:rPr>
              <w:t>12</w:t>
            </w:r>
            <w:r>
              <w:rPr>
                <w:rFonts w:hint="eastAsia" w:ascii="仿宋_GB2312" w:hAnsi="仿宋_GB2312" w:eastAsia="仿宋_GB2312" w:cs="仿宋_GB2312"/>
                <w:color w:val="auto"/>
                <w:szCs w:val="24"/>
                <w:highlight w:val="none"/>
                <w:u w:val="single"/>
              </w:rPr>
              <w:t>月</w:t>
            </w:r>
            <w:r>
              <w:rPr>
                <w:rFonts w:hint="eastAsia" w:ascii="仿宋_GB2312" w:hAnsi="仿宋_GB2312" w:eastAsia="仿宋_GB2312" w:cs="仿宋_GB2312"/>
                <w:color w:val="auto"/>
                <w:szCs w:val="24"/>
                <w:highlight w:val="none"/>
                <w:u w:val="single"/>
                <w:lang w:val="en-US" w:eastAsia="zh-CN"/>
              </w:rPr>
              <w:t>4</w:t>
            </w:r>
            <w:r>
              <w:rPr>
                <w:rFonts w:hint="eastAsia" w:ascii="仿宋_GB2312" w:hAnsi="仿宋_GB2312" w:eastAsia="仿宋_GB2312" w:cs="仿宋_GB2312"/>
                <w:color w:val="auto"/>
                <w:szCs w:val="24"/>
                <w:highlight w:val="none"/>
                <w:u w:val="single"/>
              </w:rPr>
              <w:t>日</w:t>
            </w:r>
            <w:r>
              <w:rPr>
                <w:rFonts w:hint="eastAsia" w:ascii="仿宋_GB2312" w:hAnsi="仿宋_GB2312" w:eastAsia="仿宋_GB2312" w:cs="仿宋_GB2312"/>
                <w:color w:val="auto"/>
                <w:szCs w:val="24"/>
                <w:highlight w:val="none"/>
                <w:u w:val="single"/>
                <w:lang w:val="en-US" w:eastAsia="zh-CN"/>
              </w:rPr>
              <w:t>9</w:t>
            </w:r>
            <w:r>
              <w:rPr>
                <w:rFonts w:hint="eastAsia" w:ascii="仿宋_GB2312" w:hAnsi="仿宋_GB2312" w:eastAsia="仿宋_GB2312" w:cs="仿宋_GB2312"/>
                <w:color w:val="auto"/>
                <w:szCs w:val="24"/>
                <w:highlight w:val="none"/>
                <w:u w:val="single"/>
              </w:rPr>
              <w:t>点</w:t>
            </w:r>
            <w:r>
              <w:rPr>
                <w:rFonts w:hint="eastAsia" w:ascii="仿宋_GB2312" w:hAnsi="仿宋_GB2312" w:eastAsia="仿宋_GB2312" w:cs="仿宋_GB2312"/>
                <w:color w:val="auto"/>
                <w:szCs w:val="24"/>
                <w:highlight w:val="none"/>
                <w:u w:val="single"/>
                <w:lang w:val="en-US" w:eastAsia="zh-CN"/>
              </w:rPr>
              <w:t>00</w:t>
            </w:r>
            <w:r>
              <w:rPr>
                <w:rFonts w:hint="eastAsia" w:ascii="仿宋_GB2312" w:hAnsi="仿宋_GB2312" w:eastAsia="仿宋_GB2312" w:cs="仿宋_GB2312"/>
                <w:color w:val="auto"/>
                <w:szCs w:val="24"/>
                <w:highlight w:val="none"/>
                <w:u w:val="single"/>
              </w:rPr>
              <w:t>分</w:t>
            </w:r>
            <w:r>
              <w:rPr>
                <w:rFonts w:hint="eastAsia" w:ascii="仿宋_GB2312" w:hAnsi="仿宋_GB2312" w:eastAsia="仿宋_GB2312" w:cs="仿宋_GB2312"/>
                <w:color w:val="auto"/>
                <w:szCs w:val="24"/>
                <w:highlight w:val="none"/>
                <w:u w:val="single"/>
                <w:lang w:val="en-US" w:eastAsia="zh-CN"/>
              </w:rPr>
              <w:t>00</w:t>
            </w:r>
            <w:r>
              <w:rPr>
                <w:rFonts w:hint="eastAsia" w:ascii="仿宋_GB2312" w:hAnsi="仿宋_GB2312" w:eastAsia="仿宋_GB2312" w:cs="仿宋_GB2312"/>
                <w:color w:val="auto"/>
                <w:szCs w:val="24"/>
                <w:highlight w:val="none"/>
                <w:u w:val="single"/>
              </w:rPr>
              <w:t>秒</w:t>
            </w:r>
            <w:r>
              <w:rPr>
                <w:rFonts w:hint="eastAsia" w:ascii="仿宋_GB2312" w:hAnsi="仿宋_GB2312" w:eastAsia="仿宋_GB2312" w:cs="仿宋_GB2312"/>
                <w:color w:val="auto"/>
                <w:szCs w:val="24"/>
                <w:highlight w:val="none"/>
              </w:rPr>
              <w:t>（北京时间）</w:t>
            </w:r>
          </w:p>
          <w:p w14:paraId="7A796B96">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投标地点（网址）：乐采云平台（https://www.lecaiyun.com/）</w:t>
            </w:r>
          </w:p>
          <w:p w14:paraId="7CA070CC">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开标时间：</w:t>
            </w:r>
            <w:r>
              <w:rPr>
                <w:rFonts w:hint="eastAsia" w:ascii="仿宋_GB2312" w:hAnsi="仿宋_GB2312" w:eastAsia="仿宋_GB2312" w:cs="仿宋_GB2312"/>
                <w:color w:val="auto"/>
                <w:szCs w:val="24"/>
                <w:highlight w:val="none"/>
                <w:u w:val="single"/>
              </w:rPr>
              <w:t>2024年</w:t>
            </w:r>
            <w:r>
              <w:rPr>
                <w:rFonts w:hint="eastAsia" w:ascii="仿宋_GB2312" w:hAnsi="仿宋_GB2312" w:eastAsia="仿宋_GB2312" w:cs="仿宋_GB2312"/>
                <w:color w:val="auto"/>
                <w:szCs w:val="24"/>
                <w:highlight w:val="none"/>
                <w:u w:val="single"/>
                <w:lang w:val="en-US" w:eastAsia="zh-CN"/>
              </w:rPr>
              <w:t>12</w:t>
            </w:r>
            <w:r>
              <w:rPr>
                <w:rFonts w:hint="eastAsia" w:ascii="仿宋_GB2312" w:hAnsi="仿宋_GB2312" w:eastAsia="仿宋_GB2312" w:cs="仿宋_GB2312"/>
                <w:color w:val="auto"/>
                <w:szCs w:val="24"/>
                <w:highlight w:val="none"/>
                <w:u w:val="single"/>
              </w:rPr>
              <w:t>月</w:t>
            </w:r>
            <w:r>
              <w:rPr>
                <w:rFonts w:hint="eastAsia" w:ascii="仿宋_GB2312" w:hAnsi="仿宋_GB2312" w:eastAsia="仿宋_GB2312" w:cs="仿宋_GB2312"/>
                <w:color w:val="auto"/>
                <w:szCs w:val="24"/>
                <w:highlight w:val="none"/>
                <w:u w:val="single"/>
                <w:lang w:val="en-US" w:eastAsia="zh-CN"/>
              </w:rPr>
              <w:t>4</w:t>
            </w:r>
            <w:r>
              <w:rPr>
                <w:rFonts w:hint="eastAsia" w:ascii="仿宋_GB2312" w:hAnsi="仿宋_GB2312" w:eastAsia="仿宋_GB2312" w:cs="仿宋_GB2312"/>
                <w:color w:val="auto"/>
                <w:szCs w:val="24"/>
                <w:highlight w:val="none"/>
                <w:u w:val="single"/>
              </w:rPr>
              <w:t>日</w:t>
            </w:r>
            <w:r>
              <w:rPr>
                <w:rFonts w:hint="eastAsia" w:ascii="仿宋_GB2312" w:hAnsi="仿宋_GB2312" w:eastAsia="仿宋_GB2312" w:cs="仿宋_GB2312"/>
                <w:color w:val="auto"/>
                <w:szCs w:val="24"/>
                <w:highlight w:val="none"/>
                <w:u w:val="single"/>
                <w:lang w:val="en-US" w:eastAsia="zh-CN"/>
              </w:rPr>
              <w:t>9</w:t>
            </w:r>
            <w:r>
              <w:rPr>
                <w:rFonts w:hint="eastAsia" w:ascii="仿宋_GB2312" w:hAnsi="仿宋_GB2312" w:eastAsia="仿宋_GB2312" w:cs="仿宋_GB2312"/>
                <w:color w:val="auto"/>
                <w:szCs w:val="24"/>
                <w:highlight w:val="none"/>
                <w:u w:val="single"/>
              </w:rPr>
              <w:t>点</w:t>
            </w:r>
            <w:r>
              <w:rPr>
                <w:rFonts w:hint="eastAsia" w:ascii="仿宋_GB2312" w:hAnsi="仿宋_GB2312" w:eastAsia="仿宋_GB2312" w:cs="仿宋_GB2312"/>
                <w:color w:val="auto"/>
                <w:szCs w:val="24"/>
                <w:highlight w:val="none"/>
                <w:u w:val="single"/>
                <w:lang w:val="en-US" w:eastAsia="zh-CN"/>
              </w:rPr>
              <w:t>00</w:t>
            </w:r>
            <w:r>
              <w:rPr>
                <w:rFonts w:hint="eastAsia" w:ascii="仿宋_GB2312" w:hAnsi="仿宋_GB2312" w:eastAsia="仿宋_GB2312" w:cs="仿宋_GB2312"/>
                <w:color w:val="auto"/>
                <w:szCs w:val="24"/>
                <w:highlight w:val="none"/>
                <w:u w:val="single"/>
              </w:rPr>
              <w:t>分</w:t>
            </w:r>
            <w:r>
              <w:rPr>
                <w:rFonts w:hint="eastAsia" w:ascii="仿宋_GB2312" w:hAnsi="仿宋_GB2312" w:eastAsia="仿宋_GB2312" w:cs="仿宋_GB2312"/>
                <w:color w:val="auto"/>
                <w:szCs w:val="24"/>
                <w:highlight w:val="none"/>
                <w:u w:val="single"/>
                <w:lang w:val="en-US" w:eastAsia="zh-CN"/>
              </w:rPr>
              <w:t>00</w:t>
            </w:r>
            <w:r>
              <w:rPr>
                <w:rFonts w:hint="eastAsia" w:ascii="仿宋_GB2312" w:hAnsi="仿宋_GB2312" w:eastAsia="仿宋_GB2312" w:cs="仿宋_GB2312"/>
                <w:color w:val="auto"/>
                <w:szCs w:val="24"/>
                <w:highlight w:val="none"/>
                <w:u w:val="single"/>
              </w:rPr>
              <w:t>秒</w:t>
            </w:r>
          </w:p>
          <w:p w14:paraId="53758149">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highlight w:val="none"/>
              </w:rPr>
              <w:t>开标地点（网址）：乐采云平台（https://www.lecaiyun.com/）。</w:t>
            </w:r>
            <w:r>
              <w:rPr>
                <w:rFonts w:hint="eastAsia" w:ascii="仿宋_GB2312" w:hAnsi="仿宋_GB2312" w:eastAsia="仿宋_GB2312" w:cs="仿宋_GB2312"/>
                <w:color w:val="auto"/>
                <w:szCs w:val="24"/>
              </w:rPr>
              <w:t>  </w:t>
            </w:r>
          </w:p>
          <w:p w14:paraId="531F4DB7">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五、公告期限 </w:t>
            </w:r>
          </w:p>
          <w:p w14:paraId="11AC3D14">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自本公告发布之日起5个工作日。</w:t>
            </w:r>
          </w:p>
          <w:p w14:paraId="6D41BAF2">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六、其他补充事宜</w:t>
            </w:r>
          </w:p>
          <w:p w14:paraId="3C379F3A">
            <w:pPr>
              <w:keepNext w:val="0"/>
              <w:keepLines w:val="0"/>
              <w:suppressLineNumbers w:val="0"/>
              <w:spacing w:before="0" w:beforeAutospacing="0" w:after="0" w:afterAutospacing="0" w:line="400" w:lineRule="exact"/>
              <w:ind w:left="0" w:right="0"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965773B">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rPr>
              <w:t xml:space="preserve"> 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w:t>
            </w:r>
            <w:r>
              <w:rPr>
                <w:rFonts w:hint="eastAsia" w:ascii="仿宋_GB2312" w:hAnsi="仿宋_GB2312" w:eastAsia="仿宋_GB2312" w:cs="仿宋_GB2312"/>
                <w:color w:val="auto"/>
                <w:highlight w:val="none"/>
              </w:rPr>
              <w:t>可在线提起投诉，路径为：浙江政府服务网-政府采购投诉处理-在线办理。</w:t>
            </w:r>
          </w:p>
          <w:p w14:paraId="1C9FA7B1">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73979D66">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rPr>
              <w:t>.其他事项：（1）需要落实的采购政策：包括节约资源、保护环境、支持创新、促进中小企业发展等。详见招标文件的第二部分总则。（2）</w:t>
            </w:r>
            <w:r>
              <w:rPr>
                <w:rFonts w:hint="eastAsia" w:ascii="仿宋_GB2312" w:hAnsi="仿宋_GB2312" w:eastAsia="仿宋_GB2312" w:cs="仿宋_GB2312"/>
                <w:color w:val="auto"/>
                <w:highlight w:val="none"/>
              </w:rPr>
              <w:t>电子招投标的说明：①电子招投标：本项目以数据电文形式，依托“乐采云平台（https://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w:t>
            </w:r>
            <w:r>
              <w:rPr>
                <w:rFonts w:hint="eastAsia" w:ascii="仿宋_GB2312" w:hAnsi="仿宋_GB2312" w:eastAsia="仿宋_GB2312" w:cs="仿宋_GB2312"/>
                <w:color w:val="auto"/>
              </w:rPr>
              <w:t>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w:t>
            </w:r>
            <w:r>
              <w:rPr>
                <w:rFonts w:hint="eastAsia" w:ascii="仿宋_GB2312" w:hAnsi="仿宋_GB2312" w:eastAsia="仿宋_GB2312" w:cs="仿宋_GB2312"/>
                <w:color w:val="auto"/>
                <w:lang w:eastAsia="zh-CN"/>
              </w:rPr>
              <w:t>代理</w:t>
            </w:r>
            <w:r>
              <w:rPr>
                <w:rFonts w:hint="eastAsia" w:ascii="仿宋_GB2312" w:hAnsi="仿宋_GB2312" w:eastAsia="仿宋_GB2312" w:cs="仿宋_GB2312"/>
                <w:color w:val="auto"/>
              </w:rPr>
              <w:t>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乐采云平台”上传递交的投标文件无法按时解密</w:t>
            </w:r>
            <w:r>
              <w:rPr>
                <w:rFonts w:hint="eastAsia" w:ascii="仿宋_GB2312" w:hAnsi="仿宋_GB2312" w:eastAsia="仿宋_GB2312" w:cs="仿宋_GB2312"/>
                <w:b/>
                <w:bCs/>
                <w:color w:val="auto"/>
              </w:rPr>
              <w:t>（投标人应特别注意CA锁有效性，CA锁延期、补办后，虽硬件介质不变，但锁的证书Key号发生改变，视为不同锁，会导致开标时无法解密投标文件）</w:t>
            </w:r>
            <w:r>
              <w:rPr>
                <w:rFonts w:hint="eastAsia" w:ascii="仿宋_GB2312" w:hAnsi="仿宋_GB2312" w:eastAsia="仿宋_GB2312" w:cs="仿宋_GB2312"/>
                <w:color w:val="auto"/>
              </w:rPr>
              <w:t>，视为投标文件撤回；⑩具体操作指南：</w:t>
            </w:r>
            <w:r>
              <w:rPr>
                <w:rFonts w:hint="eastAsia" w:ascii="仿宋_GB2312" w:hAnsi="仿宋_GB2312" w:eastAsia="仿宋_GB2312" w:cs="仿宋_GB2312"/>
                <w:color w:val="auto"/>
                <w:highlight w:val="none"/>
              </w:rPr>
              <w:t>详见乐采云平台“服务中心-帮助文档-项目采购-操作流程-电子招投标-政府采购项目电子交易管理操作指南-供应商”。</w:t>
            </w:r>
            <w:r>
              <w:rPr>
                <w:rFonts w:hint="eastAsia" w:ascii="仿宋_GB2312" w:hAnsi="仿宋_GB2312" w:eastAsia="仿宋_GB2312" w:cs="仿宋_GB2312"/>
                <w:color w:val="auto"/>
                <w:szCs w:val="24"/>
                <w:highlight w:val="none"/>
              </w:rPr>
              <w:t>（3）</w:t>
            </w:r>
            <w:r>
              <w:rPr>
                <w:rFonts w:hint="eastAsia" w:ascii="仿宋_GB2312" w:hAnsi="仿宋_GB2312" w:eastAsia="仿宋_GB2312" w:cs="仿宋_GB2312"/>
                <w:color w:val="auto"/>
                <w:szCs w:val="24"/>
              </w:rPr>
              <w:t>招标文件公告期限与招标公告的公告期限一致。</w:t>
            </w:r>
          </w:p>
          <w:p w14:paraId="5937C928">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七、对本次采购提出询问、质疑、投诉，请按以下方式联系</w:t>
            </w:r>
          </w:p>
          <w:p w14:paraId="56B9F386">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1.采购人信息：</w:t>
            </w:r>
          </w:p>
          <w:p w14:paraId="58519919">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 xml:space="preserve">名称：绍兴市镜湖健康产业开发有限公司  </w:t>
            </w:r>
          </w:p>
          <w:p w14:paraId="032279FE">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lang w:eastAsia="zh-CN"/>
              </w:rPr>
            </w:pPr>
            <w:r>
              <w:rPr>
                <w:rFonts w:hint="eastAsia" w:ascii="仿宋_GB2312" w:hAnsi="仿宋_GB2312" w:eastAsia="仿宋_GB2312" w:cs="仿宋_GB2312"/>
                <w:color w:val="auto"/>
                <w:szCs w:val="24"/>
              </w:rPr>
              <w:t xml:space="preserve">地址： 绍兴市凤林西路155号 </w:t>
            </w:r>
            <w:r>
              <w:rPr>
                <w:rFonts w:hint="eastAsia" w:ascii="仿宋_GB2312" w:hAnsi="仿宋_GB2312" w:eastAsia="仿宋_GB2312" w:cs="仿宋_GB2312"/>
                <w:color w:val="auto"/>
                <w:szCs w:val="24"/>
                <w:lang w:val="en-US" w:eastAsia="zh-CN"/>
              </w:rPr>
              <w:t xml:space="preserve"> </w:t>
            </w:r>
          </w:p>
          <w:p w14:paraId="2BC5FD68">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传真： /</w:t>
            </w:r>
          </w:p>
          <w:p w14:paraId="09E0BA3F">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lang w:eastAsia="zh-CN"/>
              </w:rPr>
            </w:pPr>
            <w:r>
              <w:rPr>
                <w:rFonts w:hint="eastAsia" w:ascii="仿宋_GB2312" w:hAnsi="仿宋_GB2312" w:eastAsia="仿宋_GB2312" w:cs="仿宋_GB2312"/>
                <w:color w:val="auto"/>
                <w:szCs w:val="24"/>
              </w:rPr>
              <w:t>项目联系人（询问）：</w:t>
            </w:r>
            <w:r>
              <w:rPr>
                <w:rFonts w:hint="eastAsia" w:ascii="仿宋_GB2312" w:hAnsi="仿宋_GB2312" w:eastAsia="仿宋_GB2312" w:cs="仿宋_GB2312"/>
                <w:color w:val="auto"/>
                <w:szCs w:val="24"/>
                <w:lang w:val="en-US" w:eastAsia="zh-CN"/>
              </w:rPr>
              <w:t xml:space="preserve"> </w:t>
            </w:r>
            <w:r>
              <w:rPr>
                <w:rFonts w:hint="eastAsia" w:ascii="仿宋_GB2312" w:hAnsi="仿宋_GB2312" w:eastAsia="仿宋_GB2312" w:cs="仿宋_GB2312"/>
                <w:color w:val="auto"/>
                <w:szCs w:val="24"/>
              </w:rPr>
              <w:t xml:space="preserve">刘宇鹏 </w:t>
            </w:r>
          </w:p>
          <w:p w14:paraId="1058DDAE">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lang w:eastAsia="zh-CN"/>
              </w:rPr>
            </w:pPr>
            <w:r>
              <w:rPr>
                <w:rFonts w:hint="eastAsia" w:ascii="仿宋_GB2312" w:hAnsi="仿宋_GB2312" w:eastAsia="仿宋_GB2312" w:cs="仿宋_GB2312"/>
                <w:color w:val="auto"/>
                <w:szCs w:val="24"/>
              </w:rPr>
              <w:t xml:space="preserve">项目联系方式（询问）：13173970237 </w:t>
            </w:r>
            <w:r>
              <w:rPr>
                <w:rFonts w:hint="eastAsia" w:ascii="仿宋_GB2312" w:hAnsi="仿宋_GB2312" w:eastAsia="仿宋_GB2312" w:cs="仿宋_GB2312"/>
                <w:color w:val="auto"/>
                <w:szCs w:val="24"/>
                <w:lang w:val="en-US" w:eastAsia="zh-CN"/>
              </w:rPr>
              <w:t xml:space="preserve"> </w:t>
            </w:r>
          </w:p>
          <w:p w14:paraId="05E9DAA3">
            <w:pPr>
              <w:keepNext w:val="0"/>
              <w:keepLines w:val="0"/>
              <w:suppressLineNumbers w:val="0"/>
              <w:spacing w:before="0" w:beforeAutospacing="0" w:after="0" w:afterAutospacing="0" w:line="440" w:lineRule="exact"/>
              <w:ind w:left="0" w:right="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w:t>
            </w:r>
            <w:r>
              <w:rPr>
                <w:rFonts w:hint="eastAsia" w:ascii="仿宋_GB2312" w:hAnsi="仿宋_GB2312" w:eastAsia="仿宋_GB2312" w:cs="仿宋_GB2312"/>
                <w:color w:val="auto"/>
                <w:sz w:val="24"/>
                <w:highlight w:val="none"/>
                <w:lang w:eastAsia="zh-CN"/>
              </w:rPr>
              <w:t>蒋州</w:t>
            </w:r>
            <w:r>
              <w:rPr>
                <w:rFonts w:hint="eastAsia" w:ascii="仿宋_GB2312" w:hAnsi="仿宋_GB2312" w:eastAsia="仿宋_GB2312" w:cs="仿宋_GB2312"/>
                <w:color w:val="auto"/>
                <w:sz w:val="24"/>
                <w:highlight w:val="none"/>
              </w:rPr>
              <w:t xml:space="preserve"> </w:t>
            </w:r>
          </w:p>
          <w:p w14:paraId="0921F0EB">
            <w:pPr>
              <w:keepNext w:val="0"/>
              <w:keepLines w:val="0"/>
              <w:suppressLineNumbers w:val="0"/>
              <w:spacing w:before="0" w:beforeAutospacing="0" w:after="0" w:afterAutospacing="0" w:line="440" w:lineRule="exact"/>
              <w:ind w:left="0" w:right="0"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质疑联系方式：</w:t>
            </w:r>
            <w:r>
              <w:rPr>
                <w:rFonts w:hint="eastAsia" w:ascii="仿宋_GB2312" w:hAnsi="仿宋_GB2312" w:eastAsia="仿宋_GB2312" w:cs="仿宋_GB2312"/>
                <w:color w:val="auto"/>
                <w:sz w:val="24"/>
                <w:highlight w:val="none"/>
                <w:lang w:val="en-US" w:eastAsia="zh-CN"/>
              </w:rPr>
              <w:t>13957562900</w:t>
            </w:r>
          </w:p>
          <w:p w14:paraId="27E51D45">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2.采购代理机构信息：      </w:t>
            </w:r>
          </w:p>
          <w:p w14:paraId="10056DF8">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名称：浙江建诚工程管理咨询有限公司         </w:t>
            </w:r>
          </w:p>
          <w:p w14:paraId="25D4227C">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地址：绍兴市越城区平江路龙湖大厦14楼</w:t>
            </w:r>
          </w:p>
          <w:p w14:paraId="39496D07">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传真：0575-88658182       </w:t>
            </w:r>
          </w:p>
          <w:p w14:paraId="200B1092">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项目联系人（询问）：徐丽        </w:t>
            </w:r>
          </w:p>
          <w:p w14:paraId="163371C3">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 xml:space="preserve">项目联系方式（询问）：13867506494 </w:t>
            </w:r>
          </w:p>
          <w:p w14:paraId="12CFE6E4">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质疑联系人： 徐平阳      </w:t>
            </w:r>
          </w:p>
          <w:p w14:paraId="6BEBD9DF">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质疑联系方式： 15967587170　　　　　   </w:t>
            </w:r>
          </w:p>
          <w:p w14:paraId="1D60454C">
            <w:pPr>
              <w:pStyle w:val="101"/>
              <w:keepNext w:val="0"/>
              <w:keepLines w:val="0"/>
              <w:suppressLineNumbers w:val="0"/>
              <w:spacing w:before="0" w:beforeAutospacing="0" w:after="0" w:afterLines="0" w:afterAutospacing="0" w:line="400" w:lineRule="exact"/>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3.采购监督管理部门</w:t>
            </w:r>
            <w:r>
              <w:rPr>
                <w:rFonts w:hint="eastAsia" w:ascii="仿宋_GB2312" w:hAnsi="仿宋_GB2312" w:eastAsia="仿宋_GB2312" w:cs="仿宋_GB2312"/>
                <w:b/>
                <w:color w:val="auto"/>
                <w:szCs w:val="24"/>
                <w:highlight w:val="none"/>
                <w:lang w:eastAsia="zh-CN"/>
              </w:rPr>
              <w:t>信息</w:t>
            </w:r>
            <w:r>
              <w:rPr>
                <w:rFonts w:hint="eastAsia" w:ascii="仿宋_GB2312" w:hAnsi="仿宋_GB2312" w:eastAsia="仿宋_GB2312" w:cs="仿宋_GB2312"/>
                <w:b/>
                <w:color w:val="auto"/>
                <w:szCs w:val="24"/>
                <w:highlight w:val="none"/>
              </w:rPr>
              <w:t>：      </w:t>
            </w:r>
          </w:p>
          <w:p w14:paraId="653474AA">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名称：绍兴市镜湖开发集团有限公司     </w:t>
            </w:r>
          </w:p>
          <w:p w14:paraId="4082CEF4">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地址： 绍兴市凤林西路155号</w:t>
            </w:r>
            <w:r>
              <w:rPr>
                <w:rFonts w:hint="eastAsia" w:ascii="仿宋_GB2312" w:hAnsi="仿宋_GB2312" w:eastAsia="仿宋_GB2312" w:cs="仿宋_GB2312"/>
                <w:color w:val="auto"/>
                <w:szCs w:val="24"/>
                <w:lang w:val="en-US" w:eastAsia="zh-CN"/>
              </w:rPr>
              <w:t xml:space="preserve"> </w:t>
            </w:r>
            <w:r>
              <w:rPr>
                <w:rFonts w:hint="eastAsia" w:ascii="仿宋_GB2312" w:hAnsi="仿宋_GB2312" w:eastAsia="仿宋_GB2312" w:cs="仿宋_GB2312"/>
                <w:color w:val="auto"/>
                <w:szCs w:val="24"/>
              </w:rPr>
              <w:t>    </w:t>
            </w:r>
          </w:p>
          <w:p w14:paraId="112165DB">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传真： /      </w:t>
            </w:r>
          </w:p>
          <w:p w14:paraId="7B105437">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 xml:space="preserve">联系人：单剑峰 </w:t>
            </w:r>
            <w:r>
              <w:rPr>
                <w:rFonts w:hint="eastAsia" w:ascii="仿宋_GB2312" w:hAnsi="仿宋_GB2312" w:eastAsia="仿宋_GB2312" w:cs="仿宋_GB2312"/>
                <w:color w:val="auto"/>
                <w:szCs w:val="24"/>
                <w:lang w:val="en-US" w:eastAsia="zh-CN"/>
              </w:rPr>
              <w:t xml:space="preserve"> </w:t>
            </w:r>
            <w:r>
              <w:rPr>
                <w:rFonts w:hint="eastAsia" w:ascii="仿宋_GB2312" w:hAnsi="仿宋_GB2312" w:eastAsia="仿宋_GB2312" w:cs="仿宋_GB2312"/>
                <w:color w:val="auto"/>
                <w:szCs w:val="24"/>
              </w:rPr>
              <w:t xml:space="preserve">     </w:t>
            </w:r>
          </w:p>
          <w:p w14:paraId="1D0B35FF">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监督投诉电话： 0575-89185751</w:t>
            </w:r>
          </w:p>
          <w:p w14:paraId="3B3141E5">
            <w:pPr>
              <w:pStyle w:val="101"/>
              <w:keepNext w:val="0"/>
              <w:keepLines w:val="0"/>
              <w:suppressLineNumbers w:val="0"/>
              <w:spacing w:before="0" w:beforeAutospacing="0" w:after="0" w:afterLines="0" w:afterAutospacing="0" w:line="400" w:lineRule="exact"/>
              <w:ind w:left="0" w:right="0" w:firstLine="480"/>
              <w:jc w:val="left"/>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 xml:space="preserve">  若对项目采购电子交易系统操作有疑问，可登录乐采云（https://www.lecaiyun.com/），点击右侧咨询小采，获取采小蜜智能服务管家帮助，或拨打乐采云服务热线95763获取热线服务帮助。        </w:t>
            </w:r>
          </w:p>
          <w:p w14:paraId="67739635">
            <w:pPr>
              <w:pStyle w:val="101"/>
              <w:keepNext w:val="0"/>
              <w:keepLines w:val="0"/>
              <w:suppressLineNumbers w:val="0"/>
              <w:spacing w:before="0" w:beforeAutospacing="0" w:after="0" w:afterLines="0" w:afterAutospacing="0" w:line="400" w:lineRule="exact"/>
              <w:ind w:left="0" w:right="0"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CA问题联系电话（人工）：汇信CA 400-888-4636；天谷CA 400-087-8198。</w:t>
            </w:r>
          </w:p>
        </w:tc>
      </w:tr>
    </w:tbl>
    <w:p w14:paraId="1BD4BA33">
      <w:pPr>
        <w:pageBreakBefore/>
        <w:ind w:left="238"/>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第二部分 投标须知</w:t>
      </w:r>
    </w:p>
    <w:p w14:paraId="518B0819">
      <w:pPr>
        <w:ind w:left="238"/>
        <w:jc w:val="center"/>
        <w:rPr>
          <w:rFonts w:hint="eastAsia" w:ascii="仿宋_GB2312" w:hAnsi="仿宋_GB2312" w:eastAsia="仿宋_GB2312" w:cs="仿宋_GB2312"/>
          <w:b/>
          <w:color w:val="auto"/>
          <w:sz w:val="30"/>
          <w:szCs w:val="36"/>
        </w:rPr>
      </w:pPr>
      <w:bookmarkStart w:id="0" w:name="_Hlk47616320"/>
      <w:r>
        <w:rPr>
          <w:rFonts w:hint="eastAsia" w:ascii="仿宋_GB2312" w:hAnsi="仿宋_GB2312" w:eastAsia="仿宋_GB2312" w:cs="仿宋_GB2312"/>
          <w:b/>
          <w:color w:val="auto"/>
          <w:sz w:val="30"/>
          <w:szCs w:val="36"/>
        </w:rPr>
        <w:t>前附表</w:t>
      </w:r>
    </w:p>
    <w:tbl>
      <w:tblPr>
        <w:tblStyle w:val="6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32"/>
        <w:gridCol w:w="7038"/>
      </w:tblGrid>
      <w:tr w14:paraId="77A3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7D7C569">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8370" w:type="dxa"/>
            <w:gridSpan w:val="2"/>
            <w:vAlign w:val="center"/>
          </w:tcPr>
          <w:p w14:paraId="760A5151">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内　　　　容</w:t>
            </w:r>
          </w:p>
        </w:tc>
      </w:tr>
      <w:tr w14:paraId="75BF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0E31092">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8370" w:type="dxa"/>
            <w:gridSpan w:val="2"/>
            <w:vAlign w:val="center"/>
          </w:tcPr>
          <w:p w14:paraId="5208984C">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14:paraId="7A3615C9">
            <w:pPr>
              <w:keepNext w:val="0"/>
              <w:keepLines w:val="0"/>
              <w:suppressLineNumbers w:val="0"/>
              <w:spacing w:before="0" w:beforeAutospacing="0" w:after="0" w:afterAutospacing="0" w:line="400" w:lineRule="exact"/>
              <w:ind w:left="0" w:right="0" w:firstLine="480" w:firstLineChars="200"/>
              <w:rPr>
                <w:rFonts w:hint="eastAsia" w:ascii="仿宋_GB2312" w:hAnsi="仿宋_GB2312" w:eastAsia="仿宋_GB2312" w:cs="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735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D7F02DC">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8370" w:type="dxa"/>
            <w:gridSpan w:val="2"/>
            <w:vAlign w:val="center"/>
          </w:tcPr>
          <w:p w14:paraId="356C1837">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14:paraId="0570B785">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14:paraId="255FEA42">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26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127F092">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8370" w:type="dxa"/>
            <w:gridSpan w:val="2"/>
            <w:vAlign w:val="center"/>
          </w:tcPr>
          <w:p w14:paraId="06A717CC">
            <w:pPr>
              <w:keepNext w:val="0"/>
              <w:keepLines w:val="0"/>
              <w:suppressLineNumbers w:val="0"/>
              <w:autoSpaceDE w:val="0"/>
              <w:autoSpaceDN w:val="0"/>
              <w:spacing w:before="0" w:beforeAutospacing="0" w:after="0" w:afterAutospacing="0" w:line="400" w:lineRule="exact"/>
              <w:ind w:left="0" w:right="0"/>
              <w:textAlignment w:val="bottom"/>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投标有效期：</w:t>
            </w:r>
            <w:r>
              <w:rPr>
                <w:rFonts w:hint="eastAsia" w:ascii="仿宋_GB2312" w:hAnsi="仿宋_GB2312" w:eastAsia="仿宋_GB2312" w:cs="仿宋_GB2312"/>
                <w:color w:val="auto"/>
                <w:sz w:val="24"/>
              </w:rPr>
              <w:t>投标有效期为从提交投标文件的截止之日起90天。</w:t>
            </w:r>
            <w:r>
              <w:rPr>
                <w:rFonts w:hint="eastAsia" w:ascii="仿宋_GB2312" w:hAnsi="仿宋_GB2312" w:eastAsia="仿宋_GB2312" w:cs="仿宋_GB2312"/>
                <w:b/>
                <w:color w:val="auto"/>
                <w:sz w:val="24"/>
              </w:rPr>
              <w:t>投标人的投标文件中承</w:t>
            </w:r>
            <w:r>
              <w:rPr>
                <w:rFonts w:hint="eastAsia" w:ascii="仿宋_GB2312" w:hAnsi="仿宋_GB2312" w:eastAsia="仿宋_GB2312" w:cs="仿宋_GB2312"/>
                <w:b/>
                <w:color w:val="auto"/>
                <w:sz w:val="24"/>
                <w:szCs w:val="21"/>
              </w:rPr>
              <w:t>诺的投标有效期少于招标文件中载明的投标有效期的，投标无效。</w:t>
            </w:r>
          </w:p>
        </w:tc>
      </w:tr>
      <w:tr w14:paraId="5B6F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CEA1858">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8370" w:type="dxa"/>
            <w:gridSpan w:val="2"/>
            <w:vAlign w:val="center"/>
          </w:tcPr>
          <w:p w14:paraId="44C98596">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转包：</w:t>
            </w:r>
            <w:r>
              <w:rPr>
                <w:rFonts w:hint="eastAsia" w:ascii="仿宋_GB2312" w:hAnsi="仿宋_GB2312" w:eastAsia="仿宋_GB2312" w:cs="仿宋_GB2312"/>
                <w:color w:val="auto"/>
                <w:sz w:val="24"/>
              </w:rPr>
              <w:t>本项目不得转包。</w:t>
            </w:r>
          </w:p>
        </w:tc>
      </w:tr>
      <w:tr w14:paraId="6589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A5FB03D">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8370" w:type="dxa"/>
            <w:gridSpan w:val="2"/>
            <w:vAlign w:val="center"/>
          </w:tcPr>
          <w:p w14:paraId="7E69AFBC">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分包：</w:t>
            </w:r>
            <w:r>
              <w:rPr>
                <w:rFonts w:hint="eastAsia" w:ascii="仿宋_GB2312" w:hAnsi="仿宋_GB2312" w:eastAsia="仿宋_GB2312" w:cs="仿宋_GB2312"/>
                <w:color w:val="auto"/>
                <w:kern w:val="0"/>
                <w:sz w:val="24"/>
              </w:rPr>
              <w:t>☐A</w:t>
            </w:r>
            <w:r>
              <w:rPr>
                <w:rFonts w:hint="eastAsia" w:ascii="仿宋_GB2312" w:hAnsi="仿宋_GB2312" w:eastAsia="仿宋_GB2312" w:cs="仿宋_GB2312"/>
                <w:color w:val="auto"/>
                <w:sz w:val="24"/>
              </w:rPr>
              <w:t>同意将非主体、非关键性的工作分包。</w:t>
            </w:r>
          </w:p>
          <w:p w14:paraId="48519931">
            <w:pPr>
              <w:keepNext w:val="0"/>
              <w:keepLines w:val="0"/>
              <w:suppressLineNumbers w:val="0"/>
              <w:spacing w:before="0" w:beforeAutospacing="0" w:after="0" w:afterAutospacing="0" w:line="400" w:lineRule="exact"/>
              <w:ind w:left="0" w:right="0" w:firstLine="720" w:firstLineChars="300"/>
              <w:rPr>
                <w:rFonts w:hint="eastAsia" w:ascii="仿宋_GB2312" w:hAnsi="仿宋_GB2312" w:eastAsia="仿宋_GB2312" w:cs="仿宋_GB2312"/>
                <w:b/>
                <w:color w:val="auto"/>
                <w:sz w:val="24"/>
              </w:rPr>
            </w:pPr>
            <w:r>
              <w:rPr>
                <w:rFonts w:hint="eastAsia" w:ascii="仿宋_GB2312" w:hAnsi="仿宋_GB2312" w:eastAsia="仿宋_GB2312" w:cs="仿宋_GB2312"/>
                <w:color w:val="auto"/>
                <w:kern w:val="0"/>
                <w:sz w:val="24"/>
              </w:rPr>
              <w:sym w:font="Wingdings" w:char="F0FE"/>
            </w:r>
            <w:r>
              <w:rPr>
                <w:rFonts w:hint="eastAsia" w:ascii="仿宋_GB2312" w:hAnsi="仿宋_GB2312" w:eastAsia="仿宋_GB2312" w:cs="仿宋_GB2312"/>
                <w:color w:val="auto"/>
                <w:kern w:val="0"/>
                <w:sz w:val="24"/>
              </w:rPr>
              <w:t>B</w:t>
            </w:r>
            <w:r>
              <w:rPr>
                <w:rFonts w:hint="eastAsia" w:ascii="仿宋_GB2312" w:hAnsi="仿宋_GB2312" w:eastAsia="仿宋_GB2312" w:cs="仿宋_GB2312"/>
                <w:color w:val="auto"/>
                <w:sz w:val="24"/>
              </w:rPr>
              <w:t>不同意分包。</w:t>
            </w:r>
          </w:p>
        </w:tc>
      </w:tr>
      <w:tr w14:paraId="2190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8584D4E">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8370" w:type="dxa"/>
            <w:gridSpan w:val="2"/>
            <w:vAlign w:val="center"/>
          </w:tcPr>
          <w:p w14:paraId="51AC8428">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投标文件份数：</w:t>
            </w:r>
            <w:r>
              <w:rPr>
                <w:rFonts w:hint="eastAsia" w:ascii="仿宋_GB2312" w:hAnsi="仿宋_GB2312" w:eastAsia="仿宋_GB2312" w:cs="仿宋_GB2312"/>
                <w:color w:val="auto"/>
                <w:sz w:val="24"/>
              </w:rPr>
              <w:t>本项目实行网上投标，供应商于“乐采云”上提供电子投标文件。</w:t>
            </w:r>
          </w:p>
        </w:tc>
      </w:tr>
      <w:tr w14:paraId="201D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0EBBC14">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8370" w:type="dxa"/>
            <w:gridSpan w:val="2"/>
            <w:vAlign w:val="center"/>
          </w:tcPr>
          <w:p w14:paraId="488E2369">
            <w:pPr>
              <w:keepNext w:val="0"/>
              <w:keepLines w:val="0"/>
              <w:suppressLineNumbers w:val="0"/>
              <w:autoSpaceDE w:val="0"/>
              <w:autoSpaceDN w:val="0"/>
              <w:spacing w:before="0" w:beforeAutospacing="0" w:after="0" w:afterAutospacing="0" w:line="400" w:lineRule="exact"/>
              <w:ind w:left="0" w:right="0"/>
              <w:textAlignment w:val="bottom"/>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开标前答疑会或现场考察：</w:t>
            </w:r>
          </w:p>
          <w:p w14:paraId="2A0105BD">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sdt>
              <w:sdtPr>
                <w:rPr>
                  <w:rFonts w:hint="eastAsia" w:ascii="仿宋_GB2312" w:hAnsi="仿宋_GB2312" w:eastAsia="仿宋_GB2312" w:cs="仿宋_GB2312"/>
                  <w:color w:val="auto"/>
                  <w:kern w:val="0"/>
                  <w:sz w:val="24"/>
                </w:rPr>
                <w:id w:val="109"/>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sym w:font="Wingdings" w:char="00FE"/>
                </w:r>
              </w:sdtContent>
            </w:sdt>
            <w:r>
              <w:rPr>
                <w:rFonts w:hint="eastAsia" w:ascii="仿宋_GB2312" w:hAnsi="仿宋_GB2312" w:eastAsia="仿宋_GB2312" w:cs="仿宋_GB2312"/>
                <w:color w:val="auto"/>
                <w:kern w:val="0"/>
                <w:sz w:val="24"/>
              </w:rPr>
              <w:t>A</w:t>
            </w:r>
            <w:r>
              <w:rPr>
                <w:rFonts w:hint="eastAsia" w:ascii="仿宋_GB2312" w:hAnsi="仿宋_GB2312" w:eastAsia="仿宋_GB2312" w:cs="仿宋_GB2312"/>
                <w:color w:val="auto"/>
                <w:sz w:val="24"/>
              </w:rPr>
              <w:t>不组织。</w:t>
            </w:r>
          </w:p>
          <w:p w14:paraId="15323A43">
            <w:pPr>
              <w:keepNext w:val="0"/>
              <w:keepLines w:val="0"/>
              <w:suppressLineNumbers w:val="0"/>
              <w:autoSpaceDE w:val="0"/>
              <w:autoSpaceDN w:val="0"/>
              <w:spacing w:before="0" w:beforeAutospacing="0" w:after="0" w:afterAutospacing="0" w:line="400" w:lineRule="exact"/>
              <w:ind w:left="0" w:right="0"/>
              <w:textAlignment w:val="bottom"/>
              <w:rPr>
                <w:rFonts w:hint="eastAsia" w:ascii="仿宋_GB2312" w:hAnsi="仿宋_GB2312" w:eastAsia="仿宋_GB2312" w:cs="仿宋_GB2312"/>
                <w:b/>
                <w:color w:val="auto"/>
                <w:sz w:val="24"/>
              </w:rPr>
            </w:pPr>
            <w:sdt>
              <w:sdtPr>
                <w:rPr>
                  <w:rFonts w:hint="eastAsia" w:ascii="仿宋_GB2312" w:hAnsi="仿宋_GB2312" w:eastAsia="仿宋_GB2312" w:cs="仿宋_GB2312"/>
                  <w:color w:val="auto"/>
                  <w:kern w:val="0"/>
                  <w:sz w:val="24"/>
                </w:rPr>
                <w:id w:val="110"/>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r>
              <w:rPr>
                <w:rFonts w:hint="eastAsia" w:ascii="仿宋_GB2312" w:hAnsi="仿宋_GB2312" w:eastAsia="仿宋_GB2312" w:cs="仿宋_GB2312"/>
                <w:color w:val="auto"/>
                <w:kern w:val="0"/>
                <w:sz w:val="24"/>
              </w:rPr>
              <w:t>B组织，</w:t>
            </w:r>
            <w:r>
              <w:rPr>
                <w:rFonts w:hint="eastAsia" w:ascii="仿宋_GB2312" w:hAnsi="仿宋_GB2312" w:eastAsia="仿宋_GB2312" w:cs="仿宋_GB2312"/>
                <w:color w:val="auto"/>
                <w:sz w:val="24"/>
              </w:rPr>
              <w:t>时间：,地点：，联系人：，联系方式：</w:t>
            </w:r>
            <w:r>
              <w:rPr>
                <w:rFonts w:hint="eastAsia" w:ascii="仿宋_GB2312" w:hAnsi="仿宋_GB2312" w:eastAsia="仿宋_GB2312" w:cs="仿宋_GB2312"/>
                <w:color w:val="auto"/>
                <w:sz w:val="24"/>
                <w:szCs w:val="20"/>
              </w:rPr>
              <w:t>。</w:t>
            </w:r>
          </w:p>
        </w:tc>
      </w:tr>
      <w:tr w14:paraId="6DBA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6C7D466">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8370" w:type="dxa"/>
            <w:gridSpan w:val="2"/>
            <w:vAlign w:val="center"/>
          </w:tcPr>
          <w:p w14:paraId="3A98D649">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样品提供：</w:t>
            </w:r>
          </w:p>
          <w:p w14:paraId="5BF3E89D">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sdt>
              <w:sdtPr>
                <w:rPr>
                  <w:rFonts w:hint="eastAsia" w:ascii="仿宋_GB2312" w:hAnsi="仿宋_GB2312" w:eastAsia="仿宋_GB2312" w:cs="仿宋_GB2312"/>
                  <w:color w:val="auto"/>
                  <w:kern w:val="0"/>
                  <w:sz w:val="24"/>
                </w:rPr>
                <w:id w:val="111"/>
              </w:sdtPr>
              <w:sdtEndPr>
                <w:rPr>
                  <w:rFonts w:hint="eastAsia" w:ascii="仿宋_GB2312" w:hAnsi="仿宋_GB2312" w:eastAsia="仿宋_GB2312" w:cs="仿宋_GB2312"/>
                  <w:color w:val="auto"/>
                  <w:kern w:val="0"/>
                  <w:sz w:val="24"/>
                </w:rPr>
              </w:sdtEndPr>
              <w:sdtContent>
                <w:sdt>
                  <w:sdtPr>
                    <w:rPr>
                      <w:rFonts w:hint="eastAsia" w:ascii="仿宋_GB2312" w:hAnsi="仿宋_GB2312" w:eastAsia="仿宋_GB2312" w:cs="仿宋_GB2312"/>
                      <w:color w:val="auto"/>
                      <w:kern w:val="0"/>
                      <w:sz w:val="24"/>
                    </w:rPr>
                    <w:id w:val="253497085"/>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sym w:font="Wingdings" w:char="00A8"/>
                    </w:r>
                  </w:sdtContent>
                </w:sdt>
              </w:sdtContent>
            </w:sdt>
            <w:r>
              <w:rPr>
                <w:rFonts w:hint="eastAsia" w:ascii="仿宋_GB2312" w:hAnsi="仿宋_GB2312" w:eastAsia="仿宋_GB2312" w:cs="仿宋_GB2312"/>
                <w:color w:val="auto"/>
                <w:kern w:val="0"/>
                <w:sz w:val="24"/>
              </w:rPr>
              <w:t>A</w:t>
            </w:r>
            <w:r>
              <w:rPr>
                <w:rFonts w:hint="eastAsia" w:ascii="仿宋_GB2312" w:hAnsi="仿宋_GB2312" w:eastAsia="仿宋_GB2312" w:cs="仿宋_GB2312"/>
                <w:color w:val="auto"/>
                <w:sz w:val="24"/>
              </w:rPr>
              <w:t>不要求提供。</w:t>
            </w:r>
          </w:p>
          <w:p w14:paraId="7875AE0F">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kern w:val="0"/>
                <w:sz w:val="24"/>
              </w:rPr>
            </w:pPr>
            <w:sdt>
              <w:sdtPr>
                <w:rPr>
                  <w:rFonts w:hint="eastAsia" w:ascii="仿宋_GB2312" w:hAnsi="仿宋_GB2312" w:eastAsia="仿宋_GB2312" w:cs="仿宋_GB2312"/>
                  <w:color w:val="auto"/>
                  <w:kern w:val="0"/>
                  <w:sz w:val="24"/>
                </w:rPr>
                <w:id w:val="1026831988"/>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lang w:eastAsia="zh-CN"/>
                  </w:rPr>
                  <w:t>☑</w:t>
                </w:r>
              </w:sdtContent>
            </w:sdt>
            <w:r>
              <w:rPr>
                <w:rFonts w:hint="eastAsia" w:ascii="仿宋_GB2312" w:hAnsi="仿宋_GB2312" w:eastAsia="仿宋_GB2312" w:cs="仿宋_GB2312"/>
                <w:color w:val="auto"/>
                <w:kern w:val="0"/>
                <w:sz w:val="24"/>
              </w:rPr>
              <w:t>B要求提供，</w:t>
            </w:r>
          </w:p>
          <w:p w14:paraId="02F32397">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snapToGrid w:val="0"/>
                <w:color w:val="auto"/>
                <w:kern w:val="28"/>
                <w:sz w:val="24"/>
              </w:rPr>
              <w:t>样品：</w:t>
            </w:r>
            <w:r>
              <w:rPr>
                <w:rFonts w:hint="eastAsia" w:ascii="仿宋_GB2312" w:hAnsi="仿宋_GB2312" w:eastAsia="仿宋_GB2312" w:cs="仿宋_GB2312"/>
                <w:snapToGrid w:val="0"/>
                <w:color w:val="auto"/>
                <w:kern w:val="28"/>
                <w:sz w:val="24"/>
                <w:u w:val="single"/>
              </w:rPr>
              <w:t>采购清单序号66的折叠椅，一把</w:t>
            </w:r>
            <w:r>
              <w:rPr>
                <w:rFonts w:hint="eastAsia" w:ascii="仿宋_GB2312" w:hAnsi="仿宋_GB2312" w:eastAsia="仿宋_GB2312" w:cs="仿宋_GB2312"/>
                <w:snapToGrid w:val="0"/>
                <w:color w:val="auto"/>
                <w:kern w:val="28"/>
                <w:sz w:val="24"/>
                <w:u w:val="single"/>
                <w:lang w:eastAsia="zh-CN"/>
              </w:rPr>
              <w:t>；</w:t>
            </w:r>
            <w:r>
              <w:rPr>
                <w:rFonts w:hint="eastAsia" w:ascii="仿宋_GB2312" w:hAnsi="仿宋_GB2312" w:eastAsia="仿宋_GB2312" w:cs="仿宋_GB2312"/>
                <w:snapToGrid w:val="0"/>
                <w:color w:val="auto"/>
                <w:kern w:val="28"/>
                <w:sz w:val="24"/>
                <w:u w:val="single"/>
              </w:rPr>
              <w:t>采购清单序号85的课桌2，一张</w:t>
            </w:r>
            <w:r>
              <w:rPr>
                <w:rFonts w:hint="eastAsia" w:ascii="仿宋_GB2312" w:hAnsi="仿宋_GB2312" w:eastAsia="仿宋_GB2312" w:cs="仿宋_GB2312"/>
                <w:snapToGrid w:val="0"/>
                <w:color w:val="auto"/>
                <w:kern w:val="28"/>
                <w:sz w:val="24"/>
                <w:u w:val="single"/>
                <w:lang w:eastAsia="zh-CN"/>
              </w:rPr>
              <w:t>；</w:t>
            </w:r>
            <w:r>
              <w:rPr>
                <w:rFonts w:hint="eastAsia" w:ascii="仿宋_GB2312" w:hAnsi="仿宋_GB2312" w:eastAsia="仿宋_GB2312" w:cs="仿宋_GB2312"/>
                <w:snapToGrid w:val="0"/>
                <w:color w:val="auto"/>
                <w:kern w:val="28"/>
                <w:sz w:val="24"/>
                <w:u w:val="single"/>
              </w:rPr>
              <w:t>采购清单序号89的课椅1，一把；</w:t>
            </w:r>
          </w:p>
          <w:p w14:paraId="3B66C122">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snapToGrid w:val="0"/>
                <w:color w:val="auto"/>
                <w:kern w:val="28"/>
                <w:sz w:val="24"/>
                <w:highlight w:val="none"/>
                <w:u w:val="single"/>
              </w:rPr>
              <w:t>详见采购需求</w:t>
            </w:r>
            <w:r>
              <w:rPr>
                <w:rFonts w:hint="eastAsia" w:ascii="仿宋_GB2312" w:hAnsi="仿宋_GB2312" w:eastAsia="仿宋_GB2312" w:cs="仿宋_GB2312"/>
                <w:snapToGrid w:val="0"/>
                <w:color w:val="auto"/>
                <w:kern w:val="28"/>
                <w:sz w:val="24"/>
                <w:highlight w:val="none"/>
                <w:u w:val="single"/>
                <w:lang w:val="en-US" w:eastAsia="zh-CN"/>
              </w:rPr>
              <w:t xml:space="preserve"> </w:t>
            </w:r>
            <w:r>
              <w:rPr>
                <w:rFonts w:hint="eastAsia" w:ascii="仿宋_GB2312" w:hAnsi="仿宋_GB2312" w:eastAsia="仿宋_GB2312" w:cs="仿宋_GB2312"/>
                <w:snapToGrid w:val="0"/>
                <w:color w:val="auto"/>
                <w:kern w:val="28"/>
                <w:sz w:val="24"/>
                <w:highlight w:val="none"/>
                <w:u w:val="single"/>
              </w:rPr>
              <w:t>；</w:t>
            </w:r>
          </w:p>
          <w:p w14:paraId="7D80EC25">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（3）样品的评审方法以及评审标准</w:t>
            </w:r>
            <w:r>
              <w:rPr>
                <w:rFonts w:hint="eastAsia" w:ascii="仿宋_GB2312" w:hAnsi="仿宋_GB2312" w:eastAsia="仿宋_GB2312" w:cs="仿宋_GB2312"/>
                <w:snapToGrid w:val="0"/>
                <w:color w:val="auto"/>
                <w:kern w:val="28"/>
                <w:sz w:val="24"/>
              </w:rPr>
              <w:t>：详见</w:t>
            </w:r>
            <w:r>
              <w:rPr>
                <w:rFonts w:hint="eastAsia" w:ascii="仿宋_GB2312" w:hAnsi="仿宋_GB2312" w:eastAsia="仿宋_GB2312" w:cs="仿宋_GB2312"/>
                <w:color w:val="auto"/>
                <w:sz w:val="24"/>
                <w:u w:val="single"/>
              </w:rPr>
              <w:t xml:space="preserve">评标办法   </w:t>
            </w:r>
            <w:r>
              <w:rPr>
                <w:rFonts w:hint="eastAsia" w:ascii="仿宋_GB2312" w:hAnsi="仿宋_GB2312" w:eastAsia="仿宋_GB2312" w:cs="仿宋_GB2312"/>
                <w:color w:val="auto"/>
                <w:kern w:val="0"/>
                <w:sz w:val="24"/>
              </w:rPr>
              <w:t>；</w:t>
            </w:r>
          </w:p>
          <w:p w14:paraId="48215CC5">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（4）是否需要随样品提交检测报告：</w:t>
            </w:r>
            <w:sdt>
              <w:sdtPr>
                <w:rPr>
                  <w:rFonts w:hint="eastAsia" w:ascii="仿宋_GB2312" w:hAnsi="仿宋_GB2312" w:eastAsia="仿宋_GB2312" w:cs="仿宋_GB2312"/>
                  <w:color w:val="auto"/>
                  <w:kern w:val="0"/>
                  <w:sz w:val="24"/>
                </w:rPr>
                <w:id w:val="1303421454"/>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lang w:eastAsia="zh-CN"/>
                  </w:rPr>
                  <w:t>☑</w:t>
                </w:r>
              </w:sdtContent>
            </w:sdt>
            <w:r>
              <w:rPr>
                <w:rFonts w:hint="eastAsia" w:ascii="仿宋_GB2312" w:hAnsi="仿宋_GB2312" w:eastAsia="仿宋_GB2312" w:cs="仿宋_GB2312"/>
                <w:color w:val="auto"/>
                <w:kern w:val="0"/>
                <w:sz w:val="24"/>
              </w:rPr>
              <w:t>否；</w:t>
            </w:r>
            <w:sdt>
              <w:sdtPr>
                <w:rPr>
                  <w:rFonts w:hint="eastAsia" w:ascii="仿宋_GB2312" w:hAnsi="仿宋_GB2312" w:eastAsia="仿宋_GB2312" w:cs="仿宋_GB2312"/>
                  <w:color w:val="auto"/>
                  <w:kern w:val="0"/>
                  <w:sz w:val="24"/>
                </w:rPr>
                <w:id w:val="1621728433"/>
              </w:sdtPr>
              <w:sdtEndPr>
                <w:rPr>
                  <w:rFonts w:hint="eastAsia" w:ascii="仿宋_GB2312" w:hAnsi="仿宋_GB2312" w:eastAsia="仿宋_GB2312" w:cs="仿宋_GB2312"/>
                  <w:color w:val="auto"/>
                  <w:kern w:val="0"/>
                  <w:sz w:val="24"/>
                </w:rPr>
              </w:sdtEndPr>
              <w:sdtContent>
                <w:sdt>
                  <w:sdtPr>
                    <w:rPr>
                      <w:rFonts w:hint="eastAsia" w:ascii="仿宋_GB2312" w:hAnsi="仿宋_GB2312" w:eastAsia="仿宋_GB2312" w:cs="仿宋_GB2312"/>
                      <w:color w:val="auto"/>
                      <w:kern w:val="0"/>
                      <w:sz w:val="24"/>
                    </w:rPr>
                    <w:id w:val="1414742328"/>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sdtContent>
            </w:sdt>
            <w:r>
              <w:rPr>
                <w:rFonts w:hint="eastAsia" w:ascii="仿宋_GB2312" w:hAnsi="仿宋_GB2312" w:eastAsia="仿宋_GB2312" w:cs="仿宋_GB2312"/>
                <w:color w:val="auto"/>
                <w:kern w:val="0"/>
                <w:sz w:val="24"/>
              </w:rPr>
              <w:t>是，检测机构的要求</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u w:val="single"/>
                <w:lang w:val="en-US" w:eastAsia="zh-CN"/>
              </w:rPr>
              <w:t xml:space="preserve"> /  </w:t>
            </w:r>
            <w:r>
              <w:rPr>
                <w:rFonts w:hint="eastAsia" w:ascii="仿宋_GB2312" w:hAnsi="仿宋_GB2312" w:eastAsia="仿宋_GB2312" w:cs="仿宋_GB2312"/>
                <w:color w:val="auto"/>
                <w:kern w:val="0"/>
                <w:sz w:val="24"/>
              </w:rPr>
              <w:t>；检测内容</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u w:val="single"/>
                <w:lang w:val="en-US" w:eastAsia="zh-CN"/>
              </w:rPr>
              <w:t xml:space="preserve"> /  </w:t>
            </w:r>
            <w:r>
              <w:rPr>
                <w:rFonts w:hint="eastAsia" w:ascii="仿宋_GB2312" w:hAnsi="仿宋_GB2312" w:eastAsia="仿宋_GB2312" w:cs="仿宋_GB2312"/>
                <w:color w:val="auto"/>
                <w:kern w:val="0"/>
                <w:sz w:val="24"/>
              </w:rPr>
              <w:t>。</w:t>
            </w:r>
          </w:p>
          <w:p w14:paraId="65375644">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lang w:val="en-US" w:eastAsia="zh-CN"/>
              </w:rPr>
              <w:t xml:space="preserve"> 开标当天，开标截止时间前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绍兴市公共资源交易中心</w:t>
            </w:r>
            <w:r>
              <w:rPr>
                <w:rFonts w:hint="eastAsia" w:ascii="仿宋_GB2312" w:hAnsi="仿宋_GB2312" w:eastAsia="仿宋_GB2312" w:cs="仿宋_GB2312"/>
                <w:color w:val="auto"/>
                <w:sz w:val="24"/>
                <w:highlight w:val="none"/>
                <w:u w:val="single"/>
                <w:lang w:val="en-US" w:eastAsia="zh-CN"/>
              </w:rPr>
              <w:t>4</w:t>
            </w:r>
            <w:r>
              <w:rPr>
                <w:rFonts w:hint="eastAsia" w:ascii="仿宋_GB2312" w:hAnsi="仿宋_GB2312" w:eastAsia="仿宋_GB2312" w:cs="仿宋_GB2312"/>
                <w:color w:val="auto"/>
                <w:sz w:val="24"/>
                <w:highlight w:val="none"/>
                <w:u w:val="single"/>
              </w:rPr>
              <w:t>楼</w:t>
            </w:r>
            <w:r>
              <w:rPr>
                <w:rFonts w:hint="eastAsia" w:ascii="仿宋_GB2312" w:hAnsi="仿宋_GB2312" w:eastAsia="仿宋_GB2312" w:cs="仿宋_GB2312"/>
                <w:color w:val="auto"/>
                <w:sz w:val="24"/>
                <w:highlight w:val="none"/>
                <w:u w:val="single"/>
                <w:lang w:val="en-US" w:eastAsia="zh-CN"/>
              </w:rPr>
              <w:t>423开标</w:t>
            </w:r>
            <w:r>
              <w:rPr>
                <w:rFonts w:hint="eastAsia" w:ascii="仿宋_GB2312" w:hAnsi="仿宋_GB2312" w:eastAsia="仿宋_GB2312" w:cs="仿宋_GB2312"/>
                <w:color w:val="auto"/>
                <w:sz w:val="24"/>
                <w:highlight w:val="none"/>
                <w:u w:val="single"/>
              </w:rPr>
              <w:t>室</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lang w:eastAsia="zh-CN"/>
              </w:rPr>
              <w:t>徐丽</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kern w:val="28"/>
                <w:sz w:val="24"/>
                <w:highlight w:val="none"/>
                <w:u w:val="single"/>
              </w:rPr>
              <w:t>：</w:t>
            </w:r>
            <w:r>
              <w:rPr>
                <w:rFonts w:hint="eastAsia" w:ascii="仿宋_GB2312" w:hAnsi="仿宋_GB2312" w:eastAsia="仿宋_GB2312" w:cs="仿宋_GB2312"/>
                <w:color w:val="auto"/>
                <w:kern w:val="28"/>
                <w:sz w:val="24"/>
                <w:highlight w:val="none"/>
                <w:u w:val="single"/>
                <w:lang w:val="en-US" w:eastAsia="zh-CN"/>
              </w:rPr>
              <w:t>13867506494</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6C820CA8">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0F2D3C9">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仿宋_GB2312" w:hAnsi="仿宋_GB2312" w:eastAsia="仿宋_GB2312" w:cs="仿宋_GB2312"/>
                <w:b/>
                <w:color w:val="auto"/>
                <w:sz w:val="24"/>
              </w:rPr>
            </w:pPr>
            <w:r>
              <w:rPr>
                <w:rFonts w:hint="eastAsia" w:ascii="仿宋_GB2312" w:hAnsi="仿宋_GB2312" w:eastAsia="仿宋_GB2312" w:cs="仿宋_GB2312"/>
                <w:color w:val="auto"/>
                <w:sz w:val="24"/>
              </w:rPr>
              <w:t>（7）制作、运输、安装和保管样品所发生的一切费用由投标人自理。</w:t>
            </w:r>
          </w:p>
        </w:tc>
      </w:tr>
      <w:tr w14:paraId="7C67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8274E60">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8370" w:type="dxa"/>
            <w:gridSpan w:val="2"/>
            <w:vAlign w:val="center"/>
          </w:tcPr>
          <w:p w14:paraId="3AC301E9">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方案讲解演示：</w:t>
            </w:r>
          </w:p>
          <w:p w14:paraId="60D68268">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sdt>
              <w:sdtPr>
                <w:rPr>
                  <w:rFonts w:hint="eastAsia" w:ascii="仿宋_GB2312" w:hAnsi="仿宋_GB2312" w:eastAsia="仿宋_GB2312" w:cs="仿宋_GB2312"/>
                  <w:color w:val="auto"/>
                  <w:kern w:val="0"/>
                  <w:sz w:val="24"/>
                </w:rPr>
                <w:id w:val="801731539"/>
              </w:sdtPr>
              <w:sdtEndPr>
                <w:rPr>
                  <w:rFonts w:hint="eastAsia" w:ascii="仿宋_GB2312" w:hAnsi="仿宋_GB2312" w:eastAsia="仿宋_GB2312" w:cs="仿宋_GB2312"/>
                  <w:color w:val="auto"/>
                  <w:kern w:val="0"/>
                  <w:sz w:val="24"/>
                </w:rPr>
              </w:sdtEndPr>
              <w:sdtContent>
                <w:sdt>
                  <w:sdtPr>
                    <w:rPr>
                      <w:rFonts w:hint="eastAsia" w:ascii="仿宋_GB2312" w:hAnsi="仿宋_GB2312" w:eastAsia="仿宋_GB2312" w:cs="仿宋_GB2312"/>
                      <w:color w:val="auto"/>
                      <w:kern w:val="0"/>
                      <w:sz w:val="24"/>
                    </w:rPr>
                    <w:id w:val="118"/>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sym w:font="Wingdings" w:char="00FE"/>
                    </w:r>
                  </w:sdtContent>
                </w:sdt>
              </w:sdtContent>
            </w:sdt>
            <w:r>
              <w:rPr>
                <w:rFonts w:hint="eastAsia" w:ascii="仿宋_GB2312" w:hAnsi="仿宋_GB2312" w:eastAsia="仿宋_GB2312" w:cs="仿宋_GB2312"/>
                <w:color w:val="auto"/>
                <w:kern w:val="0"/>
                <w:sz w:val="24"/>
              </w:rPr>
              <w:t>A</w:t>
            </w:r>
            <w:r>
              <w:rPr>
                <w:rFonts w:hint="eastAsia" w:ascii="仿宋_GB2312" w:hAnsi="仿宋_GB2312" w:eastAsia="仿宋_GB2312" w:cs="仿宋_GB2312"/>
                <w:color w:val="auto"/>
                <w:sz w:val="24"/>
              </w:rPr>
              <w:t>无方案讲解演示。</w:t>
            </w:r>
          </w:p>
          <w:p w14:paraId="28AD3EC2">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B有方案讲解演示：</w:t>
            </w:r>
          </w:p>
          <w:p w14:paraId="3B54529A">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lang w:val="zh-CN"/>
              </w:rPr>
              <w:t>15</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14:paraId="6BD808E5">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14:paraId="72B74DBB">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highlight w:val="none"/>
                <w:lang w:val="zh-CN"/>
              </w:rPr>
            </w:pPr>
            <w:sdt>
              <w:sdtPr>
                <w:rPr>
                  <w:rFonts w:hint="eastAsia" w:ascii="仿宋_GB2312" w:hAnsi="仿宋_GB2312" w:eastAsia="仿宋_GB2312" w:cs="仿宋_GB2312"/>
                  <w:color w:val="auto"/>
                  <w:kern w:val="0"/>
                  <w:sz w:val="24"/>
                  <w:highlight w:val="none"/>
                </w:rPr>
                <w:id w:val="91445939"/>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sz w:val="24"/>
                    <w:highlight w:val="none"/>
                    <w:lang w:eastAsia="zh-CN"/>
                  </w:rPr>
                  <w:t>□</w:t>
                </w:r>
              </w:sdtContent>
            </w:sdt>
            <w:r>
              <w:rPr>
                <w:rFonts w:hint="eastAsia" w:ascii="仿宋_GB2312" w:hAnsi="仿宋_GB2312" w:eastAsia="仿宋_GB2312" w:cs="仿宋_GB2312"/>
                <w:color w:val="auto"/>
                <w:sz w:val="24"/>
                <w:highlight w:val="none"/>
                <w:lang w:val="zh-CN"/>
              </w:rPr>
              <w:t>方式一：</w:t>
            </w:r>
            <w:r>
              <w:rPr>
                <w:rFonts w:hint="eastAsia" w:ascii="仿宋_GB2312" w:hAnsi="仿宋_GB2312" w:eastAsia="仿宋_GB2312" w:cs="仿宋_GB2312"/>
                <w:color w:val="auto"/>
                <w:sz w:val="24"/>
                <w:highlight w:val="none"/>
              </w:rPr>
              <w:t>乐</w:t>
            </w:r>
            <w:r>
              <w:rPr>
                <w:rFonts w:hint="eastAsia" w:ascii="仿宋_GB2312" w:hAnsi="仿宋_GB2312" w:eastAsia="仿宋_GB2312" w:cs="仿宋_GB2312"/>
                <w:color w:val="auto"/>
                <w:sz w:val="24"/>
                <w:highlight w:val="none"/>
                <w:lang w:val="zh-CN"/>
              </w:rPr>
              <w:t>采云平台在线讲解演示。</w:t>
            </w:r>
            <w:r>
              <w:rPr>
                <w:rFonts w:hint="eastAsia" w:ascii="仿宋_GB2312" w:hAnsi="仿宋_GB2312" w:eastAsia="仿宋_GB2312" w:cs="仿宋_GB2312"/>
                <w:color w:val="auto"/>
                <w:sz w:val="24"/>
                <w:highlight w:val="none"/>
              </w:rPr>
              <w:t>乐</w:t>
            </w:r>
            <w:r>
              <w:rPr>
                <w:rFonts w:hint="eastAsia" w:ascii="仿宋_GB2312" w:hAnsi="仿宋_GB2312" w:eastAsia="仿宋_GB2312" w:cs="仿宋_GB2312"/>
                <w:color w:val="auto"/>
                <w:sz w:val="24"/>
                <w:highlight w:val="none"/>
                <w:lang w:val="zh-CN"/>
              </w:rPr>
              <w:t>采云平台在线讲解需供应商根据乐采云平台操作要求做好准备工作，提前完善软硬件配置环境。</w:t>
            </w:r>
          </w:p>
          <w:p w14:paraId="036EDB9C">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方式二：现场讲解演示。现场讲解地点为，</w:t>
            </w:r>
            <w:r>
              <w:rPr>
                <w:rFonts w:hint="eastAsia" w:ascii="仿宋_GB2312" w:hAnsi="仿宋_GB2312" w:eastAsia="仿宋_GB2312" w:cs="仿宋_GB2312"/>
                <w:color w:val="auto"/>
                <w:kern w:val="0"/>
                <w:sz w:val="24"/>
                <w:lang w:val="zh-CN"/>
              </w:rPr>
              <w:t>讲解演示人员不超过</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sz w:val="24"/>
                <w:u w:val="single"/>
                <w:lang w:val="en-US" w:eastAsia="zh-CN"/>
              </w:rPr>
              <w:t xml:space="preserve"> /  </w:t>
            </w:r>
            <w:r>
              <w:rPr>
                <w:rFonts w:hint="eastAsia" w:ascii="仿宋_GB2312" w:hAnsi="仿宋_GB2312" w:eastAsia="仿宋_GB2312" w:cs="仿宋_GB2312"/>
                <w:color w:val="auto"/>
                <w:kern w:val="0"/>
                <w:sz w:val="24"/>
                <w:lang w:val="zh-CN"/>
              </w:rPr>
              <w:t>人。</w:t>
            </w:r>
            <w:r>
              <w:rPr>
                <w:rFonts w:hint="eastAsia" w:ascii="仿宋_GB2312" w:hAnsi="仿宋_GB2312" w:eastAsia="仿宋_GB2312" w:cs="仿宋_GB2312"/>
                <w:color w:val="auto"/>
                <w:sz w:val="24"/>
                <w:lang w:val="zh-CN"/>
              </w:rPr>
              <w:t>讲解演示所用电脑等设备由供应商自备。现场讲解演示人员进场时提供讲解人员名单（加盖公章或授权代表签名）及身份证明，否则不得讲解演示。</w:t>
            </w:r>
          </w:p>
          <w:p w14:paraId="7A14B139">
            <w:pPr>
              <w:keepNext w:val="0"/>
              <w:keepLines w:val="0"/>
              <w:suppressLineNumbers w:val="0"/>
              <w:spacing w:before="0" w:beforeAutospacing="0" w:after="0" w:afterAutospacing="0" w:line="400" w:lineRule="exact"/>
              <w:ind w:left="0" w:right="0" w:firstLine="480" w:firstLineChars="200"/>
              <w:rPr>
                <w:rFonts w:hint="eastAsia" w:ascii="仿宋_GB2312" w:hAnsi="仿宋_GB2312" w:eastAsia="仿宋_GB2312" w:cs="仿宋_GB2312"/>
                <w:b/>
                <w:color w:val="auto"/>
                <w:sz w:val="24"/>
              </w:rPr>
            </w:pPr>
            <w:r>
              <w:rPr>
                <w:rFonts w:hint="eastAsia" w:ascii="仿宋_GB2312" w:hAnsi="仿宋_GB2312" w:eastAsia="仿宋_GB2312" w:cs="仿宋_GB2312"/>
                <w:color w:val="auto"/>
                <w:kern w:val="0"/>
                <w:sz w:val="24"/>
              </w:rPr>
              <w:t>注：因</w:t>
            </w:r>
            <w:r>
              <w:rPr>
                <w:rFonts w:hint="eastAsia" w:ascii="仿宋_GB2312" w:hAnsi="仿宋_GB2312" w:eastAsia="仿宋_GB2312" w:cs="仿宋_GB2312"/>
                <w:color w:val="auto"/>
                <w:kern w:val="0"/>
                <w:sz w:val="24"/>
                <w:lang w:eastAsia="zh-CN"/>
              </w:rPr>
              <w:t>供应商</w:t>
            </w:r>
            <w:r>
              <w:rPr>
                <w:rFonts w:hint="eastAsia" w:ascii="仿宋_GB2312" w:hAnsi="仿宋_GB2312" w:eastAsia="仿宋_GB2312" w:cs="仿宋_GB2312"/>
                <w:color w:val="auto"/>
                <w:kern w:val="0"/>
                <w:sz w:val="24"/>
              </w:rPr>
              <w:t>自身原因导致无法讲解演示或者讲解演示效果不理想的，责任自负。因平台原因导致本项目方案讲解演示环节无法顺利开展，按照《浙江省政府采购项目电子交易管理暂行办法》相关规定执行。</w:t>
            </w:r>
          </w:p>
        </w:tc>
      </w:tr>
      <w:tr w14:paraId="32A7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928480E">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1332" w:type="dxa"/>
            <w:vAlign w:val="center"/>
          </w:tcPr>
          <w:p w14:paraId="5F301397">
            <w:pPr>
              <w:keepNext w:val="0"/>
              <w:keepLines w:val="0"/>
              <w:suppressLineNumbers w:val="0"/>
              <w:snapToGrid w:val="0"/>
              <w:spacing w:before="0" w:beforeAutospacing="0" w:after="0" w:afterAutospacing="0" w:line="400" w:lineRule="exact"/>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038" w:type="dxa"/>
            <w:vAlign w:val="center"/>
          </w:tcPr>
          <w:p w14:paraId="6499FBB3">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kern w:val="0"/>
                <w:sz w:val="24"/>
              </w:rPr>
            </w:pPr>
            <w:sdt>
              <w:sdtPr>
                <w:rPr>
                  <w:rFonts w:hint="eastAsia" w:ascii="仿宋_GB2312" w:hAnsi="仿宋_GB2312" w:eastAsia="仿宋_GB2312" w:cs="仿宋_GB2312"/>
                  <w:color w:val="auto"/>
                  <w:kern w:val="0"/>
                  <w:sz w:val="24"/>
                </w:rPr>
                <w:id w:val="120"/>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sym w:font="Wingdings" w:char="F0FE"/>
                </w:r>
              </w:sdtContent>
            </w:sdt>
            <w:r>
              <w:rPr>
                <w:rFonts w:hint="eastAsia" w:ascii="仿宋_GB2312" w:hAnsi="仿宋_GB2312" w:eastAsia="仿宋_GB2312" w:cs="仿宋_GB2312"/>
                <w:color w:val="auto"/>
                <w:kern w:val="0"/>
                <w:sz w:val="24"/>
              </w:rPr>
              <w:t>本项目不允许采购进口产品。</w:t>
            </w:r>
          </w:p>
          <w:p w14:paraId="4D10023B">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sdt>
              <w:sdtPr>
                <w:rPr>
                  <w:rFonts w:hint="eastAsia" w:ascii="仿宋_GB2312" w:hAnsi="仿宋_GB2312" w:eastAsia="仿宋_GB2312" w:cs="仿宋_GB2312"/>
                  <w:color w:val="auto"/>
                  <w:kern w:val="0"/>
                  <w:sz w:val="24"/>
                </w:rPr>
                <w:id w:val="121"/>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r>
              <w:rPr>
                <w:rFonts w:hint="eastAsia" w:ascii="仿宋_GB2312" w:hAnsi="仿宋_GB2312" w:eastAsia="仿宋_GB2312" w:cs="仿宋_GB2312"/>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A6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70" w:type="dxa"/>
            <w:vAlign w:val="center"/>
          </w:tcPr>
          <w:p w14:paraId="6B397FE4">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1332" w:type="dxa"/>
            <w:vAlign w:val="center"/>
          </w:tcPr>
          <w:p w14:paraId="0A6EA222">
            <w:pPr>
              <w:keepNext w:val="0"/>
              <w:keepLines w:val="0"/>
              <w:suppressLineNumbers w:val="0"/>
              <w:snapToGrid w:val="0"/>
              <w:spacing w:before="0" w:beforeAutospacing="0" w:after="0" w:afterAutospacing="0" w:line="400" w:lineRule="exact"/>
              <w:ind w:left="-3" w:leftChars="-8" w:right="-50" w:rightChars="-24" w:hanging="14" w:hangingChars="7"/>
              <w:rPr>
                <w:rFonts w:hint="eastAsia"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038" w:type="dxa"/>
            <w:vAlign w:val="center"/>
          </w:tcPr>
          <w:p w14:paraId="1A578763">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rPr>
                <w:id w:val="118727868"/>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rPr>
                    <w:id w:val="147480716"/>
                  </w:sdtPr>
                  <w:sdtEndPr>
                    <w:rPr>
                      <w:rFonts w:hint="eastAsia" w:ascii="仿宋_GB2312" w:hAnsi="仿宋_GB2312" w:eastAsia="仿宋_GB2312" w:cs="仿宋_GB2312"/>
                      <w:color w:val="auto"/>
                      <w:kern w:val="0"/>
                      <w:sz w:val="24"/>
                    </w:rPr>
                  </w:sdtEndPr>
                  <w:sdtContent>
                    <w:sdt>
                      <w:sdtPr>
                        <w:rPr>
                          <w:rFonts w:hint="eastAsia" w:ascii="仿宋_GB2312" w:hAnsi="仿宋_GB2312" w:eastAsia="仿宋_GB2312" w:cs="仿宋_GB2312"/>
                          <w:color w:val="auto"/>
                          <w:kern w:val="0"/>
                          <w:sz w:val="24"/>
                        </w:rPr>
                        <w:id w:val="1175302147"/>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sym w:font="Wingdings" w:char="F0FE"/>
                        </w:r>
                      </w:sdtContent>
                    </w:sdt>
                  </w:sdtContent>
                </w:sdt>
                <w:r>
                  <w:rPr>
                    <w:rFonts w:hint="eastAsia" w:ascii="仿宋_GB2312" w:hAnsi="仿宋_GB2312" w:eastAsia="仿宋_GB2312" w:cs="仿宋_GB2312"/>
                    <w:color w:val="auto"/>
                    <w:kern w:val="0"/>
                    <w:sz w:val="24"/>
                  </w:rPr>
                  <w:t xml:space="preserve"> A</w:t>
                </w:r>
                <w:r>
                  <w:rPr>
                    <w:rFonts w:hint="eastAsia" w:ascii="仿宋_GB2312" w:hAnsi="仿宋_GB2312" w:eastAsia="仿宋_GB2312" w:cs="仿宋_GB2312"/>
                    <w:color w:val="auto"/>
                    <w:sz w:val="24"/>
                  </w:rPr>
                  <w:t>货物类，单一产品</w:t>
                </w:r>
                <w:r>
                  <w:rPr>
                    <w:rFonts w:hint="eastAsia" w:ascii="仿宋_GB2312" w:hAnsi="仿宋_GB2312" w:eastAsia="仿宋_GB2312" w:cs="仿宋_GB2312"/>
                    <w:color w:val="auto"/>
                    <w:sz w:val="24"/>
                    <w:highlight w:val="none"/>
                  </w:rPr>
                  <w:t>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snapToGrid w:val="0"/>
                    <w:color w:val="auto"/>
                    <w:kern w:val="28"/>
                    <w:sz w:val="24"/>
                    <w:highlight w:val="none"/>
                    <w:u w:val="single"/>
                  </w:rPr>
                  <w:t>采购清单序号89的课椅1</w:t>
                </w:r>
                <w:r>
                  <w:rPr>
                    <w:rFonts w:hint="eastAsia" w:ascii="仿宋_GB2312" w:hAnsi="仿宋_GB2312" w:eastAsia="仿宋_GB2312" w:cs="仿宋_GB2312"/>
                    <w:color w:val="auto"/>
                    <w:sz w:val="24"/>
                    <w:highlight w:val="none"/>
                    <w:u w:val="single"/>
                  </w:rPr>
                  <w:t xml:space="preserve">。 </w:t>
                </w:r>
              </w:sdtContent>
            </w:sdt>
          </w:p>
          <w:p w14:paraId="0D37DA99">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sdt>
              <w:sdtPr>
                <w:rPr>
                  <w:rFonts w:hint="eastAsia" w:ascii="仿宋_GB2312" w:hAnsi="仿宋_GB2312" w:eastAsia="仿宋_GB2312" w:cs="仿宋_GB2312"/>
                  <w:color w:val="auto"/>
                  <w:kern w:val="0"/>
                  <w:sz w:val="24"/>
                </w:rPr>
                <w:id w:val="474885559"/>
              </w:sdtPr>
              <w:sdtEndPr>
                <w:rPr>
                  <w:rFonts w:hint="eastAsia" w:ascii="仿宋_GB2312" w:hAnsi="仿宋_GB2312" w:eastAsia="仿宋_GB2312" w:cs="仿宋_GB2312"/>
                  <w:color w:val="auto"/>
                  <w:kern w:val="0"/>
                  <w:sz w:val="24"/>
                </w:rPr>
              </w:sdtEndPr>
              <w:sdtContent>
                <w:r>
                  <w:rPr>
                    <w:rFonts w:hint="eastAsia" w:ascii="仿宋_GB2312" w:hAnsi="仿宋_GB2312" w:eastAsia="仿宋_GB2312" w:cs="仿宋_GB2312"/>
                    <w:color w:val="auto"/>
                    <w:kern w:val="0"/>
                    <w:sz w:val="24"/>
                  </w:rPr>
                  <w:t>☐</w:t>
                </w:r>
              </w:sdtContent>
            </w:sdt>
            <w:r>
              <w:rPr>
                <w:rFonts w:hint="eastAsia" w:ascii="仿宋_GB2312" w:hAnsi="仿宋_GB2312" w:eastAsia="仿宋_GB2312" w:cs="仿宋_GB2312"/>
                <w:color w:val="auto"/>
                <w:kern w:val="0"/>
                <w:sz w:val="24"/>
              </w:rPr>
              <w:t>B</w:t>
            </w:r>
            <w:r>
              <w:rPr>
                <w:rFonts w:hint="eastAsia" w:ascii="仿宋_GB2312" w:hAnsi="仿宋_GB2312" w:eastAsia="仿宋_GB2312" w:cs="仿宋_GB2312"/>
                <w:color w:val="auto"/>
                <w:sz w:val="24"/>
              </w:rPr>
              <w:t>服务类。</w:t>
            </w:r>
          </w:p>
        </w:tc>
      </w:tr>
      <w:tr w14:paraId="43B3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782863">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1332" w:type="dxa"/>
            <w:vAlign w:val="center"/>
          </w:tcPr>
          <w:p w14:paraId="0651620C">
            <w:pPr>
              <w:keepNext w:val="0"/>
              <w:keepLines w:val="0"/>
              <w:suppressLineNumbers w:val="0"/>
              <w:snapToGrid w:val="0"/>
              <w:spacing w:before="0" w:beforeAutospacing="0" w:after="0" w:afterAutospacing="0" w:line="400" w:lineRule="exact"/>
              <w:ind w:left="-18" w:leftChars="-9" w:right="-50" w:rightChars="-24" w:hanging="1"/>
              <w:jc w:val="center"/>
              <w:rPr>
                <w:rFonts w:hint="eastAsia"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采购标的对应的中小企业划分标准所属行业</w:t>
            </w:r>
          </w:p>
        </w:tc>
        <w:tc>
          <w:tcPr>
            <w:tcW w:w="7038" w:type="dxa"/>
            <w:vAlign w:val="center"/>
          </w:tcPr>
          <w:p w14:paraId="0D4AED3F">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标项一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工业 </w:t>
            </w:r>
            <w:r>
              <w:rPr>
                <w:rFonts w:hint="eastAsia" w:ascii="仿宋_GB2312" w:hAnsi="仿宋_GB2312" w:eastAsia="仿宋_GB2312" w:cs="仿宋_GB2312"/>
                <w:color w:val="auto"/>
                <w:kern w:val="0"/>
                <w:sz w:val="24"/>
                <w:highlight w:val="none"/>
              </w:rPr>
              <w:t>行业；</w:t>
            </w:r>
          </w:p>
        </w:tc>
      </w:tr>
      <w:tr w14:paraId="4070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F26026F">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1332" w:type="dxa"/>
            <w:vMerge w:val="restart"/>
            <w:vAlign w:val="center"/>
          </w:tcPr>
          <w:p w14:paraId="1752DD1E">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投标人信用信息事项</w:t>
            </w:r>
          </w:p>
        </w:tc>
        <w:tc>
          <w:tcPr>
            <w:tcW w:w="7038" w:type="dxa"/>
            <w:vAlign w:val="center"/>
          </w:tcPr>
          <w:p w14:paraId="0BBAC864">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信用信息查询渠道及截止时间：</w:t>
            </w:r>
            <w:r>
              <w:rPr>
                <w:rFonts w:hint="eastAsia" w:ascii="仿宋_GB2312" w:hAnsi="仿宋_GB2312" w:eastAsia="仿宋_GB2312" w:cs="仿宋_GB2312"/>
                <w:color w:val="auto"/>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rPr>
              <w:t>开标当天</w:t>
            </w:r>
            <w:r>
              <w:rPr>
                <w:rFonts w:hint="eastAsia" w:ascii="仿宋_GB2312" w:hAnsi="仿宋_GB2312" w:eastAsia="仿宋_GB2312" w:cs="仿宋_GB2312"/>
                <w:color w:val="auto"/>
                <w:sz w:val="24"/>
              </w:rPr>
              <w:t>的信用记录。</w:t>
            </w:r>
          </w:p>
        </w:tc>
      </w:tr>
      <w:tr w14:paraId="2EEB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5493CB2">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p>
        </w:tc>
        <w:tc>
          <w:tcPr>
            <w:tcW w:w="1332" w:type="dxa"/>
            <w:vMerge w:val="continue"/>
            <w:vAlign w:val="center"/>
          </w:tcPr>
          <w:p w14:paraId="3617A310">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p>
        </w:tc>
        <w:tc>
          <w:tcPr>
            <w:tcW w:w="7038" w:type="dxa"/>
            <w:vAlign w:val="center"/>
          </w:tcPr>
          <w:p w14:paraId="3BFAFE68">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信用信息查询记录和证据留存的具体方式：</w:t>
            </w:r>
            <w:r>
              <w:rPr>
                <w:rFonts w:hint="eastAsia" w:ascii="仿宋_GB2312" w:hAnsi="仿宋_GB2312" w:eastAsia="仿宋_GB2312" w:cs="仿宋_GB2312"/>
                <w:color w:val="auto"/>
                <w:sz w:val="24"/>
              </w:rPr>
              <w:t>采购人或采购人委托的评审小组或采购代理机构现场查询投标人的信用记录，查询结果经确认后与采购文件一起存档。</w:t>
            </w:r>
          </w:p>
        </w:tc>
      </w:tr>
      <w:tr w14:paraId="4727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157E1E">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p>
        </w:tc>
        <w:tc>
          <w:tcPr>
            <w:tcW w:w="1332" w:type="dxa"/>
            <w:vMerge w:val="continue"/>
            <w:vAlign w:val="center"/>
          </w:tcPr>
          <w:p w14:paraId="76AA8308">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p>
        </w:tc>
        <w:tc>
          <w:tcPr>
            <w:tcW w:w="7038" w:type="dxa"/>
            <w:vAlign w:val="center"/>
          </w:tcPr>
          <w:p w14:paraId="29770C4F">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信用信息的使用规则：</w:t>
            </w:r>
            <w:r>
              <w:rPr>
                <w:rFonts w:hint="eastAsia" w:ascii="仿宋_GB2312" w:hAnsi="仿宋_GB2312" w:eastAsia="仿宋_GB2312" w:cs="仿宋_GB2312"/>
                <w:color w:val="auto"/>
                <w:sz w:val="24"/>
              </w:rPr>
              <w:t>经查询列入失信被执行人名单、重大税收违法案件当事人名单、政府采购严重违法失信行为记录名单的投标人将被拒绝参与采购活动。</w:t>
            </w:r>
          </w:p>
          <w:p w14:paraId="4C4FD261">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color w:val="auto"/>
                <w:sz w:val="24"/>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1221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80B9936">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8370" w:type="dxa"/>
            <w:gridSpan w:val="2"/>
            <w:vAlign w:val="center"/>
          </w:tcPr>
          <w:p w14:paraId="173EB417">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需要落实的采购政策：包括保护环境、节约能源、促进中小企业发展等。详见招标文件第二部分总则。</w:t>
            </w:r>
          </w:p>
        </w:tc>
      </w:tr>
      <w:tr w14:paraId="6294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1BC01B">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8370" w:type="dxa"/>
            <w:gridSpan w:val="2"/>
            <w:vAlign w:val="center"/>
          </w:tcPr>
          <w:p w14:paraId="0933259E">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更正补充公告请自行登录浙江政府采购网或绍兴公共资源交易网查看下载。</w:t>
            </w:r>
          </w:p>
        </w:tc>
      </w:tr>
      <w:tr w14:paraId="3073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A3C0BF8">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16</w:t>
            </w:r>
          </w:p>
        </w:tc>
        <w:tc>
          <w:tcPr>
            <w:tcW w:w="8370" w:type="dxa"/>
            <w:gridSpan w:val="2"/>
            <w:vAlign w:val="center"/>
          </w:tcPr>
          <w:p w14:paraId="78F9A25B">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投标与开标注意事项：</w:t>
            </w:r>
          </w:p>
          <w:p w14:paraId="57938C52">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1.本项目实行网上投标，采用电子投标文件。若供应商参与投标，自行承担投标一切费用。</w:t>
            </w:r>
          </w:p>
          <w:p w14:paraId="6402ADDC">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7A5DCE0F">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注：供应商CA相关操作可参考乐采云平台</w:t>
            </w:r>
            <w:r>
              <w:rPr>
                <w:rFonts w:hint="eastAsia" w:ascii="仿宋_GB2312" w:hAnsi="仿宋_GB2312" w:eastAsia="仿宋_GB2312" w:cs="仿宋_GB2312"/>
                <w:color w:val="auto"/>
              </w:rPr>
              <w:t>https://www.lecaiyun.com/</w:t>
            </w:r>
            <w:r>
              <w:rPr>
                <w:rFonts w:hint="eastAsia" w:ascii="仿宋_GB2312" w:hAnsi="仿宋_GB2312" w:eastAsia="仿宋_GB2312" w:cs="仿宋_GB2312"/>
                <w:color w:val="auto"/>
                <w:sz w:val="24"/>
              </w:rPr>
              <w:t>《CA申领操作指南》和《CA管理操作指南》。完成CA数字证书办理在资料齐全的情况下预计7个工作日左右，建议供应商获取招标文件后立即办理。</w:t>
            </w:r>
          </w:p>
          <w:p w14:paraId="24C5DA74">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3.投标文件制作、递交、解密：</w:t>
            </w:r>
          </w:p>
          <w:p w14:paraId="17593FAB">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3.1应按照本项目招标文件和乐采云平台的要求编制、加密传输投标文件。供应商在使用系统进行投标的过程中遇到涉及平台使用的任何问题，可致电乐采云平台技术支持热线咨询，联系方式：95763。</w:t>
            </w:r>
          </w:p>
          <w:p w14:paraId="28FD7133">
            <w:pPr>
              <w:keepNext w:val="0"/>
              <w:keepLines w:val="0"/>
              <w:suppressLineNumbers w:val="0"/>
              <w:snapToGrid w:val="0"/>
              <w:spacing w:before="0" w:beforeAutospacing="0" w:after="0" w:afterAutospacing="0" w:line="400" w:lineRule="exact"/>
              <w:ind w:left="0" w:right="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3.2投标人通过“乐采云”平台制作电子投标文件，投标文件制作详见“供应商-政府采购项目电子交易操作指南。</w:t>
            </w:r>
          </w:p>
          <w:p w14:paraId="078D28EF">
            <w:pPr>
              <w:keepNext w:val="0"/>
              <w:keepLines w:val="0"/>
              <w:suppressLineNumbers w:val="0"/>
              <w:snapToGrid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3.3开标时间后30分钟内供应商可以登录“乐采云”平台，用“项目采购-开标评标”功能进行解密投标文件。若供应商</w:t>
            </w:r>
            <w:r>
              <w:rPr>
                <w:rFonts w:hint="eastAsia" w:ascii="仿宋_GB2312" w:hAnsi="仿宋_GB2312" w:eastAsia="仿宋_GB2312" w:cs="仿宋_GB2312"/>
                <w:b/>
                <w:color w:val="auto"/>
                <w:sz w:val="24"/>
                <w:u w:val="single"/>
              </w:rPr>
              <w:t>未按时解密的</w:t>
            </w:r>
            <w:r>
              <w:rPr>
                <w:rFonts w:hint="eastAsia" w:ascii="仿宋_GB2312" w:hAnsi="仿宋_GB2312" w:eastAsia="仿宋_GB2312" w:cs="仿宋_GB2312"/>
                <w:color w:val="auto"/>
                <w:sz w:val="24"/>
              </w:rPr>
              <w:t>，</w:t>
            </w:r>
            <w:r>
              <w:rPr>
                <w:rFonts w:hint="eastAsia" w:ascii="仿宋_GB2312" w:hAnsi="仿宋_GB2312" w:eastAsia="仿宋_GB2312" w:cs="仿宋_GB2312"/>
                <w:b/>
                <w:color w:val="auto"/>
                <w:sz w:val="24"/>
                <w:u w:val="single"/>
              </w:rPr>
              <w:t>视为投标文件撤回</w:t>
            </w:r>
            <w:r>
              <w:rPr>
                <w:rFonts w:hint="eastAsia" w:ascii="仿宋_GB2312" w:hAnsi="仿宋_GB2312" w:eastAsia="仿宋_GB2312" w:cs="仿宋_GB2312"/>
                <w:color w:val="auto"/>
                <w:sz w:val="24"/>
              </w:rPr>
              <w:t>。</w:t>
            </w:r>
          </w:p>
        </w:tc>
      </w:tr>
      <w:tr w14:paraId="0E88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74162AE">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w:t>
            </w:r>
          </w:p>
        </w:tc>
        <w:tc>
          <w:tcPr>
            <w:tcW w:w="8370" w:type="dxa"/>
            <w:gridSpan w:val="2"/>
            <w:vAlign w:val="center"/>
          </w:tcPr>
          <w:p w14:paraId="77755B0E">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特别说明：</w:t>
            </w:r>
          </w:p>
          <w:p w14:paraId="6A1818C4">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rPr>
              <w:t>。</w:t>
            </w:r>
          </w:p>
        </w:tc>
      </w:tr>
      <w:tr w14:paraId="332D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E65E78">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p>
        </w:tc>
        <w:tc>
          <w:tcPr>
            <w:tcW w:w="8370" w:type="dxa"/>
            <w:gridSpan w:val="2"/>
            <w:vAlign w:val="center"/>
          </w:tcPr>
          <w:p w14:paraId="0777CE86">
            <w:pPr>
              <w:keepNext w:val="0"/>
              <w:keepLines w:val="0"/>
              <w:suppressLineNumbers w:val="0"/>
              <w:adjustRightInd w:val="0"/>
              <w:spacing w:before="0" w:beforeAutospacing="0" w:after="0" w:afterAutospacing="0" w:line="400" w:lineRule="exact"/>
              <w:ind w:left="0" w:right="0"/>
              <w:rPr>
                <w:rFonts w:hint="eastAsia" w:ascii="仿宋_GB2312" w:hAnsi="仿宋_GB2312" w:eastAsia="仿宋_GB2312" w:cs="仿宋_GB2312"/>
                <w:snapToGrid w:val="0"/>
                <w:color w:val="auto"/>
                <w:kern w:val="28"/>
                <w:sz w:val="24"/>
              </w:rPr>
            </w:pPr>
            <w:sdt>
              <w:sdtPr>
                <w:rPr>
                  <w:rFonts w:hint="eastAsia" w:ascii="仿宋_GB2312" w:hAnsi="仿宋_GB2312" w:eastAsia="仿宋_GB2312" w:cs="仿宋_GB2312"/>
                  <w:color w:val="auto"/>
                  <w:kern w:val="0"/>
                  <w:sz w:val="24"/>
                  <w:szCs w:val="21"/>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rPr>
                  <w:sym w:font="Wingdings" w:char="0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2E6FAE1E">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b/>
                <w:color w:val="auto"/>
                <w:sz w:val="24"/>
              </w:rPr>
            </w:pPr>
            <w:sdt>
              <w:sdtPr>
                <w:rPr>
                  <w:rFonts w:hint="eastAsia" w:ascii="仿宋_GB2312" w:hAnsi="仿宋_GB2312" w:eastAsia="仿宋_GB2312" w:cs="仿宋_GB2312"/>
                  <w:color w:val="auto"/>
                  <w:kern w:val="0"/>
                  <w:sz w:val="24"/>
                  <w:szCs w:val="21"/>
                </w:rPr>
                <w:id w:val="125"/>
              </w:sdtPr>
              <w:sdtEndPr>
                <w:rPr>
                  <w:rFonts w:hint="eastAsia" w:ascii="仿宋_GB2312" w:hAnsi="仿宋_GB2312" w:eastAsia="仿宋_GB2312" w:cs="仿宋_GB2312"/>
                  <w:color w:val="auto"/>
                  <w:kern w:val="0"/>
                  <w:sz w:val="24"/>
                  <w:szCs w:val="21"/>
                </w:rPr>
              </w:sdtEndPr>
              <w:sdtContent>
                <w:r>
                  <w:rPr>
                    <w:rFonts w:hint="eastAsia" w:ascii="仿宋_GB2312" w:hAnsi="仿宋_GB2312" w:eastAsia="仿宋_GB2312" w:cs="仿宋_GB2312"/>
                    <w:color w:val="auto"/>
                    <w:kern w:val="0"/>
                    <w:sz w:val="24"/>
                  </w:rPr>
                  <w:t>☐</w:t>
                </w:r>
              </w:sdtContent>
            </w:sdt>
            <w:r>
              <w:rPr>
                <w:rFonts w:hint="eastAsia" w:ascii="仿宋_GB2312" w:hAnsi="仿宋_GB2312" w:eastAsia="仿宋_GB2312" w:cs="仿宋_GB2312"/>
                <w:snapToGrid w:val="0"/>
                <w:color w:val="auto"/>
                <w:kern w:val="28"/>
                <w:sz w:val="24"/>
              </w:rPr>
              <w:t>联合体投标的，联合体中有一方或者联合体成员根据分工按招标文件第五部分评标标准要求提供资信证明文件的，视为符合了相关要求。</w:t>
            </w:r>
          </w:p>
        </w:tc>
      </w:tr>
      <w:tr w14:paraId="15BE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0B40598">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w:t>
            </w:r>
          </w:p>
        </w:tc>
        <w:tc>
          <w:tcPr>
            <w:tcW w:w="8370" w:type="dxa"/>
            <w:gridSpan w:val="2"/>
            <w:vAlign w:val="center"/>
          </w:tcPr>
          <w:p w14:paraId="0EB4645C">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b/>
                <w:color w:val="auto"/>
                <w:kern w:val="0"/>
                <w:sz w:val="24"/>
                <w:szCs w:val="21"/>
              </w:rPr>
            </w:pPr>
            <w:r>
              <w:rPr>
                <w:rFonts w:hint="eastAsia" w:ascii="仿宋_GB2312" w:hAnsi="仿宋_GB2312" w:eastAsia="仿宋_GB2312" w:cs="仿宋_GB2312"/>
                <w:snapToGrid w:val="0"/>
                <w:color w:val="auto"/>
                <w:kern w:val="28"/>
                <w:sz w:val="24"/>
              </w:rPr>
              <w:t>采购代理服务费：</w:t>
            </w:r>
            <w:r>
              <w:rPr>
                <w:rFonts w:hint="eastAsia" w:ascii="仿宋_GB2312" w:hAnsi="仿宋_GB2312" w:eastAsia="仿宋_GB2312" w:cs="仿宋_GB2312"/>
                <w:snapToGrid w:val="0"/>
                <w:color w:val="auto"/>
                <w:kern w:val="28"/>
                <w:sz w:val="24"/>
                <w:lang w:eastAsia="zh-CN"/>
              </w:rPr>
              <w:t>无。</w:t>
            </w:r>
            <w:r>
              <w:rPr>
                <w:rFonts w:hint="eastAsia" w:ascii="仿宋_GB2312" w:hAnsi="仿宋_GB2312" w:eastAsia="仿宋_GB2312" w:cs="仿宋_GB2312"/>
                <w:snapToGrid w:val="0"/>
                <w:color w:val="auto"/>
                <w:kern w:val="28"/>
                <w:sz w:val="24"/>
              </w:rPr>
              <w:t xml:space="preserve"> </w:t>
            </w:r>
          </w:p>
        </w:tc>
      </w:tr>
      <w:tr w14:paraId="3275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CB81EF3">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解释：凡涉及本招标文件的解释权属于采购人。</w:t>
            </w:r>
          </w:p>
        </w:tc>
      </w:tr>
      <w:tr w14:paraId="7226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026BFF">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注：中标人放弃中标资格或因质疑、投诉被取消中标资格或不能履行合同的，本项目重新组织采购。</w:t>
            </w:r>
          </w:p>
        </w:tc>
      </w:tr>
      <w:bookmarkEnd w:id="0"/>
    </w:tbl>
    <w:p w14:paraId="23CAA394">
      <w:pPr>
        <w:pageBreakBefore/>
        <w:spacing w:line="400" w:lineRule="exact"/>
        <w:jc w:val="center"/>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一、总则</w:t>
      </w:r>
    </w:p>
    <w:p w14:paraId="39ADD371">
      <w:pPr>
        <w:snapToGrid w:val="0"/>
        <w:spacing w:line="400" w:lineRule="exact"/>
        <w:jc w:val="left"/>
        <w:outlineLvl w:val="1"/>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1.适用范围</w:t>
      </w:r>
    </w:p>
    <w:p w14:paraId="3674068C">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本招标文件适用于该项目的招标、投标、开标、资格审查及信用信息查询、评标、定标、合同、验收等行为（法律、法规另有规定的，从其规定）。</w:t>
      </w:r>
    </w:p>
    <w:p w14:paraId="34A64260">
      <w:pPr>
        <w:spacing w:line="400" w:lineRule="exact"/>
        <w:outlineLvl w:val="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2.定义</w:t>
      </w:r>
    </w:p>
    <w:p w14:paraId="0410840C">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 “采购人”系指招标公告中载明的本项目的采购人。</w:t>
      </w:r>
    </w:p>
    <w:p w14:paraId="7A231BA3">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 “采购代理机构”系指招标公告中载明的本项目的采购代理机构。</w:t>
      </w:r>
    </w:p>
    <w:p w14:paraId="6B1E9D6A">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 “投标人”“供应商”系指是指响应招标、参加投标竞争的法人、其他组织或者自然人。</w:t>
      </w:r>
    </w:p>
    <w:p w14:paraId="67DFC4B0">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2.4“监督单位”系指</w:t>
      </w:r>
      <w:r>
        <w:rPr>
          <w:rFonts w:hint="eastAsia" w:ascii="仿宋_GB2312" w:hAnsi="仿宋_GB2312" w:eastAsia="仿宋_GB2312" w:cs="仿宋_GB2312"/>
          <w:color w:val="auto"/>
          <w:sz w:val="24"/>
          <w:lang w:eastAsia="zh-CN"/>
        </w:rPr>
        <w:t>招标公告中载明的本项目的</w:t>
      </w:r>
      <w:r>
        <w:rPr>
          <w:rFonts w:hint="eastAsia" w:ascii="仿宋_GB2312" w:hAnsi="仿宋_GB2312" w:eastAsia="仿宋_GB2312" w:cs="仿宋_GB2312"/>
          <w:color w:val="auto"/>
          <w:sz w:val="24"/>
        </w:rPr>
        <w:t>监督管理部门。</w:t>
      </w:r>
    </w:p>
    <w:p w14:paraId="7EBF2834">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 “负责人”系指法人企业的法定负责人，或其他组织为法律、行政法规规定代表单位行使职权的主要负责人，或自然人本人。</w:t>
      </w:r>
    </w:p>
    <w:p w14:paraId="01388C32">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lang w:val="en-US" w:eastAsia="zh-CN"/>
        </w:rPr>
        <w:t>4</w:t>
      </w:r>
      <w:r>
        <w:rPr>
          <w:rFonts w:hint="eastAsia" w:ascii="仿宋_GB2312" w:hAnsi="仿宋_GB2312" w:eastAsia="仿宋_GB2312" w:cs="仿宋_GB2312"/>
          <w:color w:val="auto"/>
          <w:sz w:val="24"/>
        </w:rPr>
        <w:t>）。</w:t>
      </w:r>
    </w:p>
    <w:p w14:paraId="233A1E34">
      <w:pPr>
        <w:spacing w:line="40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rPr>
        <w:t>2.7“电子交易平台”系指本项目采购活动所依托的</w:t>
      </w:r>
      <w:r>
        <w:rPr>
          <w:rFonts w:hint="eastAsia" w:ascii="仿宋_GB2312" w:hAnsi="仿宋_GB2312" w:eastAsia="仿宋_GB2312" w:cs="仿宋_GB2312"/>
          <w:color w:val="auto"/>
          <w:sz w:val="24"/>
          <w:highlight w:val="none"/>
        </w:rPr>
        <w:t>乐采云平台（https://www.lecaiyun.com/）。</w:t>
      </w:r>
    </w:p>
    <w:p w14:paraId="1995F278">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2.8“★”系指实质性指标要求条款，“▲”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83C74D8">
      <w:pPr>
        <w:spacing w:line="400" w:lineRule="exac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3.采购项目需要落实的采购政策</w:t>
      </w:r>
    </w:p>
    <w:p w14:paraId="14B05BDE">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3.1 本项目原则上采购本国生产的货物、工程和服务，不允许采购进口产品。除非采购人采购进口产品，已经在采购活动开始前向</w:t>
      </w:r>
      <w:r>
        <w:rPr>
          <w:rFonts w:hint="eastAsia" w:ascii="仿宋_GB2312" w:hAnsi="仿宋_GB2312" w:eastAsia="仿宋_GB2312" w:cs="仿宋_GB2312"/>
          <w:color w:val="auto"/>
          <w:sz w:val="24"/>
          <w:lang w:eastAsia="zh-CN"/>
        </w:rPr>
        <w:t>监督</w:t>
      </w:r>
      <w:r>
        <w:rPr>
          <w:rFonts w:hint="eastAsia" w:ascii="仿宋_GB2312" w:hAnsi="仿宋_GB2312" w:eastAsia="仿宋_GB2312" w:cs="仿宋_GB2312"/>
          <w:color w:val="auto"/>
          <w:sz w:val="24"/>
        </w:rPr>
        <w:t>部门提出申请并获得</w:t>
      </w:r>
      <w:r>
        <w:rPr>
          <w:rFonts w:hint="eastAsia" w:ascii="仿宋_GB2312" w:hAnsi="仿宋_GB2312" w:eastAsia="仿宋_GB2312" w:cs="仿宋_GB2312"/>
          <w:color w:val="auto"/>
          <w:sz w:val="24"/>
          <w:lang w:eastAsia="zh-CN"/>
        </w:rPr>
        <w:t>监督</w:t>
      </w:r>
      <w:r>
        <w:rPr>
          <w:rFonts w:hint="eastAsia" w:ascii="仿宋_GB2312" w:hAnsi="仿宋_GB2312" w:eastAsia="仿宋_GB2312" w:cs="仿宋_GB2312"/>
          <w:color w:val="auto"/>
          <w:sz w:val="24"/>
        </w:rPr>
        <w:t>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01FDC6A">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 支持绿色发展</w:t>
      </w:r>
    </w:p>
    <w:p w14:paraId="33EBED38">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9A563E2">
      <w:pPr>
        <w:spacing w:line="400" w:lineRule="exact"/>
        <w:rPr>
          <w:rFonts w:hint="eastAsia" w:ascii="仿宋_GB2312" w:hAnsi="仿宋_GB2312" w:eastAsia="仿宋_GB2312" w:cs="仿宋_GB2312"/>
          <w:b/>
          <w:color w:val="auto"/>
          <w:sz w:val="24"/>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w:t>
      </w:r>
      <w:r>
        <w:rPr>
          <w:rFonts w:hint="eastAsia" w:ascii="仿宋_GB2312" w:hAnsi="仿宋_GB2312" w:eastAsia="仿宋_GB2312" w:cs="仿宋_GB2312"/>
          <w:b/>
          <w:color w:val="auto"/>
          <w:sz w:val="24"/>
        </w:rPr>
        <w:t>购人拟采购的产品属于政府强制采购的节能产品品目清单范围的，投标人未按招标文件要求提供国家确定的认证机构出具的、处于有效期之内的节能产品认证证书，投标无效。</w:t>
      </w:r>
    </w:p>
    <w:p w14:paraId="6E1AAE24">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69AABC6E">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A03ECF4">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C64E8D6">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w:t>
      </w:r>
      <w:r>
        <w:rPr>
          <w:rFonts w:hint="eastAsia" w:ascii="仿宋_GB2312" w:hAnsi="仿宋_GB2312" w:eastAsia="仿宋_GB2312" w:cs="仿宋_GB2312"/>
          <w:bCs/>
          <w:color w:val="auto"/>
          <w:sz w:val="24"/>
        </w:rPr>
        <w:t>小微</w:t>
      </w:r>
      <w:r>
        <w:rPr>
          <w:rFonts w:hint="eastAsia" w:ascii="仿宋_GB2312" w:hAnsi="仿宋_GB2312" w:eastAsia="仿宋_GB2312" w:cs="仿宋_GB2312"/>
          <w:color w:val="auto"/>
          <w:sz w:val="24"/>
        </w:rPr>
        <w:t>企业价格扣除</w:t>
      </w:r>
    </w:p>
    <w:p w14:paraId="055477C2">
      <w:pPr>
        <w:spacing w:line="400" w:lineRule="exact"/>
        <w:rPr>
          <w:rFonts w:hint="eastAsia" w:ascii="仿宋_GB2312" w:hAnsi="仿宋_GB2312" w:eastAsia="仿宋_GB2312" w:cs="仿宋_GB2312"/>
          <w:bCs/>
          <w:color w:val="auto"/>
          <w:sz w:val="24"/>
        </w:rPr>
      </w:pPr>
      <w:r>
        <w:rPr>
          <w:rFonts w:hint="eastAsia" w:ascii="仿宋_GB2312" w:hAnsi="仿宋_GB2312" w:eastAsia="仿宋_GB2312" w:cs="仿宋_GB2312"/>
          <w:color w:val="auto"/>
          <w:sz w:val="24"/>
        </w:rPr>
        <w:t>3.3.1小微企业是指</w:t>
      </w:r>
      <w:r>
        <w:rPr>
          <w:rFonts w:hint="eastAsia" w:ascii="仿宋_GB2312" w:hAnsi="仿宋_GB2312" w:eastAsia="仿宋_GB2312" w:cs="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85EB3BD">
      <w:pPr>
        <w:spacing w:line="400" w:lineRule="exact"/>
        <w:ind w:firstLine="480" w:firstLineChars="20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符合中小企业划分标准的个体工商户，在政府采购活动中视同中小企业。</w:t>
      </w:r>
    </w:p>
    <w:p w14:paraId="5E48A9FD">
      <w:pPr>
        <w:spacing w:line="400" w:lineRule="exac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rPr>
        <w:t>供应商提供的货物既有中小企业制造货物，也有大型企业制造货物的，不享受中小企业扶持政策。</w:t>
      </w:r>
    </w:p>
    <w:p w14:paraId="23DAE90A">
      <w:pPr>
        <w:spacing w:line="400" w:lineRule="exac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3.3.3在服务采购项目中，服务由小微企业承接，即提供服务的人员为小微企业依照《中华人民共和国劳动合同法》订立劳动合同的从业人员。</w:t>
      </w:r>
    </w:p>
    <w:p w14:paraId="3D97E0C9">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3.3.4小微企业应按照招标文件格式要求提供《中小企业声明函》。</w:t>
      </w:r>
    </w:p>
    <w:p w14:paraId="74E782BD">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DF9B7B1">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B762924">
      <w:pPr>
        <w:spacing w:line="40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以联合体形式参加政府采购活动， 联合体各方均为中小企业的，联合体视同中小企业。其中，联合体各方均为小微企业的，联合体视同小微企业。</w:t>
      </w:r>
    </w:p>
    <w:p w14:paraId="43712930">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3.3.7符合《关于促进残疾人就业政府采购政策的通知》（财库〔2017〕141号）规定的条件并提供《残疾人福利性单位声明函》的残疾人福利性单位视同小微企业；</w:t>
      </w:r>
    </w:p>
    <w:p w14:paraId="133AA21D">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159FFBD">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3.4</w:t>
      </w:r>
      <w:r>
        <w:rPr>
          <w:rFonts w:hint="eastAsia" w:ascii="仿宋_GB2312" w:hAnsi="仿宋_GB2312" w:eastAsia="仿宋_GB2312" w:cs="仿宋_GB2312"/>
          <w:bCs/>
          <w:color w:val="auto"/>
          <w:sz w:val="24"/>
        </w:rPr>
        <w:t>支持科技创新发展</w:t>
      </w:r>
    </w:p>
    <w:p w14:paraId="6954A6EA">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对省级以上主管部门认定的首台套产品，自纳入《省推广应用指导目录》起三年内参加政府采购活动，视同已具备相应销售业绩，业绩分为满分。</w:t>
      </w:r>
    </w:p>
    <w:p w14:paraId="62DE8578">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3.5平等对待内外资企业和符合条件的破产重整企业</w:t>
      </w:r>
    </w:p>
    <w:p w14:paraId="3F065C4C">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平等对待内外资企业和符合条件的破产重整企业，切实保障企业公平竞争，平等维护企业的合法利益。</w:t>
      </w:r>
    </w:p>
    <w:p w14:paraId="73DF8E24">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★4.特别说明：</w:t>
      </w:r>
    </w:p>
    <w:p w14:paraId="58C1AD98">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4.1供应商投标所使用的资格、信誉、荣誉、业绩与企业认证必须为投标单位所拥有。供应商投标所使用的采购项目实施人员必须为投标单位正式员工。</w:t>
      </w:r>
    </w:p>
    <w:p w14:paraId="71F8FA2B">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4.2供应商应仔细阅读招标文件的所有内容，按照招标文件的要求提交投标文件，并对所提供的全部资料的真实性承担法律责任。</w:t>
      </w:r>
    </w:p>
    <w:p w14:paraId="53840EEF">
      <w:pPr>
        <w:spacing w:line="400" w:lineRule="exact"/>
        <w:rPr>
          <w:rFonts w:hint="eastAsia" w:ascii="仿宋_GB2312" w:hAnsi="仿宋_GB2312" w:eastAsia="仿宋_GB2312" w:cs="仿宋_GB2312"/>
          <w:color w:val="auto"/>
        </w:rPr>
      </w:pPr>
      <w:r>
        <w:rPr>
          <w:rFonts w:hint="eastAsia" w:ascii="仿宋_GB2312" w:hAnsi="仿宋_GB2312" w:eastAsia="仿宋_GB2312" w:cs="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E3B76A8">
      <w:pPr>
        <w:spacing w:line="400" w:lineRule="exact"/>
        <w:jc w:val="center"/>
        <w:outlineLvl w:val="0"/>
        <w:rPr>
          <w:rFonts w:hint="eastAsia" w:ascii="仿宋_GB2312" w:hAnsi="仿宋_GB2312" w:eastAsia="仿宋_GB2312" w:cs="仿宋_GB2312"/>
          <w:b/>
          <w:color w:val="auto"/>
          <w:sz w:val="32"/>
          <w:szCs w:val="32"/>
        </w:rPr>
      </w:pPr>
    </w:p>
    <w:p w14:paraId="43245426">
      <w:pPr>
        <w:spacing w:line="400" w:lineRule="exact"/>
        <w:jc w:val="center"/>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二、招标文件</w:t>
      </w:r>
    </w:p>
    <w:p w14:paraId="2042F8BB">
      <w:pPr>
        <w:snapToGrid w:val="0"/>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1．招标方式</w:t>
      </w:r>
    </w:p>
    <w:p w14:paraId="7B9CA8AD">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 本次招标采用公开招标方式进行。</w:t>
      </w:r>
    </w:p>
    <w:p w14:paraId="21710E38">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 如某一标项投标人或实质性响应招标文件的投标人不足三家时，由采购人重新组织招标或按有关规定实施。</w:t>
      </w:r>
    </w:p>
    <w:p w14:paraId="7F9831FB">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 本次招标设定限价，即招标公告中公布的各标项预算金额或最高限价（各标项之间的预算金额不能互相调整）。</w:t>
      </w:r>
    </w:p>
    <w:p w14:paraId="25893224">
      <w:pPr>
        <w:pStyle w:val="26"/>
        <w:snapToGrid w:val="0"/>
        <w:spacing w:after="0" w:line="400" w:lineRule="exact"/>
        <w:jc w:val="left"/>
        <w:rPr>
          <w:rFonts w:hint="eastAsia" w:ascii="仿宋_GB2312" w:hAnsi="仿宋_GB2312" w:eastAsia="仿宋_GB2312" w:cs="仿宋_GB2312"/>
          <w:b/>
          <w:color w:val="auto"/>
        </w:rPr>
      </w:pPr>
      <w:r>
        <w:rPr>
          <w:rFonts w:hint="eastAsia" w:ascii="仿宋_GB2312" w:hAnsi="仿宋_GB2312" w:eastAsia="仿宋_GB2312" w:cs="仿宋_GB2312"/>
          <w:b/>
          <w:color w:val="auto"/>
          <w:sz w:val="24"/>
        </w:rPr>
        <w:t>2.授权委托</w:t>
      </w:r>
    </w:p>
    <w:p w14:paraId="1B13864E">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本项目为电子投标项目，投标人的法定代表人或其授权代表或个体工商户不需要参加现场投标和开标。</w:t>
      </w:r>
    </w:p>
    <w:p w14:paraId="5E1501AB">
      <w:pPr>
        <w:snapToGrid w:val="0"/>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3. 投标费用</w:t>
      </w:r>
    </w:p>
    <w:p w14:paraId="1B4DE1A2">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投标人应自行承担编制投标文件及参加本次投标所涉及的一切费用。不管投标结果如何，招标人对上述费用不负任何责任。</w:t>
      </w:r>
    </w:p>
    <w:p w14:paraId="0467A937">
      <w:pPr>
        <w:snapToGrid w:val="0"/>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4. 招标文件的修改</w:t>
      </w:r>
    </w:p>
    <w:p w14:paraId="7F8DC041">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4.1招标文件包括本招标文件及所有的招标答疑记录（澄清、修改）和发出的补充通知。</w:t>
      </w:r>
    </w:p>
    <w:p w14:paraId="195A5B24">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4.2招标文件的澄清 </w:t>
      </w:r>
    </w:p>
    <w:p w14:paraId="35A17C55">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21F6C86">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4.3招标文件的修改</w:t>
      </w:r>
    </w:p>
    <w:p w14:paraId="4C39C2F5">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BDD4A67">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EF426D5">
      <w:pPr>
        <w:snapToGrid w:val="0"/>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5.参考品牌</w:t>
      </w:r>
    </w:p>
    <w:p w14:paraId="52CFE2A4">
      <w:pPr>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B57269E">
      <w:pPr>
        <w:spacing w:line="400" w:lineRule="exact"/>
        <w:jc w:val="center"/>
        <w:outlineLvl w:val="0"/>
        <w:rPr>
          <w:rFonts w:hint="eastAsia" w:ascii="仿宋_GB2312" w:hAnsi="仿宋_GB2312" w:eastAsia="仿宋_GB2312" w:cs="仿宋_GB2312"/>
          <w:b/>
          <w:color w:val="auto"/>
          <w:sz w:val="32"/>
          <w:szCs w:val="32"/>
        </w:rPr>
      </w:pPr>
    </w:p>
    <w:p w14:paraId="2DD0170C">
      <w:pPr>
        <w:spacing w:line="400" w:lineRule="exact"/>
        <w:jc w:val="center"/>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三、投标文件</w:t>
      </w:r>
    </w:p>
    <w:p w14:paraId="4437D142">
      <w:pPr>
        <w:snapToGrid w:val="0"/>
        <w:spacing w:line="400" w:lineRule="exact"/>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1.投标文件的语言、计量单位、形式及效力</w:t>
      </w:r>
    </w:p>
    <w:p w14:paraId="00101949">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1.1投标人应仔细阅读招标文件中的所有内容，按照招标文件要求，详细编制投标文件，并保证投标文件的正确性和真实性。</w:t>
      </w:r>
    </w:p>
    <w:p w14:paraId="18FF8DE5">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 投标文件以及投标方与招标方就有关投标事宜的所有来往函电，均应以中文书写（技术术语除外）。</w:t>
      </w:r>
    </w:p>
    <w:p w14:paraId="1E671824">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 投标计量单位，除招标文件中有特殊要求外，应采用中华人民共和国法定计量单位，货币单位：人民币元。</w:t>
      </w:r>
    </w:p>
    <w:p w14:paraId="5E95AC36">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1.4不按招标文件的要求提供的投标文件可能导致被拒绝。</w:t>
      </w:r>
    </w:p>
    <w:p w14:paraId="200D0545">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1.5投标文件的形式和效力</w:t>
      </w:r>
    </w:p>
    <w:p w14:paraId="00862FF7">
      <w:pPr>
        <w:snapToGrid w:val="0"/>
        <w:spacing w:line="400" w:lineRule="exact"/>
        <w:ind w:firstLine="723" w:firstLineChars="3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1.5.1投标文件为电子投标文件，电子投标文件按“乐采云供应商项目采购-电子招投标操作指南”及本招标文件要求制作、加密传输。</w:t>
      </w:r>
    </w:p>
    <w:p w14:paraId="321C39FC">
      <w:pPr>
        <w:snapToGrid w:val="0"/>
        <w:spacing w:line="400" w:lineRule="exact"/>
        <w:ind w:firstLine="723" w:firstLineChars="300"/>
        <w:jc w:val="left"/>
        <w:rPr>
          <w:rFonts w:hint="eastAsia" w:ascii="仿宋_GB2312" w:hAnsi="仿宋_GB2312" w:eastAsia="仿宋_GB2312" w:cs="仿宋_GB2312"/>
          <w:b/>
          <w:color w:val="auto"/>
          <w:sz w:val="24"/>
          <w:u w:val="single"/>
        </w:rPr>
      </w:pPr>
      <w:r>
        <w:rPr>
          <w:rFonts w:hint="eastAsia" w:ascii="仿宋_GB2312" w:hAnsi="仿宋_GB2312" w:eastAsia="仿宋_GB2312" w:cs="仿宋_GB2312"/>
          <w:b/>
          <w:color w:val="auto"/>
          <w:sz w:val="24"/>
          <w:u w:val="single"/>
        </w:rPr>
        <w:t>1.5.2投标文件的效力：</w:t>
      </w:r>
    </w:p>
    <w:p w14:paraId="0104875A">
      <w:pPr>
        <w:snapToGrid w:val="0"/>
        <w:spacing w:line="400" w:lineRule="exact"/>
        <w:ind w:firstLine="723" w:firstLineChars="300"/>
        <w:jc w:val="left"/>
        <w:rPr>
          <w:rFonts w:hint="eastAsia" w:ascii="仿宋_GB2312" w:hAnsi="仿宋_GB2312" w:eastAsia="仿宋_GB2312" w:cs="仿宋_GB2312"/>
          <w:b/>
          <w:color w:val="auto"/>
          <w:sz w:val="24"/>
          <w:u w:val="single"/>
        </w:rPr>
      </w:pPr>
      <w:r>
        <w:rPr>
          <w:rFonts w:hint="eastAsia" w:ascii="仿宋_GB2312" w:hAnsi="仿宋_GB2312" w:eastAsia="仿宋_GB2312" w:cs="仿宋_GB2312"/>
          <w:b/>
          <w:color w:val="auto"/>
          <w:sz w:val="24"/>
          <w:u w:val="single"/>
        </w:rPr>
        <w:t>投标文件未在投标截止时间前完成传输的，视为投标文件撤回；投标文件未按时解密，亦视为投标文件撤回。</w:t>
      </w:r>
    </w:p>
    <w:p w14:paraId="2F9061F9">
      <w:pPr>
        <w:pStyle w:val="34"/>
        <w:spacing w:line="400" w:lineRule="exact"/>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 投标文件的组成</w:t>
      </w:r>
    </w:p>
    <w:p w14:paraId="1EB6AD6D">
      <w:pPr>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投标文件由“资格文件”、“商务技术（资信）文件资料”、“报价文件资料”三部分组成，其中</w:t>
      </w:r>
      <w:r>
        <w:rPr>
          <w:rFonts w:hint="eastAsia" w:ascii="仿宋_GB2312" w:hAnsi="仿宋_GB2312" w:eastAsia="仿宋_GB2312" w:cs="仿宋_GB2312"/>
          <w:b/>
          <w:color w:val="auto"/>
          <w:sz w:val="24"/>
        </w:rPr>
        <w:t>电子投标文件中所须加盖公章部分均应采用电子签章。</w:t>
      </w:r>
    </w:p>
    <w:p w14:paraId="013694D3">
      <w:pPr>
        <w:snapToGrid w:val="0"/>
        <w:spacing w:line="400" w:lineRule="exact"/>
        <w:ind w:firstLine="482" w:firstLineChars="200"/>
        <w:rPr>
          <w:rFonts w:hint="eastAsia" w:ascii="仿宋_GB2312" w:hAnsi="仿宋_GB2312" w:eastAsia="仿宋_GB2312" w:cs="仿宋_GB2312"/>
          <w:b/>
          <w:color w:val="auto"/>
          <w:sz w:val="24"/>
          <w:lang w:val="zh-CN"/>
        </w:rPr>
      </w:pPr>
      <w:r>
        <w:rPr>
          <w:rFonts w:hint="eastAsia" w:ascii="仿宋_GB2312" w:hAnsi="仿宋_GB2312" w:eastAsia="仿宋_GB2312" w:cs="仿宋_GB2312"/>
          <w:b/>
          <w:color w:val="auto"/>
          <w:sz w:val="24"/>
        </w:rPr>
        <w:t>2</w:t>
      </w:r>
      <w:r>
        <w:rPr>
          <w:rFonts w:hint="eastAsia" w:ascii="仿宋_GB2312" w:hAnsi="仿宋_GB2312" w:eastAsia="仿宋_GB2312" w:cs="仿宋_GB2312"/>
          <w:b/>
          <w:color w:val="auto"/>
          <w:sz w:val="24"/>
          <w:lang w:val="zh-CN"/>
        </w:rPr>
        <w:t>.1资格文件：</w:t>
      </w:r>
    </w:p>
    <w:p w14:paraId="75AC3A2F">
      <w:pPr>
        <w:snapToGrid w:val="0"/>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2.1.1符合参加采购活动应当具备的一般条件的承诺函；</w:t>
      </w:r>
    </w:p>
    <w:p w14:paraId="347F3CAC">
      <w:pPr>
        <w:snapToGrid w:val="0"/>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2.1.2联合协议（如果有)；</w:t>
      </w:r>
    </w:p>
    <w:p w14:paraId="3B95705E">
      <w:pPr>
        <w:snapToGrid w:val="0"/>
        <w:spacing w:line="400" w:lineRule="exact"/>
        <w:ind w:firstLine="720" w:firstLineChars="3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2.1.3分包意向协议</w:t>
      </w:r>
      <w:r>
        <w:rPr>
          <w:rFonts w:hint="eastAsia" w:ascii="仿宋_GB2312" w:hAnsi="仿宋_GB2312" w:eastAsia="仿宋_GB2312" w:cs="仿宋_GB2312"/>
          <w:snapToGrid w:val="0"/>
          <w:color w:val="auto"/>
          <w:kern w:val="28"/>
          <w:sz w:val="24"/>
          <w:szCs w:val="20"/>
        </w:rPr>
        <w:t>（如果有)</w:t>
      </w:r>
      <w:r>
        <w:rPr>
          <w:rFonts w:hint="eastAsia" w:ascii="仿宋_GB2312" w:hAnsi="仿宋_GB2312" w:eastAsia="仿宋_GB2312" w:cs="仿宋_GB2312"/>
          <w:color w:val="auto"/>
          <w:sz w:val="24"/>
        </w:rPr>
        <w:t>；</w:t>
      </w:r>
    </w:p>
    <w:p w14:paraId="4C812FD2">
      <w:pPr>
        <w:snapToGrid w:val="0"/>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2.1.4落实采购政策需满足的资格要求（如果有)；</w:t>
      </w:r>
    </w:p>
    <w:p w14:paraId="436A9968">
      <w:pPr>
        <w:snapToGrid w:val="0"/>
        <w:spacing w:line="40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2.1.5本项目的特定资格要求（如果有)。</w:t>
      </w:r>
    </w:p>
    <w:p w14:paraId="3567C4BC">
      <w:pPr>
        <w:snapToGrid w:val="0"/>
        <w:spacing w:line="400" w:lineRule="exact"/>
        <w:ind w:firstLine="482" w:firstLineChars="200"/>
        <w:rPr>
          <w:rFonts w:hint="eastAsia" w:ascii="仿宋_GB2312" w:hAnsi="仿宋_GB2312" w:eastAsia="仿宋_GB2312" w:cs="仿宋_GB2312"/>
          <w:b/>
          <w:color w:val="auto"/>
          <w:sz w:val="24"/>
          <w:lang w:val="zh-CN"/>
        </w:rPr>
      </w:pPr>
      <w:r>
        <w:rPr>
          <w:rFonts w:hint="eastAsia" w:ascii="仿宋_GB2312" w:hAnsi="仿宋_GB2312" w:eastAsia="仿宋_GB2312" w:cs="仿宋_GB2312"/>
          <w:b/>
          <w:color w:val="auto"/>
          <w:sz w:val="24"/>
          <w:lang w:val="zh-CN"/>
        </w:rPr>
        <w:t>2.</w:t>
      </w:r>
      <w:r>
        <w:rPr>
          <w:rFonts w:hint="eastAsia" w:ascii="仿宋_GB2312" w:hAnsi="仿宋_GB2312" w:eastAsia="仿宋_GB2312" w:cs="仿宋_GB2312"/>
          <w:b/>
          <w:color w:val="auto"/>
          <w:sz w:val="24"/>
        </w:rPr>
        <w:t>2商务技术</w:t>
      </w:r>
      <w:r>
        <w:rPr>
          <w:rFonts w:hint="eastAsia" w:ascii="仿宋_GB2312" w:hAnsi="仿宋_GB2312" w:eastAsia="仿宋_GB2312" w:cs="仿宋_GB2312"/>
          <w:b/>
          <w:color w:val="auto"/>
          <w:sz w:val="24"/>
          <w:lang w:val="zh-CN"/>
        </w:rPr>
        <w:t>文件：</w:t>
      </w:r>
    </w:p>
    <w:p w14:paraId="7433BE83">
      <w:pPr>
        <w:snapToGrid w:val="0"/>
        <w:spacing w:line="440" w:lineRule="exact"/>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2.2.1投标函；</w:t>
      </w:r>
      <w:r>
        <w:rPr>
          <w:rFonts w:hint="eastAsia" w:ascii="仿宋_GB2312" w:hAnsi="仿宋_GB2312" w:eastAsia="仿宋_GB2312" w:cs="仿宋_GB2312"/>
          <w:color w:val="auto"/>
          <w:sz w:val="24"/>
          <w:lang w:val="zh-CN"/>
        </w:rPr>
        <w:t xml:space="preserve"> </w:t>
      </w:r>
    </w:p>
    <w:p w14:paraId="35A804F6">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2.2.2法定代表人授权委托书；</w:t>
      </w:r>
    </w:p>
    <w:p w14:paraId="6842059E">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2.2.3授权代表社保证明；</w:t>
      </w:r>
    </w:p>
    <w:p w14:paraId="0A1FED24">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2.2.4法定代表人及其授权代表身份证复印件；</w:t>
      </w:r>
    </w:p>
    <w:p w14:paraId="5B0D395F">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2.2.5法定代表人身份证明书；</w:t>
      </w:r>
    </w:p>
    <w:p w14:paraId="50C77A7F">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34E2EC8">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2.2.7廉政承诺书（格式见第六部分附件）；</w:t>
      </w:r>
    </w:p>
    <w:p w14:paraId="2EF5E6A5">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2FBA43C">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2.2.9供应商应提供针对项目的完整技术解决方案：</w:t>
      </w:r>
    </w:p>
    <w:p w14:paraId="1DA7F61E">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针对本项目的完整技术解决方案和实施方案；详细阐述项目方案的实现思路及关键技术；符合本项目对当前和未来发展的要求；以及对功能设计和实施计划的建议；</w:t>
      </w:r>
    </w:p>
    <w:p w14:paraId="6D3A6A25">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5A6E53D">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本项目如需采购政府强制采购的节能产品的或投标人提供的产品是环境标志产品，投标人须按格式提供节能产品、环境标志产品认证证书复印件。</w:t>
      </w:r>
    </w:p>
    <w:p w14:paraId="78C48C62">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2.2.10针对本项目建设的详细实施计划。本项目详细工作实施组织方案，包括(但不限于)以下内容：组织机构、工作时间进度表、工作程序和步骤、管理和协调方法、关键步骤的思路和要点。</w:t>
      </w:r>
    </w:p>
    <w:p w14:paraId="025FFF43">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CFF7F06">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6CFD8072">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45D8108">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96733C7">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580A660">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2.2.16培训计划（如有）；</w:t>
      </w:r>
    </w:p>
    <w:p w14:paraId="5500FB02">
      <w:pPr>
        <w:snapToGrid w:val="0"/>
        <w:spacing w:line="336" w:lineRule="auto"/>
        <w:ind w:firstLine="720" w:firstLineChars="3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2.2.17验收方案；</w:t>
      </w:r>
    </w:p>
    <w:p w14:paraId="2BA66CAE">
      <w:pPr>
        <w:snapToGrid w:val="0"/>
        <w:spacing w:line="336" w:lineRule="auto"/>
        <w:ind w:firstLine="720" w:firstLineChars="300"/>
        <w:rPr>
          <w:rFonts w:hint="eastAsia" w:ascii="仿宋_GB2312" w:hAnsi="仿宋_GB2312" w:eastAsia="仿宋_GB2312" w:cs="仿宋_GB2312"/>
          <w:color w:val="auto"/>
          <w:sz w:val="24"/>
          <w:u w:val="wave"/>
        </w:rPr>
      </w:pPr>
      <w:r>
        <w:rPr>
          <w:rFonts w:hint="eastAsia" w:ascii="仿宋_GB2312" w:hAnsi="仿宋_GB2312" w:eastAsia="仿宋_GB2312" w:cs="仿宋_GB2312"/>
          <w:color w:val="auto"/>
          <w:sz w:val="24"/>
        </w:rPr>
        <w:t>2.2.18</w:t>
      </w:r>
      <w:r>
        <w:rPr>
          <w:rFonts w:hint="eastAsia" w:ascii="仿宋_GB2312" w:hAnsi="仿宋_GB2312" w:eastAsia="仿宋_GB2312" w:cs="仿宋_GB2312"/>
          <w:color w:val="auto"/>
          <w:sz w:val="24"/>
          <w:u w:val="wave"/>
        </w:rPr>
        <w:t>未尽事宜请各投标单位按评分标准和相对应标项相关要求制作；</w:t>
      </w:r>
    </w:p>
    <w:p w14:paraId="2512DEB5">
      <w:pPr>
        <w:snapToGrid w:val="0"/>
        <w:spacing w:line="336" w:lineRule="auto"/>
        <w:ind w:firstLine="720" w:firstLineChars="300"/>
        <w:rPr>
          <w:rFonts w:hint="eastAsia" w:ascii="仿宋_GB2312" w:hAnsi="仿宋_GB2312" w:eastAsia="仿宋_GB2312" w:cs="仿宋_GB2312"/>
          <w:color w:val="auto"/>
          <w:lang w:val="zh-CN"/>
        </w:rPr>
      </w:pPr>
      <w:r>
        <w:rPr>
          <w:rFonts w:hint="eastAsia" w:ascii="仿宋_GB2312" w:hAnsi="仿宋_GB2312" w:eastAsia="仿宋_GB2312" w:cs="仿宋_GB2312"/>
          <w:color w:val="auto"/>
          <w:sz w:val="24"/>
        </w:rPr>
        <w:t>2.2.19投标人需要说明的其他文件和说明（格式自拟）。</w:t>
      </w:r>
    </w:p>
    <w:p w14:paraId="4EB639EA">
      <w:pPr>
        <w:snapToGrid w:val="0"/>
        <w:spacing w:line="400" w:lineRule="exact"/>
        <w:ind w:firstLine="482" w:firstLineChars="200"/>
        <w:rPr>
          <w:rFonts w:hint="eastAsia" w:ascii="仿宋_GB2312" w:hAnsi="仿宋_GB2312" w:eastAsia="仿宋_GB2312" w:cs="仿宋_GB2312"/>
          <w:b/>
          <w:color w:val="auto"/>
          <w:sz w:val="24"/>
          <w:lang w:val="zh-CN"/>
        </w:rPr>
      </w:pPr>
      <w:r>
        <w:rPr>
          <w:rFonts w:hint="eastAsia" w:ascii="仿宋_GB2312" w:hAnsi="仿宋_GB2312" w:eastAsia="仿宋_GB2312" w:cs="仿宋_GB2312"/>
          <w:b/>
          <w:color w:val="auto"/>
          <w:sz w:val="24"/>
          <w:lang w:val="zh-CN"/>
        </w:rPr>
        <w:t xml:space="preserve">2.3报价文件： </w:t>
      </w:r>
    </w:p>
    <w:p w14:paraId="3050C69F">
      <w:pPr>
        <w:pStyle w:val="64"/>
        <w:snapToGrid w:val="0"/>
        <w:spacing w:after="0" w:line="400" w:lineRule="exact"/>
        <w:ind w:firstLine="720" w:firstLineChars="3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2.3.1开标一览表（报价表）；</w:t>
      </w:r>
    </w:p>
    <w:p w14:paraId="50897A53">
      <w:pPr>
        <w:pStyle w:val="64"/>
        <w:snapToGrid w:val="0"/>
        <w:spacing w:after="0" w:line="400" w:lineRule="exact"/>
        <w:ind w:firstLine="720" w:firstLineChars="3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2.3.2中小企业声明函（如果有）；</w:t>
      </w:r>
    </w:p>
    <w:p w14:paraId="214768DC">
      <w:pPr>
        <w:pStyle w:val="64"/>
        <w:snapToGrid w:val="0"/>
        <w:spacing w:after="0" w:line="400" w:lineRule="exact"/>
        <w:ind w:firstLine="720" w:firstLineChars="3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2.3.3 残疾人福利性单位声明函（如果有）。</w:t>
      </w:r>
    </w:p>
    <w:p w14:paraId="45DD7C6E">
      <w:pPr>
        <w:pStyle w:val="64"/>
        <w:snapToGrid w:val="0"/>
        <w:spacing w:after="0" w:line="400" w:lineRule="exact"/>
        <w:ind w:firstLine="241"/>
        <w:rPr>
          <w:rFonts w:hint="eastAsia" w:ascii="仿宋_GB2312" w:hAnsi="仿宋_GB2312" w:eastAsia="仿宋_GB2312" w:cs="仿宋_GB2312"/>
          <w:b/>
          <w:bCs/>
          <w:color w:val="auto"/>
        </w:rPr>
      </w:pPr>
      <w:r>
        <w:rPr>
          <w:rFonts w:hint="eastAsia" w:ascii="仿宋_GB2312" w:hAnsi="仿宋_GB2312" w:eastAsia="仿宋_GB2312" w:cs="仿宋_GB2312"/>
          <w:b/>
          <w:bCs/>
          <w:color w:val="auto"/>
          <w:sz w:val="24"/>
        </w:rPr>
        <w:t>3.投标报价</w:t>
      </w:r>
    </w:p>
    <w:p w14:paraId="7322CB1E">
      <w:pPr>
        <w:pStyle w:val="64"/>
        <w:snapToGrid w:val="0"/>
        <w:spacing w:after="0" w:line="400" w:lineRule="exact"/>
        <w:ind w:firstLine="720" w:firstLineChars="3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3.1报价为采购人可以合格使用产品的价格，包括货款、包装、运输、保险、货到就位以及安装、调试、培训、保修及产品知识产权等一切费用。</w:t>
      </w:r>
    </w:p>
    <w:p w14:paraId="6A91D377">
      <w:pPr>
        <w:pStyle w:val="64"/>
        <w:snapToGrid w:val="0"/>
        <w:spacing w:after="0" w:line="400" w:lineRule="exact"/>
        <w:ind w:firstLine="720" w:firstLineChars="3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3.2招标文件未列明，而</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认为必需的费用也需列入报价。</w:t>
      </w:r>
    </w:p>
    <w:p w14:paraId="31F89120">
      <w:pPr>
        <w:pStyle w:val="64"/>
        <w:snapToGrid w:val="0"/>
        <w:spacing w:after="0" w:line="400" w:lineRule="exact"/>
        <w:ind w:firstLine="723" w:firstLineChars="300"/>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3.3投标报价只允许有一个报价，有选择的报价将不予接受（除指定外）。</w:t>
      </w:r>
    </w:p>
    <w:p w14:paraId="48284DA7">
      <w:pPr>
        <w:pStyle w:val="64"/>
        <w:snapToGrid w:val="0"/>
        <w:spacing w:after="0" w:line="400" w:lineRule="exact"/>
        <w:ind w:firstLine="720" w:firstLineChars="3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3.4投标人提供虚假材料投标的，投标无效。</w:t>
      </w:r>
    </w:p>
    <w:p w14:paraId="60818554">
      <w:pPr>
        <w:pStyle w:val="64"/>
        <w:snapToGrid w:val="0"/>
        <w:spacing w:after="0" w:line="400" w:lineRule="exact"/>
        <w:ind w:firstLine="241"/>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4.投标文件的编制和签署</w:t>
      </w:r>
    </w:p>
    <w:p w14:paraId="330A232F">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r>
        <w:rPr>
          <w:rFonts w:hint="eastAsia" w:ascii="仿宋_GB2312" w:hAnsi="仿宋_GB2312" w:eastAsia="仿宋_GB2312" w:cs="仿宋_GB2312"/>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111BA03">
      <w:pPr>
        <w:snapToGrid w:val="0"/>
        <w:spacing w:line="400" w:lineRule="exact"/>
        <w:ind w:firstLine="480" w:firstLineChars="200"/>
        <w:jc w:val="left"/>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rPr>
        <w:t>4</w:t>
      </w:r>
      <w:r>
        <w:rPr>
          <w:rFonts w:hint="eastAsia" w:ascii="仿宋_GB2312" w:hAnsi="仿宋_GB2312" w:eastAsia="仿宋_GB2312" w:cs="仿宋_GB2312"/>
          <w:color w:val="auto"/>
          <w:sz w:val="24"/>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2A96F8D3">
      <w:pPr>
        <w:snapToGrid w:val="0"/>
        <w:spacing w:line="400" w:lineRule="exact"/>
        <w:ind w:firstLine="480" w:firstLineChars="200"/>
        <w:jc w:val="left"/>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rPr>
        <w:t>4</w:t>
      </w:r>
      <w:r>
        <w:rPr>
          <w:rFonts w:hint="eastAsia" w:ascii="仿宋_GB2312" w:hAnsi="仿宋_GB2312" w:eastAsia="仿宋_GB2312" w:cs="仿宋_GB2312"/>
          <w:color w:val="auto"/>
          <w:sz w:val="24"/>
          <w:lang w:val="zh-CN"/>
        </w:rPr>
        <w:t>.3使用“乐采云电子交易客户端”需要提前申领CA数字证书，申领流程请自行前往</w:t>
      </w:r>
      <w:r>
        <w:rPr>
          <w:rFonts w:hint="eastAsia" w:ascii="仿宋_GB2312" w:hAnsi="仿宋_GB2312" w:eastAsia="仿宋_GB2312" w:cs="仿宋_GB2312"/>
          <w:color w:val="auto"/>
          <w:sz w:val="24"/>
          <w:highlight w:val="none"/>
          <w:lang w:val="zh-CN"/>
        </w:rPr>
        <w:t>“浙江政府采购网-下载专区-电子交易客户端-CA驱动和申领流程”</w:t>
      </w:r>
      <w:r>
        <w:rPr>
          <w:rFonts w:hint="eastAsia" w:ascii="仿宋_GB2312" w:hAnsi="仿宋_GB2312" w:eastAsia="仿宋_GB2312" w:cs="仿宋_GB2312"/>
          <w:color w:val="auto"/>
          <w:sz w:val="24"/>
          <w:lang w:val="zh-CN"/>
        </w:rPr>
        <w:t>进行查阅。</w:t>
      </w:r>
    </w:p>
    <w:p w14:paraId="047E4EE8">
      <w:pPr>
        <w:snapToGrid w:val="0"/>
        <w:spacing w:line="400" w:lineRule="exact"/>
        <w:ind w:firstLine="480" w:firstLineChars="200"/>
        <w:jc w:val="left"/>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rPr>
        <w:t>4.4</w:t>
      </w:r>
      <w:r>
        <w:rPr>
          <w:rFonts w:hint="eastAsia" w:ascii="仿宋_GB2312" w:hAnsi="仿宋_GB2312" w:eastAsia="仿宋_GB2312" w:cs="仿宋_GB2312"/>
          <w:color w:val="auto"/>
          <w:sz w:val="24"/>
          <w:lang w:val="zh-CN"/>
        </w:rPr>
        <w:t>投标文件按照招标文件第六部分格式要求进行签署、盖章。投标人的投标文件未按照招标文件要求签署、盖章的，其投标无效。</w:t>
      </w:r>
    </w:p>
    <w:p w14:paraId="7D59F2AA">
      <w:pPr>
        <w:snapToGrid w:val="0"/>
        <w:spacing w:line="400" w:lineRule="exact"/>
        <w:ind w:firstLine="480" w:firstLineChars="200"/>
        <w:jc w:val="left"/>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rPr>
        <w:t>4.5</w:t>
      </w:r>
      <w:r>
        <w:rPr>
          <w:rFonts w:hint="eastAsia" w:ascii="仿宋_GB2312" w:hAnsi="仿宋_GB2312" w:eastAsia="仿宋_GB2312" w:cs="仿宋_GB2312"/>
          <w:color w:val="auto"/>
          <w:sz w:val="24"/>
          <w:lang w:val="zh-CN"/>
        </w:rPr>
        <w:t>为确保网上操作合法、有效和安全，投标人应当在投标截止时间前完成在“乐采云平台”的身份认证，确保在电子投标过程中能够对相关数据电文进行加密和使用电子签名。</w:t>
      </w:r>
    </w:p>
    <w:p w14:paraId="1AD6C071">
      <w:pPr>
        <w:snapToGrid w:val="0"/>
        <w:spacing w:line="400" w:lineRule="exact"/>
        <w:ind w:firstLine="480" w:firstLineChars="200"/>
        <w:jc w:val="left"/>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rPr>
        <w:t>4.6</w:t>
      </w:r>
      <w:r>
        <w:rPr>
          <w:rFonts w:hint="eastAsia" w:ascii="仿宋_GB2312" w:hAnsi="仿宋_GB2312" w:eastAsia="仿宋_GB2312" w:cs="仿宋_GB2312"/>
          <w:color w:val="auto"/>
          <w:sz w:val="24"/>
          <w:lang w:val="zh-CN"/>
        </w:rPr>
        <w:t>招标文件对投标文件签署、盖章的要求适用于电子签名。</w:t>
      </w:r>
    </w:p>
    <w:p w14:paraId="32FC54DD">
      <w:pPr>
        <w:pStyle w:val="184"/>
        <w:spacing w:before="0" w:line="400" w:lineRule="exact"/>
        <w:ind w:firstLine="0" w:firstLineChars="0"/>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5. 投标文件的提交、补充、修改、撤回</w:t>
      </w:r>
    </w:p>
    <w:p w14:paraId="7BCF594B">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4331A11">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2E3ADDEA">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3F40F655">
      <w:pPr>
        <w:spacing w:line="400" w:lineRule="exact"/>
        <w:rPr>
          <w:rFonts w:hint="eastAsia" w:ascii="仿宋_GB2312" w:hAnsi="仿宋_GB2312" w:eastAsia="仿宋_GB2312" w:cs="仿宋_GB2312"/>
          <w:b/>
          <w:color w:val="auto"/>
          <w:sz w:val="32"/>
        </w:rPr>
      </w:pPr>
      <w:r>
        <w:rPr>
          <w:rFonts w:hint="eastAsia" w:ascii="仿宋_GB2312" w:hAnsi="仿宋_GB2312" w:eastAsia="仿宋_GB2312" w:cs="仿宋_GB2312"/>
          <w:b/>
          <w:bCs/>
          <w:color w:val="auto"/>
          <w:sz w:val="24"/>
        </w:rPr>
        <w:t>6.投标有效期</w:t>
      </w:r>
    </w:p>
    <w:p w14:paraId="025CA6F3">
      <w:pPr>
        <w:snapToGrid w:val="0"/>
        <w:spacing w:line="400" w:lineRule="exact"/>
        <w:ind w:firstLine="480" w:firstLineChars="200"/>
        <w:jc w:val="left"/>
        <w:rPr>
          <w:rFonts w:hint="eastAsia" w:ascii="仿宋_GB2312" w:hAnsi="仿宋_GB2312" w:eastAsia="仿宋_GB2312" w:cs="仿宋_GB2312"/>
          <w:b/>
          <w:color w:val="auto"/>
          <w:sz w:val="32"/>
        </w:rPr>
      </w:pPr>
      <w:r>
        <w:rPr>
          <w:rFonts w:hint="eastAsia" w:ascii="仿宋_GB2312" w:hAnsi="仿宋_GB2312" w:eastAsia="仿宋_GB2312" w:cs="仿宋_GB2312"/>
          <w:color w:val="auto"/>
          <w:sz w:val="24"/>
        </w:rPr>
        <w:t>6.1投标有效期为从提交投标文件的截止之日起90天。投标人的投标文件中承诺的投标有效期少于招标文件中载明的投标有效期的，投标无效。</w:t>
      </w:r>
    </w:p>
    <w:p w14:paraId="2A17F758">
      <w:pPr>
        <w:snapToGrid w:val="0"/>
        <w:spacing w:line="400" w:lineRule="exact"/>
        <w:ind w:firstLine="480" w:firstLineChars="200"/>
        <w:jc w:val="left"/>
        <w:rPr>
          <w:rFonts w:hint="eastAsia" w:ascii="仿宋_GB2312" w:hAnsi="仿宋_GB2312" w:eastAsia="仿宋_GB2312" w:cs="仿宋_GB2312"/>
          <w:b/>
          <w:color w:val="auto"/>
          <w:sz w:val="32"/>
        </w:rPr>
      </w:pPr>
      <w:r>
        <w:rPr>
          <w:rFonts w:hint="eastAsia" w:ascii="仿宋_GB2312" w:hAnsi="仿宋_GB2312" w:eastAsia="仿宋_GB2312" w:cs="仿宋_GB2312"/>
          <w:color w:val="auto"/>
          <w:sz w:val="24"/>
        </w:rPr>
        <w:t>6.2投标文件合格投递后，自投标截止日期起，在投标有效期内有效。</w:t>
      </w:r>
    </w:p>
    <w:p w14:paraId="4AA3C246">
      <w:pPr>
        <w:pStyle w:val="184"/>
        <w:spacing w:before="0" w:line="400" w:lineRule="exact"/>
        <w:ind w:firstLine="480"/>
        <w:rPr>
          <w:rFonts w:hint="eastAsia" w:ascii="仿宋_GB2312" w:hAnsi="仿宋_GB2312" w:eastAsia="仿宋_GB2312" w:cs="仿宋_GB2312"/>
          <w:b/>
          <w:color w:val="auto"/>
          <w:sz w:val="32"/>
        </w:rPr>
      </w:pPr>
      <w:r>
        <w:rPr>
          <w:rFonts w:hint="eastAsia" w:ascii="仿宋_GB2312" w:hAnsi="仿宋_GB2312" w:eastAsia="仿宋_GB2312" w:cs="仿宋_GB2312"/>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E8A396E">
      <w:pPr>
        <w:adjustRightInd w:val="0"/>
        <w:spacing w:line="400" w:lineRule="exact"/>
        <w:jc w:val="center"/>
        <w:rPr>
          <w:rFonts w:hint="eastAsia" w:ascii="仿宋_GB2312" w:hAnsi="仿宋_GB2312" w:eastAsia="仿宋_GB2312" w:cs="仿宋_GB2312"/>
          <w:b/>
          <w:color w:val="auto"/>
          <w:sz w:val="32"/>
          <w:szCs w:val="32"/>
        </w:rPr>
      </w:pPr>
    </w:p>
    <w:p w14:paraId="034AA0E1">
      <w:pPr>
        <w:adjustRightInd w:val="0"/>
        <w:spacing w:line="400" w:lineRule="exact"/>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四、开标和评标</w:t>
      </w:r>
    </w:p>
    <w:p w14:paraId="49670AE6">
      <w:pPr>
        <w:snapToGrid w:val="0"/>
        <w:spacing w:line="400" w:lineRule="exact"/>
        <w:jc w:val="left"/>
        <w:rPr>
          <w:rFonts w:hint="eastAsia" w:ascii="仿宋_GB2312" w:hAnsi="仿宋_GB2312" w:eastAsia="仿宋_GB2312" w:cs="仿宋_GB2312"/>
          <w:b/>
          <w:color w:val="auto"/>
          <w:sz w:val="24"/>
        </w:rPr>
      </w:pPr>
      <w:bookmarkStart w:id="1" w:name="_Toc81372953"/>
      <w:bookmarkStart w:id="2" w:name="_Toc84325929"/>
      <w:bookmarkStart w:id="3" w:name="_Toc81372776"/>
      <w:r>
        <w:rPr>
          <w:rFonts w:hint="eastAsia" w:ascii="仿宋_GB2312" w:hAnsi="仿宋_GB2312" w:eastAsia="仿宋_GB2312" w:cs="仿宋_GB2312"/>
          <w:b/>
          <w:color w:val="auto"/>
          <w:sz w:val="24"/>
        </w:rPr>
        <w:t>1．电子招投标开标及评审程序</w:t>
      </w:r>
    </w:p>
    <w:p w14:paraId="514E6FE2">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1.1投标截止时间后，主持人宣布开标会开始。</w:t>
      </w:r>
    </w:p>
    <w:p w14:paraId="7B09167F">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1.2投标人登录乐采云平台，用“项目采购-开标评标”功能对电子投标文件进行在线解密。在线解密电子投标文件时间为开标时间起30分钟内。</w:t>
      </w:r>
    </w:p>
    <w:p w14:paraId="5C9F9EB4">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1.3评标委员会对资格和商务技术响应文件进行评审。</w:t>
      </w:r>
    </w:p>
    <w:p w14:paraId="210C83DF">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1.4主持人宣布商务技术得分及无效（废）投标情形（如有），公布经商务技术（资信）评审符合招标文件要求的投标人名单及其商务技术得分。</w:t>
      </w:r>
    </w:p>
    <w:p w14:paraId="402D7081">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1.5启封报价文件资料，主持人宣读投标人名称、投标价格和投标文件的其他内容。未宣读的投标报价和招标文件未允许提供的备选投标方案等实质性内容，评标时不予承认。</w:t>
      </w:r>
    </w:p>
    <w:p w14:paraId="5787404E">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1.6评标委员会对投标文件报价文件资料进行评审，核准投标报价及计算价格分，汇总商务技术分、价格分，根据得分排序确定中标候选人。</w:t>
      </w:r>
    </w:p>
    <w:p w14:paraId="1627D8B8">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1.7主持人公布评标结果。</w:t>
      </w:r>
    </w:p>
    <w:p w14:paraId="0D104940">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特别说明：乐采云公司如对电子化开标及评审程序有调整的，按调整后的程序操作。</w:t>
      </w:r>
    </w:p>
    <w:p w14:paraId="73EDBCEF">
      <w:pPr>
        <w:snapToGrid w:val="0"/>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2.采购过程中出现以下情形，导致电子交易平台无法正常运行，或者无法保证电子交易的公平、公正和安全时，采购组织机构可中止电子交易活动：</w:t>
      </w:r>
    </w:p>
    <w:p w14:paraId="3EFF2BEE">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2.1电子交易平台发生故障而无法登录访问的； </w:t>
      </w:r>
    </w:p>
    <w:p w14:paraId="2BCDD9AB">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2.2电子交易平台应用或数据库出现错误，不能进行正常操作的；</w:t>
      </w:r>
    </w:p>
    <w:p w14:paraId="5CFAD478">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2.3电子交易平台发现严重安全漏洞，有潜在泄密危险的；</w:t>
      </w:r>
    </w:p>
    <w:p w14:paraId="195B5E41">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2.4病毒发作导致不能进行正常操作的； </w:t>
      </w:r>
    </w:p>
    <w:p w14:paraId="0A1D1599">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2.5其他无法保证电子交易的公平、公正和安全的情况。</w:t>
      </w:r>
    </w:p>
    <w:p w14:paraId="10F4AB7F">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BF20154">
      <w:pPr>
        <w:snapToGrid w:val="0"/>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3．评标</w:t>
      </w:r>
    </w:p>
    <w:p w14:paraId="358E2951">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3.1评标委员会由招标采购单位依法组建，负责评标活动。评标委员会遵循公开、公平、公正、科学合理、竞争择优的原则。</w:t>
      </w:r>
    </w:p>
    <w:p w14:paraId="77273174">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3.2评标委员会由采购人代表和有关方面的专家组成，成员人数</w:t>
      </w:r>
      <w:r>
        <w:rPr>
          <w:rFonts w:hint="eastAsia" w:ascii="仿宋_GB2312" w:hAnsi="仿宋_GB2312" w:eastAsia="仿宋_GB2312" w:cs="仿宋_GB2312"/>
          <w:color w:val="auto"/>
          <w:sz w:val="24"/>
          <w:highlight w:val="none"/>
        </w:rPr>
        <w:t>为</w:t>
      </w:r>
      <w:r>
        <w:rPr>
          <w:rFonts w:hint="eastAsia" w:ascii="仿宋_GB2312" w:hAnsi="仿宋_GB2312" w:eastAsia="仿宋_GB2312" w:cs="仿宋_GB2312"/>
          <w:color w:val="auto"/>
          <w:sz w:val="24"/>
          <w:highlight w:val="none"/>
          <w:lang w:val="en-US" w:eastAsia="zh-CN"/>
        </w:rPr>
        <w:t>五</w:t>
      </w:r>
      <w:r>
        <w:rPr>
          <w:rFonts w:hint="eastAsia" w:ascii="仿宋_GB2312" w:hAnsi="仿宋_GB2312" w:eastAsia="仿宋_GB2312" w:cs="仿宋_GB2312"/>
          <w:color w:val="auto"/>
          <w:sz w:val="24"/>
          <w:highlight w:val="none"/>
        </w:rPr>
        <w:t>人以上单</w:t>
      </w:r>
      <w:r>
        <w:rPr>
          <w:rFonts w:hint="eastAsia" w:ascii="仿宋_GB2312" w:hAnsi="仿宋_GB2312" w:eastAsia="仿宋_GB2312" w:cs="仿宋_GB2312"/>
          <w:color w:val="auto"/>
          <w:sz w:val="24"/>
        </w:rPr>
        <w:t>数。</w:t>
      </w:r>
    </w:p>
    <w:p w14:paraId="560EB62A">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3.3评标委员会负责对投标人资格的最终审定。</w:t>
      </w:r>
    </w:p>
    <w:p w14:paraId="552DB157">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3.4评标委员会可以要求投标人对其投标文件中含义不明确的内容作必要的澄清或者说明，但澄清或者说明不得超过投标文件的范围或者改变投标文件的实质性内容。</w:t>
      </w:r>
    </w:p>
    <w:p w14:paraId="73174673">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6095EA06">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供应商通过乐采云平台交换的数据电文必须进行电子签章。</w:t>
      </w:r>
    </w:p>
    <w:p w14:paraId="1B14EDD1">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D412FA3">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3.6评标委员会对投标文件的判定，只依据投标文件和招标文件内容本身，不依据任何外来证明。</w:t>
      </w:r>
    </w:p>
    <w:p w14:paraId="56011815">
      <w:pPr>
        <w:snapToGrid w:val="0"/>
        <w:spacing w:line="400" w:lineRule="exact"/>
        <w:ind w:firstLine="480" w:firstLineChars="20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3.7评标委员会不向落标方解释落标的原因。</w:t>
      </w:r>
    </w:p>
    <w:p w14:paraId="190F59A4">
      <w:pPr>
        <w:snapToGrid w:val="0"/>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4．投标文件的初审鉴定</w:t>
      </w:r>
    </w:p>
    <w:p w14:paraId="01FB94F7">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4.1资格性审查</w:t>
      </w:r>
    </w:p>
    <w:p w14:paraId="6CC4CF8E">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4.1.1依据法律、法规和招标文件规定，采购人或采购人代表对投标人进行资格审查，以确定投标人是否具备投标资格。</w:t>
      </w:r>
    </w:p>
    <w:p w14:paraId="45ECE24B">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4.2符合性审查</w:t>
      </w:r>
    </w:p>
    <w:p w14:paraId="610E8601">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6177FD">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4.3如果投标文件实质不响应招标文件的各项要求，评标委员会将予以拒绝，并且不允许投标人通过修改或撤销其不符合要求的差异或保留，使之成为具有实质性响应的投标。</w:t>
      </w:r>
    </w:p>
    <w:p w14:paraId="416E3E78">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 xml:space="preserve">5. </w:t>
      </w:r>
      <w:r>
        <w:rPr>
          <w:rFonts w:hint="eastAsia" w:ascii="仿宋_GB2312" w:hAnsi="仿宋_GB2312" w:eastAsia="仿宋_GB2312" w:cs="仿宋_GB2312"/>
          <w:b/>
          <w:color w:val="auto"/>
          <w:sz w:val="24"/>
        </w:rPr>
        <w:t>投标文件报价出现前后不一致的，按照下列规定修正：</w:t>
      </w:r>
    </w:p>
    <w:p w14:paraId="1FB18F51">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5.1投标文件中开标一览表（报价表）内容与投标文件中相应内容不一致的，以开标一览表（报价表）为准；</w:t>
      </w:r>
    </w:p>
    <w:p w14:paraId="586DC112">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5.2大写金额和小写金额不一致的，以大写金额为准；</w:t>
      </w:r>
    </w:p>
    <w:p w14:paraId="5209B2F2">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5.3单价金额小数点或者百分比有明显错位的，以开标一览表的总价为准，并修改单价；</w:t>
      </w:r>
    </w:p>
    <w:p w14:paraId="208FD1F5">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5.4总价金额与按单价汇总金额不一致的，以单价金额计算结果为准。</w:t>
      </w:r>
    </w:p>
    <w:p w14:paraId="41CBE0A2">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B89AA9">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6.投标文件的评审、比较和否决</w:t>
      </w:r>
    </w:p>
    <w:p w14:paraId="4D57CD52">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6.1评标委员会将对在实质上响应招标文件要求的投标文件进行评估和比较。</w:t>
      </w:r>
    </w:p>
    <w:p w14:paraId="3FEE1996">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510A7F78">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6.3在评标过程中，如发现与招标文件要求相偏离的，评标委员会可对其偏离情形进行必要的核实。</w:t>
      </w:r>
    </w:p>
    <w:p w14:paraId="496619B3">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6.4在评审过程中，如属于实质性偏离或符合无效响应条件的，应当询问相关投标人，并可对其通过乐采云平台进行线上确认，但不允许对偏离条款进行补充、修正或撤回。</w:t>
      </w:r>
    </w:p>
    <w:p w14:paraId="6B751297">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6.5比较与评价。评标委员会应当按照评标标准，对符合性审查合格的投标文件进行商务和技术评估，综合比较与评价。</w:t>
      </w:r>
    </w:p>
    <w:p w14:paraId="21B5F1E8">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6.6汇总（商务技术得分情况）。评标委员会各成员应当独立对每个投标人的商务技术（资信）文件进行评价，并汇总商务技术得分情况。</w:t>
      </w:r>
    </w:p>
    <w:p w14:paraId="71D5969E">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6.7 报价审核。对符合采购需求且通过商务技术（资信）评审的投标人的报价的合理性、准确性等进行审查核实。</w:t>
      </w:r>
    </w:p>
    <w:p w14:paraId="698EA285">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34B27450">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6.7.2根据财政部发布的《政府采购促进中小企业发展暂行办法》规定，对于非专门面向中小企业的项目，对小型和微型企业产品的价格给予一定的扣除，用扣除后的价格参与评审。</w:t>
      </w:r>
    </w:p>
    <w:p w14:paraId="606CCFD9">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6.7.3如需投标价格修正，按财政部87号令第五十九条的规定对投标价格进行修正。</w:t>
      </w:r>
    </w:p>
    <w:p w14:paraId="35936B02">
      <w:pPr>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5BA630B9">
      <w:pPr>
        <w:pStyle w:val="17"/>
        <w:widowControl w:val="0"/>
        <w:tabs>
          <w:tab w:val="clear" w:pos="454"/>
        </w:tabs>
        <w:spacing w:afterLines="0" w:line="400" w:lineRule="exact"/>
        <w:ind w:left="0" w:firstLine="0"/>
        <w:rPr>
          <w:rFonts w:hint="eastAsia" w:ascii="仿宋_GB2312" w:hAnsi="仿宋_GB2312" w:eastAsia="仿宋_GB2312" w:cs="仿宋_GB2312"/>
          <w:b/>
          <w:color w:val="auto"/>
        </w:rPr>
      </w:pPr>
      <w:r>
        <w:rPr>
          <w:rFonts w:hint="eastAsia" w:ascii="仿宋_GB2312" w:hAnsi="仿宋_GB2312" w:eastAsia="仿宋_GB2312" w:cs="仿宋_GB2312"/>
          <w:b/>
          <w:color w:val="auto"/>
        </w:rPr>
        <w:t>7.投标文件的澄清</w:t>
      </w:r>
    </w:p>
    <w:p w14:paraId="4252C286">
      <w:pPr>
        <w:pStyle w:val="17"/>
        <w:widowControl w:val="0"/>
        <w:tabs>
          <w:tab w:val="clear" w:pos="454"/>
        </w:tabs>
        <w:spacing w:afterLines="0" w:line="400" w:lineRule="exact"/>
        <w:ind w:left="0" w:firstLine="48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9927035">
      <w:pPr>
        <w:pStyle w:val="34"/>
        <w:snapToGrid w:val="0"/>
        <w:spacing w:line="400" w:lineRule="exact"/>
        <w:jc w:val="left"/>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8.无效投标的情形</w:t>
      </w:r>
    </w:p>
    <w:p w14:paraId="61CC28BB">
      <w:pPr>
        <w:tabs>
          <w:tab w:val="left" w:pos="4085"/>
        </w:tabs>
        <w:snapToGrid w:val="0"/>
        <w:spacing w:line="4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投标文件有下列情形之一的作无效投标处理：</w:t>
      </w:r>
    </w:p>
    <w:p w14:paraId="11A81AC8">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8.1未按照招标文件规定要求电子签章、签字或盖章的；</w:t>
      </w:r>
    </w:p>
    <w:p w14:paraId="2646DEAF">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8.2单位负责人为同一人或者存在直接控股、管理关系的不同供应商参加同一合同项下的采购活动的（均无效）；</w:t>
      </w:r>
    </w:p>
    <w:p w14:paraId="28E3C9BB">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 xml:space="preserve">8.3为采购项目提供整体设计、规范编制或者项目管理、监理、检测等服务的供应商参加该采购项目的其他采购活动的； </w:t>
      </w:r>
    </w:p>
    <w:p w14:paraId="7C91704E">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8.4投标人未提供招标文件中规定的基本资格条件书面承诺函的，或投标人未提供有效的特定资格证明文件的，视为投标人不具备招标文件中规定的资格要求；</w:t>
      </w:r>
    </w:p>
    <w:p w14:paraId="1836E466">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8.5《法定代表人身份证明书》与提供的身份证复印件信息不符的；《法定代表人授权委托书》与提供的身份证复印件信息不符的；</w:t>
      </w:r>
    </w:p>
    <w:p w14:paraId="06F07EB4">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8.6《法定代表人授权委托书》或《法定代表人身份证明书》填写不全、错误、未电子签章(《法定代表人授权委托书》要求“电子签章”和“签字或盖章”缺一不可）的；</w:t>
      </w:r>
    </w:p>
    <w:p w14:paraId="1A8EB04A">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8.7授权代表非投标单位正式职工的（以社保证明为准，如授权代表为离退休返聘人员的，需提供退休证明及单位聘用证明），法定代表人及个体工商户除外；</w:t>
      </w:r>
    </w:p>
    <w:p w14:paraId="08C99715">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8.8投标文件中的投标函无投标人的电子签章或填写不全的；</w:t>
      </w:r>
    </w:p>
    <w:p w14:paraId="51668B5E">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8.9报价一经涂改，未在涂改处加盖投标单位公章或者未经法定代表人或其授权代表签字或盖章的；</w:t>
      </w:r>
    </w:p>
    <w:p w14:paraId="0BABA5FE">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8.10未按招标文件规定的格式填写，或对招标服务或技术或产品等要求未详细应答或应答内容不全、有缺失的,经评标委员会认定为无法评审的；</w:t>
      </w:r>
    </w:p>
    <w:p w14:paraId="2C1C00E5">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71C8A735">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8.12《技术偏离说明表》不真实填写或弄虚作假的；</w:t>
      </w:r>
    </w:p>
    <w:p w14:paraId="6D23DFA5">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8.13投标文件含有采购人不能接受的附加条件；</w:t>
      </w:r>
    </w:p>
    <w:p w14:paraId="3ADCFEF4">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A60899D">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8.15报价超过招标文件中规定的预算金额或最高限价的；</w:t>
      </w:r>
    </w:p>
    <w:p w14:paraId="248F6A3C">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8.16投标文件“商务技术（资信）文件资料”部分中出现《开标一览表》相关内容的；</w:t>
      </w:r>
    </w:p>
    <w:p w14:paraId="3C4624D7">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8.17采购人拟采购的产品属于政府强制采购的节能产品品目清单范围的，投标人未按招标文件要求提供国家确定的认证机构出具的、处于有效期之内的节能产品认证证书的；</w:t>
      </w:r>
    </w:p>
    <w:p w14:paraId="299B4A63">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8.18《开标一览表》填写不完整或字迹不能辨认或有漏项的，经评标委员会认定属于重大偏差的；</w:t>
      </w:r>
    </w:p>
    <w:p w14:paraId="1C617E43">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8.19投标人对根据修正原则修正后的报价不确认的；</w:t>
      </w:r>
    </w:p>
    <w:p w14:paraId="56DE926A">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8.20投标人提供虚假材料投标的（包括但不限于以下情节）；</w:t>
      </w:r>
    </w:p>
    <w:p w14:paraId="666D8436">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8.20.1使用伪造、变造的许可证件；</w:t>
      </w:r>
    </w:p>
    <w:p w14:paraId="1A2700C7">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8.20.2提供虚假的财务状况或者业绩；</w:t>
      </w:r>
    </w:p>
    <w:p w14:paraId="7D1687CA">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8.20.3提供虚假的项目负责人或者主要技术人员简历、劳动关系证明；</w:t>
      </w:r>
    </w:p>
    <w:p w14:paraId="5694ECC5">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8.20.4提供虚假的信用状况；</w:t>
      </w:r>
    </w:p>
    <w:p w14:paraId="54C07263">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8.20.5其他弄虚作假的行为。</w:t>
      </w:r>
    </w:p>
    <w:p w14:paraId="2F99FA69">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8.21下列情形之一的，视为投标人串通投标，其投标无效：</w:t>
      </w:r>
    </w:p>
    <w:p w14:paraId="1FA4F896">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8.21.1不同投标人的投标文件由同一单位或者个人编制；</w:t>
      </w:r>
    </w:p>
    <w:p w14:paraId="7A91BE5F">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8.21.2不同投标人委托同一单位或者个人办理投标事宜；</w:t>
      </w:r>
    </w:p>
    <w:p w14:paraId="447E9AA9">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8.21.3不同投标人的投标文件载明的项目管理成员或者联系人员为同一人；</w:t>
      </w:r>
    </w:p>
    <w:p w14:paraId="7C5D76F8">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8.21.4不同投标人的投标文件异常一致或者投标报价呈规律性差异；</w:t>
      </w:r>
    </w:p>
    <w:p w14:paraId="319D8B77">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8.21.5不同投标人的投标文件相互混装；</w:t>
      </w:r>
    </w:p>
    <w:p w14:paraId="349CCD41">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A558CB8">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8.22有下列情形之一的，属于恶意串通，其投标无效：</w:t>
      </w:r>
    </w:p>
    <w:p w14:paraId="197F0973">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8.22.1供应商直接或者间接从采购人或者采购机构处获得其他供应商的相关情况并修改其投标文件或者响应文件；</w:t>
      </w:r>
    </w:p>
    <w:p w14:paraId="2020948F">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8.22.2供应商按照采购人或者采购机构的授意撤换、修改投标文件或者响应文件；</w:t>
      </w:r>
    </w:p>
    <w:p w14:paraId="40805D04">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8.22.3供应商之间协商报价、技术方案等投标文件或者响应文件的实质性内容；</w:t>
      </w:r>
    </w:p>
    <w:p w14:paraId="29D93D01">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8.22.4属于同一集团、协会、商会等组织成员的供应商按照该组织要求协同参加采购活动；</w:t>
      </w:r>
    </w:p>
    <w:p w14:paraId="335E2A6D">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8.22.5供应商之间事先约定由某一特定供应商中标、成交；</w:t>
      </w:r>
    </w:p>
    <w:p w14:paraId="09D56D99">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8.22.6供应商之间商定部分供应商放弃参加采购活动或者放弃中标、成交；</w:t>
      </w:r>
    </w:p>
    <w:p w14:paraId="1A7A2751">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8.22.7供应商与采购人或者采购机构之间、供应商相互之间，为谋求特定供应商中标、成交或者排斥其他供应商的其他串通行为。</w:t>
      </w:r>
    </w:p>
    <w:p w14:paraId="7C5F24F2">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8.23参与同一个采购包(标段)的供应商存在下列情形之一的其投标(响应)文件无效：</w:t>
      </w:r>
    </w:p>
    <w:p w14:paraId="3B1945CD">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8.23.1不同供应商的电子投标(响应)文件上传计算机的网卡MAC地址、CPU序列号和硬盘序列号等硬件信息相同的；</w:t>
      </w:r>
    </w:p>
    <w:p w14:paraId="09529EA2">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8.23.2不同供应商联系人为同一人或不同联系人的联系电话一致，且无法合理解释的；</w:t>
      </w:r>
    </w:p>
    <w:p w14:paraId="1A7E71F2">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8.24评标委员会认定有重大偏差或实质性不响应招标文件要求的；</w:t>
      </w:r>
    </w:p>
    <w:p w14:paraId="25B9F2D6">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8.25投标文件出现不是唯一的、有选择性投标报价的；</w:t>
      </w:r>
    </w:p>
    <w:p w14:paraId="1437CE5C">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ascii="仿宋_GB2312" w:hAnsi="仿宋" w:eastAsia="仿宋_GB2312" w:cs="仿宋"/>
          <w:b/>
          <w:color w:val="auto"/>
          <w:sz w:val="24"/>
          <w:highlight w:val="none"/>
        </w:rPr>
        <w:t>对未提供样品或提供样品不满足采购</w:t>
      </w:r>
      <w:r>
        <w:rPr>
          <w:rFonts w:hint="eastAsia" w:ascii="仿宋_GB2312" w:hAnsi="仿宋" w:eastAsia="仿宋_GB2312" w:cs="仿宋"/>
          <w:b/>
          <w:color w:val="auto"/>
          <w:sz w:val="24"/>
          <w:highlight w:val="none"/>
        </w:rPr>
        <w:t>需</w:t>
      </w:r>
      <w:r>
        <w:rPr>
          <w:rFonts w:ascii="仿宋_GB2312" w:hAnsi="仿宋" w:eastAsia="仿宋_GB2312" w:cs="仿宋"/>
          <w:b/>
          <w:color w:val="auto"/>
          <w:sz w:val="24"/>
          <w:highlight w:val="none"/>
        </w:rPr>
        <w:t>求实质性条件的;</w:t>
      </w:r>
    </w:p>
    <w:p w14:paraId="4FAEAD4C">
      <w:pPr>
        <w:snapToGrid w:val="0"/>
        <w:spacing w:line="400" w:lineRule="exact"/>
        <w:ind w:firstLine="482" w:firstLineChars="200"/>
        <w:jc w:val="left"/>
        <w:rPr>
          <w:rFonts w:hint="eastAsia" w:ascii="仿宋_GB2312" w:hAnsi="仿宋_GB2312" w:eastAsia="仿宋_GB2312" w:cs="仿宋_GB2312"/>
          <w:color w:val="auto"/>
        </w:rPr>
      </w:pPr>
      <w:r>
        <w:rPr>
          <w:rFonts w:hint="eastAsia" w:ascii="仿宋_GB2312" w:hAnsi="仿宋_GB2312" w:eastAsia="仿宋_GB2312" w:cs="仿宋_GB2312"/>
          <w:b/>
          <w:color w:val="auto"/>
          <w:sz w:val="24"/>
        </w:rPr>
        <w:t>8.2</w:t>
      </w:r>
      <w:r>
        <w:rPr>
          <w:rFonts w:hint="eastAsia" w:ascii="仿宋_GB2312" w:hAnsi="仿宋_GB2312" w:eastAsia="仿宋_GB2312" w:cs="仿宋_GB2312"/>
          <w:b/>
          <w:color w:val="auto"/>
          <w:sz w:val="24"/>
          <w:lang w:val="en-US" w:eastAsia="zh-CN"/>
        </w:rPr>
        <w:t>7</w:t>
      </w:r>
      <w:r>
        <w:rPr>
          <w:rFonts w:hint="eastAsia" w:ascii="仿宋_GB2312" w:hAnsi="仿宋_GB2312" w:eastAsia="仿宋_GB2312" w:cs="仿宋_GB2312"/>
          <w:b/>
          <w:color w:val="auto"/>
          <w:sz w:val="24"/>
        </w:rPr>
        <w:t>其他违反法律、法规的情形。</w:t>
      </w:r>
    </w:p>
    <w:p w14:paraId="137CCC16">
      <w:pPr>
        <w:snapToGrid w:val="0"/>
        <w:spacing w:line="400" w:lineRule="exact"/>
        <w:rPr>
          <w:rFonts w:hint="eastAsia"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4"/>
        </w:rPr>
        <w:t>9. 评标过程保密</w:t>
      </w:r>
    </w:p>
    <w:p w14:paraId="473D3895">
      <w:pPr>
        <w:snapToGrid w:val="0"/>
        <w:spacing w:line="400" w:lineRule="exact"/>
        <w:ind w:firstLine="480" w:firstLineChars="20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9.1</w:t>
      </w:r>
      <w:r>
        <w:rPr>
          <w:rFonts w:hint="eastAsia" w:ascii="仿宋_GB2312" w:hAnsi="仿宋_GB2312"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98C4824">
      <w:pPr>
        <w:snapToGrid w:val="0"/>
        <w:spacing w:line="400" w:lineRule="exact"/>
        <w:ind w:firstLine="480" w:firstLineChars="20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9.2 在评标期间，投标人企图影响招标人或</w:t>
      </w:r>
      <w:r>
        <w:rPr>
          <w:rFonts w:hint="eastAsia" w:ascii="仿宋_GB2312" w:hAnsi="仿宋_GB2312" w:eastAsia="仿宋_GB2312" w:cs="仿宋_GB2312"/>
          <w:color w:val="auto"/>
          <w:sz w:val="24"/>
        </w:rPr>
        <w:t>评标委员会</w:t>
      </w:r>
      <w:r>
        <w:rPr>
          <w:rFonts w:hint="eastAsia" w:ascii="仿宋_GB2312" w:hAnsi="仿宋_GB2312" w:eastAsia="仿宋_GB2312" w:cs="仿宋_GB2312"/>
          <w:color w:val="auto"/>
          <w:kern w:val="0"/>
          <w:sz w:val="24"/>
        </w:rPr>
        <w:t>的任何活动，都将导致投标被拒绝，并由其承担相应的法律责任。</w:t>
      </w:r>
    </w:p>
    <w:p w14:paraId="6E83FA72">
      <w:pPr>
        <w:pStyle w:val="34"/>
        <w:adjustRightInd w:val="0"/>
        <w:spacing w:line="400" w:lineRule="exact"/>
        <w:ind w:firstLine="726"/>
        <w:jc w:val="center"/>
        <w:rPr>
          <w:rFonts w:hint="eastAsia" w:ascii="仿宋_GB2312" w:hAnsi="仿宋_GB2312" w:eastAsia="仿宋_GB2312" w:cs="仿宋_GB2312"/>
          <w:b/>
          <w:snapToGrid w:val="0"/>
          <w:color w:val="auto"/>
          <w:sz w:val="32"/>
          <w:szCs w:val="32"/>
        </w:rPr>
      </w:pPr>
    </w:p>
    <w:p w14:paraId="223800F2">
      <w:pPr>
        <w:pStyle w:val="34"/>
        <w:adjustRightInd w:val="0"/>
        <w:spacing w:line="400" w:lineRule="exact"/>
        <w:ind w:firstLine="726"/>
        <w:jc w:val="center"/>
        <w:rPr>
          <w:rFonts w:hint="eastAsia" w:ascii="仿宋_GB2312" w:hAnsi="仿宋_GB2312" w:eastAsia="仿宋_GB2312" w:cs="仿宋_GB2312"/>
          <w:b/>
          <w:snapToGrid w:val="0"/>
          <w:color w:val="auto"/>
          <w:sz w:val="32"/>
          <w:szCs w:val="32"/>
        </w:rPr>
      </w:pPr>
      <w:r>
        <w:rPr>
          <w:rFonts w:hint="eastAsia" w:ascii="仿宋_GB2312" w:hAnsi="仿宋_GB2312" w:eastAsia="仿宋_GB2312" w:cs="仿宋_GB2312"/>
          <w:b/>
          <w:snapToGrid w:val="0"/>
          <w:color w:val="auto"/>
          <w:sz w:val="32"/>
          <w:szCs w:val="32"/>
        </w:rPr>
        <w:t>五、授予合同</w:t>
      </w:r>
    </w:p>
    <w:bookmarkEnd w:id="1"/>
    <w:bookmarkEnd w:id="2"/>
    <w:bookmarkEnd w:id="3"/>
    <w:p w14:paraId="1BCBC233">
      <w:pPr>
        <w:pStyle w:val="17"/>
        <w:tabs>
          <w:tab w:val="clear" w:pos="454"/>
        </w:tabs>
        <w:spacing w:afterLines="0" w:line="400" w:lineRule="exact"/>
        <w:ind w:left="0" w:firstLine="0"/>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1.中标条件</w:t>
      </w:r>
    </w:p>
    <w:p w14:paraId="13AEC95A">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1.1投标文件基本符合招标文件要求；</w:t>
      </w:r>
    </w:p>
    <w:p w14:paraId="4AAA23B0">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1.2投标人有很好的执行合同的能力；</w:t>
      </w:r>
    </w:p>
    <w:p w14:paraId="1036650D">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1.3实施方案最合理并对招标人最为有利，最大限度满足招标文件的要求；</w:t>
      </w:r>
    </w:p>
    <w:p w14:paraId="5A9CFE45">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1.4投标人能够提供质量技术、商务经济占综合优势的系统及服务。</w:t>
      </w:r>
    </w:p>
    <w:p w14:paraId="771A7B58">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1.5招标人将把中标通知书授予最佳投标者，但最低价不是中标的绝对保证。</w:t>
      </w:r>
    </w:p>
    <w:p w14:paraId="70D0E486">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2.中标确认</w:t>
      </w:r>
    </w:p>
    <w:p w14:paraId="0AFD0B90">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2.1采购人应当自收到评标报告之日起５个工作日内，在评标报告确定的中标候选人名单中按顺序确定中标人。</w:t>
      </w:r>
    </w:p>
    <w:p w14:paraId="21D6F70E">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2.2采购人在收到评标报告5个工作日内未按评标报告推荐的中标候选人顺序确定中标人，视同按评标报告推荐的顺序确定的中标候选人为中标人。</w:t>
      </w:r>
    </w:p>
    <w:p w14:paraId="209C6BAE">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2.3采购人应在确认中标人前再次对资格条件和相关证件材料进一步查验核实。</w:t>
      </w:r>
    </w:p>
    <w:p w14:paraId="302B5CF3">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3．中标通知</w:t>
      </w:r>
    </w:p>
    <w:p w14:paraId="628002E4">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3.1采购代理机构对中标结果在指定媒体（浙江政府采购网</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"http://www.zjzfcg.gov.cn"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z w:val="24"/>
        </w:rPr>
        <w:t>http://zfcg.czt.zj.gov.cn/</w:t>
      </w:r>
      <w:r>
        <w:rPr>
          <w:rFonts w:hint="eastAsia" w:ascii="仿宋_GB2312" w:hAnsi="仿宋_GB2312" w:eastAsia="仿宋_GB2312" w:cs="仿宋_GB2312"/>
          <w:color w:val="auto"/>
          <w:sz w:val="24"/>
        </w:rPr>
        <w:fldChar w:fldCharType="end"/>
      </w:r>
      <w:r>
        <w:rPr>
          <w:rFonts w:hint="eastAsia" w:ascii="仿宋_GB2312" w:hAnsi="仿宋_GB2312" w:eastAsia="仿宋_GB2312" w:cs="仿宋_GB2312"/>
          <w:color w:val="auto"/>
          <w:sz w:val="24"/>
        </w:rPr>
        <w:t>、绍兴公共资源交易网</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"http://ggb.sx.gov.cn"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z w:val="24"/>
        </w:rPr>
        <w:t>http://ggb.sx.gov.cn</w:t>
      </w:r>
      <w:r>
        <w:rPr>
          <w:rFonts w:hint="eastAsia" w:ascii="仿宋_GB2312" w:hAnsi="仿宋_GB2312" w:eastAsia="仿宋_GB2312" w:cs="仿宋_GB2312"/>
          <w:color w:val="auto"/>
          <w:sz w:val="24"/>
        </w:rPr>
        <w:fldChar w:fldCharType="end"/>
      </w:r>
      <w:r>
        <w:rPr>
          <w:rFonts w:hint="eastAsia" w:ascii="仿宋_GB2312" w:hAnsi="仿宋_GB2312" w:eastAsia="仿宋_GB2312" w:cs="仿宋_GB2312"/>
          <w:color w:val="auto"/>
          <w:sz w:val="24"/>
        </w:rPr>
        <w:t>）发布中标公告，中标公告期限为1个工作日。</w:t>
      </w:r>
    </w:p>
    <w:p w14:paraId="0C6230AA">
      <w:pPr>
        <w:snapToGrid w:val="0"/>
        <w:spacing w:line="400" w:lineRule="exact"/>
        <w:ind w:firstLine="480" w:firstLineChars="200"/>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rPr>
        <w:t>3.2采购机构通过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lang w:val="zh-CN"/>
        </w:rPr>
        <w:t>。</w:t>
      </w:r>
    </w:p>
    <w:p w14:paraId="2C46C1B6">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3.3采购代理机构对中标结果不作任何说明和解释，也不回答任何提问。</w:t>
      </w:r>
    </w:p>
    <w:p w14:paraId="7796C842">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4．履约保证金</w:t>
      </w:r>
    </w:p>
    <w:p w14:paraId="6F6B7773">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58902AD">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4.2项目验收结束后，采购人应及时退还履约保证金。</w:t>
      </w:r>
    </w:p>
    <w:p w14:paraId="574FFD64">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4.3供应商以银行、保险公司出具保函形式提交履约保证金的，采购人不得拒收。</w:t>
      </w:r>
    </w:p>
    <w:p w14:paraId="0D8FF872">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4.4采购货物和服务项目不得收取质量保证金。</w:t>
      </w:r>
    </w:p>
    <w:p w14:paraId="69BE2EDE">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5．合同签订及备案</w:t>
      </w:r>
    </w:p>
    <w:p w14:paraId="334459BD">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5.1中标人应当在中标通知书发出之日起30天内与采购人签订合同，自采购合同签订之日起</w:t>
      </w:r>
      <w:r>
        <w:rPr>
          <w:rFonts w:hint="eastAsia" w:ascii="仿宋_GB2312" w:hAnsi="仿宋_GB2312" w:eastAsia="仿宋_GB2312" w:cs="仿宋_GB2312"/>
          <w:b/>
          <w:bCs/>
          <w:color w:val="auto"/>
          <w:sz w:val="24"/>
          <w:lang w:val="en-US" w:eastAsia="zh-CN"/>
        </w:rPr>
        <w:t>3</w:t>
      </w:r>
      <w:r>
        <w:rPr>
          <w:rFonts w:hint="eastAsia" w:ascii="仿宋_GB2312" w:hAnsi="仿宋_GB2312" w:eastAsia="仿宋_GB2312" w:cs="仿宋_GB2312"/>
          <w:b/>
          <w:bCs/>
          <w:color w:val="auto"/>
          <w:sz w:val="24"/>
        </w:rPr>
        <w:t>个工作日内</w:t>
      </w:r>
      <w:r>
        <w:rPr>
          <w:rFonts w:hint="eastAsia" w:ascii="仿宋_GB2312" w:hAnsi="仿宋_GB2312" w:eastAsia="仿宋_GB2312" w:cs="仿宋_GB2312"/>
          <w:color w:val="auto"/>
          <w:sz w:val="24"/>
        </w:rPr>
        <w:t>，通过电子交易平台进行备案。</w:t>
      </w:r>
    </w:p>
    <w:p w14:paraId="7E11B5A2">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5.2如中标人为联合体的，由联合体成员各方法定代表人或其授权代表与采购人代表签订合同。</w:t>
      </w:r>
    </w:p>
    <w:p w14:paraId="66B97D80">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6.验收</w:t>
      </w:r>
    </w:p>
    <w:p w14:paraId="510E487C">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EF1E110">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6.2采购人可以邀请参加本项目的其他投标人或者第三方机构参与验收。参与验收的投标人或者第三方机构的意见作为验收书的参考资料一并存档。</w:t>
      </w:r>
    </w:p>
    <w:p w14:paraId="3E33B415">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6.3 采购人负责加强对中标人的履约管理，并按照采购合同约定，及时向中标人支付采购资金。对于中标人违反采购合同约定的行为，采购人应当及时处理，依法追究其违约责任。</w:t>
      </w:r>
    </w:p>
    <w:p w14:paraId="2539EBF1">
      <w:pPr>
        <w:spacing w:line="40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7.售后服务考核</w:t>
      </w:r>
    </w:p>
    <w:p w14:paraId="69D027B0">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采购机构将联</w:t>
      </w:r>
      <w:r>
        <w:rPr>
          <w:rFonts w:hint="eastAsia" w:ascii="仿宋_GB2312" w:hAnsi="仿宋_GB2312" w:eastAsia="仿宋_GB2312" w:cs="仿宋_GB2312"/>
          <w:color w:val="auto"/>
          <w:sz w:val="24"/>
          <w:highlight w:val="none"/>
        </w:rPr>
        <w:t>合采购监管部门不定期对合同的履约情况进行检查，发现未按合同规定进行履约的，有弄虚作假，偷工减料，以次充好等情形，达不到国家、行业有关标准和商务技术（资信）文件规定的，一经查实，由采购监督管理部门给</w:t>
      </w:r>
      <w:r>
        <w:rPr>
          <w:rFonts w:hint="eastAsia" w:ascii="仿宋_GB2312" w:hAnsi="仿宋_GB2312" w:eastAsia="仿宋_GB2312" w:cs="仿宋_GB2312"/>
          <w:color w:val="auto"/>
          <w:sz w:val="24"/>
        </w:rPr>
        <w:t>予相应处罚。</w:t>
      </w:r>
    </w:p>
    <w:p w14:paraId="292DD1FD">
      <w:pPr>
        <w:spacing w:line="400" w:lineRule="exact"/>
        <w:jc w:val="center"/>
        <w:outlineLvl w:val="0"/>
        <w:rPr>
          <w:rFonts w:hint="eastAsia" w:ascii="仿宋_GB2312" w:hAnsi="仿宋_GB2312" w:eastAsia="仿宋_GB2312" w:cs="仿宋_GB2312"/>
          <w:b/>
          <w:color w:val="auto"/>
          <w:sz w:val="36"/>
          <w:szCs w:val="36"/>
        </w:rPr>
      </w:pPr>
    </w:p>
    <w:p w14:paraId="79D6D215">
      <w:pPr>
        <w:spacing w:line="400" w:lineRule="exact"/>
        <w:jc w:val="center"/>
        <w:outlineLvl w:val="0"/>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六、询问、质疑与投诉</w:t>
      </w:r>
    </w:p>
    <w:p w14:paraId="0B44808E">
      <w:pPr>
        <w:spacing w:line="4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24"/>
          <w:szCs w:val="20"/>
        </w:rPr>
        <w:t>1.在线询问、质疑、投诉</w:t>
      </w:r>
    </w:p>
    <w:p w14:paraId="3BF4A7AE">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5BE8AB15">
      <w:pPr>
        <w:spacing w:line="4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24"/>
        </w:rPr>
        <w:t>2. 供应商询问</w:t>
      </w:r>
    </w:p>
    <w:p w14:paraId="29E87E1F">
      <w:pPr>
        <w:autoSpaceDE w:val="0"/>
        <w:autoSpaceDN w:val="0"/>
        <w:spacing w:line="400" w:lineRule="exact"/>
        <w:ind w:firstLine="480" w:firstLineChars="200"/>
        <w:jc w:val="left"/>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kern w:val="0"/>
          <w:sz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9329D90">
      <w:pPr>
        <w:spacing w:line="4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24"/>
        </w:rPr>
        <w:t>3. 供应商质疑</w:t>
      </w:r>
    </w:p>
    <w:p w14:paraId="4575B078">
      <w:pPr>
        <w:spacing w:line="400" w:lineRule="exact"/>
        <w:ind w:firstLine="482"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kern w:val="0"/>
          <w:sz w:val="24"/>
          <w:szCs w:val="20"/>
          <w:lang w:val="zh-CN"/>
        </w:rPr>
        <w:t>3</w:t>
      </w:r>
      <w:r>
        <w:rPr>
          <w:rFonts w:hint="eastAsia" w:ascii="仿宋_GB2312" w:hAnsi="仿宋_GB2312" w:eastAsia="仿宋_GB2312" w:cs="仿宋_GB2312"/>
          <w:b/>
          <w:bCs/>
          <w:color w:val="auto"/>
          <w:sz w:val="24"/>
          <w:szCs w:val="20"/>
        </w:rPr>
        <w:t>.1质疑提出时效</w:t>
      </w:r>
    </w:p>
    <w:p w14:paraId="04F3CCAF">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3.1.1提出质疑的供应商应当是参与所质疑项目采购活动的供应商。潜在供应商已依法获取其可质疑的采购文件的，可以对该文件提出质疑。</w:t>
      </w:r>
    </w:p>
    <w:p w14:paraId="0E3D6C4C">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kern w:val="0"/>
          <w:sz w:val="24"/>
          <w:szCs w:val="20"/>
          <w:lang w:val="zh-CN"/>
        </w:rPr>
        <w:t>3</w:t>
      </w:r>
      <w:r>
        <w:rPr>
          <w:rFonts w:hint="eastAsia" w:ascii="仿宋_GB2312" w:hAnsi="仿宋_GB2312" w:eastAsia="仿宋_GB2312" w:cs="仿宋_GB2312"/>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7F3211">
      <w:pPr>
        <w:widowControl/>
        <w:snapToGrid w:val="0"/>
        <w:spacing w:line="400" w:lineRule="exact"/>
        <w:ind w:firstLine="434" w:firstLineChars="181"/>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FC3B410">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3.1.2.2对采购过程提出质疑的，质疑期限为各采购程序环节结束之日起计算。</w:t>
      </w:r>
    </w:p>
    <w:p w14:paraId="2535E917">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3.1.2.3对采购结果提出质疑的，质疑期限自采购结果公告期限届满之日起计算。</w:t>
      </w:r>
    </w:p>
    <w:p w14:paraId="749E5FFA">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3.1.2.4对同一采购程序环节的质疑，供应商须一次性提出。</w:t>
      </w:r>
    </w:p>
    <w:p w14:paraId="0774ECF7">
      <w:pPr>
        <w:spacing w:line="400" w:lineRule="exact"/>
        <w:ind w:firstLine="482"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kern w:val="0"/>
          <w:sz w:val="24"/>
          <w:szCs w:val="20"/>
          <w:lang w:val="zh-CN"/>
        </w:rPr>
        <w:t>3.</w:t>
      </w:r>
      <w:r>
        <w:rPr>
          <w:rFonts w:hint="eastAsia" w:ascii="仿宋_GB2312" w:hAnsi="仿宋_GB2312" w:eastAsia="仿宋_GB2312" w:cs="仿宋_GB2312"/>
          <w:b/>
          <w:bCs/>
          <w:color w:val="auto"/>
          <w:kern w:val="0"/>
          <w:sz w:val="24"/>
          <w:szCs w:val="20"/>
        </w:rPr>
        <w:t>2</w:t>
      </w:r>
      <w:r>
        <w:rPr>
          <w:rFonts w:hint="eastAsia" w:ascii="仿宋_GB2312" w:hAnsi="仿宋_GB2312" w:eastAsia="仿宋_GB2312" w:cs="仿宋_GB2312"/>
          <w:b/>
          <w:bCs/>
          <w:color w:val="auto"/>
          <w:kern w:val="0"/>
          <w:sz w:val="24"/>
          <w:szCs w:val="20"/>
          <w:lang w:val="zh-CN"/>
        </w:rPr>
        <w:t>质疑函</w:t>
      </w:r>
    </w:p>
    <w:p w14:paraId="04494DAC">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3.2.1供应商提出质疑应当提交质疑函和必要的证明材料。质疑函应当包括下列内容：</w:t>
      </w:r>
    </w:p>
    <w:p w14:paraId="2F42E30B">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rPr>
        <w:t>供应商的姓名或者名称、地址、邮编、联系人及联系电话；</w:t>
      </w:r>
    </w:p>
    <w:p w14:paraId="2C9CDFD7">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rPr>
        <w:t>质疑项目的名称、编号；</w:t>
      </w:r>
    </w:p>
    <w:p w14:paraId="3022EEFA">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rPr>
        <w:t>具体、明确的质疑事项和与质疑事项相关的请求；</w:t>
      </w:r>
    </w:p>
    <w:p w14:paraId="7A9F371D">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rPr>
        <w:t>事实依据；</w:t>
      </w:r>
    </w:p>
    <w:p w14:paraId="00335BEE">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rPr>
        <w:t>必要的法律依据；</w:t>
      </w:r>
    </w:p>
    <w:p w14:paraId="3F2C86BA">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rPr>
        <w:t>提出质疑的日期。</w:t>
      </w:r>
    </w:p>
    <w:p w14:paraId="0E3A68B7">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65244F40">
      <w:pPr>
        <w:spacing w:line="400" w:lineRule="exact"/>
        <w:ind w:firstLine="482"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24"/>
          <w:szCs w:val="20"/>
        </w:rPr>
        <w:t>质疑函范本及制作说明详见附件1。</w:t>
      </w:r>
    </w:p>
    <w:p w14:paraId="5DF3F050">
      <w:pPr>
        <w:spacing w:line="4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24"/>
        </w:rPr>
        <w:t>4.供应商投诉</w:t>
      </w:r>
    </w:p>
    <w:p w14:paraId="6C64B280">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4.1质疑供应商对采购人或采购代理机构的答复不满意或者采购人、采购代理机构未在规定的时间内作出答复的，可以在答复期满后十五个工作日内向采购监督管理部门提出投诉。</w:t>
      </w:r>
    </w:p>
    <w:p w14:paraId="413A8CEB">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4.2供应商投诉的事项不得超出已质疑事项的范围，基于质疑答复内容提出的投诉事项除外。</w:t>
      </w:r>
    </w:p>
    <w:p w14:paraId="6E3D8EF2">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4.3供应商投诉应当有明确的请求和必要的证明材料。</w:t>
      </w:r>
    </w:p>
    <w:p w14:paraId="18A30ED9">
      <w:pPr>
        <w:spacing w:line="400" w:lineRule="exact"/>
        <w:ind w:firstLine="480"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color w:val="auto"/>
          <w:sz w:val="24"/>
          <w:szCs w:val="20"/>
        </w:rPr>
        <w:t>4.4以联合体形式参加采购活动的，其投诉应当由组成联合体的所有供应商共同提出。</w:t>
      </w:r>
    </w:p>
    <w:p w14:paraId="16FD151D">
      <w:pPr>
        <w:snapToGrid w:val="0"/>
        <w:spacing w:line="400" w:lineRule="exact"/>
        <w:ind w:firstLine="482" w:firstLineChars="200"/>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24"/>
          <w:szCs w:val="20"/>
        </w:rPr>
        <w:t>投诉书范本及制作说明详见附件2。</w:t>
      </w:r>
    </w:p>
    <w:p w14:paraId="5AD8B2B5">
      <w:pPr>
        <w:pageBreakBefore/>
        <w:snapToGrid w:val="0"/>
        <w:spacing w:line="800" w:lineRule="exact"/>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第三部分 招标项目范围及要求</w:t>
      </w:r>
    </w:p>
    <w:p w14:paraId="74EA4DCF">
      <w:pPr>
        <w:spacing w:line="288" w:lineRule="auto"/>
        <w:ind w:firstLine="482" w:firstLineChars="200"/>
        <w:rPr>
          <w:rFonts w:hint="eastAsia" w:ascii="仿宋_GB2312" w:hAnsi="仿宋_GB2312" w:eastAsia="仿宋_GB2312" w:cs="仿宋_GB2312"/>
          <w:b/>
          <w:color w:val="auto"/>
          <w:kern w:val="0"/>
          <w:sz w:val="24"/>
        </w:rPr>
      </w:pPr>
      <w:bookmarkStart w:id="4" w:name="_Toc151354173"/>
      <w:bookmarkStart w:id="5" w:name="_Toc81372787"/>
      <w:bookmarkStart w:id="6" w:name="_Toc81372964"/>
      <w:bookmarkStart w:id="7" w:name="_Toc84325981"/>
      <w:bookmarkStart w:id="8" w:name="_Toc80157775"/>
    </w:p>
    <w:p w14:paraId="127107CB">
      <w:pPr>
        <w:spacing w:line="360" w:lineRule="auto"/>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bdr w:val="single" w:color="auto" w:sz="4" w:space="0"/>
        </w:rPr>
        <w:t>01标</w:t>
      </w:r>
      <w:bookmarkStart w:id="9" w:name="_Toc533024070"/>
      <w:bookmarkStart w:id="10" w:name="_Toc495609857"/>
      <w:bookmarkStart w:id="11" w:name="_Toc6413851"/>
      <w:bookmarkStart w:id="12" w:name="_Toc7206"/>
      <w:bookmarkStart w:id="13" w:name="_Toc32678"/>
      <w:r>
        <w:rPr>
          <w:rFonts w:hint="eastAsia" w:ascii="仿宋_GB2312" w:hAnsi="仿宋_GB2312" w:eastAsia="仿宋_GB2312" w:cs="仿宋_GB2312"/>
          <w:color w:val="auto"/>
          <w:sz w:val="24"/>
        </w:rPr>
        <w:t>绍兴市镜湖康体中心教学活动场所教学活动类设备设施器材-教学场所设备采购项目</w:t>
      </w:r>
    </w:p>
    <w:p w14:paraId="0BBCE2EC">
      <w:pPr>
        <w:widowControl/>
        <w:kinsoku w:val="0"/>
        <w:autoSpaceDE w:val="0"/>
        <w:autoSpaceDN w:val="0"/>
        <w:snapToGrid w:val="0"/>
        <w:spacing w:line="312" w:lineRule="auto"/>
        <w:rPr>
          <w:rFonts w:hint="eastAsia" w:ascii="仿宋_GB2312" w:hAnsi="仿宋_GB2312" w:eastAsia="仿宋_GB2312" w:cs="仿宋_GB2312"/>
          <w:b/>
          <w:bCs/>
          <w:color w:val="auto"/>
          <w:spacing w:val="-4"/>
          <w:sz w:val="24"/>
          <w:szCs w:val="24"/>
        </w:rPr>
      </w:pPr>
      <w:r>
        <w:rPr>
          <w:rFonts w:hint="eastAsia" w:ascii="仿宋_GB2312" w:hAnsi="仿宋_GB2312" w:eastAsia="仿宋_GB2312" w:cs="仿宋_GB2312"/>
          <w:b/>
          <w:bCs/>
          <w:color w:val="auto"/>
          <w:spacing w:val="-4"/>
          <w:sz w:val="24"/>
          <w:szCs w:val="24"/>
        </w:rPr>
        <w:t>（一）基本要求</w:t>
      </w:r>
    </w:p>
    <w:p w14:paraId="4F7BFBFB">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1.设备（材料）要求</w:t>
      </w:r>
    </w:p>
    <w:p w14:paraId="3F57555C">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1.1投标人投标提供的设备必须是厂商原装的、全新的，型号、性能及指标符合国家及招标文件提出的有关技术、质量、安全标准。</w:t>
      </w:r>
    </w:p>
    <w:p w14:paraId="415D5B50">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1.2所有设备在开箱检验时必须完好，无破损，配置与装箱单相符。数量、质量及性能不低于本需求书中提出的要求。</w:t>
      </w:r>
    </w:p>
    <w:p w14:paraId="4AB5ED57">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14:paraId="05F97241">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1.4对于影响设备正常工作的必要组成部分，无论在技术规范中指出与否，投标人都应提供并在投标文件中明确列出。</w:t>
      </w:r>
    </w:p>
    <w:p w14:paraId="6966BEB1">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1.5所有货物提供出厂合格证等质量证明文件。</w:t>
      </w:r>
    </w:p>
    <w:p w14:paraId="146AC1D0">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1.6所有货物到现场安装使用前，采购人将进行抽样检验或试验。</w:t>
      </w:r>
    </w:p>
    <w:p w14:paraId="4B45C5CD">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2.服务要求</w:t>
      </w:r>
    </w:p>
    <w:p w14:paraId="7AA7FED4">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2.1 中标人提供的产品，必须符合招标文件及其投标文件规定的要求，如有不符，采购人可以无条件退货，造成的损失由中标人承担。</w:t>
      </w:r>
    </w:p>
    <w:p w14:paraId="43891E24">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2.2 中标人、供货人名称必须一致，否则作违约处理，其履约保证金不予退还。</w:t>
      </w:r>
    </w:p>
    <w:p w14:paraId="181FF3F8">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3. 项目实施人员费用</w:t>
      </w:r>
    </w:p>
    <w:p w14:paraId="796015A4">
      <w:pPr>
        <w:snapToGrid w:val="0"/>
        <w:spacing w:line="312" w:lineRule="auto"/>
        <w:ind w:firstLine="480" w:firstLineChars="200"/>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中标人应自行承担选派专业人员的住宿、就餐和交通等费用, 因</w:t>
      </w:r>
      <w:r>
        <w:rPr>
          <w:rFonts w:hint="eastAsia" w:ascii="仿宋_GB2312" w:hAnsi="仿宋_GB2312" w:eastAsia="仿宋_GB2312" w:cs="仿宋_GB2312"/>
          <w:bCs/>
          <w:iCs/>
          <w:color w:val="auto"/>
          <w:sz w:val="24"/>
          <w:lang w:eastAsia="zh-CN"/>
        </w:rPr>
        <w:t>中标人</w:t>
      </w:r>
      <w:r>
        <w:rPr>
          <w:rFonts w:hint="eastAsia" w:ascii="仿宋_GB2312" w:hAnsi="仿宋_GB2312" w:eastAsia="仿宋_GB2312" w:cs="仿宋_GB2312"/>
          <w:bCs/>
          <w:iCs/>
          <w:color w:val="auto"/>
          <w:sz w:val="24"/>
        </w:rPr>
        <w:t>原因造成采购人、监理人、其他中标人、第三方人员的损失，由</w:t>
      </w:r>
      <w:r>
        <w:rPr>
          <w:rFonts w:hint="eastAsia" w:ascii="仿宋_GB2312" w:hAnsi="仿宋_GB2312" w:eastAsia="仿宋_GB2312" w:cs="仿宋_GB2312"/>
          <w:bCs/>
          <w:iCs/>
          <w:color w:val="auto"/>
          <w:sz w:val="24"/>
          <w:lang w:eastAsia="zh-CN"/>
        </w:rPr>
        <w:t>中标人</w:t>
      </w:r>
      <w:r>
        <w:rPr>
          <w:rFonts w:hint="eastAsia" w:ascii="仿宋_GB2312" w:hAnsi="仿宋_GB2312" w:eastAsia="仿宋_GB2312" w:cs="仿宋_GB2312"/>
          <w:bCs/>
          <w:iCs/>
          <w:color w:val="auto"/>
          <w:sz w:val="24"/>
        </w:rPr>
        <w:t>承担赔偿责任。</w:t>
      </w:r>
    </w:p>
    <w:p w14:paraId="09A9FFF1">
      <w:pPr>
        <w:widowControl/>
        <w:kinsoku w:val="0"/>
        <w:autoSpaceDE w:val="0"/>
        <w:autoSpaceDN w:val="0"/>
        <w:snapToGrid w:val="0"/>
        <w:spacing w:line="312" w:lineRule="auto"/>
        <w:rPr>
          <w:rFonts w:hint="eastAsia" w:ascii="仿宋_GB2312" w:hAnsi="仿宋_GB2312" w:eastAsia="仿宋_GB2312" w:cs="仿宋_GB2312"/>
          <w:b/>
          <w:bCs/>
          <w:color w:val="auto"/>
          <w:spacing w:val="-4"/>
          <w:sz w:val="24"/>
          <w:szCs w:val="24"/>
        </w:rPr>
      </w:pPr>
      <w:r>
        <w:rPr>
          <w:rFonts w:hint="eastAsia" w:ascii="仿宋_GB2312" w:hAnsi="仿宋_GB2312" w:eastAsia="仿宋_GB2312" w:cs="仿宋_GB2312"/>
          <w:b/>
          <w:bCs/>
          <w:color w:val="auto"/>
          <w:spacing w:val="-4"/>
          <w:sz w:val="24"/>
          <w:szCs w:val="24"/>
        </w:rPr>
        <w:t>（二）商务要求</w:t>
      </w:r>
    </w:p>
    <w:p w14:paraId="50D3A6A4">
      <w:pPr>
        <w:widowControl/>
        <w:kinsoku w:val="0"/>
        <w:autoSpaceDE w:val="0"/>
        <w:autoSpaceDN w:val="0"/>
        <w:snapToGrid w:val="0"/>
        <w:spacing w:line="312" w:lineRule="auto"/>
        <w:ind w:left="420" w:left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1.供货期</w:t>
      </w:r>
    </w:p>
    <w:p w14:paraId="355A2835">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合同签订后40日历天内完成供货及安装。</w:t>
      </w:r>
    </w:p>
    <w:p w14:paraId="2838C9B6">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（1）中标人必须在要求工期内完成供货、安装、调试、验收完成，为了保证产品的安全稳定，相应的器材设施应有相关保险，以防止意外情况的发生。</w:t>
      </w:r>
    </w:p>
    <w:p w14:paraId="4229CF53">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（2）中标人提供的中标物品，必须符合本招标文件要求、原包装送达项目实施地点；如有不符，采购人可以无条件退货，所造成的损失由中标人承担。更换后的零部件质保期按更换日起顺延。</w:t>
      </w:r>
    </w:p>
    <w:p w14:paraId="63F45F46">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（3）需有售后服务专用车辆进行配送工作，要充分考虑到运输成本。</w:t>
      </w:r>
    </w:p>
    <w:p w14:paraId="53C4ED94">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2.质保期</w:t>
      </w:r>
    </w:p>
    <w:p w14:paraId="1B2BD073">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投标人须提供经调试、验收合格后，产品免费保修两年(投标人可根据自身实力作出更长时间的质保承诺)。在此期间，投标人应免费处理因质量发生的故障，并进行正常保养。</w:t>
      </w:r>
    </w:p>
    <w:p w14:paraId="6DFB1DD6">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rPr>
        <w:t>3.售</w:t>
      </w:r>
      <w:r>
        <w:rPr>
          <w:rFonts w:hint="eastAsia" w:ascii="仿宋_GB2312" w:hAnsi="仿宋_GB2312" w:eastAsia="仿宋_GB2312" w:cs="仿宋_GB2312"/>
          <w:color w:val="auto"/>
          <w:spacing w:val="-4"/>
          <w:sz w:val="24"/>
          <w:szCs w:val="24"/>
          <w:highlight w:val="none"/>
        </w:rPr>
        <w:t>后服务最低要求</w:t>
      </w:r>
    </w:p>
    <w:p w14:paraId="17CD8A1F">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中标人需提供专门的售后服务电话，中标人在接到采购人通知后， 1 小时内做出响应， 12小时内派人赴现场处理问题。 72 小时内无法修复的，中标人需提供无偿提供备机或备用零件供采购人使用。</w:t>
      </w:r>
    </w:p>
    <w:p w14:paraId="1E8FD144">
      <w:pPr>
        <w:widowControl/>
        <w:kinsoku w:val="0"/>
        <w:autoSpaceDE w:val="0"/>
        <w:autoSpaceDN w:val="0"/>
        <w:snapToGrid w:val="0"/>
        <w:spacing w:line="312" w:lineRule="auto"/>
        <w:rPr>
          <w:rFonts w:hint="eastAsia" w:ascii="仿宋_GB2312" w:hAnsi="仿宋_GB2312" w:eastAsia="仿宋_GB2312" w:cs="仿宋_GB2312"/>
          <w:b/>
          <w:bCs/>
          <w:color w:val="auto"/>
          <w:spacing w:val="-4"/>
          <w:sz w:val="24"/>
          <w:szCs w:val="24"/>
          <w:highlight w:val="none"/>
          <w:lang w:eastAsia="zh-CN"/>
        </w:rPr>
      </w:pPr>
      <w:r>
        <w:rPr>
          <w:rFonts w:hint="eastAsia" w:ascii="仿宋_GB2312" w:hAnsi="仿宋_GB2312" w:eastAsia="仿宋_GB2312" w:cs="仿宋_GB2312"/>
          <w:b/>
          <w:bCs/>
          <w:color w:val="auto"/>
          <w:spacing w:val="-4"/>
          <w:sz w:val="24"/>
          <w:szCs w:val="24"/>
          <w:highlight w:val="none"/>
          <w:lang w:eastAsia="zh-CN"/>
        </w:rPr>
        <w:t>（三）付款及结算</w:t>
      </w:r>
    </w:p>
    <w:p w14:paraId="3DAC4DE7">
      <w:pPr>
        <w:widowControl/>
        <w:numPr>
          <w:ilvl w:val="0"/>
          <w:numId w:val="0"/>
        </w:numPr>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1.付款方式：</w:t>
      </w:r>
    </w:p>
    <w:p w14:paraId="582F15A8">
      <w:pPr>
        <w:keepNext w:val="0"/>
        <w:keepLines w:val="0"/>
        <w:widowControl w:val="0"/>
        <w:suppressLineNumbers w:val="0"/>
        <w:snapToGrid w:val="0"/>
        <w:spacing w:before="0" w:beforeAutospacing="0" w:after="0" w:afterAutospacing="0" w:line="324" w:lineRule="auto"/>
        <w:ind w:left="0" w:right="0" w:firstLine="480" w:firstLineChars="200"/>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按《浙江省财政厅关于进一步发挥政府采购政策功能全力推动经济稳进提质的通知》（浙财采监〔2022〕3号）等文件要求执行，</w:t>
      </w:r>
      <w:r>
        <w:rPr>
          <w:rFonts w:hint="default" w:ascii="仿宋_GB2312" w:hAnsi="仿宋_GB2312" w:eastAsia="仿宋_GB2312" w:cs="仿宋_GB2312"/>
          <w:color w:val="auto"/>
          <w:sz w:val="24"/>
          <w:szCs w:val="24"/>
          <w:highlight w:val="none"/>
          <w:lang w:val="en-US" w:eastAsia="zh-CN"/>
        </w:rPr>
        <w:t>具体付款方式由双方协商后在合同中明确。</w:t>
      </w:r>
    </w:p>
    <w:p w14:paraId="58A98575">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2.结算原则</w:t>
      </w:r>
    </w:p>
    <w:p w14:paraId="373F8B99">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单价合同。</w:t>
      </w:r>
    </w:p>
    <w:p w14:paraId="3BEF1754">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3.数量调整</w:t>
      </w:r>
    </w:p>
    <w:p w14:paraId="3DA930C6">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采购人保留合同履行中调整部分方案及定购设备数量和服务的权力，投标人应对系统方案中设备和服务明细报价，并按中标单价进行结算，按中标单价不变的前提下进行调整，双方不得拒绝。合同最终结算价款按实际使用量乘以中标单价进行计算，追加的采购金额不得超过合同价的10%。如遇本次招标没有涉及的设备或服务时，由中标人提供申请，采购人确认后实施。</w:t>
      </w:r>
    </w:p>
    <w:p w14:paraId="1FC5B7AD">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4.验收要求、标准</w:t>
      </w:r>
    </w:p>
    <w:p w14:paraId="2FF12F8F">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4.1验收以采购文件和技术文件、投标文件、合同及安装技术要求为依据。</w:t>
      </w:r>
    </w:p>
    <w:p w14:paraId="04956898">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4.2所有家具设施的款式、型号、颜色等以招标文件和投标文件为准，货物清单作为合同附件。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6EB60216">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4.3验收必须符合国家、地方有关规范、标准及设计要求。</w:t>
      </w:r>
    </w:p>
    <w:p w14:paraId="0196CC84">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4.4符合验收条件的，由采购人或专家组织有关部门按照国家、地方有关规范、标准及设计要求进行验收。验收后中标人应按照验收中提出的意见整改。</w:t>
      </w:r>
    </w:p>
    <w:p w14:paraId="32AD28C2">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4.5整改完毕且复验合格后将本项目货物交给采购人使用，完成日期以通过复验日期为准。</w:t>
      </w:r>
    </w:p>
    <w:p w14:paraId="18448833">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4.6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421546F9">
      <w:pPr>
        <w:widowControl/>
        <w:numPr>
          <w:ilvl w:val="0"/>
          <w:numId w:val="6"/>
        </w:numPr>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其他</w:t>
      </w:r>
    </w:p>
    <w:p w14:paraId="717E09CD">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5.1对于需连接强电、弱电、给水、排水或排烟点位的设施设备器材，房间内部已经尽可能就近预留有相应点位，设施设备器材至房间内部预留点位配套的连接件、耗材、人工或者改造需</w:t>
      </w:r>
      <w:r>
        <w:rPr>
          <w:rFonts w:hint="eastAsia" w:ascii="仿宋_GB2312" w:hAnsi="仿宋_GB2312" w:eastAsia="仿宋_GB2312" w:cs="仿宋_GB2312"/>
          <w:color w:val="auto"/>
          <w:spacing w:val="-4"/>
          <w:sz w:val="24"/>
          <w:szCs w:val="24"/>
          <w:lang w:eastAsia="zh-CN"/>
        </w:rPr>
        <w:t>中标人</w:t>
      </w:r>
      <w:r>
        <w:rPr>
          <w:rFonts w:hint="eastAsia" w:ascii="仿宋_GB2312" w:hAnsi="仿宋_GB2312" w:eastAsia="仿宋_GB2312" w:cs="仿宋_GB2312"/>
          <w:color w:val="auto"/>
          <w:spacing w:val="-4"/>
          <w:sz w:val="24"/>
          <w:szCs w:val="24"/>
        </w:rPr>
        <w:t>承担，需同时满足美观要求。该部分费用不另行计取。</w:t>
      </w:r>
    </w:p>
    <w:p w14:paraId="6888E236">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5.2本项目具有使用单位，采购人验收之日起至使用单位正式进场入驻之日期间，设施设备器材的日常看管，需由</w:t>
      </w:r>
      <w:r>
        <w:rPr>
          <w:rFonts w:hint="eastAsia" w:ascii="仿宋_GB2312" w:hAnsi="仿宋_GB2312" w:eastAsia="仿宋_GB2312" w:cs="仿宋_GB2312"/>
          <w:color w:val="auto"/>
          <w:spacing w:val="-4"/>
          <w:sz w:val="24"/>
          <w:szCs w:val="24"/>
          <w:lang w:eastAsia="zh-CN"/>
        </w:rPr>
        <w:t>中标人</w:t>
      </w:r>
      <w:r>
        <w:rPr>
          <w:rFonts w:hint="eastAsia" w:ascii="仿宋_GB2312" w:hAnsi="仿宋_GB2312" w:eastAsia="仿宋_GB2312" w:cs="仿宋_GB2312"/>
          <w:color w:val="auto"/>
          <w:spacing w:val="-4"/>
          <w:sz w:val="24"/>
          <w:szCs w:val="24"/>
        </w:rPr>
        <w:t>负全部责任。该部分费用不另行计取。</w:t>
      </w:r>
    </w:p>
    <w:p w14:paraId="1F2D5E5F">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5.3设施设备器材安装调试期间所使用的水电费，需按实支付给土建总承包单位。该部分费用不另行计取。</w:t>
      </w:r>
    </w:p>
    <w:p w14:paraId="402B30B7">
      <w:pPr>
        <w:widowControl/>
        <w:kinsoku w:val="0"/>
        <w:autoSpaceDE w:val="0"/>
        <w:autoSpaceDN w:val="0"/>
        <w:snapToGrid w:val="0"/>
        <w:spacing w:line="312" w:lineRule="auto"/>
        <w:ind w:firstLine="464"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color w:val="auto"/>
          <w:spacing w:val="-4"/>
          <w:sz w:val="24"/>
          <w:szCs w:val="24"/>
        </w:rPr>
        <w:t>5.4</w:t>
      </w:r>
      <w:r>
        <w:rPr>
          <w:rFonts w:hint="eastAsia" w:ascii="仿宋_GB2312" w:hAnsi="仿宋_GB2312" w:eastAsia="仿宋_GB2312" w:cs="仿宋_GB2312"/>
          <w:color w:val="auto"/>
          <w:spacing w:val="-4"/>
          <w:sz w:val="24"/>
          <w:szCs w:val="24"/>
          <w:lang w:eastAsia="zh-CN"/>
        </w:rPr>
        <w:t>中标人</w:t>
      </w:r>
      <w:r>
        <w:rPr>
          <w:rFonts w:hint="eastAsia" w:ascii="仿宋_GB2312" w:hAnsi="仿宋_GB2312" w:eastAsia="仿宋_GB2312" w:cs="仿宋_GB2312"/>
          <w:color w:val="auto"/>
          <w:spacing w:val="-4"/>
          <w:sz w:val="24"/>
          <w:szCs w:val="24"/>
        </w:rPr>
        <w:t>需全力协助采购人及使用单位做好国有资产的初始登记及编码工作，每发生一次推脱或者不配合的，扣罚1000元/次。</w:t>
      </w:r>
    </w:p>
    <w:p w14:paraId="35DE0263">
      <w:pPr>
        <w:widowControl/>
        <w:kinsoku w:val="0"/>
        <w:autoSpaceDE w:val="0"/>
        <w:autoSpaceDN w:val="0"/>
        <w:snapToGrid w:val="0"/>
        <w:spacing w:line="312" w:lineRule="auto"/>
        <w:ind w:firstLine="464" w:firstLineChars="200"/>
        <w:rPr>
          <w:rFonts w:hint="eastAsia" w:ascii="仿宋_GB2312" w:hAnsi="仿宋_GB2312" w:eastAsia="仿宋_GB2312" w:cs="仿宋_GB2312"/>
          <w:b/>
          <w:bCs/>
          <w:color w:val="auto"/>
          <w:spacing w:val="-4"/>
          <w:sz w:val="24"/>
          <w:szCs w:val="24"/>
        </w:rPr>
      </w:pPr>
      <w:r>
        <w:rPr>
          <w:rFonts w:hint="eastAsia" w:ascii="仿宋_GB2312" w:hAnsi="仿宋_GB2312" w:eastAsia="仿宋_GB2312" w:cs="仿宋_GB2312"/>
          <w:color w:val="auto"/>
          <w:spacing w:val="-4"/>
          <w:sz w:val="24"/>
          <w:szCs w:val="24"/>
        </w:rPr>
        <w:t>5.5</w:t>
      </w:r>
      <w:r>
        <w:rPr>
          <w:rFonts w:hint="eastAsia" w:ascii="仿宋_GB2312" w:hAnsi="仿宋_GB2312" w:eastAsia="仿宋_GB2312" w:cs="仿宋_GB2312"/>
          <w:color w:val="auto"/>
          <w:spacing w:val="-4"/>
          <w:sz w:val="24"/>
          <w:szCs w:val="24"/>
          <w:lang w:eastAsia="zh-CN"/>
        </w:rPr>
        <w:t>中标人</w:t>
      </w:r>
      <w:r>
        <w:rPr>
          <w:rFonts w:hint="eastAsia" w:ascii="仿宋_GB2312" w:hAnsi="仿宋_GB2312" w:eastAsia="仿宋_GB2312" w:cs="仿宋_GB2312"/>
          <w:color w:val="auto"/>
          <w:spacing w:val="-4"/>
          <w:sz w:val="24"/>
          <w:szCs w:val="24"/>
        </w:rPr>
        <w:t>需全力做好售后服务相关工作，未按时间响应或未按时间派人赴现场处理或未按时间修复的，扣罚1000元/次。</w:t>
      </w:r>
    </w:p>
    <w:p w14:paraId="59835416">
      <w:pPr>
        <w:widowControl/>
        <w:kinsoku w:val="0"/>
        <w:autoSpaceDE w:val="0"/>
        <w:autoSpaceDN w:val="0"/>
        <w:snapToGrid w:val="0"/>
        <w:spacing w:line="312" w:lineRule="auto"/>
        <w:rPr>
          <w:rFonts w:hint="eastAsia" w:ascii="仿宋_GB2312" w:hAnsi="仿宋_GB2312" w:eastAsia="仿宋_GB2312" w:cs="仿宋_GB2312"/>
          <w:b/>
          <w:bCs/>
          <w:color w:val="auto"/>
          <w:spacing w:val="-4"/>
          <w:sz w:val="24"/>
          <w:szCs w:val="24"/>
          <w:lang w:eastAsia="zh-CN"/>
        </w:rPr>
      </w:pPr>
      <w:r>
        <w:rPr>
          <w:rFonts w:hint="eastAsia" w:ascii="仿宋_GB2312" w:hAnsi="仿宋_GB2312" w:eastAsia="仿宋_GB2312" w:cs="仿宋_GB2312"/>
          <w:b/>
          <w:bCs/>
          <w:color w:val="auto"/>
          <w:spacing w:val="-4"/>
          <w:sz w:val="24"/>
          <w:szCs w:val="24"/>
        </w:rPr>
        <w:t>（</w:t>
      </w:r>
      <w:r>
        <w:rPr>
          <w:rFonts w:hint="eastAsia" w:ascii="仿宋_GB2312" w:hAnsi="仿宋_GB2312" w:eastAsia="仿宋_GB2312" w:cs="仿宋_GB2312"/>
          <w:b/>
          <w:bCs/>
          <w:color w:val="auto"/>
          <w:spacing w:val="-4"/>
          <w:sz w:val="24"/>
          <w:szCs w:val="24"/>
          <w:lang w:eastAsia="zh-CN"/>
        </w:rPr>
        <w:t>四</w:t>
      </w:r>
      <w:r>
        <w:rPr>
          <w:rFonts w:hint="eastAsia" w:ascii="仿宋_GB2312" w:hAnsi="仿宋_GB2312" w:eastAsia="仿宋_GB2312" w:cs="仿宋_GB2312"/>
          <w:b/>
          <w:bCs/>
          <w:color w:val="auto"/>
          <w:spacing w:val="-4"/>
          <w:sz w:val="24"/>
          <w:szCs w:val="24"/>
        </w:rPr>
        <w:t>）</w:t>
      </w:r>
      <w:r>
        <w:rPr>
          <w:rFonts w:hint="eastAsia" w:ascii="仿宋_GB2312" w:hAnsi="仿宋_GB2312" w:eastAsia="仿宋_GB2312" w:cs="仿宋_GB2312"/>
          <w:b/>
          <w:bCs/>
          <w:color w:val="auto"/>
          <w:spacing w:val="-4"/>
          <w:sz w:val="24"/>
          <w:szCs w:val="24"/>
          <w:lang w:eastAsia="zh-CN"/>
        </w:rPr>
        <w:t>采购清单及技术要求</w:t>
      </w:r>
    </w:p>
    <w:p w14:paraId="78D3C968">
      <w:pPr>
        <w:tabs>
          <w:tab w:val="left" w:pos="993"/>
        </w:tabs>
        <w:spacing w:line="360" w:lineRule="exact"/>
        <w:rPr>
          <w:rFonts w:hint="eastAsia" w:ascii="仿宋_GB2312" w:hAnsi="仿宋_GB2312" w:eastAsia="仿宋_GB2312" w:cs="仿宋_GB2312"/>
          <w:color w:val="auto"/>
        </w:rPr>
      </w:pPr>
    </w:p>
    <w:p w14:paraId="57A103E7">
      <w:pPr>
        <w:tabs>
          <w:tab w:val="left" w:pos="993"/>
        </w:tabs>
        <w:spacing w:line="360" w:lineRule="exact"/>
        <w:rPr>
          <w:rFonts w:hint="eastAsia" w:ascii="仿宋_GB2312" w:hAnsi="仿宋_GB2312" w:eastAsia="仿宋_GB2312" w:cs="仿宋_GB2312"/>
          <w:color w:val="auto"/>
        </w:rPr>
      </w:pPr>
    </w:p>
    <w:p w14:paraId="5D984D45">
      <w:pPr>
        <w:tabs>
          <w:tab w:val="left" w:pos="993"/>
        </w:tabs>
        <w:spacing w:line="360" w:lineRule="exact"/>
        <w:rPr>
          <w:rFonts w:hint="eastAsia" w:ascii="仿宋_GB2312" w:hAnsi="仿宋_GB2312" w:eastAsia="仿宋_GB2312" w:cs="仿宋_GB2312"/>
          <w:color w:val="auto"/>
        </w:rPr>
        <w:sectPr>
          <w:headerReference r:id="rId4" w:type="first"/>
          <w:headerReference r:id="rId3" w:type="default"/>
          <w:footerReference r:id="rId5" w:type="default"/>
          <w:pgSz w:w="11907" w:h="16840"/>
          <w:pgMar w:top="1814" w:right="1474" w:bottom="1814" w:left="1474" w:header="851" w:footer="851" w:gutter="0"/>
          <w:cols w:space="720" w:num="1"/>
          <w:titlePg/>
          <w:docGrid w:linePitch="286" w:charSpace="0"/>
        </w:sectPr>
      </w:pPr>
    </w:p>
    <w:p w14:paraId="4FF4C39D">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教学场所设备清单及技术参数</w:t>
      </w:r>
    </w:p>
    <w:tbl>
      <w:tblPr>
        <w:tblStyle w:val="66"/>
        <w:tblW w:w="14094" w:type="dxa"/>
        <w:tblInd w:w="93" w:type="dxa"/>
        <w:tblLayout w:type="fixed"/>
        <w:tblCellMar>
          <w:top w:w="0" w:type="dxa"/>
          <w:left w:w="108" w:type="dxa"/>
          <w:bottom w:w="0" w:type="dxa"/>
          <w:right w:w="108" w:type="dxa"/>
        </w:tblCellMar>
      </w:tblPr>
      <w:tblGrid>
        <w:gridCol w:w="555"/>
        <w:gridCol w:w="1110"/>
        <w:gridCol w:w="1815"/>
        <w:gridCol w:w="2484"/>
        <w:gridCol w:w="6675"/>
        <w:gridCol w:w="810"/>
        <w:gridCol w:w="645"/>
      </w:tblGrid>
      <w:tr w14:paraId="56934594">
        <w:tblPrEx>
          <w:tblCellMar>
            <w:top w:w="0" w:type="dxa"/>
            <w:left w:w="108" w:type="dxa"/>
            <w:bottom w:w="0" w:type="dxa"/>
            <w:right w:w="108" w:type="dxa"/>
          </w:tblCellMar>
        </w:tblPrEx>
        <w:trPr>
          <w:trHeight w:val="60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CCF1DB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lang w:bidi="ar"/>
              </w:rPr>
              <w:t>序号</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818BF8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lang w:bidi="ar"/>
              </w:rPr>
              <w:t>品名</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D23CDE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lang w:bidi="ar"/>
              </w:rPr>
              <w:t>照片样式</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B8B1B2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lang w:bidi="ar"/>
              </w:rPr>
              <w:t>尺寸</w:t>
            </w:r>
            <w:r>
              <w:rPr>
                <w:rFonts w:hint="eastAsia" w:ascii="仿宋_GB2312" w:hAnsi="仿宋_GB2312" w:eastAsia="仿宋_GB2312" w:cs="仿宋_GB2312"/>
                <w:b/>
                <w:bCs/>
                <w:color w:val="auto"/>
                <w:sz w:val="18"/>
                <w:szCs w:val="18"/>
                <w:highlight w:val="none"/>
                <w:lang w:bidi="ar"/>
              </w:rPr>
              <w:br w:type="textWrapping"/>
            </w:r>
            <w:r>
              <w:rPr>
                <w:rFonts w:hint="eastAsia" w:ascii="仿宋_GB2312" w:hAnsi="仿宋_GB2312" w:eastAsia="仿宋_GB2312" w:cs="仿宋_GB2312"/>
                <w:b/>
                <w:bCs/>
                <w:color w:val="auto"/>
                <w:sz w:val="18"/>
                <w:szCs w:val="18"/>
                <w:highlight w:val="none"/>
                <w:lang w:bidi="ar"/>
              </w:rPr>
              <w:t>（允许误差±10mm）</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DE8D8B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lang w:bidi="ar"/>
              </w:rPr>
              <w:t>技术参数</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BFF764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lang w:bidi="ar"/>
              </w:rPr>
              <w:t>数量</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91CAF6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lang w:bidi="ar"/>
              </w:rPr>
              <w:t>单位</w:t>
            </w:r>
          </w:p>
        </w:tc>
      </w:tr>
      <w:tr w14:paraId="3A011314">
        <w:tblPrEx>
          <w:tblCellMar>
            <w:top w:w="0" w:type="dxa"/>
            <w:left w:w="108" w:type="dxa"/>
            <w:bottom w:w="0" w:type="dxa"/>
            <w:right w:w="108" w:type="dxa"/>
          </w:tblCellMar>
        </w:tblPrEx>
        <w:trPr>
          <w:trHeight w:val="154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C863AE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3E41AA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阅览桌1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598809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65405</wp:posOffset>
                  </wp:positionH>
                  <wp:positionV relativeFrom="paragraph">
                    <wp:posOffset>302895</wp:posOffset>
                  </wp:positionV>
                  <wp:extent cx="941705" cy="584200"/>
                  <wp:effectExtent l="0" t="0" r="10795" b="6350"/>
                  <wp:wrapNone/>
                  <wp:docPr id="6" name="ID_9316E6087E954A08A29E00869BC01C3D"/>
                  <wp:cNvGraphicFramePr/>
                  <a:graphic xmlns:a="http://schemas.openxmlformats.org/drawingml/2006/main">
                    <a:graphicData uri="http://schemas.openxmlformats.org/drawingml/2006/picture">
                      <pic:pic xmlns:pic="http://schemas.openxmlformats.org/drawingml/2006/picture">
                        <pic:nvPicPr>
                          <pic:cNvPr id="6" name="ID_9316E6087E954A08A29E00869BC01C3D"/>
                          <pic:cNvPicPr/>
                        </pic:nvPicPr>
                        <pic:blipFill>
                          <a:blip r:embed="rId14"/>
                          <a:stretch>
                            <a:fillRect/>
                          </a:stretch>
                        </pic:blipFill>
                        <pic:spPr>
                          <a:xfrm>
                            <a:off x="0" y="0"/>
                            <a:ext cx="941705" cy="5842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ED3714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1400*900*760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710104D">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1、基材:采用实木多层板；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4、桌面四周作圆角处理，整体圆润，桌面与桌脚整体厚度≥40mm。</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544D34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E4F47F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36C80272">
        <w:tblPrEx>
          <w:tblCellMar>
            <w:top w:w="0" w:type="dxa"/>
            <w:left w:w="108" w:type="dxa"/>
            <w:bottom w:w="0" w:type="dxa"/>
            <w:right w:w="108" w:type="dxa"/>
          </w:tblCellMar>
        </w:tblPrEx>
        <w:trPr>
          <w:trHeight w:val="126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EA19BF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0D8C08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阅览椅1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C3424B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313055</wp:posOffset>
                  </wp:positionH>
                  <wp:positionV relativeFrom="paragraph">
                    <wp:posOffset>111760</wp:posOffset>
                  </wp:positionV>
                  <wp:extent cx="496570" cy="666750"/>
                  <wp:effectExtent l="0" t="0" r="17780" b="0"/>
                  <wp:wrapNone/>
                  <wp:docPr id="7" name="图片_76"/>
                  <wp:cNvGraphicFramePr/>
                  <a:graphic xmlns:a="http://schemas.openxmlformats.org/drawingml/2006/main">
                    <a:graphicData uri="http://schemas.openxmlformats.org/drawingml/2006/picture">
                      <pic:pic xmlns:pic="http://schemas.openxmlformats.org/drawingml/2006/picture">
                        <pic:nvPicPr>
                          <pic:cNvPr id="7" name="图片_76"/>
                          <pic:cNvPicPr/>
                        </pic:nvPicPr>
                        <pic:blipFill>
                          <a:blip r:embed="rId15"/>
                          <a:stretch>
                            <a:fillRect/>
                          </a:stretch>
                        </pic:blipFill>
                        <pic:spPr>
                          <a:xfrm>
                            <a:off x="0" y="0"/>
                            <a:ext cx="496570" cy="66675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35117F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600*635*1030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DB1385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1.框体：PP+GF背框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2.扶手：PP固定扶手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3.腰托：升降腰托</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4.椅座：坐垫原生海棉</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5.椅脚：喷塑钢制弓形脚</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5A78CD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06DD18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47315079">
        <w:tblPrEx>
          <w:tblCellMar>
            <w:top w:w="0" w:type="dxa"/>
            <w:left w:w="108" w:type="dxa"/>
            <w:bottom w:w="0" w:type="dxa"/>
            <w:right w:w="108" w:type="dxa"/>
          </w:tblCellMar>
        </w:tblPrEx>
        <w:trPr>
          <w:trHeight w:val="157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F8EE66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69CA3E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阅览桌2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8C43A2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61595</wp:posOffset>
                  </wp:positionH>
                  <wp:positionV relativeFrom="paragraph">
                    <wp:posOffset>323215</wp:posOffset>
                  </wp:positionV>
                  <wp:extent cx="923290" cy="631825"/>
                  <wp:effectExtent l="0" t="0" r="10160" b="15875"/>
                  <wp:wrapNone/>
                  <wp:docPr id="1" name="图片_70"/>
                  <wp:cNvGraphicFramePr/>
                  <a:graphic xmlns:a="http://schemas.openxmlformats.org/drawingml/2006/main">
                    <a:graphicData uri="http://schemas.openxmlformats.org/drawingml/2006/picture">
                      <pic:pic xmlns:pic="http://schemas.openxmlformats.org/drawingml/2006/picture">
                        <pic:nvPicPr>
                          <pic:cNvPr id="1" name="图片_70"/>
                          <pic:cNvPicPr/>
                        </pic:nvPicPr>
                        <pic:blipFill>
                          <a:blip r:embed="rId16"/>
                          <a:stretch>
                            <a:fillRect/>
                          </a:stretch>
                        </pic:blipFill>
                        <pic:spPr>
                          <a:xfrm>
                            <a:off x="0" y="0"/>
                            <a:ext cx="923290" cy="63182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AA94CC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2100*900*760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087A94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1、基材:采用实木多层板；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4、桌面四周作圆角处理，整体圆润，桌面与桌脚整体厚度≥400mm。</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958804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7BA064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4EDB2283">
        <w:tblPrEx>
          <w:tblCellMar>
            <w:top w:w="0" w:type="dxa"/>
            <w:left w:w="108" w:type="dxa"/>
            <w:bottom w:w="0" w:type="dxa"/>
            <w:right w:w="108" w:type="dxa"/>
          </w:tblCellMar>
        </w:tblPrEx>
        <w:trPr>
          <w:trHeight w:val="156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C0DBFB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17066A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阅览椅2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F7FE0C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156845</wp:posOffset>
                  </wp:positionH>
                  <wp:positionV relativeFrom="paragraph">
                    <wp:posOffset>162560</wp:posOffset>
                  </wp:positionV>
                  <wp:extent cx="715645" cy="817245"/>
                  <wp:effectExtent l="0" t="0" r="8255" b="1905"/>
                  <wp:wrapNone/>
                  <wp:docPr id="2" name="ID_FDAE304E591742B580E3D28EB879205F"/>
                  <wp:cNvGraphicFramePr/>
                  <a:graphic xmlns:a="http://schemas.openxmlformats.org/drawingml/2006/main">
                    <a:graphicData uri="http://schemas.openxmlformats.org/drawingml/2006/picture">
                      <pic:pic xmlns:pic="http://schemas.openxmlformats.org/drawingml/2006/picture">
                        <pic:nvPicPr>
                          <pic:cNvPr id="2" name="ID_FDAE304E591742B580E3D28EB879205F"/>
                          <pic:cNvPicPr/>
                        </pic:nvPicPr>
                        <pic:blipFill>
                          <a:blip r:embed="rId17"/>
                          <a:stretch>
                            <a:fillRect/>
                          </a:stretch>
                        </pic:blipFill>
                        <pic:spPr>
                          <a:xfrm>
                            <a:off x="0" y="0"/>
                            <a:ext cx="715645" cy="81724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1AEBD7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560*510*750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3488AC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3、椅座：覆面材料为PU皮</w:t>
            </w:r>
            <w:r>
              <w:rPr>
                <w:rFonts w:hint="eastAsia" w:ascii="仿宋_GB2312" w:hAnsi="仿宋_GB2312" w:eastAsia="仿宋_GB2312" w:cs="仿宋_GB2312"/>
                <w:color w:val="auto"/>
                <w:sz w:val="18"/>
                <w:szCs w:val="18"/>
                <w:highlight w:val="none"/>
                <w:lang w:eastAsia="zh-CN" w:bidi="ar"/>
              </w:rPr>
              <w:t>，</w:t>
            </w:r>
            <w:r>
              <w:rPr>
                <w:rFonts w:hint="eastAsia" w:ascii="仿宋_GB2312" w:hAnsi="仿宋_GB2312" w:eastAsia="仿宋_GB2312" w:cs="仿宋_GB2312"/>
                <w:color w:val="auto"/>
                <w:sz w:val="18"/>
                <w:szCs w:val="18"/>
                <w:highlight w:val="none"/>
                <w:lang w:bidi="ar"/>
              </w:rPr>
              <w:t>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CC9DA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9F1F15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6327829B">
        <w:tblPrEx>
          <w:tblCellMar>
            <w:top w:w="0" w:type="dxa"/>
            <w:left w:w="108" w:type="dxa"/>
            <w:bottom w:w="0" w:type="dxa"/>
            <w:right w:w="108" w:type="dxa"/>
          </w:tblCellMar>
        </w:tblPrEx>
        <w:trPr>
          <w:trHeight w:val="174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44AA96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F0D0A9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阅读桌3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BE6502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203835</wp:posOffset>
                  </wp:positionH>
                  <wp:positionV relativeFrom="paragraph">
                    <wp:posOffset>280035</wp:posOffset>
                  </wp:positionV>
                  <wp:extent cx="699770" cy="781050"/>
                  <wp:effectExtent l="0" t="0" r="5080" b="0"/>
                  <wp:wrapNone/>
                  <wp:docPr id="8" name="ID_8731805021AF460E9CED838175433966"/>
                  <wp:cNvGraphicFramePr/>
                  <a:graphic xmlns:a="http://schemas.openxmlformats.org/drawingml/2006/main">
                    <a:graphicData uri="http://schemas.openxmlformats.org/drawingml/2006/picture">
                      <pic:pic xmlns:pic="http://schemas.openxmlformats.org/drawingml/2006/picture">
                        <pic:nvPicPr>
                          <pic:cNvPr id="8" name="ID_8731805021AF460E9CED838175433966"/>
                          <pic:cNvPicPr/>
                        </pic:nvPicPr>
                        <pic:blipFill>
                          <a:blip r:embed="rId18"/>
                          <a:stretch>
                            <a:fillRect/>
                          </a:stretch>
                        </pic:blipFill>
                        <pic:spPr>
                          <a:xfrm>
                            <a:off x="0" y="0"/>
                            <a:ext cx="699770" cy="78105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0E14AD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878*433*750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E7E130D">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1、基材:采用实木多层板；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4、下架：选用冷轧钢材，钢管壁厚≥1.5mm，表面粉末涂料静电喷涂处理，万向脚轮。</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5、桌面四周作圆角处理，整体圆润。</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5B5622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4AC96B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083601BB">
        <w:tblPrEx>
          <w:tblCellMar>
            <w:top w:w="0" w:type="dxa"/>
            <w:left w:w="108" w:type="dxa"/>
            <w:bottom w:w="0" w:type="dxa"/>
            <w:right w:w="108" w:type="dxa"/>
          </w:tblCellMar>
        </w:tblPrEx>
        <w:trPr>
          <w:trHeight w:val="13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32D78C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D6C355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儿童阅览椅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4CC7FD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294640</wp:posOffset>
                  </wp:positionH>
                  <wp:positionV relativeFrom="paragraph">
                    <wp:posOffset>38735</wp:posOffset>
                  </wp:positionV>
                  <wp:extent cx="560705" cy="772795"/>
                  <wp:effectExtent l="0" t="0" r="10795" b="8255"/>
                  <wp:wrapNone/>
                  <wp:docPr id="9" name="图片_78"/>
                  <wp:cNvGraphicFramePr/>
                  <a:graphic xmlns:a="http://schemas.openxmlformats.org/drawingml/2006/main">
                    <a:graphicData uri="http://schemas.openxmlformats.org/drawingml/2006/picture">
                      <pic:pic xmlns:pic="http://schemas.openxmlformats.org/drawingml/2006/picture">
                        <pic:nvPicPr>
                          <pic:cNvPr id="9" name="图片_78"/>
                          <pic:cNvPicPr/>
                        </pic:nvPicPr>
                        <pic:blipFill>
                          <a:blip r:embed="rId19"/>
                          <a:stretch>
                            <a:fillRect/>
                          </a:stretch>
                        </pic:blipFill>
                        <pic:spPr>
                          <a:xfrm>
                            <a:off x="0" y="0"/>
                            <a:ext cx="560705" cy="77279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AFBA77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560*510*750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E6E03F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1、椅身：聚丙烯添加防静电剂（聚乙醇酯）原色颗粒塑料；</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2、材质：环保工程塑料生产；</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3、工艺：抗老化，超强防紫外线，耐磨损易清洁；</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4、脚架：选用冷轧钢材，经脱脂、水洗、酸洗、水洗中和、表调、磷化、干燥等工艺处理，表面粉末涂料静电喷涂处理，椅面高度可升降。</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69D112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48A2E3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4860367B">
        <w:tblPrEx>
          <w:tblCellMar>
            <w:top w:w="0" w:type="dxa"/>
            <w:left w:w="108" w:type="dxa"/>
            <w:bottom w:w="0" w:type="dxa"/>
            <w:right w:w="108" w:type="dxa"/>
          </w:tblCellMar>
        </w:tblPrEx>
        <w:trPr>
          <w:trHeight w:val="150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6B587C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07EC5B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报刊桌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D06AB1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182880</wp:posOffset>
                  </wp:positionH>
                  <wp:positionV relativeFrom="paragraph">
                    <wp:posOffset>220345</wp:posOffset>
                  </wp:positionV>
                  <wp:extent cx="772160" cy="589280"/>
                  <wp:effectExtent l="0" t="0" r="8890" b="1270"/>
                  <wp:wrapNone/>
                  <wp:docPr id="10" name="图片_2"/>
                  <wp:cNvGraphicFramePr/>
                  <a:graphic xmlns:a="http://schemas.openxmlformats.org/drawingml/2006/main">
                    <a:graphicData uri="http://schemas.openxmlformats.org/drawingml/2006/picture">
                      <pic:pic xmlns:pic="http://schemas.openxmlformats.org/drawingml/2006/picture">
                        <pic:nvPicPr>
                          <pic:cNvPr id="10" name="图片_2"/>
                          <pic:cNvPicPr/>
                        </pic:nvPicPr>
                        <pic:blipFill>
                          <a:blip r:embed="rId20"/>
                          <a:stretch>
                            <a:fillRect/>
                          </a:stretch>
                        </pic:blipFill>
                        <pic:spPr>
                          <a:xfrm>
                            <a:off x="0" y="0"/>
                            <a:ext cx="772160" cy="58928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4917C3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1400*600*900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1936E5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4、桌面四周作圆角处理，整体圆润。</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B4EE96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AC76BF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5875A68A">
        <w:tblPrEx>
          <w:tblCellMar>
            <w:top w:w="0" w:type="dxa"/>
            <w:left w:w="108" w:type="dxa"/>
            <w:bottom w:w="0" w:type="dxa"/>
            <w:right w:w="108" w:type="dxa"/>
          </w:tblCellMar>
        </w:tblPrEx>
        <w:trPr>
          <w:trHeight w:val="192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B38345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FCD588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书架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F6941D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8480" behindDoc="0" locked="0" layoutInCell="1" allowOverlap="1">
                  <wp:simplePos x="0" y="0"/>
                  <wp:positionH relativeFrom="column">
                    <wp:posOffset>93345</wp:posOffset>
                  </wp:positionH>
                  <wp:positionV relativeFrom="paragraph">
                    <wp:posOffset>170180</wp:posOffset>
                  </wp:positionV>
                  <wp:extent cx="742315" cy="590550"/>
                  <wp:effectExtent l="0" t="0" r="635" b="0"/>
                  <wp:wrapNone/>
                  <wp:docPr id="11" name="图片_90"/>
                  <wp:cNvGraphicFramePr/>
                  <a:graphic xmlns:a="http://schemas.openxmlformats.org/drawingml/2006/main">
                    <a:graphicData uri="http://schemas.openxmlformats.org/drawingml/2006/picture">
                      <pic:pic xmlns:pic="http://schemas.openxmlformats.org/drawingml/2006/picture">
                        <pic:nvPicPr>
                          <pic:cNvPr id="11" name="图片_90"/>
                          <pic:cNvPicPr/>
                        </pic:nvPicPr>
                        <pic:blipFill>
                          <a:blip r:embed="rId21"/>
                          <a:stretch>
                            <a:fillRect/>
                          </a:stretch>
                        </pic:blipFill>
                        <pic:spPr>
                          <a:xfrm>
                            <a:off x="0" y="0"/>
                            <a:ext cx="742315" cy="59055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FD7189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1200*550*2000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2C6B68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5485F1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784471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D68DFFE">
        <w:tblPrEx>
          <w:tblCellMar>
            <w:top w:w="0" w:type="dxa"/>
            <w:left w:w="108" w:type="dxa"/>
            <w:bottom w:w="0" w:type="dxa"/>
            <w:right w:w="108" w:type="dxa"/>
          </w:tblCellMar>
        </w:tblPrEx>
        <w:trPr>
          <w:trHeight w:val="202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8F68EE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4743B1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回字形会议桌1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DFC20B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69504" behindDoc="0" locked="0" layoutInCell="1" allowOverlap="1">
                  <wp:simplePos x="0" y="0"/>
                  <wp:positionH relativeFrom="column">
                    <wp:posOffset>76835</wp:posOffset>
                  </wp:positionH>
                  <wp:positionV relativeFrom="paragraph">
                    <wp:posOffset>473075</wp:posOffset>
                  </wp:positionV>
                  <wp:extent cx="922020" cy="532765"/>
                  <wp:effectExtent l="0" t="0" r="11430" b="635"/>
                  <wp:wrapNone/>
                  <wp:docPr id="12" name="图片_8"/>
                  <wp:cNvGraphicFramePr/>
                  <a:graphic xmlns:a="http://schemas.openxmlformats.org/drawingml/2006/main">
                    <a:graphicData uri="http://schemas.openxmlformats.org/drawingml/2006/picture">
                      <pic:pic xmlns:pic="http://schemas.openxmlformats.org/drawingml/2006/picture">
                        <pic:nvPicPr>
                          <pic:cNvPr id="12" name="图片_8"/>
                          <pic:cNvPicPr/>
                        </pic:nvPicPr>
                        <pic:blipFill>
                          <a:blip r:embed="rId22"/>
                          <a:stretch>
                            <a:fillRect/>
                          </a:stretch>
                        </pic:blipFill>
                        <pic:spPr>
                          <a:xfrm>
                            <a:off x="0" y="0"/>
                            <a:ext cx="922020" cy="53276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CFF473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9800*2400*760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646C2C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8634DB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6E8A04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0FE554C2">
        <w:tblPrEx>
          <w:tblCellMar>
            <w:top w:w="0" w:type="dxa"/>
            <w:left w:w="108" w:type="dxa"/>
            <w:bottom w:w="0" w:type="dxa"/>
            <w:right w:w="108" w:type="dxa"/>
          </w:tblCellMar>
        </w:tblPrEx>
        <w:trPr>
          <w:trHeight w:val="190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ACE8FE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3D37D8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回字形会议桌2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54FDCA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72390</wp:posOffset>
                  </wp:positionH>
                  <wp:positionV relativeFrom="paragraph">
                    <wp:posOffset>404495</wp:posOffset>
                  </wp:positionV>
                  <wp:extent cx="922020" cy="532765"/>
                  <wp:effectExtent l="0" t="0" r="11430" b="635"/>
                  <wp:wrapNone/>
                  <wp:docPr id="13" name="图片_72"/>
                  <wp:cNvGraphicFramePr/>
                  <a:graphic xmlns:a="http://schemas.openxmlformats.org/drawingml/2006/main">
                    <a:graphicData uri="http://schemas.openxmlformats.org/drawingml/2006/picture">
                      <pic:pic xmlns:pic="http://schemas.openxmlformats.org/drawingml/2006/picture">
                        <pic:nvPicPr>
                          <pic:cNvPr id="13" name="图片_72"/>
                          <pic:cNvPicPr/>
                        </pic:nvPicPr>
                        <pic:blipFill>
                          <a:blip r:embed="rId22"/>
                          <a:stretch>
                            <a:fillRect/>
                          </a:stretch>
                        </pic:blipFill>
                        <pic:spPr>
                          <a:xfrm>
                            <a:off x="0" y="0"/>
                            <a:ext cx="922020" cy="53276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24E912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7600*2400*760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74D401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33DE85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6A35FC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7F8A0B96">
        <w:tblPrEx>
          <w:tblCellMar>
            <w:top w:w="0" w:type="dxa"/>
            <w:left w:w="108" w:type="dxa"/>
            <w:bottom w:w="0" w:type="dxa"/>
            <w:right w:w="108" w:type="dxa"/>
          </w:tblCellMar>
        </w:tblPrEx>
        <w:trPr>
          <w:trHeight w:val="202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83407D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F35841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U字形会议桌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D454FC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109220</wp:posOffset>
                  </wp:positionH>
                  <wp:positionV relativeFrom="paragraph">
                    <wp:posOffset>336550</wp:posOffset>
                  </wp:positionV>
                  <wp:extent cx="866775" cy="655320"/>
                  <wp:effectExtent l="0" t="0" r="9525" b="11430"/>
                  <wp:wrapNone/>
                  <wp:docPr id="14" name="图片_31"/>
                  <wp:cNvGraphicFramePr/>
                  <a:graphic xmlns:a="http://schemas.openxmlformats.org/drawingml/2006/main">
                    <a:graphicData uri="http://schemas.openxmlformats.org/drawingml/2006/picture">
                      <pic:pic xmlns:pic="http://schemas.openxmlformats.org/drawingml/2006/picture">
                        <pic:nvPicPr>
                          <pic:cNvPr id="14" name="图片_31"/>
                          <pic:cNvPicPr/>
                        </pic:nvPicPr>
                        <pic:blipFill>
                          <a:blip r:embed="rId23"/>
                          <a:stretch>
                            <a:fillRect/>
                          </a:stretch>
                        </pic:blipFill>
                        <pic:spPr>
                          <a:xfrm>
                            <a:off x="0" y="0"/>
                            <a:ext cx="866775" cy="6553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DB7083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5400*2200*760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D25A60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E0A343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2F1082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54CD36C4">
        <w:tblPrEx>
          <w:tblCellMar>
            <w:top w:w="0" w:type="dxa"/>
            <w:left w:w="108" w:type="dxa"/>
            <w:bottom w:w="0" w:type="dxa"/>
            <w:right w:w="108" w:type="dxa"/>
          </w:tblCellMar>
        </w:tblPrEx>
        <w:trPr>
          <w:trHeight w:val="45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8DD07E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883504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椅子1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F0FA69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208280</wp:posOffset>
                  </wp:positionH>
                  <wp:positionV relativeFrom="paragraph">
                    <wp:posOffset>201930</wp:posOffset>
                  </wp:positionV>
                  <wp:extent cx="586740" cy="718185"/>
                  <wp:effectExtent l="0" t="0" r="3810" b="5715"/>
                  <wp:wrapNone/>
                  <wp:docPr id="15" name="图片_81"/>
                  <wp:cNvGraphicFramePr/>
                  <a:graphic xmlns:a="http://schemas.openxmlformats.org/drawingml/2006/main">
                    <a:graphicData uri="http://schemas.openxmlformats.org/drawingml/2006/picture">
                      <pic:pic xmlns:pic="http://schemas.openxmlformats.org/drawingml/2006/picture">
                        <pic:nvPicPr>
                          <pic:cNvPr id="15" name="图片_81"/>
                          <pic:cNvPicPr/>
                        </pic:nvPicPr>
                        <pic:blipFill>
                          <a:blip r:embed="rId24"/>
                          <a:stretch>
                            <a:fillRect/>
                          </a:stretch>
                        </pic:blipFill>
                        <pic:spPr>
                          <a:xfrm>
                            <a:off x="0" y="0"/>
                            <a:ext cx="586740" cy="71818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1228ED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640*720*950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809FDD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72BD8C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2E4C40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066D5698">
        <w:tblPrEx>
          <w:tblCellMar>
            <w:top w:w="0" w:type="dxa"/>
            <w:left w:w="108" w:type="dxa"/>
            <w:bottom w:w="0" w:type="dxa"/>
            <w:right w:w="108" w:type="dxa"/>
          </w:tblCellMar>
        </w:tblPrEx>
        <w:trPr>
          <w:trHeight w:val="232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A5EA32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BA7B8D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桌子1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9AC9CA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151130</wp:posOffset>
                  </wp:positionH>
                  <wp:positionV relativeFrom="paragraph">
                    <wp:posOffset>487045</wp:posOffset>
                  </wp:positionV>
                  <wp:extent cx="809625" cy="615950"/>
                  <wp:effectExtent l="0" t="0" r="9525" b="12700"/>
                  <wp:wrapNone/>
                  <wp:docPr id="16" name="图片_3"/>
                  <wp:cNvGraphicFramePr/>
                  <a:graphic xmlns:a="http://schemas.openxmlformats.org/drawingml/2006/main">
                    <a:graphicData uri="http://schemas.openxmlformats.org/drawingml/2006/picture">
                      <pic:pic xmlns:pic="http://schemas.openxmlformats.org/drawingml/2006/picture">
                        <pic:nvPicPr>
                          <pic:cNvPr id="16" name="图片_3"/>
                          <pic:cNvPicPr/>
                        </pic:nvPicPr>
                        <pic:blipFill>
                          <a:blip r:embed="rId25"/>
                          <a:stretch>
                            <a:fillRect/>
                          </a:stretch>
                        </pic:blipFill>
                        <pic:spPr>
                          <a:xfrm>
                            <a:off x="0" y="0"/>
                            <a:ext cx="809625" cy="61595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FE421A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1400*700*750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3623A1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1、基材：喷粉中纤板。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2、功能：带走线功能。预留隐藏式走线槽，强弱电分离设计，带可掀走线面板，内部预留标准86线盒孔，电源系统符合3C认证，桌面配铝合金多功能线盒。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5.五金件：采用标准五金件。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6.下架：选用冷轧钢材，表面粉末涂料静电喷涂处理。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7.台面采用中纤板防静电喷粉技术，具有耐高温，抗划伤特点。</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E26BD5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726D10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135CEAA1">
        <w:tblPrEx>
          <w:tblCellMar>
            <w:top w:w="0" w:type="dxa"/>
            <w:left w:w="108" w:type="dxa"/>
            <w:bottom w:w="0" w:type="dxa"/>
            <w:right w:w="108" w:type="dxa"/>
          </w:tblCellMar>
        </w:tblPrEx>
        <w:trPr>
          <w:trHeight w:val="202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C03479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21179D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桌子2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F30220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132715</wp:posOffset>
                  </wp:positionH>
                  <wp:positionV relativeFrom="paragraph">
                    <wp:posOffset>419735</wp:posOffset>
                  </wp:positionV>
                  <wp:extent cx="764540" cy="567055"/>
                  <wp:effectExtent l="0" t="0" r="16510" b="4445"/>
                  <wp:wrapNone/>
                  <wp:docPr id="17" name="图片_73"/>
                  <wp:cNvGraphicFramePr/>
                  <a:graphic xmlns:a="http://schemas.openxmlformats.org/drawingml/2006/main">
                    <a:graphicData uri="http://schemas.openxmlformats.org/drawingml/2006/picture">
                      <pic:pic xmlns:pic="http://schemas.openxmlformats.org/drawingml/2006/picture">
                        <pic:nvPicPr>
                          <pic:cNvPr id="17" name="图片_73"/>
                          <pic:cNvPicPr/>
                        </pic:nvPicPr>
                        <pic:blipFill>
                          <a:blip r:embed="rId26"/>
                          <a:stretch>
                            <a:fillRect/>
                          </a:stretch>
                        </pic:blipFill>
                        <pic:spPr>
                          <a:xfrm>
                            <a:off x="0" y="0"/>
                            <a:ext cx="764540" cy="56705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667032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1400*450*760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67EB24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5.桌面配置挡边条，桌下配置抽屉板（内径大于13mm），成品工艺细节圆润，适老化要求。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734C6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117</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4114D9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7311ED32">
        <w:tblPrEx>
          <w:tblCellMar>
            <w:top w:w="0" w:type="dxa"/>
            <w:left w:w="108" w:type="dxa"/>
            <w:bottom w:w="0" w:type="dxa"/>
            <w:right w:w="108" w:type="dxa"/>
          </w:tblCellMar>
        </w:tblPrEx>
        <w:trPr>
          <w:trHeight w:val="395"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D87ECE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CD5452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椅子2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2EE942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273050</wp:posOffset>
                  </wp:positionH>
                  <wp:positionV relativeFrom="paragraph">
                    <wp:posOffset>250190</wp:posOffset>
                  </wp:positionV>
                  <wp:extent cx="515620" cy="669290"/>
                  <wp:effectExtent l="0" t="0" r="17780" b="16510"/>
                  <wp:wrapNone/>
                  <wp:docPr id="18" name="图片_85"/>
                  <wp:cNvGraphicFramePr/>
                  <a:graphic xmlns:a="http://schemas.openxmlformats.org/drawingml/2006/main">
                    <a:graphicData uri="http://schemas.openxmlformats.org/drawingml/2006/picture">
                      <pic:pic xmlns:pic="http://schemas.openxmlformats.org/drawingml/2006/picture">
                        <pic:nvPicPr>
                          <pic:cNvPr id="18" name="图片_85"/>
                          <pic:cNvPicPr/>
                        </pic:nvPicPr>
                        <pic:blipFill>
                          <a:blip r:embed="rId27"/>
                          <a:stretch>
                            <a:fillRect/>
                          </a:stretch>
                        </pic:blipFill>
                        <pic:spPr>
                          <a:xfrm>
                            <a:off x="0" y="0"/>
                            <a:ext cx="515620" cy="66929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F849B8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470*540*920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E4980F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554221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234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EA9E79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4E65CEC9">
        <w:tblPrEx>
          <w:tblCellMar>
            <w:top w:w="0" w:type="dxa"/>
            <w:left w:w="108" w:type="dxa"/>
            <w:bottom w:w="0" w:type="dxa"/>
            <w:right w:w="108" w:type="dxa"/>
          </w:tblCellMar>
        </w:tblPrEx>
        <w:trPr>
          <w:trHeight w:val="204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1D41D5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5F02F4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桌子3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65A044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143510</wp:posOffset>
                  </wp:positionH>
                  <wp:positionV relativeFrom="paragraph">
                    <wp:posOffset>480695</wp:posOffset>
                  </wp:positionV>
                  <wp:extent cx="800735" cy="441960"/>
                  <wp:effectExtent l="0" t="0" r="18415" b="15240"/>
                  <wp:wrapNone/>
                  <wp:docPr id="19" name="图片_10"/>
                  <wp:cNvGraphicFramePr/>
                  <a:graphic xmlns:a="http://schemas.openxmlformats.org/drawingml/2006/main">
                    <a:graphicData uri="http://schemas.openxmlformats.org/drawingml/2006/picture">
                      <pic:pic xmlns:pic="http://schemas.openxmlformats.org/drawingml/2006/picture">
                        <pic:nvPicPr>
                          <pic:cNvPr id="19" name="图片_10"/>
                          <pic:cNvPicPr/>
                        </pic:nvPicPr>
                        <pic:blipFill>
                          <a:blip r:embed="rId28"/>
                          <a:stretch>
                            <a:fillRect/>
                          </a:stretch>
                        </pic:blipFill>
                        <pic:spPr>
                          <a:xfrm>
                            <a:off x="0" y="0"/>
                            <a:ext cx="800735" cy="44196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850C41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1400*600*760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32743A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59056A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7F08DF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07938704">
        <w:tblPrEx>
          <w:tblCellMar>
            <w:top w:w="0" w:type="dxa"/>
            <w:left w:w="108" w:type="dxa"/>
            <w:bottom w:w="0" w:type="dxa"/>
            <w:right w:w="108" w:type="dxa"/>
          </w:tblCellMar>
        </w:tblPrEx>
        <w:trPr>
          <w:trHeight w:val="19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A9891A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8DCC3A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桌子4</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A87BCE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7696" behindDoc="0" locked="0" layoutInCell="1" allowOverlap="1">
                  <wp:simplePos x="0" y="0"/>
                  <wp:positionH relativeFrom="column">
                    <wp:posOffset>230505</wp:posOffset>
                  </wp:positionH>
                  <wp:positionV relativeFrom="paragraph">
                    <wp:posOffset>418465</wp:posOffset>
                  </wp:positionV>
                  <wp:extent cx="594995" cy="531495"/>
                  <wp:effectExtent l="0" t="0" r="14605" b="1905"/>
                  <wp:wrapNone/>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29"/>
                          <a:stretch>
                            <a:fillRect/>
                          </a:stretch>
                        </pic:blipFill>
                        <pic:spPr>
                          <a:xfrm>
                            <a:off x="0" y="0"/>
                            <a:ext cx="594995" cy="53149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2A3B2C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700*600*760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18802F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6D3FAC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AA600D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615C8E2E">
        <w:tblPrEx>
          <w:tblCellMar>
            <w:top w:w="0" w:type="dxa"/>
            <w:left w:w="108" w:type="dxa"/>
            <w:bottom w:w="0" w:type="dxa"/>
            <w:right w:w="108" w:type="dxa"/>
          </w:tblCellMar>
        </w:tblPrEx>
        <w:trPr>
          <w:trHeight w:val="172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DE22D6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D1E25E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椅子3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6D8D1A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8720" behindDoc="0" locked="0" layoutInCell="1" allowOverlap="1">
                  <wp:simplePos x="0" y="0"/>
                  <wp:positionH relativeFrom="column">
                    <wp:posOffset>264160</wp:posOffset>
                  </wp:positionH>
                  <wp:positionV relativeFrom="paragraph">
                    <wp:posOffset>201930</wp:posOffset>
                  </wp:positionV>
                  <wp:extent cx="574675" cy="694055"/>
                  <wp:effectExtent l="0" t="0" r="15875" b="10795"/>
                  <wp:wrapNone/>
                  <wp:docPr id="21" name="图片_83"/>
                  <wp:cNvGraphicFramePr/>
                  <a:graphic xmlns:a="http://schemas.openxmlformats.org/drawingml/2006/main">
                    <a:graphicData uri="http://schemas.openxmlformats.org/drawingml/2006/picture">
                      <pic:pic xmlns:pic="http://schemas.openxmlformats.org/drawingml/2006/picture">
                        <pic:nvPicPr>
                          <pic:cNvPr id="21" name="图片_83"/>
                          <pic:cNvPicPr/>
                        </pic:nvPicPr>
                        <pic:blipFill>
                          <a:blip r:embed="rId30"/>
                          <a:stretch>
                            <a:fillRect/>
                          </a:stretch>
                        </pic:blipFill>
                        <pic:spPr>
                          <a:xfrm>
                            <a:off x="0" y="0"/>
                            <a:ext cx="574675" cy="69405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51BFDC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470*540*920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3AB8E5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F6F8E4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28</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96A55E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6C00E5B6">
        <w:tblPrEx>
          <w:tblCellMar>
            <w:top w:w="0" w:type="dxa"/>
            <w:left w:w="108" w:type="dxa"/>
            <w:bottom w:w="0" w:type="dxa"/>
            <w:right w:w="108" w:type="dxa"/>
          </w:tblCellMar>
        </w:tblPrEx>
        <w:trPr>
          <w:trHeight w:val="190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2D0968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2CF7B7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茶水柜1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FA1D62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79744" behindDoc="0" locked="0" layoutInCell="1" allowOverlap="1">
                  <wp:simplePos x="0" y="0"/>
                  <wp:positionH relativeFrom="column">
                    <wp:posOffset>73660</wp:posOffset>
                  </wp:positionH>
                  <wp:positionV relativeFrom="paragraph">
                    <wp:posOffset>339090</wp:posOffset>
                  </wp:positionV>
                  <wp:extent cx="875665" cy="627380"/>
                  <wp:effectExtent l="0" t="0" r="635" b="1270"/>
                  <wp:wrapNone/>
                  <wp:docPr id="22" name="图片_5"/>
                  <wp:cNvGraphicFramePr/>
                  <a:graphic xmlns:a="http://schemas.openxmlformats.org/drawingml/2006/main">
                    <a:graphicData uri="http://schemas.openxmlformats.org/drawingml/2006/picture">
                      <pic:pic xmlns:pic="http://schemas.openxmlformats.org/drawingml/2006/picture">
                        <pic:nvPicPr>
                          <pic:cNvPr id="22" name="图片_5"/>
                          <pic:cNvPicPr/>
                        </pic:nvPicPr>
                        <pic:blipFill>
                          <a:blip r:embed="rId31"/>
                          <a:stretch>
                            <a:fillRect/>
                          </a:stretch>
                        </pic:blipFill>
                        <pic:spPr>
                          <a:xfrm>
                            <a:off x="0" y="0"/>
                            <a:ext cx="875665" cy="62738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67FF1B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1200*400*800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223778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4、五金件：阻尼三节滚珠滑轨、铰链。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CADBA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87</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884CC6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39A5A90">
        <w:tblPrEx>
          <w:tblCellMar>
            <w:top w:w="0" w:type="dxa"/>
            <w:left w:w="108" w:type="dxa"/>
            <w:bottom w:w="0" w:type="dxa"/>
            <w:right w:w="108" w:type="dxa"/>
          </w:tblCellMar>
        </w:tblPrEx>
        <w:trPr>
          <w:trHeight w:val="204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649569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833DBD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茶水柜2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4B9387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0768" behindDoc="0" locked="0" layoutInCell="1" allowOverlap="1">
                  <wp:simplePos x="0" y="0"/>
                  <wp:positionH relativeFrom="column">
                    <wp:posOffset>189230</wp:posOffset>
                  </wp:positionH>
                  <wp:positionV relativeFrom="paragraph">
                    <wp:posOffset>448310</wp:posOffset>
                  </wp:positionV>
                  <wp:extent cx="647700" cy="535940"/>
                  <wp:effectExtent l="0" t="0" r="0" b="16510"/>
                  <wp:wrapNone/>
                  <wp:docPr id="23" name="图片_9"/>
                  <wp:cNvGraphicFramePr/>
                  <a:graphic xmlns:a="http://schemas.openxmlformats.org/drawingml/2006/main">
                    <a:graphicData uri="http://schemas.openxmlformats.org/drawingml/2006/picture">
                      <pic:pic xmlns:pic="http://schemas.openxmlformats.org/drawingml/2006/picture">
                        <pic:nvPicPr>
                          <pic:cNvPr id="23" name="图片_9"/>
                          <pic:cNvPicPr/>
                        </pic:nvPicPr>
                        <pic:blipFill>
                          <a:blip r:embed="rId32"/>
                          <a:stretch>
                            <a:fillRect/>
                          </a:stretch>
                        </pic:blipFill>
                        <pic:spPr>
                          <a:xfrm>
                            <a:off x="0" y="0"/>
                            <a:ext cx="647700" cy="53594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EC5ACA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1200*400*800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436820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4、主要五金配件:优质铰链/三合一连接件。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12F68D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D1F228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03056F4A">
        <w:tblPrEx>
          <w:tblCellMar>
            <w:top w:w="0" w:type="dxa"/>
            <w:left w:w="108" w:type="dxa"/>
            <w:bottom w:w="0" w:type="dxa"/>
            <w:right w:w="108" w:type="dxa"/>
          </w:tblCellMar>
        </w:tblPrEx>
        <w:trPr>
          <w:trHeight w:val="178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0CDCB1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83C76C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茶水柜3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B119BE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1792" behindDoc="0" locked="0" layoutInCell="1" allowOverlap="1">
                  <wp:simplePos x="0" y="0"/>
                  <wp:positionH relativeFrom="column">
                    <wp:posOffset>155575</wp:posOffset>
                  </wp:positionH>
                  <wp:positionV relativeFrom="paragraph">
                    <wp:posOffset>184150</wp:posOffset>
                  </wp:positionV>
                  <wp:extent cx="781050" cy="770890"/>
                  <wp:effectExtent l="0" t="0" r="0" b="10160"/>
                  <wp:wrapNone/>
                  <wp:docPr id="24" name="图片_26"/>
                  <wp:cNvGraphicFramePr/>
                  <a:graphic xmlns:a="http://schemas.openxmlformats.org/drawingml/2006/main">
                    <a:graphicData uri="http://schemas.openxmlformats.org/drawingml/2006/picture">
                      <pic:pic xmlns:pic="http://schemas.openxmlformats.org/drawingml/2006/picture">
                        <pic:nvPicPr>
                          <pic:cNvPr id="24" name="图片_26"/>
                          <pic:cNvPicPr/>
                        </pic:nvPicPr>
                        <pic:blipFill>
                          <a:blip r:embed="rId33"/>
                          <a:stretch>
                            <a:fillRect/>
                          </a:stretch>
                        </pic:blipFill>
                        <pic:spPr>
                          <a:xfrm>
                            <a:off x="0" y="0"/>
                            <a:ext cx="781050" cy="77089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3956F2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1200*400*800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38CC7C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4、五金件：阻尼三节滚珠滑轨、铰链。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C64E4B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92F478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32141B33">
        <w:tblPrEx>
          <w:tblCellMar>
            <w:top w:w="0" w:type="dxa"/>
            <w:left w:w="108" w:type="dxa"/>
            <w:bottom w:w="0" w:type="dxa"/>
            <w:right w:w="108" w:type="dxa"/>
          </w:tblCellMar>
        </w:tblPrEx>
        <w:trPr>
          <w:trHeight w:val="175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1CF5B8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AB42A7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茶几1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E905B2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2816" behindDoc="0" locked="0" layoutInCell="1" allowOverlap="1">
                  <wp:simplePos x="0" y="0"/>
                  <wp:positionH relativeFrom="column">
                    <wp:posOffset>208915</wp:posOffset>
                  </wp:positionH>
                  <wp:positionV relativeFrom="paragraph">
                    <wp:posOffset>151765</wp:posOffset>
                  </wp:positionV>
                  <wp:extent cx="751205" cy="636270"/>
                  <wp:effectExtent l="0" t="0" r="10795" b="11430"/>
                  <wp:wrapNone/>
                  <wp:docPr id="25" name="图片_6"/>
                  <wp:cNvGraphicFramePr/>
                  <a:graphic xmlns:a="http://schemas.openxmlformats.org/drawingml/2006/main">
                    <a:graphicData uri="http://schemas.openxmlformats.org/drawingml/2006/picture">
                      <pic:pic xmlns:pic="http://schemas.openxmlformats.org/drawingml/2006/picture">
                        <pic:nvPicPr>
                          <pic:cNvPr id="25" name="图片_6"/>
                          <pic:cNvPicPr/>
                        </pic:nvPicPr>
                        <pic:blipFill>
                          <a:blip r:embed="rId34"/>
                          <a:stretch>
                            <a:fillRect/>
                          </a:stretch>
                        </pic:blipFill>
                        <pic:spPr>
                          <a:xfrm>
                            <a:off x="0" y="0"/>
                            <a:ext cx="751205" cy="63627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2AC390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600*600*450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166C89A">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4、五金件：优质五金件。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EFF77D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8BC5B8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305A1252">
        <w:tblPrEx>
          <w:tblCellMar>
            <w:top w:w="0" w:type="dxa"/>
            <w:left w:w="108" w:type="dxa"/>
            <w:bottom w:w="0" w:type="dxa"/>
            <w:right w:w="108" w:type="dxa"/>
          </w:tblCellMar>
        </w:tblPrEx>
        <w:trPr>
          <w:trHeight w:val="1805"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752A68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875C4E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货架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F420D0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3840" behindDoc="0" locked="0" layoutInCell="1" allowOverlap="1">
                  <wp:simplePos x="0" y="0"/>
                  <wp:positionH relativeFrom="column">
                    <wp:posOffset>221615</wp:posOffset>
                  </wp:positionH>
                  <wp:positionV relativeFrom="paragraph">
                    <wp:posOffset>139700</wp:posOffset>
                  </wp:positionV>
                  <wp:extent cx="629920" cy="622300"/>
                  <wp:effectExtent l="0" t="0" r="17780" b="6350"/>
                  <wp:wrapNone/>
                  <wp:docPr id="26" name="图片_7"/>
                  <wp:cNvGraphicFramePr/>
                  <a:graphic xmlns:a="http://schemas.openxmlformats.org/drawingml/2006/main">
                    <a:graphicData uri="http://schemas.openxmlformats.org/drawingml/2006/picture">
                      <pic:pic xmlns:pic="http://schemas.openxmlformats.org/drawingml/2006/picture">
                        <pic:nvPicPr>
                          <pic:cNvPr id="26" name="图片_7"/>
                          <pic:cNvPicPr/>
                        </pic:nvPicPr>
                        <pic:blipFill>
                          <a:blip r:embed="rId35"/>
                          <a:stretch>
                            <a:fillRect/>
                          </a:stretch>
                        </pic:blipFill>
                        <pic:spPr>
                          <a:xfrm>
                            <a:off x="0" y="0"/>
                            <a:ext cx="629920" cy="6223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5878C7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2000*600*2000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0420A7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1、钢板：搁板厚度≥1.0㎜</w:t>
            </w:r>
            <w:r>
              <w:rPr>
                <w:rFonts w:hint="eastAsia" w:ascii="仿宋_GB2312" w:hAnsi="仿宋_GB2312" w:eastAsia="仿宋_GB2312" w:cs="仿宋_GB2312"/>
                <w:color w:val="auto"/>
                <w:sz w:val="18"/>
                <w:szCs w:val="18"/>
                <w:highlight w:val="none"/>
                <w:lang w:eastAsia="zh-CN" w:bidi="ar"/>
              </w:rPr>
              <w:t>，</w:t>
            </w:r>
            <w:r>
              <w:rPr>
                <w:rFonts w:hint="eastAsia" w:ascii="仿宋_GB2312" w:hAnsi="仿宋_GB2312" w:eastAsia="仿宋_GB2312" w:cs="仿宋_GB2312"/>
                <w:color w:val="auto"/>
                <w:sz w:val="18"/>
                <w:szCs w:val="18"/>
                <w:highlight w:val="none"/>
                <w:lang w:bidi="ar"/>
              </w:rPr>
              <w:t>符合GB/T3280-2015，GB/T3325-2017，QB/T3826-1999，QB/T3832-1999标准；应无鼓泡产生，无锈迹、剥落、起皱、变色和失光等现象。</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DC6EFA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78</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7B2048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118BA371">
        <w:tblPrEx>
          <w:tblCellMar>
            <w:top w:w="0" w:type="dxa"/>
            <w:left w:w="108" w:type="dxa"/>
            <w:bottom w:w="0" w:type="dxa"/>
            <w:right w:w="108" w:type="dxa"/>
          </w:tblCellMar>
        </w:tblPrEx>
        <w:trPr>
          <w:trHeight w:val="154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303002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47D4BD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期刊架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9DC260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4864" behindDoc="0" locked="0" layoutInCell="1" allowOverlap="1">
                  <wp:simplePos x="0" y="0"/>
                  <wp:positionH relativeFrom="column">
                    <wp:posOffset>356235</wp:posOffset>
                  </wp:positionH>
                  <wp:positionV relativeFrom="paragraph">
                    <wp:posOffset>90805</wp:posOffset>
                  </wp:positionV>
                  <wp:extent cx="410210" cy="786765"/>
                  <wp:effectExtent l="0" t="0" r="8890" b="13335"/>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36"/>
                          <a:stretch>
                            <a:fillRect/>
                          </a:stretch>
                        </pic:blipFill>
                        <pic:spPr>
                          <a:xfrm>
                            <a:off x="0" y="0"/>
                            <a:ext cx="410210" cy="78676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4F05D2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900*350*1850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0CEDF4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1.架体材料：底盘≥厚度2.0㎜,立板、顶板、底板、搁板≥厚度1.0㎜，中间≥档板0.8㎜。采用一级冷轧钢板，经过酸洗磷化处理，静电喷塑，耐磨防锈，防静电，颜色持久，表面硬度≥2H。</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0F69B2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BD4052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4119EFB">
        <w:tblPrEx>
          <w:tblCellMar>
            <w:top w:w="0" w:type="dxa"/>
            <w:left w:w="108" w:type="dxa"/>
            <w:bottom w:w="0" w:type="dxa"/>
            <w:right w:w="108" w:type="dxa"/>
          </w:tblCellMar>
        </w:tblPrEx>
        <w:trPr>
          <w:trHeight w:val="145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141E69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ACE1E8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接待台</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304AA2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5888" behindDoc="0" locked="0" layoutInCell="1" allowOverlap="1">
                  <wp:simplePos x="0" y="0"/>
                  <wp:positionH relativeFrom="column">
                    <wp:posOffset>85090</wp:posOffset>
                  </wp:positionH>
                  <wp:positionV relativeFrom="paragraph">
                    <wp:posOffset>347980</wp:posOffset>
                  </wp:positionV>
                  <wp:extent cx="897255" cy="311785"/>
                  <wp:effectExtent l="0" t="0" r="17145" b="12065"/>
                  <wp:wrapNone/>
                  <wp:docPr id="28" name="图片_12"/>
                  <wp:cNvGraphicFramePr/>
                  <a:graphic xmlns:a="http://schemas.openxmlformats.org/drawingml/2006/main">
                    <a:graphicData uri="http://schemas.openxmlformats.org/drawingml/2006/picture">
                      <pic:pic xmlns:pic="http://schemas.openxmlformats.org/drawingml/2006/picture">
                        <pic:nvPicPr>
                          <pic:cNvPr id="28" name="图片_12"/>
                          <pic:cNvPicPr/>
                        </pic:nvPicPr>
                        <pic:blipFill>
                          <a:blip r:embed="rId37"/>
                          <a:stretch>
                            <a:fillRect/>
                          </a:stretch>
                        </pic:blipFill>
                        <pic:spPr>
                          <a:xfrm>
                            <a:off x="0" y="0"/>
                            <a:ext cx="897255" cy="31178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18AD91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3600*1000*1100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83E00D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1、基材：采用中密度纤维板，硬度高、无味、环保符合国家安全标准，优质绿色环保产品。</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2、面饰涂上高质量的环保油漆。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3、经过三底两面喷烤环节最终成型。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4、台面采用人造石覆面。</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DB4391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CB7CE6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30590AED">
        <w:tblPrEx>
          <w:tblCellMar>
            <w:top w:w="0" w:type="dxa"/>
            <w:left w:w="108" w:type="dxa"/>
            <w:bottom w:w="0" w:type="dxa"/>
            <w:right w:w="108" w:type="dxa"/>
          </w:tblCellMar>
        </w:tblPrEx>
        <w:trPr>
          <w:trHeight w:val="148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E1FA7C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E11B21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阅览椅1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9665F8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6912" behindDoc="0" locked="0" layoutInCell="1" allowOverlap="1">
                  <wp:simplePos x="0" y="0"/>
                  <wp:positionH relativeFrom="column">
                    <wp:posOffset>302260</wp:posOffset>
                  </wp:positionH>
                  <wp:positionV relativeFrom="paragraph">
                    <wp:posOffset>150495</wp:posOffset>
                  </wp:positionV>
                  <wp:extent cx="497205" cy="666750"/>
                  <wp:effectExtent l="0" t="0" r="17145" b="0"/>
                  <wp:wrapNone/>
                  <wp:docPr id="29" name="图片_91"/>
                  <wp:cNvGraphicFramePr/>
                  <a:graphic xmlns:a="http://schemas.openxmlformats.org/drawingml/2006/main">
                    <a:graphicData uri="http://schemas.openxmlformats.org/drawingml/2006/picture">
                      <pic:pic xmlns:pic="http://schemas.openxmlformats.org/drawingml/2006/picture">
                        <pic:nvPicPr>
                          <pic:cNvPr id="29" name="图片_91"/>
                          <pic:cNvPicPr/>
                        </pic:nvPicPr>
                        <pic:blipFill>
                          <a:blip r:embed="rId15"/>
                          <a:stretch>
                            <a:fillRect/>
                          </a:stretch>
                        </pic:blipFill>
                        <pic:spPr>
                          <a:xfrm>
                            <a:off x="0" y="0"/>
                            <a:ext cx="497205" cy="66675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FA629B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600*635*1030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155D1BA">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1.框体：PP+GF背框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2.扶手：PP固定扶手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3.腰托：升降腰托</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4.椅座：坐垫原生海棉</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5.椅脚：喷塑钢制弓形脚</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C09D2B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9AED1D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5BD8BDDA">
        <w:tblPrEx>
          <w:tblCellMar>
            <w:top w:w="0" w:type="dxa"/>
            <w:left w:w="108" w:type="dxa"/>
            <w:bottom w:w="0" w:type="dxa"/>
            <w:right w:w="108" w:type="dxa"/>
          </w:tblCellMar>
        </w:tblPrEx>
        <w:trPr>
          <w:trHeight w:val="139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591D06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C4A605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休闲桌1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8DA352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7936" behindDoc="0" locked="0" layoutInCell="1" allowOverlap="1">
                  <wp:simplePos x="0" y="0"/>
                  <wp:positionH relativeFrom="column">
                    <wp:posOffset>203835</wp:posOffset>
                  </wp:positionH>
                  <wp:positionV relativeFrom="paragraph">
                    <wp:posOffset>76835</wp:posOffset>
                  </wp:positionV>
                  <wp:extent cx="679450" cy="727075"/>
                  <wp:effectExtent l="0" t="0" r="6350" b="15875"/>
                  <wp:wrapNone/>
                  <wp:docPr id="30" name="图片_92"/>
                  <wp:cNvGraphicFramePr/>
                  <a:graphic xmlns:a="http://schemas.openxmlformats.org/drawingml/2006/main">
                    <a:graphicData uri="http://schemas.openxmlformats.org/drawingml/2006/picture">
                      <pic:pic xmlns:pic="http://schemas.openxmlformats.org/drawingml/2006/picture">
                        <pic:nvPicPr>
                          <pic:cNvPr id="30" name="图片_92"/>
                          <pic:cNvPicPr/>
                        </pic:nvPicPr>
                        <pic:blipFill>
                          <a:blip r:embed="rId38"/>
                          <a:stretch>
                            <a:fillRect/>
                          </a:stretch>
                        </pic:blipFill>
                        <pic:spPr>
                          <a:xfrm>
                            <a:off x="0" y="0"/>
                            <a:ext cx="679450" cy="72707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F26CFD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φ</w:t>
            </w:r>
            <w:r>
              <w:rPr>
                <w:rStyle w:val="297"/>
                <w:rFonts w:hint="eastAsia" w:ascii="仿宋_GB2312" w:hAnsi="仿宋_GB2312" w:eastAsia="仿宋_GB2312" w:cs="仿宋_GB2312"/>
                <w:color w:val="auto"/>
                <w:highlight w:val="none"/>
                <w:lang w:bidi="ar"/>
              </w:rPr>
              <w:t>800*750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F70DB6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300A1B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37</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8E6D48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2FFF2EFA">
        <w:tblPrEx>
          <w:tblCellMar>
            <w:top w:w="0" w:type="dxa"/>
            <w:left w:w="108" w:type="dxa"/>
            <w:bottom w:w="0" w:type="dxa"/>
            <w:right w:w="108" w:type="dxa"/>
          </w:tblCellMar>
        </w:tblPrEx>
        <w:trPr>
          <w:trHeight w:val="160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9A5AD5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5BDE09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休闲椅1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3E7558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8960" behindDoc="0" locked="0" layoutInCell="1" allowOverlap="1">
                  <wp:simplePos x="0" y="0"/>
                  <wp:positionH relativeFrom="column">
                    <wp:posOffset>187325</wp:posOffset>
                  </wp:positionH>
                  <wp:positionV relativeFrom="paragraph">
                    <wp:posOffset>154305</wp:posOffset>
                  </wp:positionV>
                  <wp:extent cx="684530" cy="666115"/>
                  <wp:effectExtent l="0" t="0" r="1270" b="635"/>
                  <wp:wrapNone/>
                  <wp:docPr id="31" name="图片_47"/>
                  <wp:cNvGraphicFramePr/>
                  <a:graphic xmlns:a="http://schemas.openxmlformats.org/drawingml/2006/main">
                    <a:graphicData uri="http://schemas.openxmlformats.org/drawingml/2006/picture">
                      <pic:pic xmlns:pic="http://schemas.openxmlformats.org/drawingml/2006/picture">
                        <pic:nvPicPr>
                          <pic:cNvPr id="31" name="图片_47"/>
                          <pic:cNvPicPr/>
                        </pic:nvPicPr>
                        <pic:blipFill>
                          <a:blip r:embed="rId39"/>
                          <a:stretch>
                            <a:fillRect/>
                          </a:stretch>
                        </pic:blipFill>
                        <pic:spPr>
                          <a:xfrm>
                            <a:off x="0" y="0"/>
                            <a:ext cx="684530" cy="66611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921675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560*540*850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3D4BBD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7677FD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148</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C8DD50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6647704C">
        <w:tblPrEx>
          <w:tblCellMar>
            <w:top w:w="0" w:type="dxa"/>
            <w:left w:w="108" w:type="dxa"/>
            <w:bottom w:w="0" w:type="dxa"/>
            <w:right w:w="108" w:type="dxa"/>
          </w:tblCellMar>
        </w:tblPrEx>
        <w:trPr>
          <w:trHeight w:val="13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AEEE36F">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8827A7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休闲桌2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080F05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2032" behindDoc="0" locked="0" layoutInCell="1" allowOverlap="1">
                  <wp:simplePos x="0" y="0"/>
                  <wp:positionH relativeFrom="column">
                    <wp:posOffset>202565</wp:posOffset>
                  </wp:positionH>
                  <wp:positionV relativeFrom="paragraph">
                    <wp:posOffset>93980</wp:posOffset>
                  </wp:positionV>
                  <wp:extent cx="614045" cy="693420"/>
                  <wp:effectExtent l="0" t="0" r="14605" b="11430"/>
                  <wp:wrapNone/>
                  <wp:docPr id="32" name="图片_93"/>
                  <wp:cNvGraphicFramePr/>
                  <a:graphic xmlns:a="http://schemas.openxmlformats.org/drawingml/2006/main">
                    <a:graphicData uri="http://schemas.openxmlformats.org/drawingml/2006/picture">
                      <pic:pic xmlns:pic="http://schemas.openxmlformats.org/drawingml/2006/picture">
                        <pic:nvPicPr>
                          <pic:cNvPr id="32" name="图片_93"/>
                          <pic:cNvPicPr/>
                        </pic:nvPicPr>
                        <pic:blipFill>
                          <a:blip r:embed="rId40"/>
                          <a:stretch>
                            <a:fillRect/>
                          </a:stretch>
                        </pic:blipFill>
                        <pic:spPr>
                          <a:xfrm>
                            <a:off x="0" y="0"/>
                            <a:ext cx="614045" cy="6934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71B2CC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φ</w:t>
            </w:r>
            <w:r>
              <w:rPr>
                <w:rStyle w:val="297"/>
                <w:rFonts w:hint="eastAsia" w:ascii="仿宋_GB2312" w:hAnsi="仿宋_GB2312" w:eastAsia="仿宋_GB2312" w:cs="仿宋_GB2312"/>
                <w:color w:val="auto"/>
                <w:highlight w:val="none"/>
                <w:lang w:bidi="ar"/>
              </w:rPr>
              <w:t>600*500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E7ED83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C663E5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23</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C8208D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75965F01">
        <w:tblPrEx>
          <w:tblCellMar>
            <w:top w:w="0" w:type="dxa"/>
            <w:left w:w="108" w:type="dxa"/>
            <w:bottom w:w="0" w:type="dxa"/>
            <w:right w:w="108" w:type="dxa"/>
          </w:tblCellMar>
        </w:tblPrEx>
        <w:trPr>
          <w:trHeight w:val="162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78A6DD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70DD86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休闲椅2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1F43A5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3056" behindDoc="0" locked="0" layoutInCell="1" allowOverlap="1">
                  <wp:simplePos x="0" y="0"/>
                  <wp:positionH relativeFrom="column">
                    <wp:posOffset>224790</wp:posOffset>
                  </wp:positionH>
                  <wp:positionV relativeFrom="paragraph">
                    <wp:posOffset>186055</wp:posOffset>
                  </wp:positionV>
                  <wp:extent cx="586740" cy="765175"/>
                  <wp:effectExtent l="0" t="0" r="3810" b="15875"/>
                  <wp:wrapNone/>
                  <wp:docPr id="33" name="图片_61"/>
                  <wp:cNvGraphicFramePr/>
                  <a:graphic xmlns:a="http://schemas.openxmlformats.org/drawingml/2006/main">
                    <a:graphicData uri="http://schemas.openxmlformats.org/drawingml/2006/picture">
                      <pic:pic xmlns:pic="http://schemas.openxmlformats.org/drawingml/2006/picture">
                        <pic:nvPicPr>
                          <pic:cNvPr id="33" name="图片_61"/>
                          <pic:cNvPicPr/>
                        </pic:nvPicPr>
                        <pic:blipFill>
                          <a:blip r:embed="rId41"/>
                          <a:stretch>
                            <a:fillRect/>
                          </a:stretch>
                        </pic:blipFill>
                        <pic:spPr>
                          <a:xfrm>
                            <a:off x="0" y="0"/>
                            <a:ext cx="586740" cy="76517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E93EC8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560*540*850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53A502A">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A5D26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CE8C47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49269A7F">
        <w:tblPrEx>
          <w:tblCellMar>
            <w:top w:w="0" w:type="dxa"/>
            <w:left w:w="108" w:type="dxa"/>
            <w:bottom w:w="0" w:type="dxa"/>
            <w:right w:w="108" w:type="dxa"/>
          </w:tblCellMar>
        </w:tblPrEx>
        <w:trPr>
          <w:trHeight w:val="175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452122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6A976B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收纳柜1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BA8F77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4080" behindDoc="0" locked="0" layoutInCell="1" allowOverlap="1">
                  <wp:simplePos x="0" y="0"/>
                  <wp:positionH relativeFrom="column">
                    <wp:posOffset>246380</wp:posOffset>
                  </wp:positionH>
                  <wp:positionV relativeFrom="paragraph">
                    <wp:posOffset>104775</wp:posOffset>
                  </wp:positionV>
                  <wp:extent cx="588010" cy="906145"/>
                  <wp:effectExtent l="0" t="0" r="2540" b="8255"/>
                  <wp:wrapNone/>
                  <wp:docPr id="34" name="图片_4"/>
                  <wp:cNvGraphicFramePr/>
                  <a:graphic xmlns:a="http://schemas.openxmlformats.org/drawingml/2006/main">
                    <a:graphicData uri="http://schemas.openxmlformats.org/drawingml/2006/picture">
                      <pic:pic xmlns:pic="http://schemas.openxmlformats.org/drawingml/2006/picture">
                        <pic:nvPicPr>
                          <pic:cNvPr id="34" name="图片_4"/>
                          <pic:cNvPicPr/>
                        </pic:nvPicPr>
                        <pic:blipFill>
                          <a:blip r:embed="rId42"/>
                          <a:stretch>
                            <a:fillRect/>
                          </a:stretch>
                        </pic:blipFill>
                        <pic:spPr>
                          <a:xfrm>
                            <a:off x="0" y="0"/>
                            <a:ext cx="588010" cy="90614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F916CD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800*400*2000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C18ABB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4.五金件：阻尼三节滚珠滑轨、铰链和侧面锁。</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8BA705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91FB76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ACCB369">
        <w:tblPrEx>
          <w:tblCellMar>
            <w:top w:w="0" w:type="dxa"/>
            <w:left w:w="108" w:type="dxa"/>
            <w:bottom w:w="0" w:type="dxa"/>
            <w:right w:w="108" w:type="dxa"/>
          </w:tblCellMar>
        </w:tblPrEx>
        <w:trPr>
          <w:trHeight w:val="151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DB63C8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91B18B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收纳柜2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BF38C3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5104" behindDoc="0" locked="0" layoutInCell="1" allowOverlap="1">
                  <wp:simplePos x="0" y="0"/>
                  <wp:positionH relativeFrom="column">
                    <wp:posOffset>372110</wp:posOffset>
                  </wp:positionH>
                  <wp:positionV relativeFrom="paragraph">
                    <wp:posOffset>132080</wp:posOffset>
                  </wp:positionV>
                  <wp:extent cx="327660" cy="722630"/>
                  <wp:effectExtent l="0" t="0" r="15240" b="1270"/>
                  <wp:wrapNone/>
                  <wp:docPr id="35" name="图片_105"/>
                  <wp:cNvGraphicFramePr/>
                  <a:graphic xmlns:a="http://schemas.openxmlformats.org/drawingml/2006/main">
                    <a:graphicData uri="http://schemas.openxmlformats.org/drawingml/2006/picture">
                      <pic:pic xmlns:pic="http://schemas.openxmlformats.org/drawingml/2006/picture">
                        <pic:nvPicPr>
                          <pic:cNvPr id="35" name="图片_105"/>
                          <pic:cNvPicPr/>
                        </pic:nvPicPr>
                        <pic:blipFill>
                          <a:blip r:embed="rId43"/>
                          <a:stretch>
                            <a:fillRect/>
                          </a:stretch>
                        </pic:blipFill>
                        <pic:spPr>
                          <a:xfrm>
                            <a:off x="0" y="0"/>
                            <a:ext cx="327660" cy="72263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C25309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900*400*1850</w:t>
            </w:r>
          </w:p>
        </w:tc>
        <w:tc>
          <w:tcPr>
            <w:tcW w:w="6675" w:type="dxa"/>
            <w:vMerge w:val="restart"/>
            <w:tcBorders>
              <w:top w:val="single" w:color="000000" w:sz="4" w:space="0"/>
              <w:left w:val="single" w:color="000000" w:sz="4" w:space="0"/>
              <w:bottom w:val="single" w:color="000000" w:sz="4" w:space="0"/>
              <w:right w:val="single" w:color="000000" w:sz="4" w:space="0"/>
            </w:tcBorders>
            <w:noWrap w:val="0"/>
            <w:vAlign w:val="center"/>
          </w:tcPr>
          <w:p w14:paraId="63FF754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1、钢板：搁板厚度≥1.0㎜，符合GB/T3280-2015，GB/T3325-2017，QB/T3826-1999，QB/T3832-1999标准；无锈迹、剥落、起皱、变色和失光等现象。</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20E6CF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44187F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664FFD2A">
        <w:tblPrEx>
          <w:tblCellMar>
            <w:top w:w="0" w:type="dxa"/>
            <w:left w:w="108" w:type="dxa"/>
            <w:bottom w:w="0" w:type="dxa"/>
            <w:right w:w="108" w:type="dxa"/>
          </w:tblCellMar>
        </w:tblPrEx>
        <w:trPr>
          <w:trHeight w:val="144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7344EF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17E8C4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收纳柜3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AC35B8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6128" behindDoc="0" locked="0" layoutInCell="1" allowOverlap="1">
                  <wp:simplePos x="0" y="0"/>
                  <wp:positionH relativeFrom="column">
                    <wp:posOffset>353695</wp:posOffset>
                  </wp:positionH>
                  <wp:positionV relativeFrom="paragraph">
                    <wp:posOffset>74930</wp:posOffset>
                  </wp:positionV>
                  <wp:extent cx="328295" cy="722630"/>
                  <wp:effectExtent l="0" t="0" r="14605" b="1270"/>
                  <wp:wrapNone/>
                  <wp:docPr id="36" name="图片_105_SpCnt_1"/>
                  <wp:cNvGraphicFramePr/>
                  <a:graphic xmlns:a="http://schemas.openxmlformats.org/drawingml/2006/main">
                    <a:graphicData uri="http://schemas.openxmlformats.org/drawingml/2006/picture">
                      <pic:pic xmlns:pic="http://schemas.openxmlformats.org/drawingml/2006/picture">
                        <pic:nvPicPr>
                          <pic:cNvPr id="36" name="图片_105_SpCnt_1"/>
                          <pic:cNvPicPr/>
                        </pic:nvPicPr>
                        <pic:blipFill>
                          <a:blip r:embed="rId43"/>
                          <a:stretch>
                            <a:fillRect/>
                          </a:stretch>
                        </pic:blipFill>
                        <pic:spPr>
                          <a:xfrm>
                            <a:off x="0" y="0"/>
                            <a:ext cx="328295" cy="72263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9ED791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900*550*1850</w:t>
            </w:r>
          </w:p>
        </w:tc>
        <w:tc>
          <w:tcPr>
            <w:tcW w:w="66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1167BF">
            <w:pPr>
              <w:keepNext w:val="0"/>
              <w:keepLines w:val="0"/>
              <w:widowControl/>
              <w:suppressLineNumbers w:val="0"/>
              <w:snapToGrid w:val="0"/>
              <w:spacing w:before="0" w:beforeAutospacing="0" w:after="0" w:afterAutospacing="0" w:line="288" w:lineRule="auto"/>
              <w:ind w:left="0" w:right="0"/>
              <w:jc w:val="left"/>
              <w:rPr>
                <w:rFonts w:hint="eastAsia" w:ascii="仿宋_GB2312" w:hAnsi="仿宋_GB2312" w:eastAsia="仿宋_GB2312" w:cs="仿宋_GB2312"/>
                <w:color w:val="auto"/>
                <w:sz w:val="18"/>
                <w:szCs w:val="18"/>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A1490C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C7719A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BF8FD68">
        <w:tblPrEx>
          <w:tblCellMar>
            <w:top w:w="0" w:type="dxa"/>
            <w:left w:w="108" w:type="dxa"/>
            <w:bottom w:w="0" w:type="dxa"/>
            <w:right w:w="108" w:type="dxa"/>
          </w:tblCellMar>
        </w:tblPrEx>
        <w:trPr>
          <w:trHeight w:val="193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63DFF8E">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51B41A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雕像存储柜</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B22498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7152" behindDoc="0" locked="0" layoutInCell="1" allowOverlap="1">
                  <wp:simplePos x="0" y="0"/>
                  <wp:positionH relativeFrom="column">
                    <wp:posOffset>340995</wp:posOffset>
                  </wp:positionH>
                  <wp:positionV relativeFrom="paragraph">
                    <wp:posOffset>181610</wp:posOffset>
                  </wp:positionV>
                  <wp:extent cx="415925" cy="892810"/>
                  <wp:effectExtent l="0" t="0" r="3175" b="2540"/>
                  <wp:wrapNone/>
                  <wp:docPr id="37" name="图片_37"/>
                  <wp:cNvGraphicFramePr/>
                  <a:graphic xmlns:a="http://schemas.openxmlformats.org/drawingml/2006/main">
                    <a:graphicData uri="http://schemas.openxmlformats.org/drawingml/2006/picture">
                      <pic:pic xmlns:pic="http://schemas.openxmlformats.org/drawingml/2006/picture">
                        <pic:nvPicPr>
                          <pic:cNvPr id="37" name="图片_37"/>
                          <pic:cNvPicPr/>
                        </pic:nvPicPr>
                        <pic:blipFill>
                          <a:blip r:embed="rId44"/>
                          <a:stretch>
                            <a:fillRect/>
                          </a:stretch>
                        </pic:blipFill>
                        <pic:spPr>
                          <a:xfrm>
                            <a:off x="0" y="0"/>
                            <a:ext cx="415925" cy="89281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A682A0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900*500*2000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7C98F2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4、主要五金配件:优质铰链/三合一连接件。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4B9B03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8BCA3E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6255065">
        <w:tblPrEx>
          <w:tblCellMar>
            <w:top w:w="0" w:type="dxa"/>
            <w:left w:w="108" w:type="dxa"/>
            <w:bottom w:w="0" w:type="dxa"/>
            <w:right w:w="108" w:type="dxa"/>
          </w:tblCellMar>
        </w:tblPrEx>
        <w:trPr>
          <w:trHeight w:val="205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3730891">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2DF0A7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储物柜1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AA2B60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8176" behindDoc="0" locked="0" layoutInCell="1" allowOverlap="1">
                  <wp:simplePos x="0" y="0"/>
                  <wp:positionH relativeFrom="column">
                    <wp:posOffset>186055</wp:posOffset>
                  </wp:positionH>
                  <wp:positionV relativeFrom="paragraph">
                    <wp:posOffset>291465</wp:posOffset>
                  </wp:positionV>
                  <wp:extent cx="778510" cy="685800"/>
                  <wp:effectExtent l="0" t="0" r="2540" b="0"/>
                  <wp:wrapNone/>
                  <wp:docPr id="38" name="图片_38"/>
                  <wp:cNvGraphicFramePr/>
                  <a:graphic xmlns:a="http://schemas.openxmlformats.org/drawingml/2006/main">
                    <a:graphicData uri="http://schemas.openxmlformats.org/drawingml/2006/picture">
                      <pic:pic xmlns:pic="http://schemas.openxmlformats.org/drawingml/2006/picture">
                        <pic:nvPicPr>
                          <pic:cNvPr id="38" name="图片_38"/>
                          <pic:cNvPicPr/>
                        </pic:nvPicPr>
                        <pic:blipFill>
                          <a:blip r:embed="rId45"/>
                          <a:stretch>
                            <a:fillRect/>
                          </a:stretch>
                        </pic:blipFill>
                        <pic:spPr>
                          <a:xfrm>
                            <a:off x="0" y="0"/>
                            <a:ext cx="778510" cy="6858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F86050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400*400*500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1F5262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3201D4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180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7DC606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D06D888">
        <w:tblPrEx>
          <w:tblCellMar>
            <w:top w:w="0" w:type="dxa"/>
            <w:left w:w="108" w:type="dxa"/>
            <w:bottom w:w="0" w:type="dxa"/>
            <w:right w:w="108" w:type="dxa"/>
          </w:tblCellMar>
        </w:tblPrEx>
        <w:trPr>
          <w:trHeight w:val="16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983AB70">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FF10D2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储物柜2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BA0492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9200" behindDoc="0" locked="0" layoutInCell="1" allowOverlap="1">
                  <wp:simplePos x="0" y="0"/>
                  <wp:positionH relativeFrom="column">
                    <wp:posOffset>287655</wp:posOffset>
                  </wp:positionH>
                  <wp:positionV relativeFrom="paragraph">
                    <wp:posOffset>92710</wp:posOffset>
                  </wp:positionV>
                  <wp:extent cx="528955" cy="877570"/>
                  <wp:effectExtent l="0" t="0" r="4445" b="17780"/>
                  <wp:wrapNone/>
                  <wp:docPr id="39" name="图片_32"/>
                  <wp:cNvGraphicFramePr/>
                  <a:graphic xmlns:a="http://schemas.openxmlformats.org/drawingml/2006/main">
                    <a:graphicData uri="http://schemas.openxmlformats.org/drawingml/2006/picture">
                      <pic:pic xmlns:pic="http://schemas.openxmlformats.org/drawingml/2006/picture">
                        <pic:nvPicPr>
                          <pic:cNvPr id="39" name="图片_32"/>
                          <pic:cNvPicPr/>
                        </pic:nvPicPr>
                        <pic:blipFill>
                          <a:blip r:embed="rId46"/>
                          <a:stretch>
                            <a:fillRect/>
                          </a:stretch>
                        </pic:blipFill>
                        <pic:spPr>
                          <a:xfrm>
                            <a:off x="0" y="0"/>
                            <a:ext cx="528955" cy="87757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6EDF65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800*400*1800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A34338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B4AACA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A701C3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11F45292">
        <w:tblPrEx>
          <w:tblCellMar>
            <w:top w:w="0" w:type="dxa"/>
            <w:left w:w="108" w:type="dxa"/>
            <w:bottom w:w="0" w:type="dxa"/>
            <w:right w:w="108" w:type="dxa"/>
          </w:tblCellMar>
        </w:tblPrEx>
        <w:trPr>
          <w:trHeight w:val="1397"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F1059D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3B68B7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储物柜3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3AF587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0224" behindDoc="0" locked="0" layoutInCell="1" allowOverlap="1">
                  <wp:simplePos x="0" y="0"/>
                  <wp:positionH relativeFrom="column">
                    <wp:posOffset>336550</wp:posOffset>
                  </wp:positionH>
                  <wp:positionV relativeFrom="paragraph">
                    <wp:posOffset>95885</wp:posOffset>
                  </wp:positionV>
                  <wp:extent cx="441325" cy="908685"/>
                  <wp:effectExtent l="0" t="0" r="15875" b="5715"/>
                  <wp:wrapNone/>
                  <wp:docPr id="54" name="图片_27"/>
                  <wp:cNvGraphicFramePr/>
                  <a:graphic xmlns:a="http://schemas.openxmlformats.org/drawingml/2006/main">
                    <a:graphicData uri="http://schemas.openxmlformats.org/drawingml/2006/picture">
                      <pic:pic xmlns:pic="http://schemas.openxmlformats.org/drawingml/2006/picture">
                        <pic:nvPicPr>
                          <pic:cNvPr id="54" name="图片_27"/>
                          <pic:cNvPicPr/>
                        </pic:nvPicPr>
                        <pic:blipFill>
                          <a:blip r:embed="rId47"/>
                          <a:stretch>
                            <a:fillRect/>
                          </a:stretch>
                        </pic:blipFill>
                        <pic:spPr>
                          <a:xfrm>
                            <a:off x="0" y="0"/>
                            <a:ext cx="441325" cy="90868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8D2A96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4800*550*2200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5F2F6B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CE635C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2C36EC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46EA282">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514789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7C782A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设备柜</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7AAAF2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1248" behindDoc="0" locked="0" layoutInCell="1" allowOverlap="1">
                  <wp:simplePos x="0" y="0"/>
                  <wp:positionH relativeFrom="column">
                    <wp:posOffset>243205</wp:posOffset>
                  </wp:positionH>
                  <wp:positionV relativeFrom="paragraph">
                    <wp:posOffset>153670</wp:posOffset>
                  </wp:positionV>
                  <wp:extent cx="704215" cy="577850"/>
                  <wp:effectExtent l="0" t="0" r="635" b="12700"/>
                  <wp:wrapNone/>
                  <wp:docPr id="55" name="图片_49"/>
                  <wp:cNvGraphicFramePr/>
                  <a:graphic xmlns:a="http://schemas.openxmlformats.org/drawingml/2006/main">
                    <a:graphicData uri="http://schemas.openxmlformats.org/drawingml/2006/picture">
                      <pic:pic xmlns:pic="http://schemas.openxmlformats.org/drawingml/2006/picture">
                        <pic:nvPicPr>
                          <pic:cNvPr id="55" name="图片_49"/>
                          <pic:cNvPicPr/>
                        </pic:nvPicPr>
                        <pic:blipFill>
                          <a:blip r:embed="rId48"/>
                          <a:stretch>
                            <a:fillRect/>
                          </a:stretch>
                        </pic:blipFill>
                        <pic:spPr>
                          <a:xfrm>
                            <a:off x="0" y="0"/>
                            <a:ext cx="704215" cy="57785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90217B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1200*500*900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554406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1、基材：优质榉木实木，干燥结实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09A76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5001F3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5365714">
        <w:tblPrEx>
          <w:tblCellMar>
            <w:top w:w="0" w:type="dxa"/>
            <w:left w:w="108" w:type="dxa"/>
            <w:bottom w:w="0" w:type="dxa"/>
            <w:right w:w="108" w:type="dxa"/>
          </w:tblCellMar>
        </w:tblPrEx>
        <w:trPr>
          <w:trHeight w:val="16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4B97781">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491613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物品收纳柜</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（1#楼405书画创作室）</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1A21CD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2272" behindDoc="0" locked="0" layoutInCell="1" allowOverlap="1">
                  <wp:simplePos x="0" y="0"/>
                  <wp:positionH relativeFrom="column">
                    <wp:posOffset>342265</wp:posOffset>
                  </wp:positionH>
                  <wp:positionV relativeFrom="paragraph">
                    <wp:posOffset>106045</wp:posOffset>
                  </wp:positionV>
                  <wp:extent cx="418465" cy="861060"/>
                  <wp:effectExtent l="0" t="0" r="635" b="15240"/>
                  <wp:wrapNone/>
                  <wp:docPr id="56" name="图片_25"/>
                  <wp:cNvGraphicFramePr/>
                  <a:graphic xmlns:a="http://schemas.openxmlformats.org/drawingml/2006/main">
                    <a:graphicData uri="http://schemas.openxmlformats.org/drawingml/2006/picture">
                      <pic:pic xmlns:pic="http://schemas.openxmlformats.org/drawingml/2006/picture">
                        <pic:nvPicPr>
                          <pic:cNvPr id="56" name="图片_25"/>
                          <pic:cNvPicPr/>
                        </pic:nvPicPr>
                        <pic:blipFill>
                          <a:blip r:embed="rId49"/>
                          <a:stretch>
                            <a:fillRect/>
                          </a:stretch>
                        </pic:blipFill>
                        <pic:spPr>
                          <a:xfrm>
                            <a:off x="0" y="0"/>
                            <a:ext cx="418465" cy="86106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5B75E8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1200*400*2400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BA2363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7AED33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064D3D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63AD35A0">
        <w:tblPrEx>
          <w:tblCellMar>
            <w:top w:w="0" w:type="dxa"/>
            <w:left w:w="108" w:type="dxa"/>
            <w:bottom w:w="0" w:type="dxa"/>
            <w:right w:w="108" w:type="dxa"/>
          </w:tblCellMar>
        </w:tblPrEx>
        <w:trPr>
          <w:trHeight w:val="214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446E4F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CBECA4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衣帽柜</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6835AC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3296" behindDoc="0" locked="0" layoutInCell="1" allowOverlap="1">
                  <wp:simplePos x="0" y="0"/>
                  <wp:positionH relativeFrom="column">
                    <wp:posOffset>150495</wp:posOffset>
                  </wp:positionH>
                  <wp:positionV relativeFrom="paragraph">
                    <wp:posOffset>422275</wp:posOffset>
                  </wp:positionV>
                  <wp:extent cx="804545" cy="675640"/>
                  <wp:effectExtent l="0" t="0" r="14605" b="10160"/>
                  <wp:wrapNone/>
                  <wp:docPr id="57" name="图片_18"/>
                  <wp:cNvGraphicFramePr/>
                  <a:graphic xmlns:a="http://schemas.openxmlformats.org/drawingml/2006/main">
                    <a:graphicData uri="http://schemas.openxmlformats.org/drawingml/2006/picture">
                      <pic:pic xmlns:pic="http://schemas.openxmlformats.org/drawingml/2006/picture">
                        <pic:nvPicPr>
                          <pic:cNvPr id="57" name="图片_18"/>
                          <pic:cNvPicPr/>
                        </pic:nvPicPr>
                        <pic:blipFill>
                          <a:blip r:embed="rId50"/>
                          <a:stretch>
                            <a:fillRect/>
                          </a:stretch>
                        </pic:blipFill>
                        <pic:spPr>
                          <a:xfrm>
                            <a:off x="0" y="0"/>
                            <a:ext cx="804545" cy="67564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1CA64E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定制(按立面投影面积计算)</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85A99B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根据现场情况定制（按投影面积计算）每个隔间需标号。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BF6582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633</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A7CB96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平方</w:t>
            </w:r>
          </w:p>
        </w:tc>
      </w:tr>
      <w:tr w14:paraId="23F02C61">
        <w:tblPrEx>
          <w:tblCellMar>
            <w:top w:w="0" w:type="dxa"/>
            <w:left w:w="108" w:type="dxa"/>
            <w:bottom w:w="0" w:type="dxa"/>
            <w:right w:w="108" w:type="dxa"/>
          </w:tblCellMar>
        </w:tblPrEx>
        <w:trPr>
          <w:trHeight w:val="175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85D178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F3AB7A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玻璃壁柜</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696764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4320" behindDoc="0" locked="0" layoutInCell="1" allowOverlap="1">
                  <wp:simplePos x="0" y="0"/>
                  <wp:positionH relativeFrom="column">
                    <wp:posOffset>118745</wp:posOffset>
                  </wp:positionH>
                  <wp:positionV relativeFrom="paragraph">
                    <wp:posOffset>243205</wp:posOffset>
                  </wp:positionV>
                  <wp:extent cx="810260" cy="694055"/>
                  <wp:effectExtent l="0" t="0" r="8890" b="10795"/>
                  <wp:wrapNone/>
                  <wp:docPr id="58" name="图片_19"/>
                  <wp:cNvGraphicFramePr/>
                  <a:graphic xmlns:a="http://schemas.openxmlformats.org/drawingml/2006/main">
                    <a:graphicData uri="http://schemas.openxmlformats.org/drawingml/2006/picture">
                      <pic:pic xmlns:pic="http://schemas.openxmlformats.org/drawingml/2006/picture">
                        <pic:nvPicPr>
                          <pic:cNvPr id="58" name="图片_19"/>
                          <pic:cNvPicPr/>
                        </pic:nvPicPr>
                        <pic:blipFill>
                          <a:blip r:embed="rId51"/>
                          <a:stretch>
                            <a:fillRect/>
                          </a:stretch>
                        </pic:blipFill>
                        <pic:spPr>
                          <a:xfrm>
                            <a:off x="0" y="0"/>
                            <a:ext cx="810260" cy="69405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680687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定制(按立面投影面积计算)</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7EC996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FBADBF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B8A722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平方</w:t>
            </w:r>
          </w:p>
        </w:tc>
      </w:tr>
      <w:tr w14:paraId="1B3946F1">
        <w:tblPrEx>
          <w:tblCellMar>
            <w:top w:w="0" w:type="dxa"/>
            <w:left w:w="108" w:type="dxa"/>
            <w:bottom w:w="0" w:type="dxa"/>
            <w:right w:w="108" w:type="dxa"/>
          </w:tblCellMar>
        </w:tblPrEx>
        <w:trPr>
          <w:trHeight w:val="179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CFF1CF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C0EABA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化妆台</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0900DE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5344" behindDoc="0" locked="0" layoutInCell="1" allowOverlap="1">
                  <wp:simplePos x="0" y="0"/>
                  <wp:positionH relativeFrom="column">
                    <wp:posOffset>69215</wp:posOffset>
                  </wp:positionH>
                  <wp:positionV relativeFrom="paragraph">
                    <wp:posOffset>430530</wp:posOffset>
                  </wp:positionV>
                  <wp:extent cx="907415" cy="471805"/>
                  <wp:effectExtent l="0" t="0" r="6985" b="4445"/>
                  <wp:wrapNone/>
                  <wp:docPr id="59" name="图片_17"/>
                  <wp:cNvGraphicFramePr/>
                  <a:graphic xmlns:a="http://schemas.openxmlformats.org/drawingml/2006/main">
                    <a:graphicData uri="http://schemas.openxmlformats.org/drawingml/2006/picture">
                      <pic:pic xmlns:pic="http://schemas.openxmlformats.org/drawingml/2006/picture">
                        <pic:nvPicPr>
                          <pic:cNvPr id="59" name="图片_17"/>
                          <pic:cNvPicPr/>
                        </pic:nvPicPr>
                        <pic:blipFill>
                          <a:blip r:embed="rId52"/>
                          <a:stretch>
                            <a:fillRect/>
                          </a:stretch>
                        </pic:blipFill>
                        <pic:spPr>
                          <a:xfrm>
                            <a:off x="0" y="0"/>
                            <a:ext cx="907415" cy="47180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778C6D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1400*600*1200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C6D63E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p w14:paraId="22FA0AE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6、含玻璃镜子，镜面周边带LED灯，带电源。</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299138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15</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C1526B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519655F">
        <w:tblPrEx>
          <w:tblCellMar>
            <w:top w:w="0" w:type="dxa"/>
            <w:left w:w="108" w:type="dxa"/>
            <w:bottom w:w="0" w:type="dxa"/>
            <w:right w:w="108" w:type="dxa"/>
          </w:tblCellMar>
        </w:tblPrEx>
        <w:trPr>
          <w:trHeight w:val="157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F226E75">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EE170B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化妆椅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A5BAA7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6368" behindDoc="0" locked="0" layoutInCell="1" allowOverlap="1">
                  <wp:simplePos x="0" y="0"/>
                  <wp:positionH relativeFrom="column">
                    <wp:posOffset>283845</wp:posOffset>
                  </wp:positionH>
                  <wp:positionV relativeFrom="paragraph">
                    <wp:posOffset>107315</wp:posOffset>
                  </wp:positionV>
                  <wp:extent cx="492125" cy="778510"/>
                  <wp:effectExtent l="0" t="0" r="3175" b="2540"/>
                  <wp:wrapNone/>
                  <wp:docPr id="60" name="图片_11_SpCnt_1"/>
                  <wp:cNvGraphicFramePr/>
                  <a:graphic xmlns:a="http://schemas.openxmlformats.org/drawingml/2006/main">
                    <a:graphicData uri="http://schemas.openxmlformats.org/drawingml/2006/picture">
                      <pic:pic xmlns:pic="http://schemas.openxmlformats.org/drawingml/2006/picture">
                        <pic:nvPicPr>
                          <pic:cNvPr id="60" name="图片_11_SpCnt_1"/>
                          <pic:cNvPicPr/>
                        </pic:nvPicPr>
                        <pic:blipFill>
                          <a:blip r:embed="rId53"/>
                          <a:stretch>
                            <a:fillRect/>
                          </a:stretch>
                        </pic:blipFill>
                        <pic:spPr>
                          <a:xfrm>
                            <a:off x="0" y="0"/>
                            <a:ext cx="492125" cy="77851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06FBBE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480*500*860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07CF74B">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 麻绒面料。</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，座垫厚度≥7mm。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3、座面曲木板：≥14mm多层曲木板热压成型。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4、下架：选用冷轧钢材，钢管壁厚≥1mm ，经脱脂、水洗、酸洗、水洗中和、表调、磷化、干燥等工艺处理，表面粉末涂料静电喷涂处理。</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FD2630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70BBCB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3BC25955">
        <w:tblPrEx>
          <w:tblCellMar>
            <w:top w:w="0" w:type="dxa"/>
            <w:left w:w="108" w:type="dxa"/>
            <w:bottom w:w="0" w:type="dxa"/>
            <w:right w:w="108" w:type="dxa"/>
          </w:tblCellMar>
        </w:tblPrEx>
        <w:trPr>
          <w:trHeight w:val="146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331E58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B5F3A1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医药柜</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88634B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7392" behindDoc="0" locked="0" layoutInCell="1" allowOverlap="1">
                  <wp:simplePos x="0" y="0"/>
                  <wp:positionH relativeFrom="column">
                    <wp:posOffset>271145</wp:posOffset>
                  </wp:positionH>
                  <wp:positionV relativeFrom="paragraph">
                    <wp:posOffset>113030</wp:posOffset>
                  </wp:positionV>
                  <wp:extent cx="415925" cy="812800"/>
                  <wp:effectExtent l="0" t="0" r="3175" b="6350"/>
                  <wp:wrapNone/>
                  <wp:docPr id="61" name="图片_43"/>
                  <wp:cNvGraphicFramePr/>
                  <a:graphic xmlns:a="http://schemas.openxmlformats.org/drawingml/2006/main">
                    <a:graphicData uri="http://schemas.openxmlformats.org/drawingml/2006/picture">
                      <pic:pic xmlns:pic="http://schemas.openxmlformats.org/drawingml/2006/picture">
                        <pic:nvPicPr>
                          <pic:cNvPr id="61" name="图片_43"/>
                          <pic:cNvPicPr/>
                        </pic:nvPicPr>
                        <pic:blipFill>
                          <a:blip r:embed="rId54"/>
                          <a:stretch>
                            <a:fillRect/>
                          </a:stretch>
                        </pic:blipFill>
                        <pic:spPr>
                          <a:xfrm>
                            <a:off x="0" y="0"/>
                            <a:ext cx="415925" cy="8128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AB00A3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900*480*1850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6D95E0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1、钢板：搁板厚度≥1.0㎜，符合GB/T3280-2015，GB/T3325-2017，QB/T3826-1999，QB/T3832-1999标准；无锈迹、剥落、起皱、变色和失光等现象。</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DD0894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8AA243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23E0EB2">
        <w:tblPrEx>
          <w:tblCellMar>
            <w:top w:w="0" w:type="dxa"/>
            <w:left w:w="108" w:type="dxa"/>
            <w:bottom w:w="0" w:type="dxa"/>
            <w:right w:w="108" w:type="dxa"/>
          </w:tblCellMar>
        </w:tblPrEx>
        <w:trPr>
          <w:trHeight w:val="193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26190CB">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736237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置物柜</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E34A53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8416" behindDoc="0" locked="0" layoutInCell="1" allowOverlap="1">
                  <wp:simplePos x="0" y="0"/>
                  <wp:positionH relativeFrom="column">
                    <wp:posOffset>270510</wp:posOffset>
                  </wp:positionH>
                  <wp:positionV relativeFrom="paragraph">
                    <wp:posOffset>189230</wp:posOffset>
                  </wp:positionV>
                  <wp:extent cx="557530" cy="880110"/>
                  <wp:effectExtent l="0" t="0" r="13970" b="15240"/>
                  <wp:wrapNone/>
                  <wp:docPr id="62" name="图片_41"/>
                  <wp:cNvGraphicFramePr/>
                  <a:graphic xmlns:a="http://schemas.openxmlformats.org/drawingml/2006/main">
                    <a:graphicData uri="http://schemas.openxmlformats.org/drawingml/2006/picture">
                      <pic:pic xmlns:pic="http://schemas.openxmlformats.org/drawingml/2006/picture">
                        <pic:nvPicPr>
                          <pic:cNvPr id="62" name="图片_41"/>
                          <pic:cNvPicPr/>
                        </pic:nvPicPr>
                        <pic:blipFill>
                          <a:blip r:embed="rId55"/>
                          <a:stretch>
                            <a:fillRect/>
                          </a:stretch>
                        </pic:blipFill>
                        <pic:spPr>
                          <a:xfrm>
                            <a:off x="0" y="0"/>
                            <a:ext cx="557530" cy="88011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CC3A34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800*400*2000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7BDF9F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6381B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E59E34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0EE755F">
        <w:tblPrEx>
          <w:tblCellMar>
            <w:top w:w="0" w:type="dxa"/>
            <w:left w:w="108" w:type="dxa"/>
            <w:bottom w:w="0" w:type="dxa"/>
            <w:right w:w="108" w:type="dxa"/>
          </w:tblCellMar>
        </w:tblPrEx>
        <w:trPr>
          <w:trHeight w:val="147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938053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073B13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桥牌桌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350569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09440" behindDoc="0" locked="0" layoutInCell="1" allowOverlap="1">
                  <wp:simplePos x="0" y="0"/>
                  <wp:positionH relativeFrom="column">
                    <wp:posOffset>100330</wp:posOffset>
                  </wp:positionH>
                  <wp:positionV relativeFrom="paragraph">
                    <wp:posOffset>168275</wp:posOffset>
                  </wp:positionV>
                  <wp:extent cx="838200" cy="634365"/>
                  <wp:effectExtent l="0" t="0" r="0" b="13335"/>
                  <wp:wrapNone/>
                  <wp:docPr id="63" name="图片_48"/>
                  <wp:cNvGraphicFramePr/>
                  <a:graphic xmlns:a="http://schemas.openxmlformats.org/drawingml/2006/main">
                    <a:graphicData uri="http://schemas.openxmlformats.org/drawingml/2006/picture">
                      <pic:pic xmlns:pic="http://schemas.openxmlformats.org/drawingml/2006/picture">
                        <pic:nvPicPr>
                          <pic:cNvPr id="63" name="图片_48"/>
                          <pic:cNvPicPr/>
                        </pic:nvPicPr>
                        <pic:blipFill>
                          <a:blip r:embed="rId56"/>
                          <a:stretch>
                            <a:fillRect/>
                          </a:stretch>
                        </pic:blipFill>
                        <pic:spPr>
                          <a:xfrm>
                            <a:off x="0" y="0"/>
                            <a:ext cx="838200" cy="63436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F7CC0C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1000*1000*780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F6F688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3、结构：采用榫卯结构，含落地挡板，细节圆润，适老化要求。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BCD43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EDD518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55749E90">
        <w:tblPrEx>
          <w:tblCellMar>
            <w:top w:w="0" w:type="dxa"/>
            <w:left w:w="108" w:type="dxa"/>
            <w:bottom w:w="0" w:type="dxa"/>
            <w:right w:w="108" w:type="dxa"/>
          </w:tblCellMar>
        </w:tblPrEx>
        <w:trPr>
          <w:trHeight w:val="114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D6824E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CC333C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桥牌椅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925E8A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0464" behindDoc="0" locked="0" layoutInCell="1" allowOverlap="1">
                  <wp:simplePos x="0" y="0"/>
                  <wp:positionH relativeFrom="column">
                    <wp:posOffset>231775</wp:posOffset>
                  </wp:positionH>
                  <wp:positionV relativeFrom="paragraph">
                    <wp:posOffset>66040</wp:posOffset>
                  </wp:positionV>
                  <wp:extent cx="563245" cy="613410"/>
                  <wp:effectExtent l="0" t="0" r="8255" b="15240"/>
                  <wp:wrapNone/>
                  <wp:docPr id="64" name="图片_94"/>
                  <wp:cNvGraphicFramePr/>
                  <a:graphic xmlns:a="http://schemas.openxmlformats.org/drawingml/2006/main">
                    <a:graphicData uri="http://schemas.openxmlformats.org/drawingml/2006/picture">
                      <pic:pic xmlns:pic="http://schemas.openxmlformats.org/drawingml/2006/picture">
                        <pic:nvPicPr>
                          <pic:cNvPr id="64" name="图片_94"/>
                          <pic:cNvPicPr/>
                        </pic:nvPicPr>
                        <pic:blipFill>
                          <a:blip r:embed="rId57"/>
                          <a:stretch>
                            <a:fillRect/>
                          </a:stretch>
                        </pic:blipFill>
                        <pic:spPr>
                          <a:xfrm>
                            <a:off x="0" y="0"/>
                            <a:ext cx="563245" cy="61341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35DCA1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520*560*850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16B85D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888908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04C858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5F545098">
        <w:tblPrEx>
          <w:tblCellMar>
            <w:top w:w="0" w:type="dxa"/>
            <w:left w:w="108" w:type="dxa"/>
            <w:bottom w:w="0" w:type="dxa"/>
            <w:right w:w="108" w:type="dxa"/>
          </w:tblCellMar>
        </w:tblPrEx>
        <w:trPr>
          <w:trHeight w:val="129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FC75C83">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0DFF06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棋牌桌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CFE625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1488" behindDoc="0" locked="0" layoutInCell="1" allowOverlap="1">
                  <wp:simplePos x="0" y="0"/>
                  <wp:positionH relativeFrom="column">
                    <wp:posOffset>146685</wp:posOffset>
                  </wp:positionH>
                  <wp:positionV relativeFrom="paragraph">
                    <wp:posOffset>41275</wp:posOffset>
                  </wp:positionV>
                  <wp:extent cx="742315" cy="655955"/>
                  <wp:effectExtent l="0" t="0" r="635" b="10795"/>
                  <wp:wrapNone/>
                  <wp:docPr id="65" name="图片_95"/>
                  <wp:cNvGraphicFramePr/>
                  <a:graphic xmlns:a="http://schemas.openxmlformats.org/drawingml/2006/main">
                    <a:graphicData uri="http://schemas.openxmlformats.org/drawingml/2006/picture">
                      <pic:pic xmlns:pic="http://schemas.openxmlformats.org/drawingml/2006/picture">
                        <pic:nvPicPr>
                          <pic:cNvPr id="65" name="图片_95"/>
                          <pic:cNvPicPr/>
                        </pic:nvPicPr>
                        <pic:blipFill>
                          <a:blip r:embed="rId58"/>
                          <a:stretch>
                            <a:fillRect/>
                          </a:stretch>
                        </pic:blipFill>
                        <pic:spPr>
                          <a:xfrm>
                            <a:off x="0" y="0"/>
                            <a:ext cx="742315" cy="65595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24C317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1000*1000*780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49F832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FDC698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5B5C63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637B47DD">
        <w:tblPrEx>
          <w:tblCellMar>
            <w:top w:w="0" w:type="dxa"/>
            <w:left w:w="108" w:type="dxa"/>
            <w:bottom w:w="0" w:type="dxa"/>
            <w:right w:w="108" w:type="dxa"/>
          </w:tblCellMar>
        </w:tblPrEx>
        <w:trPr>
          <w:trHeight w:val="178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DDAB51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7618DB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棋牌椅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C354A0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2512" behindDoc="0" locked="0" layoutInCell="1" allowOverlap="1">
                  <wp:simplePos x="0" y="0"/>
                  <wp:positionH relativeFrom="column">
                    <wp:posOffset>297815</wp:posOffset>
                  </wp:positionH>
                  <wp:positionV relativeFrom="paragraph">
                    <wp:posOffset>160020</wp:posOffset>
                  </wp:positionV>
                  <wp:extent cx="513080" cy="883285"/>
                  <wp:effectExtent l="0" t="0" r="1270" b="12065"/>
                  <wp:wrapNone/>
                  <wp:docPr id="66" name="图片_96"/>
                  <wp:cNvGraphicFramePr/>
                  <a:graphic xmlns:a="http://schemas.openxmlformats.org/drawingml/2006/main">
                    <a:graphicData uri="http://schemas.openxmlformats.org/drawingml/2006/picture">
                      <pic:pic xmlns:pic="http://schemas.openxmlformats.org/drawingml/2006/picture">
                        <pic:nvPicPr>
                          <pic:cNvPr id="66" name="图片_96"/>
                          <pic:cNvPicPr/>
                        </pic:nvPicPr>
                        <pic:blipFill>
                          <a:blip r:embed="rId59"/>
                          <a:stretch>
                            <a:fillRect/>
                          </a:stretch>
                        </pic:blipFill>
                        <pic:spPr>
                          <a:xfrm>
                            <a:off x="0" y="0"/>
                            <a:ext cx="513080" cy="88328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AAFEF8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560*540*850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DCD8BAA">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3FBCD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6115E3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775BFEA3">
        <w:tblPrEx>
          <w:tblCellMar>
            <w:top w:w="0" w:type="dxa"/>
            <w:left w:w="108" w:type="dxa"/>
            <w:bottom w:w="0" w:type="dxa"/>
            <w:right w:w="108" w:type="dxa"/>
          </w:tblCellMar>
        </w:tblPrEx>
        <w:trPr>
          <w:trHeight w:val="147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6A78A3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4F932D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麻将桌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87E36D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3536" behindDoc="0" locked="0" layoutInCell="1" allowOverlap="1">
                  <wp:simplePos x="0" y="0"/>
                  <wp:positionH relativeFrom="column">
                    <wp:posOffset>160020</wp:posOffset>
                  </wp:positionH>
                  <wp:positionV relativeFrom="paragraph">
                    <wp:posOffset>172720</wp:posOffset>
                  </wp:positionV>
                  <wp:extent cx="748030" cy="636270"/>
                  <wp:effectExtent l="0" t="0" r="13970" b="11430"/>
                  <wp:wrapNone/>
                  <wp:docPr id="67" name="图片_15"/>
                  <wp:cNvGraphicFramePr/>
                  <a:graphic xmlns:a="http://schemas.openxmlformats.org/drawingml/2006/main">
                    <a:graphicData uri="http://schemas.openxmlformats.org/drawingml/2006/picture">
                      <pic:pic xmlns:pic="http://schemas.openxmlformats.org/drawingml/2006/picture">
                        <pic:nvPicPr>
                          <pic:cNvPr id="67" name="图片_15"/>
                          <pic:cNvPicPr/>
                        </pic:nvPicPr>
                        <pic:blipFill>
                          <a:blip r:embed="rId60"/>
                          <a:stretch>
                            <a:fillRect/>
                          </a:stretch>
                        </pic:blipFill>
                        <pic:spPr>
                          <a:xfrm>
                            <a:off x="0" y="0"/>
                            <a:ext cx="748030" cy="63627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BC806C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960*960*780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A81D1E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1.电机：采用3c认证变频感应电机</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2.智能光控，双推码牌</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3.高密度隔音海绵，硅胶消音罩</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4.四面恒温，冷暖风</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F92D3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732D4A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607E6467">
        <w:tblPrEx>
          <w:tblCellMar>
            <w:top w:w="0" w:type="dxa"/>
            <w:left w:w="108" w:type="dxa"/>
            <w:bottom w:w="0" w:type="dxa"/>
            <w:right w:w="108" w:type="dxa"/>
          </w:tblCellMar>
        </w:tblPrEx>
        <w:trPr>
          <w:trHeight w:val="1475"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12FE94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151F20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麻将椅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2DF503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4560" behindDoc="0" locked="0" layoutInCell="1" allowOverlap="1">
                  <wp:simplePos x="0" y="0"/>
                  <wp:positionH relativeFrom="column">
                    <wp:posOffset>308610</wp:posOffset>
                  </wp:positionH>
                  <wp:positionV relativeFrom="paragraph">
                    <wp:posOffset>181610</wp:posOffset>
                  </wp:positionV>
                  <wp:extent cx="453390" cy="751840"/>
                  <wp:effectExtent l="0" t="0" r="3810" b="10160"/>
                  <wp:wrapNone/>
                  <wp:docPr id="68" name="图片_97"/>
                  <wp:cNvGraphicFramePr/>
                  <a:graphic xmlns:a="http://schemas.openxmlformats.org/drawingml/2006/main">
                    <a:graphicData uri="http://schemas.openxmlformats.org/drawingml/2006/picture">
                      <pic:pic xmlns:pic="http://schemas.openxmlformats.org/drawingml/2006/picture">
                        <pic:nvPicPr>
                          <pic:cNvPr id="68" name="图片_97"/>
                          <pic:cNvPicPr/>
                        </pic:nvPicPr>
                        <pic:blipFill>
                          <a:blip r:embed="rId61"/>
                          <a:stretch>
                            <a:fillRect/>
                          </a:stretch>
                        </pic:blipFill>
                        <pic:spPr>
                          <a:xfrm>
                            <a:off x="0" y="0"/>
                            <a:ext cx="453390" cy="75184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C23AC3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470*450*900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F6840B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643BE6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B999DD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6E1AB42E">
        <w:tblPrEx>
          <w:tblCellMar>
            <w:top w:w="0" w:type="dxa"/>
            <w:left w:w="108" w:type="dxa"/>
            <w:bottom w:w="0" w:type="dxa"/>
            <w:right w:w="108" w:type="dxa"/>
          </w:tblCellMar>
        </w:tblPrEx>
        <w:trPr>
          <w:trHeight w:val="142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2BC491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4F6E68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功夫茶桌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0D014E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5584" behindDoc="0" locked="0" layoutInCell="1" allowOverlap="1">
                  <wp:simplePos x="0" y="0"/>
                  <wp:positionH relativeFrom="column">
                    <wp:posOffset>97790</wp:posOffset>
                  </wp:positionH>
                  <wp:positionV relativeFrom="paragraph">
                    <wp:posOffset>167640</wp:posOffset>
                  </wp:positionV>
                  <wp:extent cx="856615" cy="572770"/>
                  <wp:effectExtent l="0" t="0" r="635" b="17780"/>
                  <wp:wrapNone/>
                  <wp:docPr id="69" name="图片_21"/>
                  <wp:cNvGraphicFramePr/>
                  <a:graphic xmlns:a="http://schemas.openxmlformats.org/drawingml/2006/main">
                    <a:graphicData uri="http://schemas.openxmlformats.org/drawingml/2006/picture">
                      <pic:pic xmlns:pic="http://schemas.openxmlformats.org/drawingml/2006/picture">
                        <pic:nvPicPr>
                          <pic:cNvPr id="69" name="图片_21"/>
                          <pic:cNvPicPr/>
                        </pic:nvPicPr>
                        <pic:blipFill>
                          <a:blip r:embed="rId62"/>
                          <a:stretch>
                            <a:fillRect/>
                          </a:stretch>
                        </pic:blipFill>
                        <pic:spPr>
                          <a:xfrm>
                            <a:off x="0" y="0"/>
                            <a:ext cx="856615" cy="57277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3FBC48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2000*800*760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B326E7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5DA05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F697B0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4F86F8FB">
        <w:tblPrEx>
          <w:tblCellMar>
            <w:top w:w="0" w:type="dxa"/>
            <w:left w:w="108" w:type="dxa"/>
            <w:bottom w:w="0" w:type="dxa"/>
            <w:right w:w="108" w:type="dxa"/>
          </w:tblCellMar>
        </w:tblPrEx>
        <w:trPr>
          <w:trHeight w:val="1284"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D90B4F2">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6B0796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功夫茶椅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CF21E6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6608" behindDoc="0" locked="0" layoutInCell="1" allowOverlap="1">
                  <wp:simplePos x="0" y="0"/>
                  <wp:positionH relativeFrom="column">
                    <wp:posOffset>226060</wp:posOffset>
                  </wp:positionH>
                  <wp:positionV relativeFrom="paragraph">
                    <wp:posOffset>104775</wp:posOffset>
                  </wp:positionV>
                  <wp:extent cx="612775" cy="699135"/>
                  <wp:effectExtent l="0" t="0" r="15875" b="5715"/>
                  <wp:wrapNone/>
                  <wp:docPr id="70" name="图片_99"/>
                  <wp:cNvGraphicFramePr/>
                  <a:graphic xmlns:a="http://schemas.openxmlformats.org/drawingml/2006/main">
                    <a:graphicData uri="http://schemas.openxmlformats.org/drawingml/2006/picture">
                      <pic:pic xmlns:pic="http://schemas.openxmlformats.org/drawingml/2006/picture">
                        <pic:nvPicPr>
                          <pic:cNvPr id="70" name="图片_99"/>
                          <pic:cNvPicPr/>
                        </pic:nvPicPr>
                        <pic:blipFill>
                          <a:blip r:embed="rId63"/>
                          <a:stretch>
                            <a:fillRect/>
                          </a:stretch>
                        </pic:blipFill>
                        <pic:spPr>
                          <a:xfrm>
                            <a:off x="0" y="0"/>
                            <a:ext cx="612775" cy="69913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B0D4C9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常规</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DEB405A">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C0318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E6A6F0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04C37245">
        <w:tblPrEx>
          <w:tblCellMar>
            <w:top w:w="0" w:type="dxa"/>
            <w:left w:w="108" w:type="dxa"/>
            <w:bottom w:w="0" w:type="dxa"/>
            <w:right w:w="108" w:type="dxa"/>
          </w:tblCellMar>
        </w:tblPrEx>
        <w:trPr>
          <w:trHeight w:val="10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9C1E393">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4736A1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书画桌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7B72AF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7632" behindDoc="0" locked="0" layoutInCell="1" allowOverlap="1">
                  <wp:simplePos x="0" y="0"/>
                  <wp:positionH relativeFrom="column">
                    <wp:posOffset>98425</wp:posOffset>
                  </wp:positionH>
                  <wp:positionV relativeFrom="paragraph">
                    <wp:posOffset>172085</wp:posOffset>
                  </wp:positionV>
                  <wp:extent cx="887095" cy="377825"/>
                  <wp:effectExtent l="0" t="0" r="8255" b="3175"/>
                  <wp:wrapNone/>
                  <wp:docPr id="71" name="图片_23"/>
                  <wp:cNvGraphicFramePr/>
                  <a:graphic xmlns:a="http://schemas.openxmlformats.org/drawingml/2006/main">
                    <a:graphicData uri="http://schemas.openxmlformats.org/drawingml/2006/picture">
                      <pic:pic xmlns:pic="http://schemas.openxmlformats.org/drawingml/2006/picture">
                        <pic:nvPicPr>
                          <pic:cNvPr id="71" name="图片_23"/>
                          <pic:cNvPicPr/>
                        </pic:nvPicPr>
                        <pic:blipFill>
                          <a:blip r:embed="rId64"/>
                          <a:stretch>
                            <a:fillRect/>
                          </a:stretch>
                        </pic:blipFill>
                        <pic:spPr>
                          <a:xfrm>
                            <a:off x="0" y="0"/>
                            <a:ext cx="887095" cy="37782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315C36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1600*800*760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643485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14D7B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D4AA17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2BBC55D6">
        <w:tblPrEx>
          <w:tblCellMar>
            <w:top w:w="0" w:type="dxa"/>
            <w:left w:w="108" w:type="dxa"/>
            <w:bottom w:w="0" w:type="dxa"/>
            <w:right w:w="108" w:type="dxa"/>
          </w:tblCellMar>
        </w:tblPrEx>
        <w:trPr>
          <w:trHeight w:val="126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A20D0BF">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DC6436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书画椅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E4E5B9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8656" behindDoc="0" locked="0" layoutInCell="1" allowOverlap="1">
                  <wp:simplePos x="0" y="0"/>
                  <wp:positionH relativeFrom="column">
                    <wp:posOffset>109220</wp:posOffset>
                  </wp:positionH>
                  <wp:positionV relativeFrom="paragraph">
                    <wp:posOffset>215265</wp:posOffset>
                  </wp:positionV>
                  <wp:extent cx="801370" cy="459740"/>
                  <wp:effectExtent l="0" t="0" r="17780" b="16510"/>
                  <wp:wrapNone/>
                  <wp:docPr id="72" name="图片_100"/>
                  <wp:cNvGraphicFramePr/>
                  <a:graphic xmlns:a="http://schemas.openxmlformats.org/drawingml/2006/main">
                    <a:graphicData uri="http://schemas.openxmlformats.org/drawingml/2006/picture">
                      <pic:pic xmlns:pic="http://schemas.openxmlformats.org/drawingml/2006/picture">
                        <pic:nvPicPr>
                          <pic:cNvPr id="72" name="图片_100"/>
                          <pic:cNvPicPr/>
                        </pic:nvPicPr>
                        <pic:blipFill>
                          <a:blip r:embed="rId65"/>
                          <a:stretch>
                            <a:fillRect/>
                          </a:stretch>
                        </pic:blipFill>
                        <pic:spPr>
                          <a:xfrm>
                            <a:off x="0" y="0"/>
                            <a:ext cx="801370" cy="45974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7AC8C0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450*450*420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DC7377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49E4BB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E05C09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679C4EAF">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36FCE8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D2FB18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实木桌1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8CDD58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19680" behindDoc="0" locked="0" layoutInCell="1" allowOverlap="1">
                  <wp:simplePos x="0" y="0"/>
                  <wp:positionH relativeFrom="column">
                    <wp:posOffset>132080</wp:posOffset>
                  </wp:positionH>
                  <wp:positionV relativeFrom="paragraph">
                    <wp:posOffset>97790</wp:posOffset>
                  </wp:positionV>
                  <wp:extent cx="723265" cy="610235"/>
                  <wp:effectExtent l="0" t="0" r="635" b="18415"/>
                  <wp:wrapNone/>
                  <wp:docPr id="73" name="图片_62"/>
                  <wp:cNvGraphicFramePr/>
                  <a:graphic xmlns:a="http://schemas.openxmlformats.org/drawingml/2006/main">
                    <a:graphicData uri="http://schemas.openxmlformats.org/drawingml/2006/picture">
                      <pic:pic xmlns:pic="http://schemas.openxmlformats.org/drawingml/2006/picture">
                        <pic:nvPicPr>
                          <pic:cNvPr id="73" name="图片_62"/>
                          <pic:cNvPicPr/>
                        </pic:nvPicPr>
                        <pic:blipFill>
                          <a:blip r:embed="rId66"/>
                          <a:stretch>
                            <a:fillRect/>
                          </a:stretch>
                        </pic:blipFill>
                        <pic:spPr>
                          <a:xfrm>
                            <a:off x="0" y="0"/>
                            <a:ext cx="723265" cy="61023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4E84AB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2200*900*760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8B844FA">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25DDC4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945FB0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449C994B">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F9E5841">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2EDBAD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实木椅1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B5F010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0704" behindDoc="0" locked="0" layoutInCell="1" allowOverlap="1">
                  <wp:simplePos x="0" y="0"/>
                  <wp:positionH relativeFrom="column">
                    <wp:posOffset>270510</wp:posOffset>
                  </wp:positionH>
                  <wp:positionV relativeFrom="paragraph">
                    <wp:posOffset>60325</wp:posOffset>
                  </wp:positionV>
                  <wp:extent cx="573405" cy="745490"/>
                  <wp:effectExtent l="0" t="0" r="17145" b="16510"/>
                  <wp:wrapNone/>
                  <wp:docPr id="74" name="图片_102"/>
                  <wp:cNvGraphicFramePr/>
                  <a:graphic xmlns:a="http://schemas.openxmlformats.org/drawingml/2006/main">
                    <a:graphicData uri="http://schemas.openxmlformats.org/drawingml/2006/picture">
                      <pic:pic xmlns:pic="http://schemas.openxmlformats.org/drawingml/2006/picture">
                        <pic:nvPicPr>
                          <pic:cNvPr id="74" name="图片_102"/>
                          <pic:cNvPicPr/>
                        </pic:nvPicPr>
                        <pic:blipFill>
                          <a:blip r:embed="rId67"/>
                          <a:stretch>
                            <a:fillRect/>
                          </a:stretch>
                        </pic:blipFill>
                        <pic:spPr>
                          <a:xfrm>
                            <a:off x="0" y="0"/>
                            <a:ext cx="573405" cy="74549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9EF4B2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680*650*1060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9E54A6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73208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CCDC6E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4A595DB6">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55FB1AE">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4AAC5A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实木凳</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29947B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1728" behindDoc="0" locked="0" layoutInCell="1" allowOverlap="1">
                  <wp:simplePos x="0" y="0"/>
                  <wp:positionH relativeFrom="column">
                    <wp:posOffset>314325</wp:posOffset>
                  </wp:positionH>
                  <wp:positionV relativeFrom="paragraph">
                    <wp:posOffset>109855</wp:posOffset>
                  </wp:positionV>
                  <wp:extent cx="516255" cy="690245"/>
                  <wp:effectExtent l="0" t="0" r="17145" b="14605"/>
                  <wp:wrapNone/>
                  <wp:docPr id="75" name="图片_101"/>
                  <wp:cNvGraphicFramePr/>
                  <a:graphic xmlns:a="http://schemas.openxmlformats.org/drawingml/2006/main">
                    <a:graphicData uri="http://schemas.openxmlformats.org/drawingml/2006/picture">
                      <pic:pic xmlns:pic="http://schemas.openxmlformats.org/drawingml/2006/picture">
                        <pic:nvPicPr>
                          <pic:cNvPr id="75" name="图片_101"/>
                          <pic:cNvPicPr/>
                        </pic:nvPicPr>
                        <pic:blipFill>
                          <a:blip r:embed="rId68"/>
                          <a:stretch>
                            <a:fillRect/>
                          </a:stretch>
                        </pic:blipFill>
                        <pic:spPr>
                          <a:xfrm>
                            <a:off x="0" y="0"/>
                            <a:ext cx="516255" cy="69024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5F91A2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45*45</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27A3F6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F67B85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7B11AB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0C1446CC">
        <w:tblPrEx>
          <w:tblCellMar>
            <w:top w:w="0" w:type="dxa"/>
            <w:left w:w="108" w:type="dxa"/>
            <w:bottom w:w="0" w:type="dxa"/>
            <w:right w:w="108" w:type="dxa"/>
          </w:tblCellMar>
        </w:tblPrEx>
        <w:trPr>
          <w:trHeight w:val="142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33B44FA">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015D4A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实木桌2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C0207F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2752" behindDoc="0" locked="0" layoutInCell="1" allowOverlap="1">
                  <wp:simplePos x="0" y="0"/>
                  <wp:positionH relativeFrom="column">
                    <wp:posOffset>110490</wp:posOffset>
                  </wp:positionH>
                  <wp:positionV relativeFrom="paragraph">
                    <wp:posOffset>236220</wp:posOffset>
                  </wp:positionV>
                  <wp:extent cx="894080" cy="504190"/>
                  <wp:effectExtent l="0" t="0" r="1270" b="10160"/>
                  <wp:wrapNone/>
                  <wp:docPr id="76" name="图片_28"/>
                  <wp:cNvGraphicFramePr/>
                  <a:graphic xmlns:a="http://schemas.openxmlformats.org/drawingml/2006/main">
                    <a:graphicData uri="http://schemas.openxmlformats.org/drawingml/2006/picture">
                      <pic:pic xmlns:pic="http://schemas.openxmlformats.org/drawingml/2006/picture">
                        <pic:nvPicPr>
                          <pic:cNvPr id="76" name="图片_28"/>
                          <pic:cNvPicPr/>
                        </pic:nvPicPr>
                        <pic:blipFill>
                          <a:blip r:embed="rId69"/>
                          <a:stretch>
                            <a:fillRect/>
                          </a:stretch>
                        </pic:blipFill>
                        <pic:spPr>
                          <a:xfrm>
                            <a:off x="0" y="0"/>
                            <a:ext cx="894080" cy="50419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E334E2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2000*900*760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19E9CCB">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BB392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235253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0B1BAA1C">
        <w:tblPrEx>
          <w:tblCellMar>
            <w:top w:w="0" w:type="dxa"/>
            <w:left w:w="108" w:type="dxa"/>
            <w:bottom w:w="0" w:type="dxa"/>
            <w:right w:w="108" w:type="dxa"/>
          </w:tblCellMar>
        </w:tblPrEx>
        <w:trPr>
          <w:trHeight w:val="96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C92396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60</w:t>
            </w:r>
          </w:p>
        </w:tc>
        <w:tc>
          <w:tcPr>
            <w:tcW w:w="1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049EBC9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实木沙发</w:t>
            </w:r>
          </w:p>
        </w:tc>
        <w:tc>
          <w:tcPr>
            <w:tcW w:w="1815" w:type="dxa"/>
            <w:vMerge w:val="restart"/>
            <w:tcBorders>
              <w:top w:val="single" w:color="000000" w:sz="4" w:space="0"/>
              <w:left w:val="single" w:color="000000" w:sz="4" w:space="0"/>
              <w:bottom w:val="single" w:color="000000" w:sz="4" w:space="0"/>
              <w:right w:val="single" w:color="000000" w:sz="4" w:space="0"/>
            </w:tcBorders>
            <w:noWrap w:val="0"/>
            <w:vAlign w:val="center"/>
          </w:tcPr>
          <w:p w14:paraId="3E09BFB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3776" behindDoc="0" locked="0" layoutInCell="1" allowOverlap="1">
                  <wp:simplePos x="0" y="0"/>
                  <wp:positionH relativeFrom="column">
                    <wp:posOffset>104775</wp:posOffset>
                  </wp:positionH>
                  <wp:positionV relativeFrom="paragraph">
                    <wp:posOffset>181610</wp:posOffset>
                  </wp:positionV>
                  <wp:extent cx="872490" cy="610235"/>
                  <wp:effectExtent l="0" t="0" r="3810" b="18415"/>
                  <wp:wrapNone/>
                  <wp:docPr id="77" name="图片_103"/>
                  <wp:cNvGraphicFramePr/>
                  <a:graphic xmlns:a="http://schemas.openxmlformats.org/drawingml/2006/main">
                    <a:graphicData uri="http://schemas.openxmlformats.org/drawingml/2006/picture">
                      <pic:pic xmlns:pic="http://schemas.openxmlformats.org/drawingml/2006/picture">
                        <pic:nvPicPr>
                          <pic:cNvPr id="77" name="图片_103"/>
                          <pic:cNvPicPr/>
                        </pic:nvPicPr>
                        <pic:blipFill>
                          <a:blip r:embed="rId70"/>
                          <a:stretch>
                            <a:fillRect/>
                          </a:stretch>
                        </pic:blipFill>
                        <pic:spPr>
                          <a:xfrm>
                            <a:off x="0" y="0"/>
                            <a:ext cx="872490" cy="61023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BE9BE7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F00D7C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D64817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1C8D6A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103EFEEB">
        <w:tblPrEx>
          <w:tblCellMar>
            <w:top w:w="0" w:type="dxa"/>
            <w:left w:w="108" w:type="dxa"/>
            <w:bottom w:w="0" w:type="dxa"/>
            <w:right w:w="108" w:type="dxa"/>
          </w:tblCellMar>
        </w:tblPrEx>
        <w:trPr>
          <w:trHeight w:val="100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CA995F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w:t>
            </w:r>
          </w:p>
        </w:tc>
        <w:tc>
          <w:tcPr>
            <w:tcW w:w="1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AA30C6">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18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8C883F">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1C3159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单人位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E1254E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B9EC99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367786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3277F4B">
        <w:tblPrEx>
          <w:tblCellMar>
            <w:top w:w="0" w:type="dxa"/>
            <w:left w:w="108" w:type="dxa"/>
            <w:bottom w:w="0" w:type="dxa"/>
            <w:right w:w="108" w:type="dxa"/>
          </w:tblCellMar>
        </w:tblPrEx>
        <w:trPr>
          <w:trHeight w:val="13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75B087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778FAF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博古架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42CD43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4800" behindDoc="0" locked="0" layoutInCell="1" allowOverlap="1">
                  <wp:simplePos x="0" y="0"/>
                  <wp:positionH relativeFrom="column">
                    <wp:posOffset>180975</wp:posOffset>
                  </wp:positionH>
                  <wp:positionV relativeFrom="paragraph">
                    <wp:posOffset>81280</wp:posOffset>
                  </wp:positionV>
                  <wp:extent cx="741680" cy="673735"/>
                  <wp:effectExtent l="0" t="0" r="1270" b="12065"/>
                  <wp:wrapNone/>
                  <wp:docPr id="78" name="图片_24"/>
                  <wp:cNvGraphicFramePr/>
                  <a:graphic xmlns:a="http://schemas.openxmlformats.org/drawingml/2006/main">
                    <a:graphicData uri="http://schemas.openxmlformats.org/drawingml/2006/picture">
                      <pic:pic xmlns:pic="http://schemas.openxmlformats.org/drawingml/2006/picture">
                        <pic:nvPicPr>
                          <pic:cNvPr id="78" name="图片_24"/>
                          <pic:cNvPicPr/>
                        </pic:nvPicPr>
                        <pic:blipFill>
                          <a:blip r:embed="rId71"/>
                          <a:stretch>
                            <a:fillRect/>
                          </a:stretch>
                        </pic:blipFill>
                        <pic:spPr>
                          <a:xfrm>
                            <a:off x="0" y="0"/>
                            <a:ext cx="741680" cy="67373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0838D1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2000*350*2400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16669D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1、基材：优质胡桃木实木，干燥结实。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26FFE6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A10568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63DAD1C9">
        <w:tblPrEx>
          <w:tblCellMar>
            <w:top w:w="0" w:type="dxa"/>
            <w:left w:w="108" w:type="dxa"/>
            <w:bottom w:w="0" w:type="dxa"/>
            <w:right w:w="108" w:type="dxa"/>
          </w:tblCellMar>
        </w:tblPrEx>
        <w:trPr>
          <w:trHeight w:val="121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C09713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61869B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合唱台阶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FB2E0B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5824" behindDoc="0" locked="0" layoutInCell="1" allowOverlap="1">
                  <wp:simplePos x="0" y="0"/>
                  <wp:positionH relativeFrom="column">
                    <wp:posOffset>149860</wp:posOffset>
                  </wp:positionH>
                  <wp:positionV relativeFrom="paragraph">
                    <wp:posOffset>125730</wp:posOffset>
                  </wp:positionV>
                  <wp:extent cx="748030" cy="541020"/>
                  <wp:effectExtent l="0" t="0" r="13970" b="11430"/>
                  <wp:wrapNone/>
                  <wp:docPr id="79" name="图片_17_SpCnt_1"/>
                  <wp:cNvGraphicFramePr/>
                  <a:graphic xmlns:a="http://schemas.openxmlformats.org/drawingml/2006/main">
                    <a:graphicData uri="http://schemas.openxmlformats.org/drawingml/2006/picture">
                      <pic:pic xmlns:pic="http://schemas.openxmlformats.org/drawingml/2006/picture">
                        <pic:nvPicPr>
                          <pic:cNvPr id="79" name="图片_17_SpCnt_1"/>
                          <pic:cNvPicPr/>
                        </pic:nvPicPr>
                        <pic:blipFill>
                          <a:blip r:embed="rId72"/>
                          <a:stretch>
                            <a:fillRect/>
                          </a:stretch>
                        </pic:blipFill>
                        <pic:spPr>
                          <a:xfrm>
                            <a:off x="0" y="0"/>
                            <a:ext cx="748030" cy="5410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3F6C12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6000*1200*600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F05545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1、基材：优质橡胶木实木，干燥结实。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B0931F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4936DF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58AF914">
        <w:tblPrEx>
          <w:tblCellMar>
            <w:top w:w="0" w:type="dxa"/>
            <w:left w:w="108" w:type="dxa"/>
            <w:bottom w:w="0" w:type="dxa"/>
            <w:right w:w="108" w:type="dxa"/>
          </w:tblCellMar>
        </w:tblPrEx>
        <w:trPr>
          <w:trHeight w:val="132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ED5EE15">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F9E4EF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服务台</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4E13CD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6848" behindDoc="0" locked="0" layoutInCell="1" allowOverlap="1">
                  <wp:simplePos x="0" y="0"/>
                  <wp:positionH relativeFrom="column">
                    <wp:posOffset>144780</wp:posOffset>
                  </wp:positionH>
                  <wp:positionV relativeFrom="paragraph">
                    <wp:posOffset>216535</wp:posOffset>
                  </wp:positionV>
                  <wp:extent cx="775335" cy="408940"/>
                  <wp:effectExtent l="0" t="0" r="5715" b="10160"/>
                  <wp:wrapNone/>
                  <wp:docPr id="80" name="图片_20"/>
                  <wp:cNvGraphicFramePr/>
                  <a:graphic xmlns:a="http://schemas.openxmlformats.org/drawingml/2006/main">
                    <a:graphicData uri="http://schemas.openxmlformats.org/drawingml/2006/picture">
                      <pic:pic xmlns:pic="http://schemas.openxmlformats.org/drawingml/2006/picture">
                        <pic:nvPicPr>
                          <pic:cNvPr id="80" name="图片_20"/>
                          <pic:cNvPicPr/>
                        </pic:nvPicPr>
                        <pic:blipFill>
                          <a:blip r:embed="rId73"/>
                          <a:stretch>
                            <a:fillRect/>
                          </a:stretch>
                        </pic:blipFill>
                        <pic:spPr>
                          <a:xfrm>
                            <a:off x="0" y="0"/>
                            <a:ext cx="775335" cy="40894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BCD510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2400*1000*1100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3BAB91D">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1、基材：采用中密度纤维板，硬度高、无味、环保符合国家安全标准，优质绿色环保产品。</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2、面饰涂上高质量的环保油漆。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3、经过三底两面喷烤环节最终成型。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4、台面采用人造石覆面。</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ADF3E0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FD8105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0A6A76D9">
        <w:tblPrEx>
          <w:tblCellMar>
            <w:top w:w="0" w:type="dxa"/>
            <w:left w:w="108" w:type="dxa"/>
            <w:bottom w:w="0" w:type="dxa"/>
            <w:right w:w="108" w:type="dxa"/>
          </w:tblCellMar>
        </w:tblPrEx>
        <w:trPr>
          <w:trHeight w:val="246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D04E51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609B1B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折叠椅</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带写字板</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33AD8C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7872" behindDoc="0" locked="0" layoutInCell="1" allowOverlap="1">
                  <wp:simplePos x="0" y="0"/>
                  <wp:positionH relativeFrom="column">
                    <wp:posOffset>190500</wp:posOffset>
                  </wp:positionH>
                  <wp:positionV relativeFrom="paragraph">
                    <wp:posOffset>412750</wp:posOffset>
                  </wp:positionV>
                  <wp:extent cx="692150" cy="845185"/>
                  <wp:effectExtent l="0" t="0" r="12700" b="12065"/>
                  <wp:wrapNone/>
                  <wp:docPr id="81" name="图片_112"/>
                  <wp:cNvGraphicFramePr/>
                  <a:graphic xmlns:a="http://schemas.openxmlformats.org/drawingml/2006/main">
                    <a:graphicData uri="http://schemas.openxmlformats.org/drawingml/2006/picture">
                      <pic:pic xmlns:pic="http://schemas.openxmlformats.org/drawingml/2006/picture">
                        <pic:nvPicPr>
                          <pic:cNvPr id="81" name="图片_112"/>
                          <pic:cNvPicPr/>
                        </pic:nvPicPr>
                        <pic:blipFill>
                          <a:blip r:embed="rId74"/>
                          <a:stretch>
                            <a:fillRect/>
                          </a:stretch>
                        </pic:blipFill>
                        <pic:spPr>
                          <a:xfrm>
                            <a:off x="0" y="0"/>
                            <a:ext cx="692150" cy="84518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2D84A6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626*614*816</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F45769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椅背采用双层结构工艺，优质PA材料坚固外框，优质PP软料条纹内框，辅以专用卡扣压成一体；《椅背中间作“一”字镂空条纹设计，条纹柔软有韧性，可紧密贴合腰部提供强力支撑》；连接件采用高强度铝合金压铸一体成型，提供舒适的倾仰角度，并可有效缓解疲劳；</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2、座板采用高密度发泡PU定型棉扪优质加密弹性绒布，≥10mm厚密度定制定型夹板。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3、椅架采用国标≥1.5mm厚毛坯定制异型管材，《横梁采用加粗22管足厚1.5mm圆管》，稳固性强。交叉连接件采用高强度压铸铝合金，内置台阶限位机构，椅架展开精确定位，无拉丝设计简洁大方；整架精细打磨焊接位，除锈处理静电喷粉工艺，可折叠收纳；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4、搭配经典后拖小轮设计，整椅折叠或提拉提供便利；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5、搭配铝合金拖旋转写字板。</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020FE7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B41FF0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26BE90D1">
        <w:tblPrEx>
          <w:tblCellMar>
            <w:top w:w="0" w:type="dxa"/>
            <w:left w:w="108" w:type="dxa"/>
            <w:bottom w:w="0" w:type="dxa"/>
            <w:right w:w="108" w:type="dxa"/>
          </w:tblCellMar>
        </w:tblPrEx>
        <w:trPr>
          <w:trHeight w:val="217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4D5B47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2BE3ED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折叠椅</w:t>
            </w:r>
          </w:p>
          <w:p w14:paraId="2ADF3D6B">
            <w:pPr>
              <w:pStyle w:val="2"/>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（提供样品）</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824288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8896" behindDoc="0" locked="0" layoutInCell="1" allowOverlap="1">
                  <wp:simplePos x="0" y="0"/>
                  <wp:positionH relativeFrom="column">
                    <wp:posOffset>158750</wp:posOffset>
                  </wp:positionH>
                  <wp:positionV relativeFrom="paragraph">
                    <wp:posOffset>255905</wp:posOffset>
                  </wp:positionV>
                  <wp:extent cx="755650" cy="887095"/>
                  <wp:effectExtent l="0" t="0" r="6350" b="8255"/>
                  <wp:wrapNone/>
                  <wp:docPr id="82" name="图片_113"/>
                  <wp:cNvGraphicFramePr/>
                  <a:graphic xmlns:a="http://schemas.openxmlformats.org/drawingml/2006/main">
                    <a:graphicData uri="http://schemas.openxmlformats.org/drawingml/2006/picture">
                      <pic:pic xmlns:pic="http://schemas.openxmlformats.org/drawingml/2006/picture">
                        <pic:nvPicPr>
                          <pic:cNvPr id="82" name="图片_113"/>
                          <pic:cNvPicPr/>
                        </pic:nvPicPr>
                        <pic:blipFill>
                          <a:blip r:embed="rId75"/>
                          <a:stretch>
                            <a:fillRect/>
                          </a:stretch>
                        </pic:blipFill>
                        <pic:spPr>
                          <a:xfrm>
                            <a:off x="0" y="0"/>
                            <a:ext cx="755650" cy="88709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7A6C38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626*614*816</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47302B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椅背采用双层结构工艺，优质PA材料坚固外框，优质PP软料条纹内框，辅以专用卡扣压成一体；《椅背中间作“一”字镂空条纹设计，条纹柔软有韧性，可紧密贴合腰部提供强力支撑》；连接件采用高强度铝合金压铸一体成型，提供舒适的倾仰角度，并可有效缓解疲劳；</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2、座板采用高密度发泡PU定型棉扪优质加密弹性绒布，≥10mm厚密度定制定型夹板。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3、椅架采用国标≥1.5mm厚毛坯定制异型管材，《横梁采用加粗22管足厚1.5mm圆管》，稳固性强。交叉连接件采用高强度压铸铝合金，内置台阶限位机构，椅架展开精确定位，无拉丝设计简洁大方；整架精细打磨焊接位，除锈处理静电喷粉工艺，可折叠收纳；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4、搭配经典后拖小轮设计，整椅折叠或提拉提供便利；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FCE8C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241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B627DF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000DD7E1">
        <w:tblPrEx>
          <w:tblCellMar>
            <w:top w:w="0" w:type="dxa"/>
            <w:left w:w="108" w:type="dxa"/>
            <w:bottom w:w="0" w:type="dxa"/>
            <w:right w:w="108" w:type="dxa"/>
          </w:tblCellMar>
        </w:tblPrEx>
        <w:trPr>
          <w:trHeight w:val="148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1268833">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713D94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电脑椅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CA71D5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29920" behindDoc="0" locked="0" layoutInCell="1" allowOverlap="1">
                  <wp:simplePos x="0" y="0"/>
                  <wp:positionH relativeFrom="column">
                    <wp:posOffset>262890</wp:posOffset>
                  </wp:positionH>
                  <wp:positionV relativeFrom="paragraph">
                    <wp:posOffset>86360</wp:posOffset>
                  </wp:positionV>
                  <wp:extent cx="574040" cy="782320"/>
                  <wp:effectExtent l="0" t="0" r="16510" b="17780"/>
                  <wp:wrapNone/>
                  <wp:docPr id="83" name="图片_64"/>
                  <wp:cNvGraphicFramePr/>
                  <a:graphic xmlns:a="http://schemas.openxmlformats.org/drawingml/2006/main">
                    <a:graphicData uri="http://schemas.openxmlformats.org/drawingml/2006/picture">
                      <pic:pic xmlns:pic="http://schemas.openxmlformats.org/drawingml/2006/picture">
                        <pic:nvPicPr>
                          <pic:cNvPr id="83" name="图片_64"/>
                          <pic:cNvPicPr/>
                        </pic:nvPicPr>
                        <pic:blipFill>
                          <a:blip r:embed="rId76"/>
                          <a:stretch>
                            <a:fillRect/>
                          </a:stretch>
                        </pic:blipFill>
                        <pic:spPr>
                          <a:xfrm>
                            <a:off x="0" y="0"/>
                            <a:ext cx="574040" cy="7823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F754F2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500*520*870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4E1867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1、背胶板采用优质PA+GF多元素复合材料经模具注塑成型。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2、座胶板采用优质PA+GF多元素复合材料经模具注塑成型。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3、整款产品钢架采用优质冷轧钢管（≥</w:t>
            </w:r>
            <w:r>
              <w:rPr>
                <w:rStyle w:val="301"/>
                <w:rFonts w:hint="eastAsia" w:ascii="仿宋_GB2312" w:hAnsi="仿宋_GB2312" w:eastAsia="仿宋_GB2312" w:cs="仿宋_GB2312"/>
                <w:color w:val="auto"/>
                <w:highlight w:val="none"/>
                <w:lang w:bidi="ar"/>
              </w:rPr>
              <w:t>φ</w:t>
            </w:r>
            <w:r>
              <w:rPr>
                <w:rFonts w:hint="eastAsia" w:ascii="仿宋_GB2312" w:hAnsi="仿宋_GB2312" w:eastAsia="仿宋_GB2312" w:cs="仿宋_GB2312"/>
                <w:color w:val="auto"/>
                <w:sz w:val="18"/>
                <w:szCs w:val="18"/>
                <w:highlight w:val="none"/>
                <w:lang w:bidi="ar"/>
              </w:rPr>
              <w:t>22xT1.5mm）经模具冲压焊接组合成型，牢靠稳固，表面经防静电喷涂处理。</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2B71DF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135</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3F653D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299FFE63">
        <w:tblPrEx>
          <w:tblCellMar>
            <w:top w:w="0" w:type="dxa"/>
            <w:left w:w="108" w:type="dxa"/>
            <w:bottom w:w="0" w:type="dxa"/>
            <w:right w:w="108" w:type="dxa"/>
          </w:tblCellMar>
        </w:tblPrEx>
        <w:trPr>
          <w:trHeight w:val="187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41CA022">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0571D1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演奏椅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458235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0944" behindDoc="0" locked="0" layoutInCell="1" allowOverlap="1">
                  <wp:simplePos x="0" y="0"/>
                  <wp:positionH relativeFrom="column">
                    <wp:posOffset>237490</wp:posOffset>
                  </wp:positionH>
                  <wp:positionV relativeFrom="paragraph">
                    <wp:posOffset>203200</wp:posOffset>
                  </wp:positionV>
                  <wp:extent cx="612775" cy="874395"/>
                  <wp:effectExtent l="0" t="0" r="15875" b="1905"/>
                  <wp:wrapNone/>
                  <wp:docPr id="84" name="图片_16"/>
                  <wp:cNvGraphicFramePr/>
                  <a:graphic xmlns:a="http://schemas.openxmlformats.org/drawingml/2006/main">
                    <a:graphicData uri="http://schemas.openxmlformats.org/drawingml/2006/picture">
                      <pic:pic xmlns:pic="http://schemas.openxmlformats.org/drawingml/2006/picture">
                        <pic:nvPicPr>
                          <pic:cNvPr id="84" name="图片_16"/>
                          <pic:cNvPicPr/>
                        </pic:nvPicPr>
                        <pic:blipFill>
                          <a:blip r:embed="rId77"/>
                          <a:stretch>
                            <a:fillRect/>
                          </a:stretch>
                        </pic:blipFill>
                        <pic:spPr>
                          <a:xfrm>
                            <a:off x="0" y="0"/>
                            <a:ext cx="612775" cy="87439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6B40FB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常规</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7429CD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1、座椅面料为高强度耐磨100%聚丙烯纤维，耐用性高。</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2、座椅椅垫≥50mm厚，人体工学设计，适宣于长时间演奏表演，</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3、地板至椅面的框架高度为标准41cm，43cm，44cm，47cm和四十八厘米</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4、座椅钢架采用≥1.6mm厚，≥22mm方管，座椅结构稳定性好。</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5、钢架涂装为环氧粉末漆，耐磨，耐久性高。</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6、三元乙丙橡胶座椅脚垫，确保良好的座椅稳定性。</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7、座椅设计可以堆叠存放，专用座椅运输车可堆叠存放演奏椅</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C5A905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FD49E9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04FC9DF1">
        <w:tblPrEx>
          <w:tblCellMar>
            <w:top w:w="0" w:type="dxa"/>
            <w:left w:w="108" w:type="dxa"/>
            <w:bottom w:w="0" w:type="dxa"/>
            <w:right w:w="108" w:type="dxa"/>
          </w:tblCellMar>
        </w:tblPrEx>
        <w:trPr>
          <w:trHeight w:val="142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D02BFC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811A4F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换衣凳</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5AAC76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1968" behindDoc="0" locked="0" layoutInCell="1" allowOverlap="1">
                  <wp:simplePos x="0" y="0"/>
                  <wp:positionH relativeFrom="column">
                    <wp:posOffset>152400</wp:posOffset>
                  </wp:positionH>
                  <wp:positionV relativeFrom="paragraph">
                    <wp:posOffset>223520</wp:posOffset>
                  </wp:positionV>
                  <wp:extent cx="795020" cy="501015"/>
                  <wp:effectExtent l="0" t="0" r="5080" b="13335"/>
                  <wp:wrapNone/>
                  <wp:docPr id="85" name="图片_63"/>
                  <wp:cNvGraphicFramePr/>
                  <a:graphic xmlns:a="http://schemas.openxmlformats.org/drawingml/2006/main">
                    <a:graphicData uri="http://schemas.openxmlformats.org/drawingml/2006/picture">
                      <pic:pic xmlns:pic="http://schemas.openxmlformats.org/drawingml/2006/picture">
                        <pic:nvPicPr>
                          <pic:cNvPr id="85" name="图片_63"/>
                          <pic:cNvPicPr/>
                        </pic:nvPicPr>
                        <pic:blipFill>
                          <a:blip r:embed="rId78"/>
                          <a:stretch>
                            <a:fillRect/>
                          </a:stretch>
                        </pic:blipFill>
                        <pic:spPr>
                          <a:xfrm>
                            <a:off x="0" y="0"/>
                            <a:ext cx="795020" cy="50101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3922F0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900*400*400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46A310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1、材质：全橡木。</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3、内架：采用榫卯结构，材料为落叶松。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4、下脚：采用喷塑粉五金脚，附着力≥1级，耐冲击强度≥50mm（GB/T 3325-2017），耐碱性，耐酸性，耐沸水性良好。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85DF0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DBF368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39EA491C">
        <w:tblPrEx>
          <w:tblCellMar>
            <w:top w:w="0" w:type="dxa"/>
            <w:left w:w="108" w:type="dxa"/>
            <w:bottom w:w="0" w:type="dxa"/>
            <w:right w:w="108" w:type="dxa"/>
          </w:tblCellMar>
        </w:tblPrEx>
        <w:trPr>
          <w:trHeight w:val="163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8657237">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A84D42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按摩椅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62D63F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2992" behindDoc="0" locked="0" layoutInCell="1" allowOverlap="1">
                  <wp:simplePos x="0" y="0"/>
                  <wp:positionH relativeFrom="column">
                    <wp:posOffset>121285</wp:posOffset>
                  </wp:positionH>
                  <wp:positionV relativeFrom="paragraph">
                    <wp:posOffset>169545</wp:posOffset>
                  </wp:positionV>
                  <wp:extent cx="770890" cy="664210"/>
                  <wp:effectExtent l="0" t="0" r="10160" b="2540"/>
                  <wp:wrapNone/>
                  <wp:docPr id="86" name="图片_22"/>
                  <wp:cNvGraphicFramePr/>
                  <a:graphic xmlns:a="http://schemas.openxmlformats.org/drawingml/2006/main">
                    <a:graphicData uri="http://schemas.openxmlformats.org/drawingml/2006/picture">
                      <pic:pic xmlns:pic="http://schemas.openxmlformats.org/drawingml/2006/picture">
                        <pic:nvPicPr>
                          <pic:cNvPr id="86" name="图片_22"/>
                          <pic:cNvPicPr/>
                        </pic:nvPicPr>
                        <pic:blipFill>
                          <a:blip r:embed="rId79"/>
                          <a:stretch>
                            <a:fillRect/>
                          </a:stretch>
                        </pic:blipFill>
                        <pic:spPr>
                          <a:xfrm>
                            <a:off x="0" y="0"/>
                            <a:ext cx="770890" cy="66421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E084A4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1510*740*1110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5F4958B">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机芯类型:3D机械手按摩</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按摩手法:揉捏,指压,推拿,叩击,拍打气囊个数:61个(含)-80个(含)</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导轨类型:SL型导轨</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适用部位:头部,手臂,颈部,背部,腰部，附加功能:内置音箱,蓝牙连接,香薰</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控制方式:按键式</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椅子类型:按摩椅是否智能操控:是</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18ED38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F99973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BC1404D">
        <w:tblPrEx>
          <w:tblCellMar>
            <w:top w:w="0" w:type="dxa"/>
            <w:left w:w="108" w:type="dxa"/>
            <w:bottom w:w="0" w:type="dxa"/>
            <w:right w:w="108" w:type="dxa"/>
          </w:tblCellMar>
        </w:tblPrEx>
        <w:trPr>
          <w:trHeight w:val="129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D082B3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FD9D5D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钢琴凳</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9BE6B0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4016" behindDoc="0" locked="0" layoutInCell="1" allowOverlap="1">
                  <wp:simplePos x="0" y="0"/>
                  <wp:positionH relativeFrom="column">
                    <wp:posOffset>204470</wp:posOffset>
                  </wp:positionH>
                  <wp:positionV relativeFrom="paragraph">
                    <wp:posOffset>163195</wp:posOffset>
                  </wp:positionV>
                  <wp:extent cx="596265" cy="535305"/>
                  <wp:effectExtent l="0" t="0" r="13335" b="17145"/>
                  <wp:wrapNone/>
                  <wp:docPr id="87" name="ID_214C10C1804C483895E2F0A71AF9FA75"/>
                  <wp:cNvGraphicFramePr/>
                  <a:graphic xmlns:a="http://schemas.openxmlformats.org/drawingml/2006/main">
                    <a:graphicData uri="http://schemas.openxmlformats.org/drawingml/2006/picture">
                      <pic:pic xmlns:pic="http://schemas.openxmlformats.org/drawingml/2006/picture">
                        <pic:nvPicPr>
                          <pic:cNvPr id="87" name="ID_214C10C1804C483895E2F0A71AF9FA75"/>
                          <pic:cNvPicPr/>
                        </pic:nvPicPr>
                        <pic:blipFill>
                          <a:blip r:embed="rId80"/>
                          <a:stretch>
                            <a:fillRect/>
                          </a:stretch>
                        </pic:blipFill>
                        <pic:spPr>
                          <a:xfrm>
                            <a:off x="0" y="0"/>
                            <a:ext cx="596265" cy="53530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40CB47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480*320*750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6793DF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1、皮革面，定制高档专用琴凳，四腿稳固，坚固耐用。</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2、带升降功能。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BE4B4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080489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6AA03F5F">
        <w:tblPrEx>
          <w:tblCellMar>
            <w:top w:w="0" w:type="dxa"/>
            <w:left w:w="108" w:type="dxa"/>
            <w:bottom w:w="0" w:type="dxa"/>
            <w:right w:w="108" w:type="dxa"/>
          </w:tblCellMar>
        </w:tblPrEx>
        <w:trPr>
          <w:trHeight w:val="133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E109FF0">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6E2829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固定木质储物柜</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C73F51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5040" behindDoc="0" locked="0" layoutInCell="1" allowOverlap="1">
                  <wp:simplePos x="0" y="0"/>
                  <wp:positionH relativeFrom="column">
                    <wp:posOffset>157480</wp:posOffset>
                  </wp:positionH>
                  <wp:positionV relativeFrom="paragraph">
                    <wp:posOffset>107950</wp:posOffset>
                  </wp:positionV>
                  <wp:extent cx="819150" cy="600075"/>
                  <wp:effectExtent l="0" t="0" r="0" b="9525"/>
                  <wp:wrapNone/>
                  <wp:docPr id="88" name="图片_66"/>
                  <wp:cNvGraphicFramePr/>
                  <a:graphic xmlns:a="http://schemas.openxmlformats.org/drawingml/2006/main">
                    <a:graphicData uri="http://schemas.openxmlformats.org/drawingml/2006/picture">
                      <pic:pic xmlns:pic="http://schemas.openxmlformats.org/drawingml/2006/picture">
                        <pic:nvPicPr>
                          <pic:cNvPr id="88" name="图片_66"/>
                          <pic:cNvPicPr/>
                        </pic:nvPicPr>
                        <pic:blipFill>
                          <a:blip r:embed="rId81"/>
                          <a:stretch>
                            <a:fillRect/>
                          </a:stretch>
                        </pic:blipFill>
                        <pic:spPr>
                          <a:xfrm>
                            <a:off x="0" y="0"/>
                            <a:ext cx="819150" cy="60007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937B23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2000*300*400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5F3840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1、材料：全橡木</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2、内架：采用榫卯结构，材料为落叶松。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3、备注：可做收纳柜使用，顶面铺优质软包。</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A6CFF5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45</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D6477C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11F796D5">
        <w:tblPrEx>
          <w:tblCellMar>
            <w:top w:w="0" w:type="dxa"/>
            <w:left w:w="108" w:type="dxa"/>
            <w:bottom w:w="0" w:type="dxa"/>
            <w:right w:w="108" w:type="dxa"/>
          </w:tblCellMar>
        </w:tblPrEx>
        <w:trPr>
          <w:trHeight w:val="147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1935231">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5D1953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凳子</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（体育馆替补席）</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B8A64A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6064" behindDoc="0" locked="0" layoutInCell="1" allowOverlap="1">
                  <wp:simplePos x="0" y="0"/>
                  <wp:positionH relativeFrom="column">
                    <wp:posOffset>163830</wp:posOffset>
                  </wp:positionH>
                  <wp:positionV relativeFrom="paragraph">
                    <wp:posOffset>245110</wp:posOffset>
                  </wp:positionV>
                  <wp:extent cx="774700" cy="401955"/>
                  <wp:effectExtent l="0" t="0" r="6350" b="17145"/>
                  <wp:wrapNone/>
                  <wp:docPr id="89" name="图片_53"/>
                  <wp:cNvGraphicFramePr/>
                  <a:graphic xmlns:a="http://schemas.openxmlformats.org/drawingml/2006/main">
                    <a:graphicData uri="http://schemas.openxmlformats.org/drawingml/2006/picture">
                      <pic:pic xmlns:pic="http://schemas.openxmlformats.org/drawingml/2006/picture">
                        <pic:nvPicPr>
                          <pic:cNvPr id="89" name="图片_53"/>
                          <pic:cNvPicPr/>
                        </pic:nvPicPr>
                        <pic:blipFill>
                          <a:blip r:embed="rId82"/>
                          <a:stretch>
                            <a:fillRect/>
                          </a:stretch>
                        </pic:blipFill>
                        <pic:spPr>
                          <a:xfrm>
                            <a:off x="0" y="0"/>
                            <a:ext cx="774700" cy="40195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4021F5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E140AD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1、覆面材料：超纤皮，厚度≥0.9mm。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，座垫厚度≥7mm。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3、座面曲木板：≥14mm多层曲木板热压成型。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4、下架：选用冷轧钢材，钢管壁厚≥1mm ，经脱脂、水洗、酸洗、水洗中和、表调、磷化、干燥等工艺处理，表面粉末涂料静电喷涂处理。</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CD32F6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35141D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5363CDD">
        <w:tblPrEx>
          <w:tblCellMar>
            <w:top w:w="0" w:type="dxa"/>
            <w:left w:w="108" w:type="dxa"/>
            <w:bottom w:w="0" w:type="dxa"/>
            <w:right w:w="108" w:type="dxa"/>
          </w:tblCellMar>
        </w:tblPrEx>
        <w:trPr>
          <w:trHeight w:val="133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08B4505">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E377F4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接待沙发</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E0575D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7088" behindDoc="0" locked="0" layoutInCell="1" allowOverlap="1">
                  <wp:simplePos x="0" y="0"/>
                  <wp:positionH relativeFrom="column">
                    <wp:posOffset>160655</wp:posOffset>
                  </wp:positionH>
                  <wp:positionV relativeFrom="paragraph">
                    <wp:posOffset>115570</wp:posOffset>
                  </wp:positionV>
                  <wp:extent cx="762000" cy="622300"/>
                  <wp:effectExtent l="0" t="0" r="0" b="6350"/>
                  <wp:wrapNone/>
                  <wp:docPr id="90" name="图片_29"/>
                  <wp:cNvGraphicFramePr/>
                  <a:graphic xmlns:a="http://schemas.openxmlformats.org/drawingml/2006/main">
                    <a:graphicData uri="http://schemas.openxmlformats.org/drawingml/2006/picture">
                      <pic:pic xmlns:pic="http://schemas.openxmlformats.org/drawingml/2006/picture">
                        <pic:nvPicPr>
                          <pic:cNvPr id="90" name="图片_29"/>
                          <pic:cNvPicPr/>
                        </pic:nvPicPr>
                        <pic:blipFill>
                          <a:blip r:embed="rId83"/>
                          <a:stretch>
                            <a:fillRect/>
                          </a:stretch>
                        </pic:blipFill>
                        <pic:spPr>
                          <a:xfrm>
                            <a:off x="0" y="0"/>
                            <a:ext cx="762000" cy="6223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093422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1050*920*910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D6AA3D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 西皮；应符合HJ 507-2009的要求。</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3.椅脚：采用白蜡木油漆脚。</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CDB42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1084DF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5B91D9C">
        <w:tblPrEx>
          <w:tblCellMar>
            <w:top w:w="0" w:type="dxa"/>
            <w:left w:w="108" w:type="dxa"/>
            <w:bottom w:w="0" w:type="dxa"/>
            <w:right w:w="108" w:type="dxa"/>
          </w:tblCellMar>
        </w:tblPrEx>
        <w:trPr>
          <w:trHeight w:val="169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1C40322">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6526D1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接待茶几</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246A06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8112" behindDoc="0" locked="0" layoutInCell="1" allowOverlap="1">
                  <wp:simplePos x="0" y="0"/>
                  <wp:positionH relativeFrom="column">
                    <wp:posOffset>99060</wp:posOffset>
                  </wp:positionH>
                  <wp:positionV relativeFrom="paragraph">
                    <wp:posOffset>255905</wp:posOffset>
                  </wp:positionV>
                  <wp:extent cx="589280" cy="542925"/>
                  <wp:effectExtent l="0" t="0" r="1270" b="9525"/>
                  <wp:wrapNone/>
                  <wp:docPr id="91" name="图片_84"/>
                  <wp:cNvGraphicFramePr/>
                  <a:graphic xmlns:a="http://schemas.openxmlformats.org/drawingml/2006/main">
                    <a:graphicData uri="http://schemas.openxmlformats.org/drawingml/2006/picture">
                      <pic:pic xmlns:pic="http://schemas.openxmlformats.org/drawingml/2006/picture">
                        <pic:nvPicPr>
                          <pic:cNvPr id="91" name="图片_84"/>
                          <pic:cNvPicPr/>
                        </pic:nvPicPr>
                        <pic:blipFill>
                          <a:blip r:embed="rId84"/>
                          <a:stretch>
                            <a:fillRect/>
                          </a:stretch>
                        </pic:blipFill>
                        <pic:spPr>
                          <a:xfrm>
                            <a:off x="0" y="0"/>
                            <a:ext cx="589280" cy="54292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71DB6D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600*400*500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C57F2C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1B6588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3F1A9A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0BDD4DB4">
        <w:tblPrEx>
          <w:tblCellMar>
            <w:top w:w="0" w:type="dxa"/>
            <w:left w:w="108" w:type="dxa"/>
            <w:bottom w:w="0" w:type="dxa"/>
            <w:right w:w="108" w:type="dxa"/>
          </w:tblCellMar>
        </w:tblPrEx>
        <w:trPr>
          <w:trHeight w:val="184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09A6F0A">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4CABE5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沙发3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4DA460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39136" behindDoc="0" locked="0" layoutInCell="1" allowOverlap="1">
                  <wp:simplePos x="0" y="0"/>
                  <wp:positionH relativeFrom="column">
                    <wp:posOffset>71755</wp:posOffset>
                  </wp:positionH>
                  <wp:positionV relativeFrom="paragraph">
                    <wp:posOffset>323215</wp:posOffset>
                  </wp:positionV>
                  <wp:extent cx="939165" cy="566420"/>
                  <wp:effectExtent l="0" t="0" r="13335" b="5080"/>
                  <wp:wrapNone/>
                  <wp:docPr id="92" name="图片_52"/>
                  <wp:cNvGraphicFramePr/>
                  <a:graphic xmlns:a="http://schemas.openxmlformats.org/drawingml/2006/main">
                    <a:graphicData uri="http://schemas.openxmlformats.org/drawingml/2006/picture">
                      <pic:pic xmlns:pic="http://schemas.openxmlformats.org/drawingml/2006/picture">
                        <pic:nvPicPr>
                          <pic:cNvPr id="92" name="图片_52"/>
                          <pic:cNvPicPr/>
                        </pic:nvPicPr>
                        <pic:blipFill>
                          <a:blip r:embed="rId85"/>
                          <a:stretch>
                            <a:fillRect/>
                          </a:stretch>
                        </pic:blipFill>
                        <pic:spPr>
                          <a:xfrm>
                            <a:off x="0" y="0"/>
                            <a:ext cx="939165" cy="5664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44094A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3E5F38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1、基材：优质榉木实木，干燥结实。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99DAA0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BEF952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5E89402">
        <w:tblPrEx>
          <w:tblCellMar>
            <w:top w:w="0" w:type="dxa"/>
            <w:left w:w="108" w:type="dxa"/>
            <w:bottom w:w="0" w:type="dxa"/>
            <w:right w:w="108" w:type="dxa"/>
          </w:tblCellMar>
        </w:tblPrEx>
        <w:trPr>
          <w:trHeight w:val="185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903B28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620E4A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茶几5</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2C98A1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0160" behindDoc="0" locked="0" layoutInCell="1" allowOverlap="1">
                  <wp:simplePos x="0" y="0"/>
                  <wp:positionH relativeFrom="column">
                    <wp:posOffset>87630</wp:posOffset>
                  </wp:positionH>
                  <wp:positionV relativeFrom="paragraph">
                    <wp:posOffset>194310</wp:posOffset>
                  </wp:positionV>
                  <wp:extent cx="859155" cy="412750"/>
                  <wp:effectExtent l="0" t="0" r="17145" b="6350"/>
                  <wp:wrapNone/>
                  <wp:docPr id="93" name="图片_79"/>
                  <wp:cNvGraphicFramePr/>
                  <a:graphic xmlns:a="http://schemas.openxmlformats.org/drawingml/2006/main">
                    <a:graphicData uri="http://schemas.openxmlformats.org/drawingml/2006/picture">
                      <pic:pic xmlns:pic="http://schemas.openxmlformats.org/drawingml/2006/picture">
                        <pic:nvPicPr>
                          <pic:cNvPr id="93" name="图片_79"/>
                          <pic:cNvPicPr/>
                        </pic:nvPicPr>
                        <pic:blipFill>
                          <a:blip r:embed="rId86"/>
                          <a:stretch>
                            <a:fillRect/>
                          </a:stretch>
                        </pic:blipFill>
                        <pic:spPr>
                          <a:xfrm>
                            <a:off x="0" y="0"/>
                            <a:ext cx="859155" cy="41275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F73FB8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1400*700*450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7B2E37B">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1、基材：优质榉木实木，干燥结实。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AE11E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084512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88F04C5">
        <w:tblPrEx>
          <w:tblCellMar>
            <w:top w:w="0" w:type="dxa"/>
            <w:left w:w="108" w:type="dxa"/>
            <w:bottom w:w="0" w:type="dxa"/>
            <w:right w:w="108" w:type="dxa"/>
          </w:tblCellMar>
        </w:tblPrEx>
        <w:trPr>
          <w:trHeight w:val="4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759152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1DF4ED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三人沙发</w:t>
            </w:r>
          </w:p>
        </w:tc>
        <w:tc>
          <w:tcPr>
            <w:tcW w:w="1815" w:type="dxa"/>
            <w:vMerge w:val="restart"/>
            <w:tcBorders>
              <w:top w:val="single" w:color="000000" w:sz="4" w:space="0"/>
              <w:left w:val="single" w:color="000000" w:sz="4" w:space="0"/>
              <w:bottom w:val="single" w:color="000000" w:sz="4" w:space="0"/>
              <w:right w:val="single" w:color="000000" w:sz="4" w:space="0"/>
            </w:tcBorders>
            <w:noWrap w:val="0"/>
            <w:vAlign w:val="center"/>
          </w:tcPr>
          <w:p w14:paraId="63D86E0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1184" behindDoc="0" locked="0" layoutInCell="1" allowOverlap="1">
                  <wp:simplePos x="0" y="0"/>
                  <wp:positionH relativeFrom="column">
                    <wp:posOffset>55245</wp:posOffset>
                  </wp:positionH>
                  <wp:positionV relativeFrom="paragraph">
                    <wp:posOffset>817880</wp:posOffset>
                  </wp:positionV>
                  <wp:extent cx="938530" cy="456565"/>
                  <wp:effectExtent l="0" t="0" r="13970" b="635"/>
                  <wp:wrapNone/>
                  <wp:docPr id="94" name="图片_30"/>
                  <wp:cNvGraphicFramePr/>
                  <a:graphic xmlns:a="http://schemas.openxmlformats.org/drawingml/2006/main">
                    <a:graphicData uri="http://schemas.openxmlformats.org/drawingml/2006/picture">
                      <pic:pic xmlns:pic="http://schemas.openxmlformats.org/drawingml/2006/picture">
                        <pic:nvPicPr>
                          <pic:cNvPr id="94" name="图片_30"/>
                          <pic:cNvPicPr/>
                        </pic:nvPicPr>
                        <pic:blipFill>
                          <a:blip r:embed="rId87"/>
                          <a:stretch>
                            <a:fillRect/>
                          </a:stretch>
                        </pic:blipFill>
                        <pic:spPr>
                          <a:xfrm>
                            <a:off x="0" y="0"/>
                            <a:ext cx="938530" cy="456565"/>
                          </a:xfrm>
                          <a:prstGeom prst="rect">
                            <a:avLst/>
                          </a:prstGeom>
                          <a:noFill/>
                          <a:ln>
                            <a:noFill/>
                          </a:ln>
                        </pic:spPr>
                      </pic:pic>
                    </a:graphicData>
                  </a:graphic>
                </wp:anchor>
              </w:drawing>
            </w:r>
            <w:r>
              <w:rPr>
                <w:rFonts w:hint="eastAsia" w:ascii="仿宋_GB2312" w:hAnsi="仿宋_GB2312" w:eastAsia="仿宋_GB2312" w:cs="仿宋_GB2312"/>
                <w:color w:val="auto"/>
                <w:sz w:val="18"/>
                <w:szCs w:val="18"/>
                <w:highlight w:val="none"/>
                <w:lang w:bidi="ar"/>
              </w:rPr>
              <w:t>1#视听室</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EF12F2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三人位</w:t>
            </w:r>
          </w:p>
        </w:tc>
        <w:tc>
          <w:tcPr>
            <w:tcW w:w="6675" w:type="dxa"/>
            <w:vMerge w:val="restart"/>
            <w:tcBorders>
              <w:top w:val="single" w:color="000000" w:sz="4" w:space="0"/>
              <w:left w:val="single" w:color="000000" w:sz="4" w:space="0"/>
              <w:bottom w:val="single" w:color="000000" w:sz="4" w:space="0"/>
              <w:right w:val="single" w:color="000000" w:sz="4" w:space="0"/>
            </w:tcBorders>
            <w:noWrap w:val="0"/>
            <w:vAlign w:val="center"/>
          </w:tcPr>
          <w:p w14:paraId="7565D59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 西皮，厚度≥0.9mm；应符合HJ 507-2009的要求。</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3、内架：采用榫卯结构。</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4、下脚：采用喷塑粉五金脚，附着力≥1级，耐冲击强度≥50mm（GB/T 3325-2017），耐碱性，耐酸性，耐沸水性良好。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0D60D3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6DF149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3F71D1CA">
        <w:tblPrEx>
          <w:tblCellMar>
            <w:top w:w="0" w:type="dxa"/>
            <w:left w:w="108" w:type="dxa"/>
            <w:bottom w:w="0" w:type="dxa"/>
            <w:right w:w="108" w:type="dxa"/>
          </w:tblCellMar>
        </w:tblPrEx>
        <w:trPr>
          <w:trHeight w:val="4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07AB95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D6CAEA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双人沙发</w:t>
            </w:r>
          </w:p>
        </w:tc>
        <w:tc>
          <w:tcPr>
            <w:tcW w:w="18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100FB8">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601C26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两人位</w:t>
            </w:r>
          </w:p>
        </w:tc>
        <w:tc>
          <w:tcPr>
            <w:tcW w:w="66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2DA38D">
            <w:pPr>
              <w:keepNext w:val="0"/>
              <w:keepLines w:val="0"/>
              <w:widowControl/>
              <w:suppressLineNumbers w:val="0"/>
              <w:snapToGrid w:val="0"/>
              <w:spacing w:before="0" w:beforeAutospacing="0" w:after="0" w:afterAutospacing="0" w:line="288" w:lineRule="auto"/>
              <w:ind w:left="0" w:right="0"/>
              <w:jc w:val="left"/>
              <w:rPr>
                <w:rFonts w:hint="eastAsia" w:ascii="仿宋_GB2312" w:hAnsi="仿宋_GB2312" w:eastAsia="仿宋_GB2312" w:cs="仿宋_GB2312"/>
                <w:color w:val="auto"/>
                <w:sz w:val="18"/>
                <w:szCs w:val="18"/>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71B9BF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D02D19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4C9ABBD8">
        <w:tblPrEx>
          <w:tblCellMar>
            <w:top w:w="0" w:type="dxa"/>
            <w:left w:w="108" w:type="dxa"/>
            <w:bottom w:w="0" w:type="dxa"/>
            <w:right w:w="108" w:type="dxa"/>
          </w:tblCellMar>
        </w:tblPrEx>
        <w:trPr>
          <w:trHeight w:val="38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2989A2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EEA975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单人沙发</w:t>
            </w:r>
          </w:p>
        </w:tc>
        <w:tc>
          <w:tcPr>
            <w:tcW w:w="18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1F929D">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FEC698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单人位</w:t>
            </w:r>
          </w:p>
        </w:tc>
        <w:tc>
          <w:tcPr>
            <w:tcW w:w="66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40A91A">
            <w:pPr>
              <w:keepNext w:val="0"/>
              <w:keepLines w:val="0"/>
              <w:widowControl/>
              <w:suppressLineNumbers w:val="0"/>
              <w:snapToGrid w:val="0"/>
              <w:spacing w:before="0" w:beforeAutospacing="0" w:after="0" w:afterAutospacing="0" w:line="288" w:lineRule="auto"/>
              <w:ind w:left="0" w:right="0"/>
              <w:jc w:val="left"/>
              <w:rPr>
                <w:rFonts w:hint="eastAsia" w:ascii="仿宋_GB2312" w:hAnsi="仿宋_GB2312" w:eastAsia="仿宋_GB2312" w:cs="仿宋_GB2312"/>
                <w:color w:val="auto"/>
                <w:sz w:val="18"/>
                <w:szCs w:val="18"/>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DCB371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CA7047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5DBEEA2">
        <w:tblPrEx>
          <w:tblCellMar>
            <w:top w:w="0" w:type="dxa"/>
            <w:left w:w="108" w:type="dxa"/>
            <w:bottom w:w="0" w:type="dxa"/>
            <w:right w:w="108" w:type="dxa"/>
          </w:tblCellMar>
        </w:tblPrEx>
        <w:trPr>
          <w:trHeight w:val="47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3C9D977">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214B50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大茶几</w:t>
            </w:r>
          </w:p>
        </w:tc>
        <w:tc>
          <w:tcPr>
            <w:tcW w:w="18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E1F82B">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C609F2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1400*600*450</w:t>
            </w:r>
          </w:p>
        </w:tc>
        <w:tc>
          <w:tcPr>
            <w:tcW w:w="6675" w:type="dxa"/>
            <w:vMerge w:val="restart"/>
            <w:tcBorders>
              <w:top w:val="single" w:color="000000" w:sz="4" w:space="0"/>
              <w:left w:val="single" w:color="000000" w:sz="4" w:space="0"/>
              <w:bottom w:val="single" w:color="000000" w:sz="4" w:space="0"/>
              <w:right w:val="single" w:color="000000" w:sz="4" w:space="0"/>
            </w:tcBorders>
            <w:noWrap w:val="0"/>
            <w:vAlign w:val="center"/>
          </w:tcPr>
          <w:p w14:paraId="062AF76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1、基材：优质榉木实木，干燥结实。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169B2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080A19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4797C721">
        <w:tblPrEx>
          <w:tblCellMar>
            <w:top w:w="0" w:type="dxa"/>
            <w:left w:w="108" w:type="dxa"/>
            <w:bottom w:w="0" w:type="dxa"/>
            <w:right w:w="108" w:type="dxa"/>
          </w:tblCellMar>
        </w:tblPrEx>
        <w:trPr>
          <w:trHeight w:val="47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8E1F9FA">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9FA93A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中茶几</w:t>
            </w:r>
          </w:p>
        </w:tc>
        <w:tc>
          <w:tcPr>
            <w:tcW w:w="18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8AA177">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00C960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600*600*500</w:t>
            </w:r>
          </w:p>
        </w:tc>
        <w:tc>
          <w:tcPr>
            <w:tcW w:w="66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AC9AF7">
            <w:pPr>
              <w:keepNext w:val="0"/>
              <w:keepLines w:val="0"/>
              <w:widowControl/>
              <w:suppressLineNumbers w:val="0"/>
              <w:snapToGrid w:val="0"/>
              <w:spacing w:before="0" w:beforeAutospacing="0" w:after="0" w:afterAutospacing="0" w:line="288" w:lineRule="auto"/>
              <w:ind w:left="0" w:right="0"/>
              <w:jc w:val="left"/>
              <w:rPr>
                <w:rFonts w:hint="eastAsia" w:ascii="仿宋_GB2312" w:hAnsi="仿宋_GB2312" w:eastAsia="仿宋_GB2312" w:cs="仿宋_GB2312"/>
                <w:color w:val="auto"/>
                <w:sz w:val="18"/>
                <w:szCs w:val="18"/>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996E79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49D9C6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596D3215">
        <w:tblPrEx>
          <w:tblCellMar>
            <w:top w:w="0" w:type="dxa"/>
            <w:left w:w="108" w:type="dxa"/>
            <w:bottom w:w="0" w:type="dxa"/>
            <w:right w:w="108" w:type="dxa"/>
          </w:tblCellMar>
        </w:tblPrEx>
        <w:trPr>
          <w:trHeight w:val="38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230105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CA2C32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小茶几</w:t>
            </w:r>
          </w:p>
        </w:tc>
        <w:tc>
          <w:tcPr>
            <w:tcW w:w="18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6C390E">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ABB62A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600*400*500</w:t>
            </w:r>
          </w:p>
        </w:tc>
        <w:tc>
          <w:tcPr>
            <w:tcW w:w="66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8452A7">
            <w:pPr>
              <w:keepNext w:val="0"/>
              <w:keepLines w:val="0"/>
              <w:widowControl/>
              <w:suppressLineNumbers w:val="0"/>
              <w:snapToGrid w:val="0"/>
              <w:spacing w:before="0" w:beforeAutospacing="0" w:after="0" w:afterAutospacing="0" w:line="288" w:lineRule="auto"/>
              <w:ind w:left="0" w:right="0"/>
              <w:jc w:val="left"/>
              <w:rPr>
                <w:rFonts w:hint="eastAsia" w:ascii="仿宋_GB2312" w:hAnsi="仿宋_GB2312" w:eastAsia="仿宋_GB2312" w:cs="仿宋_GB2312"/>
                <w:color w:val="auto"/>
                <w:sz w:val="18"/>
                <w:szCs w:val="18"/>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7E9A82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436A38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4B3246A">
        <w:tblPrEx>
          <w:tblCellMar>
            <w:top w:w="0" w:type="dxa"/>
            <w:left w:w="108" w:type="dxa"/>
            <w:bottom w:w="0" w:type="dxa"/>
            <w:right w:w="108" w:type="dxa"/>
          </w:tblCellMar>
        </w:tblPrEx>
        <w:trPr>
          <w:trHeight w:val="204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4B61AB5">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B57356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课桌1</w:t>
            </w:r>
          </w:p>
        </w:tc>
        <w:tc>
          <w:tcPr>
            <w:tcW w:w="1815" w:type="dxa"/>
            <w:tcBorders>
              <w:top w:val="single" w:color="000000" w:sz="4" w:space="0"/>
              <w:left w:val="single" w:color="000000" w:sz="4" w:space="0"/>
              <w:bottom w:val="single" w:color="000000" w:sz="4" w:space="0"/>
              <w:right w:val="single" w:color="000000" w:sz="4" w:space="0"/>
            </w:tcBorders>
            <w:noWrap/>
            <w:vAlign w:val="center"/>
          </w:tcPr>
          <w:p w14:paraId="54B69C9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bdr w:val="single" w:color="000000" w:sz="4" w:space="0"/>
                <w:lang w:bidi="ar"/>
              </w:rPr>
              <w:drawing>
                <wp:anchor distT="0" distB="0" distL="114300" distR="114300" simplePos="0" relativeHeight="251742208" behindDoc="0" locked="0" layoutInCell="1" allowOverlap="1">
                  <wp:simplePos x="0" y="0"/>
                  <wp:positionH relativeFrom="column">
                    <wp:posOffset>43815</wp:posOffset>
                  </wp:positionH>
                  <wp:positionV relativeFrom="paragraph">
                    <wp:posOffset>342265</wp:posOffset>
                  </wp:positionV>
                  <wp:extent cx="1082040" cy="612775"/>
                  <wp:effectExtent l="0" t="0" r="3810" b="15875"/>
                  <wp:wrapNone/>
                  <wp:docPr id="95" name="图片_116"/>
                  <wp:cNvGraphicFramePr/>
                  <a:graphic xmlns:a="http://schemas.openxmlformats.org/drawingml/2006/main">
                    <a:graphicData uri="http://schemas.openxmlformats.org/drawingml/2006/picture">
                      <pic:pic xmlns:pic="http://schemas.openxmlformats.org/drawingml/2006/picture">
                        <pic:nvPicPr>
                          <pic:cNvPr id="95" name="图片_116"/>
                          <pic:cNvPicPr/>
                        </pic:nvPicPr>
                        <pic:blipFill>
                          <a:blip r:embed="rId88"/>
                          <a:stretch>
                            <a:fillRect/>
                          </a:stretch>
                        </pic:blipFill>
                        <pic:spPr>
                          <a:xfrm>
                            <a:off x="0" y="0"/>
                            <a:ext cx="1082040" cy="61277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B4D0ED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1200*500*760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DED279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1、台面板：采用喷粉中纤板。运用防静电喷粉技术，具有耐高温，抗划伤特点。抽屉板：采用实木多层板，抽屉内径为≥13mm。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2、面板支撑架：采用优质热扎板经模具成型、焊接精制而成，壁厚为≥2.5mm，表面精磨，再经防锈静电喷涂处理，与尺寸为≥60*37*100铝合金连接件连接，紧固件采用304不锈钢。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2、课桌立柱：采用尺寸为≥59*38铝合金材料，简洁大方，牢固可靠；立柱脚架由尼龙塑料（内塞）可调脚垫、尼龙胶圈、铝合金外套（壁厚≥2.0mm）、压铸铝脚（壁厚≥2.0mm）组成。</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3、底部采用优质可锁止万向轮，课桌一侧设计书包挂沟、水杯架；课桌细节圆润，适老化要求。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5BCA6F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0B7DC7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3CA1E1DA">
        <w:tblPrEx>
          <w:tblCellMar>
            <w:top w:w="0" w:type="dxa"/>
            <w:left w:w="108" w:type="dxa"/>
            <w:bottom w:w="0" w:type="dxa"/>
            <w:right w:w="108" w:type="dxa"/>
          </w:tblCellMar>
        </w:tblPrEx>
        <w:trPr>
          <w:trHeight w:val="864"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064CB8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A4139B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课桌2</w:t>
            </w:r>
          </w:p>
          <w:p w14:paraId="5E998B77">
            <w:pPr>
              <w:pStyle w:val="2"/>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（提供样品）</w:t>
            </w:r>
          </w:p>
        </w:tc>
        <w:tc>
          <w:tcPr>
            <w:tcW w:w="1815" w:type="dxa"/>
            <w:tcBorders>
              <w:top w:val="single" w:color="000000" w:sz="4" w:space="0"/>
              <w:left w:val="single" w:color="000000" w:sz="4" w:space="0"/>
              <w:bottom w:val="single" w:color="000000" w:sz="4" w:space="0"/>
              <w:right w:val="single" w:color="000000" w:sz="4" w:space="0"/>
            </w:tcBorders>
            <w:noWrap/>
            <w:vAlign w:val="center"/>
          </w:tcPr>
          <w:p w14:paraId="6B55DD6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bdr w:val="single" w:color="000000" w:sz="4" w:space="0"/>
                <w:lang w:bidi="ar"/>
              </w:rPr>
              <w:drawing>
                <wp:anchor distT="0" distB="0" distL="114300" distR="114300" simplePos="0" relativeHeight="251743232" behindDoc="0" locked="0" layoutInCell="1" allowOverlap="1">
                  <wp:simplePos x="0" y="0"/>
                  <wp:positionH relativeFrom="column">
                    <wp:posOffset>6350</wp:posOffset>
                  </wp:positionH>
                  <wp:positionV relativeFrom="paragraph">
                    <wp:posOffset>358140</wp:posOffset>
                  </wp:positionV>
                  <wp:extent cx="1082040" cy="612775"/>
                  <wp:effectExtent l="0" t="0" r="3810" b="15875"/>
                  <wp:wrapNone/>
                  <wp:docPr id="96" name="图片_117"/>
                  <wp:cNvGraphicFramePr/>
                  <a:graphic xmlns:a="http://schemas.openxmlformats.org/drawingml/2006/main">
                    <a:graphicData uri="http://schemas.openxmlformats.org/drawingml/2006/picture">
                      <pic:pic xmlns:pic="http://schemas.openxmlformats.org/drawingml/2006/picture">
                        <pic:nvPicPr>
                          <pic:cNvPr id="96" name="图片_117"/>
                          <pic:cNvPicPr/>
                        </pic:nvPicPr>
                        <pic:blipFill>
                          <a:blip r:embed="rId88"/>
                          <a:stretch>
                            <a:fillRect/>
                          </a:stretch>
                        </pic:blipFill>
                        <pic:spPr>
                          <a:xfrm>
                            <a:off x="0" y="0"/>
                            <a:ext cx="1082040" cy="61277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DA0FC5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1400*500*760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433914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1、台面板：采用喷粉中纤板。运用防静电喷粉技术，具有耐高温，抗划伤特点。抽屉板：采用实木多层板，抽屉内径为13mm。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2、面板支撑架：采用优质热扎板经模具成型、焊接精制而成，壁厚为≥2.5mm，表面精磨，再经防锈静电喷涂处理，与尺寸为≥60*37*100铝合金连接件连接，紧固件采用304不锈钢。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2、课桌立柱：采用尺寸为≥59*38铝合金材料，简洁大方，牢固可靠；立柱脚架由尼龙塑料（内塞）可调脚垫、尼龙胶圈、铝合金外套（壁厚≥2.0mm）、压铸铝脚（壁厚≥2.0mm）组成。</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3、底部采用优质可锁止万向轮，课桌一侧设计书包挂沟、水杯架；课桌细节圆润，适老化要求。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32C123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231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C7AFF9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45D40370">
        <w:tblPrEx>
          <w:tblCellMar>
            <w:top w:w="0" w:type="dxa"/>
            <w:left w:w="108" w:type="dxa"/>
            <w:bottom w:w="0" w:type="dxa"/>
            <w:right w:w="108" w:type="dxa"/>
          </w:tblCellMar>
        </w:tblPrEx>
        <w:trPr>
          <w:trHeight w:val="142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149657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A0C1B8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书法桌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BE611F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4256" behindDoc="0" locked="0" layoutInCell="1" allowOverlap="1">
                  <wp:simplePos x="0" y="0"/>
                  <wp:positionH relativeFrom="column">
                    <wp:posOffset>184150</wp:posOffset>
                  </wp:positionH>
                  <wp:positionV relativeFrom="paragraph">
                    <wp:posOffset>117475</wp:posOffset>
                  </wp:positionV>
                  <wp:extent cx="958850" cy="721360"/>
                  <wp:effectExtent l="0" t="0" r="12700" b="2540"/>
                  <wp:wrapNone/>
                  <wp:docPr id="97" name="图片_115"/>
                  <wp:cNvGraphicFramePr/>
                  <a:graphic xmlns:a="http://schemas.openxmlformats.org/drawingml/2006/main">
                    <a:graphicData uri="http://schemas.openxmlformats.org/drawingml/2006/picture">
                      <pic:pic xmlns:pic="http://schemas.openxmlformats.org/drawingml/2006/picture">
                        <pic:nvPicPr>
                          <pic:cNvPr id="97" name="图片_115"/>
                          <pic:cNvPicPr/>
                        </pic:nvPicPr>
                        <pic:blipFill>
                          <a:blip r:embed="rId89"/>
                          <a:stretch>
                            <a:fillRect/>
                          </a:stretch>
                        </pic:blipFill>
                        <pic:spPr>
                          <a:xfrm>
                            <a:off x="0" y="0"/>
                            <a:ext cx="958850" cy="72136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24DE0D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1400*500*750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9C24FD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E876FB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72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D319EC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3D54EB2C">
        <w:tblPrEx>
          <w:tblCellMar>
            <w:top w:w="0" w:type="dxa"/>
            <w:left w:w="108" w:type="dxa"/>
            <w:bottom w:w="0" w:type="dxa"/>
            <w:right w:w="108" w:type="dxa"/>
          </w:tblCellMar>
        </w:tblPrEx>
        <w:trPr>
          <w:trHeight w:val="154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65AFD9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224E01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书法椅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C4785D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5280" behindDoc="0" locked="0" layoutInCell="1" allowOverlap="1">
                  <wp:simplePos x="0" y="0"/>
                  <wp:positionH relativeFrom="column">
                    <wp:posOffset>63500</wp:posOffset>
                  </wp:positionH>
                  <wp:positionV relativeFrom="paragraph">
                    <wp:posOffset>323850</wp:posOffset>
                  </wp:positionV>
                  <wp:extent cx="882650" cy="453390"/>
                  <wp:effectExtent l="0" t="0" r="12700" b="3810"/>
                  <wp:wrapNone/>
                  <wp:docPr id="98" name="图片_114"/>
                  <wp:cNvGraphicFramePr/>
                  <a:graphic xmlns:a="http://schemas.openxmlformats.org/drawingml/2006/main">
                    <a:graphicData uri="http://schemas.openxmlformats.org/drawingml/2006/picture">
                      <pic:pic xmlns:pic="http://schemas.openxmlformats.org/drawingml/2006/picture">
                        <pic:nvPicPr>
                          <pic:cNvPr id="98" name="图片_114"/>
                          <pic:cNvPicPr/>
                        </pic:nvPicPr>
                        <pic:blipFill>
                          <a:blip r:embed="rId90"/>
                          <a:stretch>
                            <a:fillRect/>
                          </a:stretch>
                        </pic:blipFill>
                        <pic:spPr>
                          <a:xfrm>
                            <a:off x="0" y="0"/>
                            <a:ext cx="882650" cy="45339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F8B608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实木支架</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D58DBE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07FEF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903758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74E744B3">
        <w:tblPrEx>
          <w:tblCellMar>
            <w:top w:w="0" w:type="dxa"/>
            <w:left w:w="108" w:type="dxa"/>
            <w:bottom w:w="0" w:type="dxa"/>
            <w:right w:w="108" w:type="dxa"/>
          </w:tblCellMar>
        </w:tblPrEx>
        <w:trPr>
          <w:trHeight w:val="16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476DF9F">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99C63A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语音桌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81C60E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6304" behindDoc="0" locked="0" layoutInCell="1" allowOverlap="1">
                  <wp:simplePos x="0" y="0"/>
                  <wp:positionH relativeFrom="column">
                    <wp:posOffset>99060</wp:posOffset>
                  </wp:positionH>
                  <wp:positionV relativeFrom="paragraph">
                    <wp:posOffset>292100</wp:posOffset>
                  </wp:positionV>
                  <wp:extent cx="905510" cy="530225"/>
                  <wp:effectExtent l="0" t="0" r="8890" b="3175"/>
                  <wp:wrapNone/>
                  <wp:docPr id="99" name="图片_104"/>
                  <wp:cNvGraphicFramePr/>
                  <a:graphic xmlns:a="http://schemas.openxmlformats.org/drawingml/2006/main">
                    <a:graphicData uri="http://schemas.openxmlformats.org/drawingml/2006/picture">
                      <pic:pic xmlns:pic="http://schemas.openxmlformats.org/drawingml/2006/picture">
                        <pic:nvPicPr>
                          <pic:cNvPr id="99" name="图片_104"/>
                          <pic:cNvPicPr/>
                        </pic:nvPicPr>
                        <pic:blipFill>
                          <a:blip r:embed="rId91"/>
                          <a:stretch>
                            <a:fillRect/>
                          </a:stretch>
                        </pic:blipFill>
                        <pic:spPr>
                          <a:xfrm>
                            <a:off x="0" y="0"/>
                            <a:ext cx="905510" cy="53022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77B129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1000*400*1050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4A0789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4、五金件：优质三合一连接件，配置电动升降屏。</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FB7C7E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5ACF81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5B3E6CD0">
        <w:tblPrEx>
          <w:tblCellMar>
            <w:top w:w="0" w:type="dxa"/>
            <w:left w:w="108" w:type="dxa"/>
            <w:bottom w:w="0" w:type="dxa"/>
            <w:right w:w="108" w:type="dxa"/>
          </w:tblCellMar>
        </w:tblPrEx>
        <w:trPr>
          <w:trHeight w:val="160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010B352">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309993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课椅1</w:t>
            </w:r>
          </w:p>
          <w:p w14:paraId="5970282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（提供样品）</w:t>
            </w:r>
          </w:p>
          <w:p w14:paraId="2458AF2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lang w:bidi="ar"/>
              </w:rPr>
            </w:pPr>
          </w:p>
          <w:p w14:paraId="6EC4DA52">
            <w:pPr>
              <w:keepNext w:val="0"/>
              <w:keepLines w:val="0"/>
              <w:widowControl/>
              <w:suppressLineNumbers w:val="0"/>
              <w:snapToGrid w:val="0"/>
              <w:spacing w:before="0" w:beforeAutospacing="0" w:after="0" w:afterAutospacing="0" w:line="288" w:lineRule="auto"/>
              <w:ind w:left="0" w:right="0"/>
              <w:jc w:val="center"/>
              <w:textAlignment w:val="center"/>
              <w:rPr>
                <w:rFonts w:hint="eastAsia" w:eastAsia="仿宋_GB2312"/>
                <w:b/>
                <w:bCs/>
                <w:color w:val="auto"/>
                <w:lang w:eastAsia="zh-CN"/>
              </w:rPr>
            </w:pPr>
            <w:r>
              <w:rPr>
                <w:rFonts w:hint="eastAsia" w:ascii="仿宋_GB2312" w:hAnsi="仿宋_GB2312" w:eastAsia="仿宋_GB2312" w:cs="仿宋_GB2312"/>
                <w:b/>
                <w:bCs/>
                <w:color w:val="auto"/>
                <w:sz w:val="18"/>
                <w:szCs w:val="18"/>
                <w:highlight w:val="none"/>
                <w:lang w:eastAsia="zh-CN" w:bidi="ar"/>
              </w:rPr>
              <w:t>核</w:t>
            </w:r>
            <w:r>
              <w:rPr>
                <w:rFonts w:hint="eastAsia" w:ascii="仿宋_GB2312" w:hAnsi="仿宋_GB2312" w:eastAsia="仿宋_GB2312" w:cs="仿宋_GB2312"/>
                <w:b/>
                <w:bCs/>
                <w:color w:val="auto"/>
                <w:highlight w:val="none"/>
                <w:lang w:eastAsia="zh-CN"/>
              </w:rPr>
              <w:t>心产品</w:t>
            </w:r>
          </w:p>
          <w:p w14:paraId="0BD167D9">
            <w:pPr>
              <w:pStyle w:val="3"/>
              <w:keepNext w:val="0"/>
              <w:keepLines w:val="0"/>
              <w:widowControl/>
              <w:suppressLineNumbers w:val="0"/>
              <w:spacing w:before="0" w:beforeAutospacing="0" w:after="0" w:afterAutospacing="0"/>
              <w:ind w:right="0"/>
              <w:jc w:val="center"/>
              <w:rPr>
                <w:rFonts w:hint="eastAsia"/>
                <w:color w:val="auto"/>
                <w:szCs w:val="20"/>
              </w:rPr>
            </w:pP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1FF023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7328" behindDoc="0" locked="0" layoutInCell="1" allowOverlap="1">
                  <wp:simplePos x="0" y="0"/>
                  <wp:positionH relativeFrom="column">
                    <wp:posOffset>206375</wp:posOffset>
                  </wp:positionH>
                  <wp:positionV relativeFrom="paragraph">
                    <wp:posOffset>95885</wp:posOffset>
                  </wp:positionV>
                  <wp:extent cx="610235" cy="835660"/>
                  <wp:effectExtent l="0" t="0" r="18415" b="2540"/>
                  <wp:wrapNone/>
                  <wp:docPr id="100" name="图片_118"/>
                  <wp:cNvGraphicFramePr/>
                  <a:graphic xmlns:a="http://schemas.openxmlformats.org/drawingml/2006/main">
                    <a:graphicData uri="http://schemas.openxmlformats.org/drawingml/2006/picture">
                      <pic:pic xmlns:pic="http://schemas.openxmlformats.org/drawingml/2006/picture">
                        <pic:nvPicPr>
                          <pic:cNvPr id="100" name="图片_118"/>
                          <pic:cNvPicPr/>
                        </pic:nvPicPr>
                        <pic:blipFill>
                          <a:blip r:embed="rId92"/>
                          <a:stretch>
                            <a:fillRect/>
                          </a:stretch>
                        </pic:blipFill>
                        <pic:spPr>
                          <a:xfrm>
                            <a:off x="0" y="0"/>
                            <a:ext cx="610235" cy="83566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0D1F55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480*500*830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59F7C6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78D0B7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600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4CFA6A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56740595">
        <w:tblPrEx>
          <w:tblCellMar>
            <w:top w:w="0" w:type="dxa"/>
            <w:left w:w="108" w:type="dxa"/>
            <w:bottom w:w="0" w:type="dxa"/>
            <w:right w:w="108" w:type="dxa"/>
          </w:tblCellMar>
        </w:tblPrEx>
        <w:trPr>
          <w:trHeight w:val="313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78C183B">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307EC5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四人连体餐桌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B77D6E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8352" behindDoc="0" locked="0" layoutInCell="1" allowOverlap="1">
                  <wp:simplePos x="0" y="0"/>
                  <wp:positionH relativeFrom="column">
                    <wp:posOffset>106680</wp:posOffset>
                  </wp:positionH>
                  <wp:positionV relativeFrom="paragraph">
                    <wp:posOffset>701675</wp:posOffset>
                  </wp:positionV>
                  <wp:extent cx="864870" cy="746760"/>
                  <wp:effectExtent l="0" t="0" r="11430" b="15240"/>
                  <wp:wrapNone/>
                  <wp:docPr id="101" name="图片_14"/>
                  <wp:cNvGraphicFramePr/>
                  <a:graphic xmlns:a="http://schemas.openxmlformats.org/drawingml/2006/main">
                    <a:graphicData uri="http://schemas.openxmlformats.org/drawingml/2006/picture">
                      <pic:pic xmlns:pic="http://schemas.openxmlformats.org/drawingml/2006/picture">
                        <pic:nvPicPr>
                          <pic:cNvPr id="101" name="图片_14"/>
                          <pic:cNvPicPr/>
                        </pic:nvPicPr>
                        <pic:blipFill>
                          <a:blip r:embed="rId93"/>
                          <a:stretch>
                            <a:fillRect/>
                          </a:stretch>
                        </pic:blipFill>
                        <pic:spPr>
                          <a:xfrm>
                            <a:off x="0" y="0"/>
                            <a:ext cx="864870" cy="74676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4C5278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1200*700*760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8245DA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四人连体餐桌：</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材质说明：</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1、桌面基材采用≥25mm厚白松木皮多层板，面贴≥0.7mm厚防火板，四周做倒鸭嘴斜角环保油漆封边。</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2、靠背外型圆润，边缘自然卷边过渡，触摸感舒适不割手，回字形设计镂空造型简洁时尚，弧度贴于坐姿模拟人体工程学。采用PP加改性材料制作。靠背提供4种及以上颜色可选。</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3、座板采用人体工程学原理模压式≥10层杨木单板压制，厚度≥18MM±2mm, 表面贴水曲柳木皮, 本色油漆, E1级环保标准。四周倒斜角自然过渡，触摸感舒适不割手，内凹式设计更贴合与人体的臀部，借此可分散上半身的所有重量。座板与靠背采用预埋紧固镙丝固定。</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钢架上框采用≥40*40*4mm角铁加10*20*1.1mm方管制作，主架采用人字交叉式≥40*60*1.5mm方管增加牢固度，座档≥30*70*2.0mm方管，马车螺丝固定，椅面底部支撑臂采用≥3.0mm厚钢板冲压一体成型式技术制作（样式符合图片造型），底部≥8mm厚钢板，采用折弯技术制作，焊接均采用二氧化碳气体保护焊，表面经去油、除锈、抛丸工艺处理后静电喷塑。作，焊接均采用二氧化碳气体保护焊，表面经去油、除锈、抛丸工艺处理后静电喷塑。</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0997A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63896D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7912B199">
        <w:tblPrEx>
          <w:tblCellMar>
            <w:top w:w="0" w:type="dxa"/>
            <w:left w:w="108" w:type="dxa"/>
            <w:bottom w:w="0" w:type="dxa"/>
            <w:right w:w="108"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2A76FA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F1F200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茶桌</w:t>
            </w:r>
          </w:p>
        </w:tc>
        <w:tc>
          <w:tcPr>
            <w:tcW w:w="1815" w:type="dxa"/>
            <w:vMerge w:val="restart"/>
            <w:tcBorders>
              <w:top w:val="single" w:color="000000" w:sz="4" w:space="0"/>
              <w:left w:val="single" w:color="000000" w:sz="4" w:space="0"/>
              <w:bottom w:val="single" w:color="000000" w:sz="4" w:space="0"/>
              <w:right w:val="single" w:color="000000" w:sz="4" w:space="0"/>
            </w:tcBorders>
            <w:noWrap w:val="0"/>
            <w:vAlign w:val="center"/>
          </w:tcPr>
          <w:p w14:paraId="71BF464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49376" behindDoc="0" locked="0" layoutInCell="1" allowOverlap="1">
                  <wp:simplePos x="0" y="0"/>
                  <wp:positionH relativeFrom="column">
                    <wp:posOffset>22225</wp:posOffset>
                  </wp:positionH>
                  <wp:positionV relativeFrom="paragraph">
                    <wp:posOffset>412750</wp:posOffset>
                  </wp:positionV>
                  <wp:extent cx="962660" cy="609600"/>
                  <wp:effectExtent l="0" t="0" r="8890" b="0"/>
                  <wp:wrapNone/>
                  <wp:docPr id="102" name="图片_111"/>
                  <wp:cNvGraphicFramePr/>
                  <a:graphic xmlns:a="http://schemas.openxmlformats.org/drawingml/2006/main">
                    <a:graphicData uri="http://schemas.openxmlformats.org/drawingml/2006/picture">
                      <pic:pic xmlns:pic="http://schemas.openxmlformats.org/drawingml/2006/picture">
                        <pic:nvPicPr>
                          <pic:cNvPr id="102" name="图片_111"/>
                          <pic:cNvPicPr/>
                        </pic:nvPicPr>
                        <pic:blipFill>
                          <a:blip r:embed="rId94"/>
                          <a:stretch>
                            <a:fillRect/>
                          </a:stretch>
                        </pic:blipFill>
                        <pic:spPr>
                          <a:xfrm>
                            <a:off x="0" y="0"/>
                            <a:ext cx="962660" cy="6096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CA3502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1600*800*760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EDCEC0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8BF7F3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25</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C135AF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7048E223">
        <w:tblPrEx>
          <w:tblCellMar>
            <w:top w:w="0" w:type="dxa"/>
            <w:left w:w="108" w:type="dxa"/>
            <w:bottom w:w="0" w:type="dxa"/>
            <w:right w:w="108"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D73B86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3D8BA5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茶椅</w:t>
            </w:r>
          </w:p>
        </w:tc>
        <w:tc>
          <w:tcPr>
            <w:tcW w:w="18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193817">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60373B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540*560*860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018A1C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3、结构：采用榫卯结构，配布艺坐垫。</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9CBC23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933823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5B1A4F61">
        <w:tblPrEx>
          <w:tblCellMar>
            <w:top w:w="0" w:type="dxa"/>
            <w:left w:w="108" w:type="dxa"/>
            <w:bottom w:w="0" w:type="dxa"/>
            <w:right w:w="108" w:type="dxa"/>
          </w:tblCellMar>
        </w:tblPrEx>
        <w:trPr>
          <w:trHeight w:val="141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6903A0B">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EA0F68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圆餐桌1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07F3F2B">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0400" behindDoc="0" locked="0" layoutInCell="1" allowOverlap="1">
                  <wp:simplePos x="0" y="0"/>
                  <wp:positionH relativeFrom="column">
                    <wp:posOffset>54610</wp:posOffset>
                  </wp:positionH>
                  <wp:positionV relativeFrom="paragraph">
                    <wp:posOffset>227330</wp:posOffset>
                  </wp:positionV>
                  <wp:extent cx="901700" cy="509270"/>
                  <wp:effectExtent l="0" t="0" r="12700" b="5080"/>
                  <wp:wrapNone/>
                  <wp:docPr id="103" name="图片_35"/>
                  <wp:cNvGraphicFramePr/>
                  <a:graphic xmlns:a="http://schemas.openxmlformats.org/drawingml/2006/main">
                    <a:graphicData uri="http://schemas.openxmlformats.org/drawingml/2006/picture">
                      <pic:pic xmlns:pic="http://schemas.openxmlformats.org/drawingml/2006/picture">
                        <pic:nvPicPr>
                          <pic:cNvPr id="103" name="图片_35"/>
                          <pic:cNvPicPr/>
                        </pic:nvPicPr>
                        <pic:blipFill>
                          <a:blip r:embed="rId95"/>
                          <a:stretch>
                            <a:fillRect/>
                          </a:stretch>
                        </pic:blipFill>
                        <pic:spPr>
                          <a:xfrm>
                            <a:off x="0" y="0"/>
                            <a:ext cx="901700" cy="50927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2CD07B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φ</w:t>
            </w:r>
            <w:r>
              <w:rPr>
                <w:rStyle w:val="297"/>
                <w:rFonts w:hint="eastAsia" w:ascii="仿宋_GB2312" w:hAnsi="仿宋_GB2312" w:eastAsia="仿宋_GB2312" w:cs="仿宋_GB2312"/>
                <w:color w:val="auto"/>
                <w:highlight w:val="none"/>
                <w:lang w:bidi="ar"/>
              </w:rPr>
              <w:t>2400*760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D00A00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3、结构：采用榫卯结构，台面镶嵌岩板，带电动转盘。</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24CDAE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4EABBE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46B6D13F">
        <w:tblPrEx>
          <w:tblCellMar>
            <w:top w:w="0" w:type="dxa"/>
            <w:left w:w="108" w:type="dxa"/>
            <w:bottom w:w="0" w:type="dxa"/>
            <w:right w:w="108" w:type="dxa"/>
          </w:tblCellMar>
        </w:tblPrEx>
        <w:trPr>
          <w:trHeight w:val="169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B7C1BA3">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36FE0A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餐椅1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ED27A0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1424" behindDoc="0" locked="0" layoutInCell="1" allowOverlap="1">
                  <wp:simplePos x="0" y="0"/>
                  <wp:positionH relativeFrom="column">
                    <wp:posOffset>215265</wp:posOffset>
                  </wp:positionH>
                  <wp:positionV relativeFrom="paragraph">
                    <wp:posOffset>143510</wp:posOffset>
                  </wp:positionV>
                  <wp:extent cx="567055" cy="795020"/>
                  <wp:effectExtent l="0" t="0" r="4445" b="5080"/>
                  <wp:wrapNone/>
                  <wp:docPr id="104" name="图片_109"/>
                  <wp:cNvGraphicFramePr/>
                  <a:graphic xmlns:a="http://schemas.openxmlformats.org/drawingml/2006/main">
                    <a:graphicData uri="http://schemas.openxmlformats.org/drawingml/2006/picture">
                      <pic:pic xmlns:pic="http://schemas.openxmlformats.org/drawingml/2006/picture">
                        <pic:nvPicPr>
                          <pic:cNvPr id="104" name="图片_109"/>
                          <pic:cNvPicPr/>
                        </pic:nvPicPr>
                        <pic:blipFill>
                          <a:blip r:embed="rId96"/>
                          <a:stretch>
                            <a:fillRect/>
                          </a:stretch>
                        </pic:blipFill>
                        <pic:spPr>
                          <a:xfrm>
                            <a:off x="0" y="0"/>
                            <a:ext cx="567055" cy="7950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8347CD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610*590*960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624393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4、结构：采用榫卯结构，椅背设计拉手，细节圆润，适老化要求。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2ACACB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9BAD44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21B8FEB6">
        <w:tblPrEx>
          <w:tblCellMar>
            <w:top w:w="0" w:type="dxa"/>
            <w:left w:w="108" w:type="dxa"/>
            <w:bottom w:w="0" w:type="dxa"/>
            <w:right w:w="108" w:type="dxa"/>
          </w:tblCellMar>
        </w:tblPrEx>
        <w:trPr>
          <w:trHeight w:val="175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3BD700F">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7CBB4F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沙发1</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3CD3B5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2448" behindDoc="0" locked="0" layoutInCell="1" allowOverlap="1">
                  <wp:simplePos x="0" y="0"/>
                  <wp:positionH relativeFrom="column">
                    <wp:posOffset>97790</wp:posOffset>
                  </wp:positionH>
                  <wp:positionV relativeFrom="paragraph">
                    <wp:posOffset>345440</wp:posOffset>
                  </wp:positionV>
                  <wp:extent cx="873760" cy="490855"/>
                  <wp:effectExtent l="0" t="0" r="2540" b="4445"/>
                  <wp:wrapNone/>
                  <wp:docPr id="105" name="图片_87"/>
                  <wp:cNvGraphicFramePr/>
                  <a:graphic xmlns:a="http://schemas.openxmlformats.org/drawingml/2006/main">
                    <a:graphicData uri="http://schemas.openxmlformats.org/drawingml/2006/picture">
                      <pic:pic xmlns:pic="http://schemas.openxmlformats.org/drawingml/2006/picture">
                        <pic:nvPicPr>
                          <pic:cNvPr id="105" name="图片_87"/>
                          <pic:cNvPicPr/>
                        </pic:nvPicPr>
                        <pic:blipFill>
                          <a:blip r:embed="rId97"/>
                          <a:stretch>
                            <a:fillRect/>
                          </a:stretch>
                        </pic:blipFill>
                        <pic:spPr>
                          <a:xfrm>
                            <a:off x="0" y="0"/>
                            <a:ext cx="873760" cy="49085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2939FA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5C1567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4、结构：采用榫卯结构，椅背设计拉手，细节圆润，适老化要求。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24E0E2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04192F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6AA636B8">
        <w:tblPrEx>
          <w:tblCellMar>
            <w:top w:w="0" w:type="dxa"/>
            <w:left w:w="108" w:type="dxa"/>
            <w:bottom w:w="0" w:type="dxa"/>
            <w:right w:w="108" w:type="dxa"/>
          </w:tblCellMar>
        </w:tblPrEx>
        <w:trPr>
          <w:trHeight w:val="139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E9CE9F2">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22FD4C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茶几3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F8B33C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3472" behindDoc="0" locked="0" layoutInCell="1" allowOverlap="1">
                  <wp:simplePos x="0" y="0"/>
                  <wp:positionH relativeFrom="column">
                    <wp:posOffset>97155</wp:posOffset>
                  </wp:positionH>
                  <wp:positionV relativeFrom="paragraph">
                    <wp:posOffset>250825</wp:posOffset>
                  </wp:positionV>
                  <wp:extent cx="883285" cy="480060"/>
                  <wp:effectExtent l="0" t="0" r="12065" b="15240"/>
                  <wp:wrapNone/>
                  <wp:docPr id="106" name="图片_86"/>
                  <wp:cNvGraphicFramePr/>
                  <a:graphic xmlns:a="http://schemas.openxmlformats.org/drawingml/2006/main">
                    <a:graphicData uri="http://schemas.openxmlformats.org/drawingml/2006/picture">
                      <pic:pic xmlns:pic="http://schemas.openxmlformats.org/drawingml/2006/picture">
                        <pic:nvPicPr>
                          <pic:cNvPr id="106" name="图片_86"/>
                          <pic:cNvPicPr/>
                        </pic:nvPicPr>
                        <pic:blipFill>
                          <a:blip r:embed="rId98"/>
                          <a:stretch>
                            <a:fillRect/>
                          </a:stretch>
                        </pic:blipFill>
                        <pic:spPr>
                          <a:xfrm>
                            <a:off x="0" y="0"/>
                            <a:ext cx="883285" cy="48006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6E93C4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1200*500*500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8C843B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0297BB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CD007D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B58B5B3">
        <w:tblPrEx>
          <w:tblCellMar>
            <w:top w:w="0" w:type="dxa"/>
            <w:left w:w="108" w:type="dxa"/>
            <w:bottom w:w="0" w:type="dxa"/>
            <w:right w:w="108" w:type="dxa"/>
          </w:tblCellMar>
        </w:tblPrEx>
        <w:trPr>
          <w:trHeight w:val="1187"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91945F7">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07796C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圆餐桌2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8A6FCED">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4496" behindDoc="0" locked="0" layoutInCell="1" allowOverlap="1">
                  <wp:simplePos x="0" y="0"/>
                  <wp:positionH relativeFrom="column">
                    <wp:posOffset>84455</wp:posOffset>
                  </wp:positionH>
                  <wp:positionV relativeFrom="paragraph">
                    <wp:posOffset>145415</wp:posOffset>
                  </wp:positionV>
                  <wp:extent cx="925830" cy="654685"/>
                  <wp:effectExtent l="0" t="0" r="7620" b="12065"/>
                  <wp:wrapNone/>
                  <wp:docPr id="107" name="图片_36"/>
                  <wp:cNvGraphicFramePr/>
                  <a:graphic xmlns:a="http://schemas.openxmlformats.org/drawingml/2006/main">
                    <a:graphicData uri="http://schemas.openxmlformats.org/drawingml/2006/picture">
                      <pic:pic xmlns:pic="http://schemas.openxmlformats.org/drawingml/2006/picture">
                        <pic:nvPicPr>
                          <pic:cNvPr id="107" name="图片_36"/>
                          <pic:cNvPicPr/>
                        </pic:nvPicPr>
                        <pic:blipFill>
                          <a:blip r:embed="rId99"/>
                          <a:stretch>
                            <a:fillRect/>
                          </a:stretch>
                        </pic:blipFill>
                        <pic:spPr>
                          <a:xfrm>
                            <a:off x="0" y="0"/>
                            <a:ext cx="925830" cy="65468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AD56DF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φ</w:t>
            </w:r>
            <w:r>
              <w:rPr>
                <w:rStyle w:val="297"/>
                <w:rFonts w:hint="eastAsia" w:ascii="仿宋_GB2312" w:hAnsi="仿宋_GB2312" w:eastAsia="仿宋_GB2312" w:cs="仿宋_GB2312"/>
                <w:color w:val="auto"/>
                <w:highlight w:val="none"/>
                <w:lang w:bidi="ar"/>
              </w:rPr>
              <w:t>2200*760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C454C2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3、结构：采用榫卯结构，台面镶嵌岩板，带电动转盘。</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65DFF8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C0655A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52489227">
        <w:tblPrEx>
          <w:tblCellMar>
            <w:top w:w="0" w:type="dxa"/>
            <w:left w:w="108" w:type="dxa"/>
            <w:bottom w:w="0" w:type="dxa"/>
            <w:right w:w="108" w:type="dxa"/>
          </w:tblCellMar>
        </w:tblPrEx>
        <w:trPr>
          <w:trHeight w:val="166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5B510DB">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0BD22D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餐椅2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1CDEEA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5520" behindDoc="0" locked="0" layoutInCell="1" allowOverlap="1">
                  <wp:simplePos x="0" y="0"/>
                  <wp:positionH relativeFrom="column">
                    <wp:posOffset>216535</wp:posOffset>
                  </wp:positionH>
                  <wp:positionV relativeFrom="paragraph">
                    <wp:posOffset>143510</wp:posOffset>
                  </wp:positionV>
                  <wp:extent cx="604520" cy="756285"/>
                  <wp:effectExtent l="0" t="0" r="5080" b="5715"/>
                  <wp:wrapNone/>
                  <wp:docPr id="108" name="图片_110"/>
                  <wp:cNvGraphicFramePr/>
                  <a:graphic xmlns:a="http://schemas.openxmlformats.org/drawingml/2006/main">
                    <a:graphicData uri="http://schemas.openxmlformats.org/drawingml/2006/picture">
                      <pic:pic xmlns:pic="http://schemas.openxmlformats.org/drawingml/2006/picture">
                        <pic:nvPicPr>
                          <pic:cNvPr id="108" name="图片_110"/>
                          <pic:cNvPicPr/>
                        </pic:nvPicPr>
                        <pic:blipFill>
                          <a:blip r:embed="rId100"/>
                          <a:stretch>
                            <a:fillRect/>
                          </a:stretch>
                        </pic:blipFill>
                        <pic:spPr>
                          <a:xfrm>
                            <a:off x="0" y="0"/>
                            <a:ext cx="604520" cy="75628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A6C2C3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550*540*990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0A7BA6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4、结构：采用榫卯结构，椅背设计拉手，细节圆润，适老化要求。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2204EE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DFE97E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4C9EC875">
        <w:tblPrEx>
          <w:tblCellMar>
            <w:top w:w="0" w:type="dxa"/>
            <w:left w:w="108" w:type="dxa"/>
            <w:bottom w:w="0" w:type="dxa"/>
            <w:right w:w="108" w:type="dxa"/>
          </w:tblCellMar>
        </w:tblPrEx>
        <w:trPr>
          <w:trHeight w:val="9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615CA3B">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CCF934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沙发2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CEB949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6544" behindDoc="0" locked="0" layoutInCell="1" allowOverlap="1">
                  <wp:simplePos x="0" y="0"/>
                  <wp:positionH relativeFrom="column">
                    <wp:posOffset>84455</wp:posOffset>
                  </wp:positionH>
                  <wp:positionV relativeFrom="paragraph">
                    <wp:posOffset>160655</wp:posOffset>
                  </wp:positionV>
                  <wp:extent cx="819150" cy="415925"/>
                  <wp:effectExtent l="0" t="0" r="0" b="3175"/>
                  <wp:wrapNone/>
                  <wp:docPr id="109" name="图片_89"/>
                  <wp:cNvGraphicFramePr/>
                  <a:graphic xmlns:a="http://schemas.openxmlformats.org/drawingml/2006/main">
                    <a:graphicData uri="http://schemas.openxmlformats.org/drawingml/2006/picture">
                      <pic:pic xmlns:pic="http://schemas.openxmlformats.org/drawingml/2006/picture">
                        <pic:nvPicPr>
                          <pic:cNvPr id="109" name="图片_89"/>
                          <pic:cNvPicPr/>
                        </pic:nvPicPr>
                        <pic:blipFill>
                          <a:blip r:embed="rId101"/>
                          <a:stretch>
                            <a:fillRect/>
                          </a:stretch>
                        </pic:blipFill>
                        <pic:spPr>
                          <a:xfrm>
                            <a:off x="0" y="0"/>
                            <a:ext cx="819150" cy="41592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19420E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91779E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3、椅背/椅座：覆面材料为PU皮，厚度≥0.9mm；应符合HJ507-2009的要求。海绵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4、结构：采用榫卯结构，椅背设计拉手，细节圆润，适老化要求。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23D39D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ABD2A4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378DC701">
        <w:tblPrEx>
          <w:tblCellMar>
            <w:top w:w="0" w:type="dxa"/>
            <w:left w:w="108" w:type="dxa"/>
            <w:bottom w:w="0" w:type="dxa"/>
            <w:right w:w="108" w:type="dxa"/>
          </w:tblCellMar>
        </w:tblPrEx>
        <w:trPr>
          <w:trHeight w:val="118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1AD75B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46329E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茶几4</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7479BA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7568" behindDoc="0" locked="0" layoutInCell="1" allowOverlap="1">
                  <wp:simplePos x="0" y="0"/>
                  <wp:positionH relativeFrom="column">
                    <wp:posOffset>169545</wp:posOffset>
                  </wp:positionH>
                  <wp:positionV relativeFrom="paragraph">
                    <wp:posOffset>87630</wp:posOffset>
                  </wp:positionV>
                  <wp:extent cx="642620" cy="526415"/>
                  <wp:effectExtent l="0" t="0" r="5080" b="6985"/>
                  <wp:wrapNone/>
                  <wp:docPr id="110" name="图片_88"/>
                  <wp:cNvGraphicFramePr/>
                  <a:graphic xmlns:a="http://schemas.openxmlformats.org/drawingml/2006/main">
                    <a:graphicData uri="http://schemas.openxmlformats.org/drawingml/2006/picture">
                      <pic:pic xmlns:pic="http://schemas.openxmlformats.org/drawingml/2006/picture">
                        <pic:nvPicPr>
                          <pic:cNvPr id="110" name="图片_88"/>
                          <pic:cNvPicPr/>
                        </pic:nvPicPr>
                        <pic:blipFill>
                          <a:blip r:embed="rId102"/>
                          <a:stretch>
                            <a:fillRect/>
                          </a:stretch>
                        </pic:blipFill>
                        <pic:spPr>
                          <a:xfrm>
                            <a:off x="0" y="0"/>
                            <a:ext cx="642620" cy="52641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D1DD59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φ600*500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261C19D">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1、台面为优质岩板。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2、下架为优质电镀金属。</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56572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002DCA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507BAEE">
        <w:tblPrEx>
          <w:tblCellMar>
            <w:top w:w="0" w:type="dxa"/>
            <w:left w:w="108" w:type="dxa"/>
            <w:bottom w:w="0" w:type="dxa"/>
            <w:right w:w="108" w:type="dxa"/>
          </w:tblCellMar>
        </w:tblPrEx>
        <w:trPr>
          <w:trHeight w:val="415"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7AD096C">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AC5B01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控制桌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A82DA7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8592" behindDoc="0" locked="0" layoutInCell="1" allowOverlap="1">
                  <wp:simplePos x="0" y="0"/>
                  <wp:positionH relativeFrom="column">
                    <wp:posOffset>133350</wp:posOffset>
                  </wp:positionH>
                  <wp:positionV relativeFrom="paragraph">
                    <wp:posOffset>292735</wp:posOffset>
                  </wp:positionV>
                  <wp:extent cx="871220" cy="622935"/>
                  <wp:effectExtent l="0" t="0" r="5080" b="5715"/>
                  <wp:wrapNone/>
                  <wp:docPr id="111" name="图片_80"/>
                  <wp:cNvGraphicFramePr/>
                  <a:graphic xmlns:a="http://schemas.openxmlformats.org/drawingml/2006/main">
                    <a:graphicData uri="http://schemas.openxmlformats.org/drawingml/2006/picture">
                      <pic:pic xmlns:pic="http://schemas.openxmlformats.org/drawingml/2006/picture">
                        <pic:nvPicPr>
                          <pic:cNvPr id="111" name="图片_80"/>
                          <pic:cNvPicPr/>
                        </pic:nvPicPr>
                        <pic:blipFill>
                          <a:blip r:embed="rId103"/>
                          <a:stretch>
                            <a:fillRect/>
                          </a:stretch>
                        </pic:blipFill>
                        <pic:spPr>
                          <a:xfrm>
                            <a:off x="0" y="0"/>
                            <a:ext cx="871220" cy="62293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9BBAB8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1800*800*800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2F646A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1、基材：采用刨花板。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3、封边：PVC封边条；厚度≥2mm。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4、功能：带走线功能。预留隐藏式走线槽，强弱电分离设计，带可掀走线面板，内部预留标准86线盒孔，电源系统符合3C认证。</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5、五金件：采用标准五金件。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6、下架：选用冷轧钢材，钢管壁厚≥1.5mm，表面粉末涂料静电喷涂处理。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7、台面采用中纤板防静电喷粉技术，具有耐高温，抗划伤特点。</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8、成品：各项技术指标符合GB/T 3325-2017《金属家具通用技术条件》规定的要求。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CFE55B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62C2A0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6D5FE4EA">
        <w:tblPrEx>
          <w:tblCellMar>
            <w:top w:w="0" w:type="dxa"/>
            <w:left w:w="108" w:type="dxa"/>
            <w:bottom w:w="0" w:type="dxa"/>
            <w:right w:w="108" w:type="dxa"/>
          </w:tblCellMar>
        </w:tblPrEx>
        <w:trPr>
          <w:trHeight w:val="160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E1B7F8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45B5AD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控制椅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8ACB2F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59616" behindDoc="0" locked="0" layoutInCell="1" allowOverlap="1">
                  <wp:simplePos x="0" y="0"/>
                  <wp:positionH relativeFrom="column">
                    <wp:posOffset>176530</wp:posOffset>
                  </wp:positionH>
                  <wp:positionV relativeFrom="paragraph">
                    <wp:posOffset>190500</wp:posOffset>
                  </wp:positionV>
                  <wp:extent cx="633730" cy="720725"/>
                  <wp:effectExtent l="0" t="0" r="13970" b="3175"/>
                  <wp:wrapNone/>
                  <wp:docPr id="112" name="图片_8_SpCnt_1"/>
                  <wp:cNvGraphicFramePr/>
                  <a:graphic xmlns:a="http://schemas.openxmlformats.org/drawingml/2006/main">
                    <a:graphicData uri="http://schemas.openxmlformats.org/drawingml/2006/picture">
                      <pic:pic xmlns:pic="http://schemas.openxmlformats.org/drawingml/2006/picture">
                        <pic:nvPicPr>
                          <pic:cNvPr id="112" name="图片_8_SpCnt_1"/>
                          <pic:cNvPicPr/>
                        </pic:nvPicPr>
                        <pic:blipFill>
                          <a:blip r:embed="rId104"/>
                          <a:stretch>
                            <a:fillRect/>
                          </a:stretch>
                        </pic:blipFill>
                        <pic:spPr>
                          <a:xfrm>
                            <a:off x="0" y="0"/>
                            <a:ext cx="633730" cy="72072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031212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640*740*1015</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B708BD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1、尼龙加玻纤背架+铝合金边条连接，可调节腰包。</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2、坐垫采用尼龙板+定型海绵承托，带前后滑动及尾部可调节上下高度</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3、配4D铝合金升降扶手，可左右拉伸，调节座宽。</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4、带四档锁定前后滑动，DONATI自负重底盘。</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5、65#沉口7公分进口黑色汽杆，≥∮350铝合金高脚，≥</w:t>
            </w:r>
            <w:r>
              <w:rPr>
                <w:rStyle w:val="301"/>
                <w:rFonts w:hint="eastAsia" w:ascii="仿宋_GB2312" w:hAnsi="仿宋_GB2312" w:eastAsia="仿宋_GB2312" w:cs="仿宋_GB2312"/>
                <w:color w:val="auto"/>
                <w:highlight w:val="none"/>
                <w:lang w:bidi="ar"/>
              </w:rPr>
              <w:t>φ</w:t>
            </w:r>
            <w:r>
              <w:rPr>
                <w:rFonts w:hint="eastAsia" w:ascii="仿宋_GB2312" w:hAnsi="仿宋_GB2312" w:eastAsia="仿宋_GB2312" w:cs="仿宋_GB2312"/>
                <w:color w:val="auto"/>
                <w:sz w:val="18"/>
                <w:szCs w:val="18"/>
                <w:highlight w:val="none"/>
                <w:lang w:bidi="ar"/>
              </w:rPr>
              <w:t>60MM PU黑色轮。</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D25A96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6CD531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0DF5DE98">
        <w:tblPrEx>
          <w:tblCellMar>
            <w:top w:w="0" w:type="dxa"/>
            <w:left w:w="108" w:type="dxa"/>
            <w:bottom w:w="0" w:type="dxa"/>
            <w:right w:w="108" w:type="dxa"/>
          </w:tblCellMar>
        </w:tblPrEx>
        <w:trPr>
          <w:trHeight w:val="183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66C8E4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331BD7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教师电脑桌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E9D6AA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0640" behindDoc="0" locked="0" layoutInCell="1" allowOverlap="1">
                  <wp:simplePos x="0" y="0"/>
                  <wp:positionH relativeFrom="column">
                    <wp:posOffset>242570</wp:posOffset>
                  </wp:positionH>
                  <wp:positionV relativeFrom="paragraph">
                    <wp:posOffset>223520</wp:posOffset>
                  </wp:positionV>
                  <wp:extent cx="553720" cy="770255"/>
                  <wp:effectExtent l="0" t="0" r="17780" b="10795"/>
                  <wp:wrapNone/>
                  <wp:docPr id="113" name="图片_50"/>
                  <wp:cNvGraphicFramePr/>
                  <a:graphic xmlns:a="http://schemas.openxmlformats.org/drawingml/2006/main">
                    <a:graphicData uri="http://schemas.openxmlformats.org/drawingml/2006/picture">
                      <pic:pic xmlns:pic="http://schemas.openxmlformats.org/drawingml/2006/picture">
                        <pic:nvPicPr>
                          <pic:cNvPr id="113" name="图片_50"/>
                          <pic:cNvPicPr/>
                        </pic:nvPicPr>
                        <pic:blipFill>
                          <a:blip r:embed="rId105"/>
                          <a:stretch>
                            <a:fillRect/>
                          </a:stretch>
                        </pic:blipFill>
                        <pic:spPr>
                          <a:xfrm>
                            <a:off x="0" y="0"/>
                            <a:ext cx="553720" cy="77025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B87356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1400*600*750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A893A2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5、成品工艺细节圆润，大圆角设计，适老化要求。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613D4C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0A3D55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724A33EC">
        <w:tblPrEx>
          <w:tblCellMar>
            <w:top w:w="0" w:type="dxa"/>
            <w:left w:w="108" w:type="dxa"/>
            <w:bottom w:w="0" w:type="dxa"/>
            <w:right w:w="108" w:type="dxa"/>
          </w:tblCellMar>
        </w:tblPrEx>
        <w:trPr>
          <w:trHeight w:val="190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1E22A5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9B8F0D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学员电脑桌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3FF4F6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1664" behindDoc="0" locked="0" layoutInCell="1" allowOverlap="1">
                  <wp:simplePos x="0" y="0"/>
                  <wp:positionH relativeFrom="column">
                    <wp:posOffset>92075</wp:posOffset>
                  </wp:positionH>
                  <wp:positionV relativeFrom="paragraph">
                    <wp:posOffset>358140</wp:posOffset>
                  </wp:positionV>
                  <wp:extent cx="831215" cy="584200"/>
                  <wp:effectExtent l="0" t="0" r="6985" b="6350"/>
                  <wp:wrapNone/>
                  <wp:docPr id="114" name="图片_51"/>
                  <wp:cNvGraphicFramePr/>
                  <a:graphic xmlns:a="http://schemas.openxmlformats.org/drawingml/2006/main">
                    <a:graphicData uri="http://schemas.openxmlformats.org/drawingml/2006/picture">
                      <pic:pic xmlns:pic="http://schemas.openxmlformats.org/drawingml/2006/picture">
                        <pic:nvPicPr>
                          <pic:cNvPr id="114" name="图片_51"/>
                          <pic:cNvPicPr/>
                        </pic:nvPicPr>
                        <pic:blipFill>
                          <a:blip r:embed="rId106"/>
                          <a:stretch>
                            <a:fillRect/>
                          </a:stretch>
                        </pic:blipFill>
                        <pic:spPr>
                          <a:xfrm>
                            <a:off x="0" y="0"/>
                            <a:ext cx="831215" cy="5842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B298EE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1000*500*750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E1CF72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5、成品工艺细节圆润，大圆角设计，适老化要求。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8DBF9C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84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62DB4A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24589BBC">
        <w:tblPrEx>
          <w:tblCellMar>
            <w:top w:w="0" w:type="dxa"/>
            <w:left w:w="108" w:type="dxa"/>
            <w:bottom w:w="0" w:type="dxa"/>
            <w:right w:w="108" w:type="dxa"/>
          </w:tblCellMar>
        </w:tblPrEx>
        <w:trPr>
          <w:trHeight w:val="169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CE7129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E8EC3E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学员椅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79543A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2688" behindDoc="0" locked="0" layoutInCell="1" allowOverlap="1">
                  <wp:simplePos x="0" y="0"/>
                  <wp:positionH relativeFrom="column">
                    <wp:posOffset>281940</wp:posOffset>
                  </wp:positionH>
                  <wp:positionV relativeFrom="paragraph">
                    <wp:posOffset>207645</wp:posOffset>
                  </wp:positionV>
                  <wp:extent cx="537210" cy="700405"/>
                  <wp:effectExtent l="0" t="0" r="15240" b="4445"/>
                  <wp:wrapNone/>
                  <wp:docPr id="115" name="图片_105_SpCnt_2"/>
                  <wp:cNvGraphicFramePr/>
                  <a:graphic xmlns:a="http://schemas.openxmlformats.org/drawingml/2006/main">
                    <a:graphicData uri="http://schemas.openxmlformats.org/drawingml/2006/picture">
                      <pic:pic xmlns:pic="http://schemas.openxmlformats.org/drawingml/2006/picture">
                        <pic:nvPicPr>
                          <pic:cNvPr id="115" name="图片_105_SpCnt_2"/>
                          <pic:cNvPicPr/>
                        </pic:nvPicPr>
                        <pic:blipFill>
                          <a:blip r:embed="rId107"/>
                          <a:stretch>
                            <a:fillRect/>
                          </a:stretch>
                        </pic:blipFill>
                        <pic:spPr>
                          <a:xfrm>
                            <a:off x="0" y="0"/>
                            <a:ext cx="537210" cy="70040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BEC5AA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470*530*770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63B781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1、基材：优质榉木实木，干燥结实。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D36A9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304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94F1CF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3FE5AEFE">
        <w:tblPrEx>
          <w:tblCellMar>
            <w:top w:w="0" w:type="dxa"/>
            <w:left w:w="108" w:type="dxa"/>
            <w:bottom w:w="0" w:type="dxa"/>
            <w:right w:w="108" w:type="dxa"/>
          </w:tblCellMar>
        </w:tblPrEx>
        <w:trPr>
          <w:trHeight w:val="169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C70549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099561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演讲台</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83335B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3712" behindDoc="0" locked="0" layoutInCell="1" allowOverlap="1">
                  <wp:simplePos x="0" y="0"/>
                  <wp:positionH relativeFrom="column">
                    <wp:posOffset>336550</wp:posOffset>
                  </wp:positionH>
                  <wp:positionV relativeFrom="paragraph">
                    <wp:posOffset>298450</wp:posOffset>
                  </wp:positionV>
                  <wp:extent cx="444500" cy="572135"/>
                  <wp:effectExtent l="0" t="0" r="12700" b="18415"/>
                  <wp:wrapNone/>
                  <wp:docPr id="116" name="图片_42"/>
                  <wp:cNvGraphicFramePr/>
                  <a:graphic xmlns:a="http://schemas.openxmlformats.org/drawingml/2006/main">
                    <a:graphicData uri="http://schemas.openxmlformats.org/drawingml/2006/picture">
                      <pic:pic xmlns:pic="http://schemas.openxmlformats.org/drawingml/2006/picture">
                        <pic:nvPicPr>
                          <pic:cNvPr id="116" name="图片_42"/>
                          <pic:cNvPicPr/>
                        </pic:nvPicPr>
                        <pic:blipFill>
                          <a:blip r:embed="rId108"/>
                          <a:stretch>
                            <a:fillRect/>
                          </a:stretch>
                        </pic:blipFill>
                        <pic:spPr>
                          <a:xfrm>
                            <a:off x="0" y="0"/>
                            <a:ext cx="444500" cy="57213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94737D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450*400*1100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4E2BDAB">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2、饰面与封边：天然实木皮，厚度≥0.6mm；实木皮或实木条封边，颜色均匀平整面。</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3、油漆工艺：采用环保水性漆。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4、成品工艺细节圆润，适老化要求。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71058F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CD191C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418C5EE1">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3E9FD11">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A636B3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长条桌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ECF535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4736" behindDoc="0" locked="0" layoutInCell="1" allowOverlap="1">
                  <wp:simplePos x="0" y="0"/>
                  <wp:positionH relativeFrom="column">
                    <wp:posOffset>147955</wp:posOffset>
                  </wp:positionH>
                  <wp:positionV relativeFrom="paragraph">
                    <wp:posOffset>95250</wp:posOffset>
                  </wp:positionV>
                  <wp:extent cx="835025" cy="675640"/>
                  <wp:effectExtent l="0" t="0" r="3175" b="10160"/>
                  <wp:wrapNone/>
                  <wp:docPr id="117" name="图片_67"/>
                  <wp:cNvGraphicFramePr/>
                  <a:graphic xmlns:a="http://schemas.openxmlformats.org/drawingml/2006/main">
                    <a:graphicData uri="http://schemas.openxmlformats.org/drawingml/2006/picture">
                      <pic:pic xmlns:pic="http://schemas.openxmlformats.org/drawingml/2006/picture">
                        <pic:nvPicPr>
                          <pic:cNvPr id="117" name="图片_67"/>
                          <pic:cNvPicPr/>
                        </pic:nvPicPr>
                        <pic:blipFill>
                          <a:blip r:embed="rId109"/>
                          <a:stretch>
                            <a:fillRect/>
                          </a:stretch>
                        </pic:blipFill>
                        <pic:spPr>
                          <a:xfrm>
                            <a:off x="0" y="0"/>
                            <a:ext cx="835025" cy="67564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8C8537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3600*1400*760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0EE0A1E">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4B484E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4E6FF1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02F600D3">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43CBE23">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7D7B87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长条椅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3D2527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5760" behindDoc="0" locked="0" layoutInCell="1" allowOverlap="1">
                  <wp:simplePos x="0" y="0"/>
                  <wp:positionH relativeFrom="column">
                    <wp:posOffset>308610</wp:posOffset>
                  </wp:positionH>
                  <wp:positionV relativeFrom="paragraph">
                    <wp:posOffset>121285</wp:posOffset>
                  </wp:positionV>
                  <wp:extent cx="570230" cy="640715"/>
                  <wp:effectExtent l="0" t="0" r="1270" b="6985"/>
                  <wp:wrapNone/>
                  <wp:docPr id="118" name="图片_108"/>
                  <wp:cNvGraphicFramePr/>
                  <a:graphic xmlns:a="http://schemas.openxmlformats.org/drawingml/2006/main">
                    <a:graphicData uri="http://schemas.openxmlformats.org/drawingml/2006/picture">
                      <pic:pic xmlns:pic="http://schemas.openxmlformats.org/drawingml/2006/picture">
                        <pic:nvPicPr>
                          <pic:cNvPr id="118" name="图片_108"/>
                          <pic:cNvPicPr/>
                        </pic:nvPicPr>
                        <pic:blipFill>
                          <a:blip r:embed="rId110"/>
                          <a:stretch>
                            <a:fillRect/>
                          </a:stretch>
                        </pic:blipFill>
                        <pic:spPr>
                          <a:xfrm>
                            <a:off x="0" y="0"/>
                            <a:ext cx="570230" cy="64071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22EABD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520*580*690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51C74C30">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3、结构：采用榫卯结构，细节圆润。</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5F9F11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D3EEB5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6437B865">
        <w:tblPrEx>
          <w:tblCellMar>
            <w:top w:w="0" w:type="dxa"/>
            <w:left w:w="108" w:type="dxa"/>
            <w:bottom w:w="0" w:type="dxa"/>
            <w:right w:w="108" w:type="dxa"/>
          </w:tblCellMar>
        </w:tblPrEx>
        <w:trPr>
          <w:trHeight w:val="190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1D3EB37">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41F5D9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诊疗床</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D24064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6784" behindDoc="0" locked="0" layoutInCell="1" allowOverlap="1">
                  <wp:simplePos x="0" y="0"/>
                  <wp:positionH relativeFrom="column">
                    <wp:posOffset>212090</wp:posOffset>
                  </wp:positionH>
                  <wp:positionV relativeFrom="paragraph">
                    <wp:posOffset>296545</wp:posOffset>
                  </wp:positionV>
                  <wp:extent cx="723900" cy="765810"/>
                  <wp:effectExtent l="0" t="0" r="0" b="15240"/>
                  <wp:wrapNone/>
                  <wp:docPr id="119" name="图片_44"/>
                  <wp:cNvGraphicFramePr/>
                  <a:graphic xmlns:a="http://schemas.openxmlformats.org/drawingml/2006/main">
                    <a:graphicData uri="http://schemas.openxmlformats.org/drawingml/2006/picture">
                      <pic:pic xmlns:pic="http://schemas.openxmlformats.org/drawingml/2006/picture">
                        <pic:nvPicPr>
                          <pic:cNvPr id="119" name="图片_44"/>
                          <pic:cNvPicPr/>
                        </pic:nvPicPr>
                        <pic:blipFill>
                          <a:blip r:embed="rId111"/>
                          <a:stretch>
                            <a:fillRect/>
                          </a:stretch>
                        </pic:blipFill>
                        <pic:spPr>
                          <a:xfrm>
                            <a:off x="0" y="0"/>
                            <a:ext cx="723900" cy="76581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AA4D69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900*2000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6A3523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4、五金件：优质阻尼三节滚珠滑轨、铰链。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5、配置：含拉帘</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6AEFD2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2B7FB1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1BC1045F">
        <w:tblPrEx>
          <w:tblCellMar>
            <w:top w:w="0" w:type="dxa"/>
            <w:left w:w="108" w:type="dxa"/>
            <w:bottom w:w="0" w:type="dxa"/>
            <w:right w:w="108" w:type="dxa"/>
          </w:tblCellMar>
        </w:tblPrEx>
        <w:trPr>
          <w:trHeight w:val="172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398137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9B7855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诊疗桌</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D406D6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7808" behindDoc="0" locked="0" layoutInCell="1" allowOverlap="1">
                  <wp:simplePos x="0" y="0"/>
                  <wp:positionH relativeFrom="column">
                    <wp:posOffset>148590</wp:posOffset>
                  </wp:positionH>
                  <wp:positionV relativeFrom="paragraph">
                    <wp:posOffset>176530</wp:posOffset>
                  </wp:positionV>
                  <wp:extent cx="813435" cy="787400"/>
                  <wp:effectExtent l="0" t="0" r="5715" b="12700"/>
                  <wp:wrapNone/>
                  <wp:docPr id="120" name="图片_45"/>
                  <wp:cNvGraphicFramePr/>
                  <a:graphic xmlns:a="http://schemas.openxmlformats.org/drawingml/2006/main">
                    <a:graphicData uri="http://schemas.openxmlformats.org/drawingml/2006/picture">
                      <pic:pic xmlns:pic="http://schemas.openxmlformats.org/drawingml/2006/picture">
                        <pic:nvPicPr>
                          <pic:cNvPr id="120" name="图片_45"/>
                          <pic:cNvPicPr/>
                        </pic:nvPicPr>
                        <pic:blipFill>
                          <a:blip r:embed="rId112"/>
                          <a:stretch>
                            <a:fillRect/>
                          </a:stretch>
                        </pic:blipFill>
                        <pic:spPr>
                          <a:xfrm>
                            <a:off x="0" y="0"/>
                            <a:ext cx="813435" cy="7874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1DAEFC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1400*600*750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03ACA4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4、五金件：优质阻尼三节滚珠滑轨、铰链。</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465532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FE0518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5509F3EC">
        <w:tblPrEx>
          <w:tblCellMar>
            <w:top w:w="0" w:type="dxa"/>
            <w:left w:w="108" w:type="dxa"/>
            <w:bottom w:w="0" w:type="dxa"/>
            <w:right w:w="108" w:type="dxa"/>
          </w:tblCellMar>
        </w:tblPrEx>
        <w:trPr>
          <w:trHeight w:val="148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2BE26047">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E4468E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候诊椅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510CC3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8832" behindDoc="0" locked="0" layoutInCell="1" allowOverlap="1">
                  <wp:simplePos x="0" y="0"/>
                  <wp:positionH relativeFrom="column">
                    <wp:posOffset>267335</wp:posOffset>
                  </wp:positionH>
                  <wp:positionV relativeFrom="paragraph">
                    <wp:posOffset>149225</wp:posOffset>
                  </wp:positionV>
                  <wp:extent cx="566420" cy="685800"/>
                  <wp:effectExtent l="0" t="0" r="5080" b="0"/>
                  <wp:wrapNone/>
                  <wp:docPr id="121" name="图片_106"/>
                  <wp:cNvGraphicFramePr/>
                  <a:graphic xmlns:a="http://schemas.openxmlformats.org/drawingml/2006/main">
                    <a:graphicData uri="http://schemas.openxmlformats.org/drawingml/2006/picture">
                      <pic:pic xmlns:pic="http://schemas.openxmlformats.org/drawingml/2006/picture">
                        <pic:nvPicPr>
                          <pic:cNvPr id="121" name="图片_106"/>
                          <pic:cNvPicPr/>
                        </pic:nvPicPr>
                        <pic:blipFill>
                          <a:blip r:embed="rId113"/>
                          <a:stretch>
                            <a:fillRect/>
                          </a:stretch>
                        </pic:blipFill>
                        <pic:spPr>
                          <a:xfrm>
                            <a:off x="0" y="0"/>
                            <a:ext cx="566420" cy="6858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D781F9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常规</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C636CC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Style w:val="297"/>
                <w:rFonts w:hint="eastAsia" w:ascii="仿宋_GB2312" w:hAnsi="仿宋_GB2312" w:eastAsia="仿宋_GB2312" w:cs="仿宋_GB2312"/>
                <w:color w:val="auto"/>
                <w:highlight w:val="none"/>
                <w:lang w:bidi="ar"/>
              </w:rPr>
              <w:t>1、背胶板采用优质PA+GF多元素复合材料经模具注塑成型。</w:t>
            </w:r>
            <w:r>
              <w:rPr>
                <w:rStyle w:val="297"/>
                <w:rFonts w:hint="eastAsia" w:ascii="仿宋_GB2312" w:hAnsi="仿宋_GB2312" w:eastAsia="仿宋_GB2312" w:cs="仿宋_GB2312"/>
                <w:color w:val="auto"/>
                <w:highlight w:val="none"/>
                <w:lang w:bidi="ar"/>
              </w:rPr>
              <w:br w:type="textWrapping"/>
            </w:r>
            <w:r>
              <w:rPr>
                <w:rStyle w:val="297"/>
                <w:rFonts w:hint="eastAsia" w:ascii="仿宋_GB2312" w:hAnsi="仿宋_GB2312" w:eastAsia="仿宋_GB2312" w:cs="仿宋_GB2312"/>
                <w:color w:val="auto"/>
                <w:highlight w:val="none"/>
                <w:lang w:bidi="ar"/>
              </w:rPr>
              <w:t>2、座胶板采用优质PA+GF多元素复合材料经模具注塑成型。</w:t>
            </w:r>
            <w:r>
              <w:rPr>
                <w:rStyle w:val="297"/>
                <w:rFonts w:hint="eastAsia" w:ascii="仿宋_GB2312" w:hAnsi="仿宋_GB2312" w:eastAsia="仿宋_GB2312" w:cs="仿宋_GB2312"/>
                <w:color w:val="auto"/>
                <w:highlight w:val="none"/>
                <w:lang w:bidi="ar"/>
              </w:rPr>
              <w:br w:type="textWrapping"/>
            </w:r>
            <w:r>
              <w:rPr>
                <w:rStyle w:val="297"/>
                <w:rFonts w:hint="eastAsia" w:ascii="仿宋_GB2312" w:hAnsi="仿宋_GB2312" w:eastAsia="仿宋_GB2312" w:cs="仿宋_GB2312"/>
                <w:color w:val="auto"/>
                <w:highlight w:val="none"/>
                <w:lang w:bidi="ar"/>
              </w:rPr>
              <w:t>3、整款产品钢架采用优质冷轧钢管（</w:t>
            </w:r>
            <w:r>
              <w:rPr>
                <w:rFonts w:hint="eastAsia" w:ascii="仿宋_GB2312" w:hAnsi="仿宋_GB2312" w:eastAsia="仿宋_GB2312" w:cs="仿宋_GB2312"/>
                <w:color w:val="auto"/>
                <w:sz w:val="18"/>
                <w:szCs w:val="18"/>
                <w:highlight w:val="none"/>
                <w:lang w:bidi="ar"/>
              </w:rPr>
              <w:t>φ</w:t>
            </w:r>
            <w:r>
              <w:rPr>
                <w:rStyle w:val="297"/>
                <w:rFonts w:hint="eastAsia" w:ascii="仿宋_GB2312" w:hAnsi="仿宋_GB2312" w:eastAsia="仿宋_GB2312" w:cs="仿宋_GB2312"/>
                <w:color w:val="auto"/>
                <w:highlight w:val="none"/>
                <w:lang w:bidi="ar"/>
              </w:rPr>
              <w:t>22xT1.5mm）经模具冲压焊接组合成型，牢靠稳固，表面经防静电喷涂处理。</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9AAAA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D275A3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6F43DF8B">
        <w:tblPrEx>
          <w:tblCellMar>
            <w:top w:w="0" w:type="dxa"/>
            <w:left w:w="108" w:type="dxa"/>
            <w:bottom w:w="0" w:type="dxa"/>
            <w:right w:w="108" w:type="dxa"/>
          </w:tblCellMar>
        </w:tblPrEx>
        <w:trPr>
          <w:trHeight w:val="13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13EA55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68BC40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画架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E2D40E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69856" behindDoc="0" locked="0" layoutInCell="1" allowOverlap="1">
                  <wp:simplePos x="0" y="0"/>
                  <wp:positionH relativeFrom="column">
                    <wp:posOffset>330200</wp:posOffset>
                  </wp:positionH>
                  <wp:positionV relativeFrom="paragraph">
                    <wp:posOffset>57150</wp:posOffset>
                  </wp:positionV>
                  <wp:extent cx="352425" cy="762000"/>
                  <wp:effectExtent l="0" t="0" r="9525" b="0"/>
                  <wp:wrapNone/>
                  <wp:docPr id="40" name="图片_65"/>
                  <wp:cNvGraphicFramePr/>
                  <a:graphic xmlns:a="http://schemas.openxmlformats.org/drawingml/2006/main">
                    <a:graphicData uri="http://schemas.openxmlformats.org/drawingml/2006/picture">
                      <pic:pic xmlns:pic="http://schemas.openxmlformats.org/drawingml/2006/picture">
                        <pic:nvPicPr>
                          <pic:cNvPr id="40" name="图片_65"/>
                          <pic:cNvPicPr/>
                        </pic:nvPicPr>
                        <pic:blipFill>
                          <a:blip r:embed="rId114"/>
                          <a:stretch>
                            <a:fillRect/>
                          </a:stretch>
                        </pic:blipFill>
                        <pic:spPr>
                          <a:xfrm>
                            <a:off x="0" y="0"/>
                            <a:ext cx="352425" cy="76200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0B4FAB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440*440*(1450-1900)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448DA8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全榉木材质；带置物抽屉。</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B49B6D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7DDA547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25470065">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D43328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7E3F0D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开放式书架</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4C7F4E9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0880" behindDoc="0" locked="0" layoutInCell="1" allowOverlap="1">
                  <wp:simplePos x="0" y="0"/>
                  <wp:positionH relativeFrom="column">
                    <wp:posOffset>204470</wp:posOffset>
                  </wp:positionH>
                  <wp:positionV relativeFrom="paragraph">
                    <wp:posOffset>115570</wp:posOffset>
                  </wp:positionV>
                  <wp:extent cx="690245" cy="646430"/>
                  <wp:effectExtent l="0" t="0" r="14605" b="1270"/>
                  <wp:wrapNone/>
                  <wp:docPr id="41" name="图片_46"/>
                  <wp:cNvGraphicFramePr/>
                  <a:graphic xmlns:a="http://schemas.openxmlformats.org/drawingml/2006/main">
                    <a:graphicData uri="http://schemas.openxmlformats.org/drawingml/2006/picture">
                      <pic:pic xmlns:pic="http://schemas.openxmlformats.org/drawingml/2006/picture">
                        <pic:nvPicPr>
                          <pic:cNvPr id="41" name="图片_46"/>
                          <pic:cNvPicPr/>
                        </pic:nvPicPr>
                        <pic:blipFill>
                          <a:blip r:embed="rId115"/>
                          <a:stretch>
                            <a:fillRect/>
                          </a:stretch>
                        </pic:blipFill>
                        <pic:spPr>
                          <a:xfrm>
                            <a:off x="0" y="0"/>
                            <a:ext cx="690245" cy="64643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A7B5E8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900*500*2150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8FB53CB">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1.架体材料：底盘厚度≥2.0㎜,立板、顶板、底板、搁板厚度≥1.0㎜，中间档板≥0.8㎜。采用一级冷轧钢板，经过酸洗磷化处理，静电喷塑，耐磨防锈，防静电，颜色持久，表面硬度≥2H。</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2.外装饰护板：采用E1级优质环保密度板，≥0.6㎜厚红橡木木皮饰面，油漆采用均衡油饰；中部装饰条≥100mm宽，下凹≥5mm。</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308ADF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BE4D55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个</w:t>
            </w:r>
          </w:p>
        </w:tc>
      </w:tr>
      <w:tr w14:paraId="1C0F7D7A">
        <w:tblPrEx>
          <w:tblCellMar>
            <w:top w:w="0" w:type="dxa"/>
            <w:left w:w="108" w:type="dxa"/>
            <w:bottom w:w="0" w:type="dxa"/>
            <w:right w:w="108" w:type="dxa"/>
          </w:tblCellMar>
        </w:tblPrEx>
        <w:trPr>
          <w:trHeight w:val="160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0AA84A9">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CD3F73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移动桌</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（体育馆）</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738208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1904" behindDoc="0" locked="0" layoutInCell="1" allowOverlap="1">
                  <wp:simplePos x="0" y="0"/>
                  <wp:positionH relativeFrom="column">
                    <wp:posOffset>62865</wp:posOffset>
                  </wp:positionH>
                  <wp:positionV relativeFrom="paragraph">
                    <wp:posOffset>303530</wp:posOffset>
                  </wp:positionV>
                  <wp:extent cx="928370" cy="443230"/>
                  <wp:effectExtent l="0" t="0" r="5080" b="13970"/>
                  <wp:wrapNone/>
                  <wp:docPr id="42" name="图片_55"/>
                  <wp:cNvGraphicFramePr/>
                  <a:graphic xmlns:a="http://schemas.openxmlformats.org/drawingml/2006/main">
                    <a:graphicData uri="http://schemas.openxmlformats.org/drawingml/2006/picture">
                      <pic:pic xmlns:pic="http://schemas.openxmlformats.org/drawingml/2006/picture">
                        <pic:nvPicPr>
                          <pic:cNvPr id="42" name="图片_55"/>
                          <pic:cNvPicPr/>
                        </pic:nvPicPr>
                        <pic:blipFill>
                          <a:blip r:embed="rId116"/>
                          <a:stretch>
                            <a:fillRect/>
                          </a:stretch>
                        </pic:blipFill>
                        <pic:spPr>
                          <a:xfrm>
                            <a:off x="0" y="0"/>
                            <a:ext cx="928370" cy="44323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48DE41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1400*700*750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7B44EF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4、五金件：优质阻尼三节滚珠滑轨、铰链。</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5761C9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B485F76">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1EDC433B">
        <w:tblPrEx>
          <w:tblCellMar>
            <w:top w:w="0" w:type="dxa"/>
            <w:left w:w="108" w:type="dxa"/>
            <w:bottom w:w="0" w:type="dxa"/>
            <w:right w:w="108" w:type="dxa"/>
          </w:tblCellMar>
        </w:tblPrEx>
        <w:trPr>
          <w:trHeight w:val="139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07FFB96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1EE80C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休闲桌3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2737A2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2928" behindDoc="0" locked="0" layoutInCell="1" allowOverlap="1">
                  <wp:simplePos x="0" y="0"/>
                  <wp:positionH relativeFrom="column">
                    <wp:posOffset>110490</wp:posOffset>
                  </wp:positionH>
                  <wp:positionV relativeFrom="paragraph">
                    <wp:posOffset>185420</wp:posOffset>
                  </wp:positionV>
                  <wp:extent cx="820420" cy="560705"/>
                  <wp:effectExtent l="0" t="0" r="17780" b="10795"/>
                  <wp:wrapNone/>
                  <wp:docPr id="43" name="图片_107"/>
                  <wp:cNvGraphicFramePr/>
                  <a:graphic xmlns:a="http://schemas.openxmlformats.org/drawingml/2006/main">
                    <a:graphicData uri="http://schemas.openxmlformats.org/drawingml/2006/picture">
                      <pic:pic xmlns:pic="http://schemas.openxmlformats.org/drawingml/2006/picture">
                        <pic:nvPicPr>
                          <pic:cNvPr id="43" name="图片_107"/>
                          <pic:cNvPicPr/>
                        </pic:nvPicPr>
                        <pic:blipFill>
                          <a:blip r:embed="rId117"/>
                          <a:stretch>
                            <a:fillRect/>
                          </a:stretch>
                        </pic:blipFill>
                        <pic:spPr>
                          <a:xfrm>
                            <a:off x="0" y="0"/>
                            <a:ext cx="820420" cy="56070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575B30A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φ</w:t>
            </w:r>
            <w:r>
              <w:rPr>
                <w:rStyle w:val="297"/>
                <w:rFonts w:hint="eastAsia" w:ascii="仿宋_GB2312" w:hAnsi="仿宋_GB2312" w:eastAsia="仿宋_GB2312" w:cs="仿宋_GB2312"/>
                <w:color w:val="auto"/>
                <w:highlight w:val="none"/>
                <w:lang w:bidi="ar"/>
              </w:rPr>
              <w:t>800*750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BE4BEC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3、下架：选用冷轧钢材，钢管壁厚≥1mm ，经脱脂、水洗、酸洗、水洗中和、表调、磷化、干燥等工艺处理，表面粉末涂料静电喷涂处理。</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CCE30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9</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CE1604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张</w:t>
            </w:r>
          </w:p>
        </w:tc>
      </w:tr>
      <w:tr w14:paraId="164C6256">
        <w:tblPrEx>
          <w:tblCellMar>
            <w:top w:w="0" w:type="dxa"/>
            <w:left w:w="108" w:type="dxa"/>
            <w:bottom w:w="0" w:type="dxa"/>
            <w:right w:w="108" w:type="dxa"/>
          </w:tblCellMar>
        </w:tblPrEx>
        <w:trPr>
          <w:trHeight w:val="166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66E0E70">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3C935C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休闲椅3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BE37A3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3952" behindDoc="0" locked="0" layoutInCell="1" allowOverlap="1">
                  <wp:simplePos x="0" y="0"/>
                  <wp:positionH relativeFrom="column">
                    <wp:posOffset>204470</wp:posOffset>
                  </wp:positionH>
                  <wp:positionV relativeFrom="paragraph">
                    <wp:posOffset>193040</wp:posOffset>
                  </wp:positionV>
                  <wp:extent cx="613410" cy="728980"/>
                  <wp:effectExtent l="0" t="0" r="15240" b="13970"/>
                  <wp:wrapNone/>
                  <wp:docPr id="44" name="图片_56"/>
                  <wp:cNvGraphicFramePr/>
                  <a:graphic xmlns:a="http://schemas.openxmlformats.org/drawingml/2006/main">
                    <a:graphicData uri="http://schemas.openxmlformats.org/drawingml/2006/picture">
                      <pic:pic xmlns:pic="http://schemas.openxmlformats.org/drawingml/2006/picture">
                        <pic:nvPicPr>
                          <pic:cNvPr id="44" name="图片_56"/>
                          <pic:cNvPicPr/>
                        </pic:nvPicPr>
                        <pic:blipFill>
                          <a:blip r:embed="rId118"/>
                          <a:stretch>
                            <a:fillRect/>
                          </a:stretch>
                        </pic:blipFill>
                        <pic:spPr>
                          <a:xfrm>
                            <a:off x="0" y="0"/>
                            <a:ext cx="613410" cy="72898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2D5F1E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560*540*850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85C25D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 xml:space="preserve">1、基材：优质橡木实木，干燥结实 。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 xml:space="preserve">2、油漆工艺：采用环保水性漆。                                     </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3、椅座：覆面材料为PU皮，厚度≥0.9mm；应符合HJ507-2009的要求。海绵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4、结构：采用榫卯结构，细节圆润，适老化要求。</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896F3F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36</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57232F59">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把</w:t>
            </w:r>
          </w:p>
        </w:tc>
      </w:tr>
      <w:tr w14:paraId="2E4FD3AB">
        <w:tblPrEx>
          <w:tblCellMar>
            <w:top w:w="0" w:type="dxa"/>
            <w:left w:w="108" w:type="dxa"/>
            <w:bottom w:w="0" w:type="dxa"/>
            <w:right w:w="108" w:type="dxa"/>
          </w:tblCellMar>
        </w:tblPrEx>
        <w:trPr>
          <w:trHeight w:val="253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14ED9C7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8B3251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公区沙发组合1</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1#大堂</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976E000">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4976" behindDoc="0" locked="0" layoutInCell="1" allowOverlap="1">
                  <wp:simplePos x="0" y="0"/>
                  <wp:positionH relativeFrom="column">
                    <wp:posOffset>67310</wp:posOffset>
                  </wp:positionH>
                  <wp:positionV relativeFrom="paragraph">
                    <wp:posOffset>768350</wp:posOffset>
                  </wp:positionV>
                  <wp:extent cx="921385" cy="466725"/>
                  <wp:effectExtent l="0" t="0" r="12065" b="9525"/>
                  <wp:wrapNone/>
                  <wp:docPr id="45" name="图片_54"/>
                  <wp:cNvGraphicFramePr/>
                  <a:graphic xmlns:a="http://schemas.openxmlformats.org/drawingml/2006/main">
                    <a:graphicData uri="http://schemas.openxmlformats.org/drawingml/2006/picture">
                      <pic:pic xmlns:pic="http://schemas.openxmlformats.org/drawingml/2006/picture">
                        <pic:nvPicPr>
                          <pic:cNvPr id="45" name="图片_54"/>
                          <pic:cNvPicPr/>
                        </pic:nvPicPr>
                        <pic:blipFill>
                          <a:blip r:embed="rId119"/>
                          <a:stretch>
                            <a:fillRect/>
                          </a:stretch>
                        </pic:blipFill>
                        <pic:spPr>
                          <a:xfrm>
                            <a:off x="0" y="0"/>
                            <a:ext cx="921385" cy="46672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0CC8D1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异形沙发+茶几（2个）+休闲椅</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沙发：</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左一：1695*1190*815</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中间：1630*985*815</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右一：1855*890*815</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茶几1：500*500*500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茶几1：700*700*410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休闲椅：520*620*765</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BACBCA4">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1、覆面材料：采用优质布艺。</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3、内架：采用榫卯结构，材料为落叶松。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4、下脚：采用喷塑粉五金脚，附着力≥1级，耐冲击强度≥50mm（GB/T 3325-2017），耐碱性，耐酸性，耐沸水性良好。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75B848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8C412C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套</w:t>
            </w:r>
          </w:p>
        </w:tc>
      </w:tr>
      <w:tr w14:paraId="648D8599">
        <w:tblPrEx>
          <w:tblCellMar>
            <w:top w:w="0" w:type="dxa"/>
            <w:left w:w="108" w:type="dxa"/>
            <w:bottom w:w="0" w:type="dxa"/>
            <w:right w:w="108" w:type="dxa"/>
          </w:tblCellMar>
        </w:tblPrEx>
        <w:trPr>
          <w:trHeight w:val="1902"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06C081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772E8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公区沙发组合2</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2#一楼门厅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AC87E6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6000" behindDoc="0" locked="0" layoutInCell="1" allowOverlap="1">
                  <wp:simplePos x="0" y="0"/>
                  <wp:positionH relativeFrom="column">
                    <wp:posOffset>109220</wp:posOffset>
                  </wp:positionH>
                  <wp:positionV relativeFrom="paragraph">
                    <wp:posOffset>334645</wp:posOffset>
                  </wp:positionV>
                  <wp:extent cx="898525" cy="591820"/>
                  <wp:effectExtent l="0" t="0" r="15875" b="17780"/>
                  <wp:wrapNone/>
                  <wp:docPr id="46" name="图片_57"/>
                  <wp:cNvGraphicFramePr/>
                  <a:graphic xmlns:a="http://schemas.openxmlformats.org/drawingml/2006/main">
                    <a:graphicData uri="http://schemas.openxmlformats.org/drawingml/2006/picture">
                      <pic:pic xmlns:pic="http://schemas.openxmlformats.org/drawingml/2006/picture">
                        <pic:nvPicPr>
                          <pic:cNvPr id="46" name="图片_57"/>
                          <pic:cNvPicPr/>
                        </pic:nvPicPr>
                        <pic:blipFill>
                          <a:blip r:embed="rId120"/>
                          <a:stretch>
                            <a:fillRect/>
                          </a:stretch>
                        </pic:blipFill>
                        <pic:spPr>
                          <a:xfrm>
                            <a:off x="0" y="0"/>
                            <a:ext cx="898525" cy="5918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1E416C2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异形沙发+坐墩（2个）+茶几+边几</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沙发：</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φ4730*2720*420/720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坐墩：380*380*420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茶几：φ600*720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边几：φ400*510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67C213F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1、覆面材料：采用优质布艺。</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3、内架：采用榫卯结构，材料为落叶松。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4、下脚：采用喷塑粉五金脚，附着力≥1级，耐冲击强度≥50mm（GB/T 3325-2017），耐碱性，耐酸性，耐沸水性良好。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7C632C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A9153E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套</w:t>
            </w:r>
          </w:p>
        </w:tc>
      </w:tr>
      <w:tr w14:paraId="648CBC76">
        <w:tblPrEx>
          <w:tblCellMar>
            <w:top w:w="0" w:type="dxa"/>
            <w:left w:w="108" w:type="dxa"/>
            <w:bottom w:w="0" w:type="dxa"/>
            <w:right w:w="108" w:type="dxa"/>
          </w:tblCellMar>
        </w:tblPrEx>
        <w:trPr>
          <w:trHeight w:val="169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B9A9ADD">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02C76A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公区沙发组合3</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4#三楼休闲区域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219DE4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7024" behindDoc="0" locked="0" layoutInCell="1" allowOverlap="1">
                  <wp:simplePos x="0" y="0"/>
                  <wp:positionH relativeFrom="column">
                    <wp:posOffset>116840</wp:posOffset>
                  </wp:positionH>
                  <wp:positionV relativeFrom="paragraph">
                    <wp:posOffset>387350</wp:posOffset>
                  </wp:positionV>
                  <wp:extent cx="852170" cy="420370"/>
                  <wp:effectExtent l="0" t="0" r="5080" b="17780"/>
                  <wp:wrapNone/>
                  <wp:docPr id="47" name="图片_58"/>
                  <wp:cNvGraphicFramePr/>
                  <a:graphic xmlns:a="http://schemas.openxmlformats.org/drawingml/2006/main">
                    <a:graphicData uri="http://schemas.openxmlformats.org/drawingml/2006/picture">
                      <pic:pic xmlns:pic="http://schemas.openxmlformats.org/drawingml/2006/picture">
                        <pic:nvPicPr>
                          <pic:cNvPr id="47" name="图片_58"/>
                          <pic:cNvPicPr/>
                        </pic:nvPicPr>
                        <pic:blipFill>
                          <a:blip r:embed="rId121"/>
                          <a:stretch>
                            <a:fillRect/>
                          </a:stretch>
                        </pic:blipFill>
                        <pic:spPr>
                          <a:xfrm>
                            <a:off x="0" y="0"/>
                            <a:ext cx="852170" cy="42037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6771337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异形沙发+坐墩（3个）+边几</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沙发：3540*3360*430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坐墩1：470*470*420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坐墩2：400*400*420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边几：φ400*510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1C3163A">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1、覆面材料：采用优质布艺。</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3、内架：采用榫卯结构，材料为落叶松。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4、下脚：采用喷塑粉五金脚，附着力≥1级，耐冲击强度≥50mm（GB/T 3325-2017），耐碱性，耐酸性，耐沸水性良好。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15F08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3BC6ED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套</w:t>
            </w:r>
          </w:p>
        </w:tc>
      </w:tr>
      <w:tr w14:paraId="1A844D8A">
        <w:tblPrEx>
          <w:tblCellMar>
            <w:top w:w="0" w:type="dxa"/>
            <w:left w:w="108" w:type="dxa"/>
            <w:bottom w:w="0" w:type="dxa"/>
            <w:right w:w="108" w:type="dxa"/>
          </w:tblCellMar>
        </w:tblPrEx>
        <w:trPr>
          <w:trHeight w:val="232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E23DB86">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46408A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公区沙发组合4</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4#三楼休闲区域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3B6160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8048" behindDoc="0" locked="0" layoutInCell="1" allowOverlap="1">
                  <wp:simplePos x="0" y="0"/>
                  <wp:positionH relativeFrom="column">
                    <wp:posOffset>102235</wp:posOffset>
                  </wp:positionH>
                  <wp:positionV relativeFrom="paragraph">
                    <wp:posOffset>492760</wp:posOffset>
                  </wp:positionV>
                  <wp:extent cx="882015" cy="591820"/>
                  <wp:effectExtent l="0" t="0" r="13335" b="17780"/>
                  <wp:wrapNone/>
                  <wp:docPr id="48" name="图片_59"/>
                  <wp:cNvGraphicFramePr/>
                  <a:graphic xmlns:a="http://schemas.openxmlformats.org/drawingml/2006/main">
                    <a:graphicData uri="http://schemas.openxmlformats.org/drawingml/2006/picture">
                      <pic:pic xmlns:pic="http://schemas.openxmlformats.org/drawingml/2006/picture">
                        <pic:nvPicPr>
                          <pic:cNvPr id="48" name="图片_59"/>
                          <pic:cNvPicPr/>
                        </pic:nvPicPr>
                        <pic:blipFill>
                          <a:blip r:embed="rId122"/>
                          <a:stretch>
                            <a:fillRect/>
                          </a:stretch>
                        </pic:blipFill>
                        <pic:spPr>
                          <a:xfrm>
                            <a:off x="0" y="0"/>
                            <a:ext cx="882015" cy="59182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FC9B51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异形沙发+坐墩（2个）+茶几（2个）</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沙发：2600*1800*860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坐墩1：470*470*420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坐墩2：400*400*420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茶几1:710*710*370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茶几2:460*460*450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76EF532">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1、覆面材料：采用优质布艺。</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3、内架：采用榫卯结构，材料为落叶松。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4、下脚：采用喷塑粉五金脚，附着力≥1级，耐冲击强度≥50mm（GB/T 3325-2017），耐碱性，耐酸性，耐沸水性良好。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681E8DE">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43DC688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套</w:t>
            </w:r>
          </w:p>
        </w:tc>
      </w:tr>
      <w:tr w14:paraId="630025C7">
        <w:tblPrEx>
          <w:tblCellMar>
            <w:top w:w="0" w:type="dxa"/>
            <w:left w:w="108" w:type="dxa"/>
            <w:bottom w:w="0" w:type="dxa"/>
            <w:right w:w="108" w:type="dxa"/>
          </w:tblCellMar>
        </w:tblPrEx>
        <w:trPr>
          <w:trHeight w:val="9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7E282228">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61F31E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适老化休闲桌椅</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5#一楼大厅</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B0354F7">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79072" behindDoc="0" locked="0" layoutInCell="1" allowOverlap="1">
                  <wp:simplePos x="0" y="0"/>
                  <wp:positionH relativeFrom="column">
                    <wp:posOffset>62865</wp:posOffset>
                  </wp:positionH>
                  <wp:positionV relativeFrom="paragraph">
                    <wp:posOffset>283210</wp:posOffset>
                  </wp:positionV>
                  <wp:extent cx="930910" cy="454660"/>
                  <wp:effectExtent l="0" t="0" r="2540" b="2540"/>
                  <wp:wrapNone/>
                  <wp:docPr id="49" name="图片_60"/>
                  <wp:cNvGraphicFramePr/>
                  <a:graphic xmlns:a="http://schemas.openxmlformats.org/drawingml/2006/main">
                    <a:graphicData uri="http://schemas.openxmlformats.org/drawingml/2006/picture">
                      <pic:pic xmlns:pic="http://schemas.openxmlformats.org/drawingml/2006/picture">
                        <pic:nvPicPr>
                          <pic:cNvPr id="49" name="图片_60"/>
                          <pic:cNvPicPr/>
                        </pic:nvPicPr>
                        <pic:blipFill>
                          <a:blip r:embed="rId123"/>
                          <a:stretch>
                            <a:fillRect/>
                          </a:stretch>
                        </pic:blipFill>
                        <pic:spPr>
                          <a:xfrm>
                            <a:off x="0" y="0"/>
                            <a:ext cx="930910" cy="45466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7CCB2FA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三人位+单人位（2个）+长茶几+圆茶几</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三人位：1800*830*430/870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单人位：730*830*430*870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长茶几：1200*600*500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圆茶几：φ600*500</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CF6EC5F">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1、覆面材料：采用优质布艺。</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2、海绵</w:t>
            </w:r>
            <w:r>
              <w:rPr>
                <w:rFonts w:hint="eastAsia" w:ascii="仿宋_GB2312" w:hAnsi="仿宋_GB2312" w:eastAsia="仿宋_GB2312" w:cs="仿宋_GB2312"/>
                <w:color w:val="auto"/>
                <w:sz w:val="18"/>
                <w:szCs w:val="18"/>
                <w:highlight w:val="none"/>
                <w:lang w:eastAsia="zh-CN" w:bidi="ar"/>
              </w:rPr>
              <w:t>填充</w:t>
            </w:r>
            <w:r>
              <w:rPr>
                <w:rFonts w:hint="eastAsia" w:ascii="仿宋_GB2312" w:hAnsi="仿宋_GB2312" w:eastAsia="仿宋_GB2312" w:cs="仿宋_GB2312"/>
                <w:color w:val="auto"/>
                <w:sz w:val="18"/>
                <w:szCs w:val="18"/>
                <w:highlight w:val="none"/>
                <w:lang w:bidi="ar"/>
              </w:rPr>
              <w:t>。</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3、内架：采用榫卯结构，材料为落叶松。</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4、下脚：采用喷塑粉五金脚，附着力≥1级，耐冲击强度≥50mm（GB/T 3325-2017），耐碱性，耐酸性，耐沸水性良好。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BF81F8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AF7424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套</w:t>
            </w:r>
          </w:p>
        </w:tc>
      </w:tr>
      <w:tr w14:paraId="375D44A6">
        <w:tblPrEx>
          <w:tblCellMar>
            <w:top w:w="0" w:type="dxa"/>
            <w:left w:w="108" w:type="dxa"/>
            <w:bottom w:w="0" w:type="dxa"/>
            <w:right w:w="108" w:type="dxa"/>
          </w:tblCellMar>
        </w:tblPrEx>
        <w:trPr>
          <w:trHeight w:val="211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61A05EFA">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04517C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开水间水吧台</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F2487A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80096" behindDoc="0" locked="0" layoutInCell="1" allowOverlap="1">
                  <wp:simplePos x="0" y="0"/>
                  <wp:positionH relativeFrom="column">
                    <wp:posOffset>126365</wp:posOffset>
                  </wp:positionH>
                  <wp:positionV relativeFrom="paragraph">
                    <wp:posOffset>511810</wp:posOffset>
                  </wp:positionV>
                  <wp:extent cx="875665" cy="544830"/>
                  <wp:effectExtent l="0" t="0" r="635" b="7620"/>
                  <wp:wrapNone/>
                  <wp:docPr id="50" name="图片_119"/>
                  <wp:cNvGraphicFramePr/>
                  <a:graphic xmlns:a="http://schemas.openxmlformats.org/drawingml/2006/main">
                    <a:graphicData uri="http://schemas.openxmlformats.org/drawingml/2006/picture">
                      <pic:pic xmlns:pic="http://schemas.openxmlformats.org/drawingml/2006/picture">
                        <pic:nvPicPr>
                          <pic:cNvPr id="50" name="图片_119"/>
                          <pic:cNvPicPr/>
                        </pic:nvPicPr>
                        <pic:blipFill>
                          <a:blip r:embed="rId124"/>
                          <a:stretch>
                            <a:fillRect/>
                          </a:stretch>
                        </pic:blipFill>
                        <pic:spPr>
                          <a:xfrm>
                            <a:off x="0" y="0"/>
                            <a:ext cx="875665" cy="544830"/>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416FE823">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定制（平均宽度约0.5米）</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61C01E6">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1、设置在开水间内，共23个开水间，需根据开水间尺寸定制，要求每个水吧台必须配备含1套水槽，1个龙头，1个茶叶滤网配件，以及下水等套件。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2、基材:采用实木多层板。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3、饰面材料：采用浸渍胶膜纸。</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4、封边：PVC封边条；厚度≥1.5mm。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5、五金件：优质三合一连接件。</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6、台面为大理石。</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265309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65</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0EBD10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米</w:t>
            </w:r>
          </w:p>
        </w:tc>
      </w:tr>
      <w:tr w14:paraId="6217E5E9">
        <w:tblPrEx>
          <w:tblCellMar>
            <w:top w:w="0" w:type="dxa"/>
            <w:left w:w="108" w:type="dxa"/>
            <w:bottom w:w="0" w:type="dxa"/>
            <w:right w:w="108" w:type="dxa"/>
          </w:tblCellMar>
        </w:tblPrEx>
        <w:trPr>
          <w:trHeight w:val="1579"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8CD0F04">
            <w:pPr>
              <w:keepNext w:val="0"/>
              <w:keepLines w:val="0"/>
              <w:suppressLineNumbers w:val="0"/>
              <w:spacing w:before="0" w:beforeAutospacing="0" w:after="0" w:afterAutospacing="0"/>
              <w:ind w:left="0" w:right="0"/>
              <w:jc w:val="righ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BA2B4D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讲台基座</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51AF30E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781120" behindDoc="0" locked="0" layoutInCell="1" allowOverlap="1">
                  <wp:simplePos x="0" y="0"/>
                  <wp:positionH relativeFrom="column">
                    <wp:posOffset>109855</wp:posOffset>
                  </wp:positionH>
                  <wp:positionV relativeFrom="paragraph">
                    <wp:posOffset>196850</wp:posOffset>
                  </wp:positionV>
                  <wp:extent cx="854075" cy="672465"/>
                  <wp:effectExtent l="0" t="0" r="3175" b="13335"/>
                  <wp:wrapNone/>
                  <wp:docPr id="51" name="图片_120"/>
                  <wp:cNvGraphicFramePr/>
                  <a:graphic xmlns:a="http://schemas.openxmlformats.org/drawingml/2006/main">
                    <a:graphicData uri="http://schemas.openxmlformats.org/drawingml/2006/picture">
                      <pic:pic xmlns:pic="http://schemas.openxmlformats.org/drawingml/2006/picture">
                        <pic:nvPicPr>
                          <pic:cNvPr id="51" name="图片_120"/>
                          <pic:cNvPicPr/>
                        </pic:nvPicPr>
                        <pic:blipFill>
                          <a:blip r:embed="rId125"/>
                          <a:stretch>
                            <a:fillRect/>
                          </a:stretch>
                        </pic:blipFill>
                        <pic:spPr>
                          <a:xfrm>
                            <a:off x="0" y="0"/>
                            <a:ext cx="854075" cy="67246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CAB0257">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高0.2米（按水平投影面积计算）</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66B5CB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1、基材:讲台四周框架采用实木多层板。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2、表面铺设多层复合地板。</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3、讲台两边采用铝合金封边，做倒圆角处理。</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A9780C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300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69D34AB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平方</w:t>
            </w:r>
          </w:p>
        </w:tc>
      </w:tr>
      <w:tr w14:paraId="2322520C">
        <w:tblPrEx>
          <w:tblCellMar>
            <w:top w:w="0" w:type="dxa"/>
            <w:left w:w="108" w:type="dxa"/>
            <w:bottom w:w="0" w:type="dxa"/>
            <w:right w:w="108" w:type="dxa"/>
          </w:tblCellMar>
        </w:tblPrEx>
        <w:trPr>
          <w:trHeight w:val="176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4ED2347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124</w:t>
            </w:r>
          </w:p>
        </w:tc>
        <w:tc>
          <w:tcPr>
            <w:tcW w:w="1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3434362D">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横拉式窗帘</w:t>
            </w:r>
          </w:p>
        </w:tc>
        <w:tc>
          <w:tcPr>
            <w:tcW w:w="1815" w:type="dxa"/>
            <w:vMerge w:val="restart"/>
            <w:tcBorders>
              <w:top w:val="single" w:color="000000" w:sz="4" w:space="0"/>
              <w:left w:val="single" w:color="000000" w:sz="4" w:space="0"/>
              <w:bottom w:val="single" w:color="000000" w:sz="4" w:space="0"/>
              <w:right w:val="single" w:color="000000" w:sz="4" w:space="0"/>
            </w:tcBorders>
            <w:noWrap/>
            <w:vAlign w:val="center"/>
          </w:tcPr>
          <w:p w14:paraId="3015A1E8">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89984" behindDoc="0" locked="0" layoutInCell="1" allowOverlap="1">
                  <wp:simplePos x="0" y="0"/>
                  <wp:positionH relativeFrom="column">
                    <wp:posOffset>129540</wp:posOffset>
                  </wp:positionH>
                  <wp:positionV relativeFrom="paragraph">
                    <wp:posOffset>162560</wp:posOffset>
                  </wp:positionV>
                  <wp:extent cx="601980" cy="931545"/>
                  <wp:effectExtent l="0" t="0" r="7620" b="1905"/>
                  <wp:wrapNone/>
                  <wp:docPr id="52" name="图片_75"/>
                  <wp:cNvGraphicFramePr/>
                  <a:graphic xmlns:a="http://schemas.openxmlformats.org/drawingml/2006/main">
                    <a:graphicData uri="http://schemas.openxmlformats.org/drawingml/2006/picture">
                      <pic:pic xmlns:pic="http://schemas.openxmlformats.org/drawingml/2006/picture">
                        <pic:nvPicPr>
                          <pic:cNvPr id="52" name="图片_75"/>
                          <pic:cNvPicPr/>
                        </pic:nvPicPr>
                        <pic:blipFill>
                          <a:blip r:embed="rId126"/>
                          <a:stretch>
                            <a:fillRect/>
                          </a:stretch>
                        </pic:blipFill>
                        <pic:spPr>
                          <a:xfrm>
                            <a:off x="0" y="0"/>
                            <a:ext cx="601980" cy="93154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2B6339D9">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高度3.5米（按立面投影面积乘1.8计算）</w:t>
            </w:r>
          </w:p>
        </w:tc>
        <w:tc>
          <w:tcPr>
            <w:tcW w:w="6675" w:type="dxa"/>
            <w:vMerge w:val="restart"/>
            <w:tcBorders>
              <w:top w:val="single" w:color="000000" w:sz="4" w:space="0"/>
              <w:left w:val="single" w:color="000000" w:sz="4" w:space="0"/>
              <w:bottom w:val="single" w:color="000000" w:sz="4" w:space="0"/>
              <w:right w:val="single" w:color="000000" w:sz="4" w:space="0"/>
            </w:tcBorders>
            <w:noWrap w:val="0"/>
            <w:vAlign w:val="center"/>
          </w:tcPr>
          <w:p w14:paraId="68AA01D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基本性能</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1、成分：100%聚酯纤维；净单位面积质量：≥420g/㎡；</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2、厚度：≥0.80mm；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3、遮光率: ≥95%；</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4、织物密度：径向≥680根/10cm ,纬向≥220根/10cm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其他性能</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 水洗尺寸变化率：径向（%）-3.0~+3.0，纬向（%）-3.0~+3.0；</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val="en-US" w:eastAsia="zh-CN" w:bidi="ar"/>
              </w:rPr>
              <w:t>2</w:t>
            </w:r>
            <w:r>
              <w:rPr>
                <w:rFonts w:hint="eastAsia" w:ascii="仿宋_GB2312" w:hAnsi="仿宋_GB2312" w:eastAsia="仿宋_GB2312" w:cs="仿宋_GB2312"/>
                <w:color w:val="auto"/>
                <w:sz w:val="18"/>
                <w:szCs w:val="18"/>
                <w:highlight w:val="none"/>
                <w:lang w:bidi="ar"/>
              </w:rPr>
              <w:t>、净化性能符合GB/T2761-2006</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val="en-US" w:eastAsia="zh-CN" w:bidi="ar"/>
              </w:rPr>
              <w:t>3</w:t>
            </w:r>
            <w:r>
              <w:rPr>
                <w:rFonts w:hint="eastAsia" w:ascii="仿宋_GB2312" w:hAnsi="仿宋_GB2312" w:eastAsia="仿宋_GB2312" w:cs="仿宋_GB2312"/>
                <w:color w:val="auto"/>
                <w:sz w:val="18"/>
                <w:szCs w:val="18"/>
                <w:highlight w:val="none"/>
                <w:lang w:bidi="ar"/>
              </w:rPr>
              <w:t>、消臭性能符合GB/T33610.2-2017</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val="en-US" w:eastAsia="zh-CN" w:bidi="ar"/>
              </w:rPr>
              <w:t>4</w:t>
            </w:r>
            <w:r>
              <w:rPr>
                <w:rFonts w:hint="eastAsia" w:ascii="仿宋_GB2312" w:hAnsi="仿宋_GB2312" w:eastAsia="仿宋_GB2312" w:cs="仿宋_GB2312"/>
                <w:color w:val="auto"/>
                <w:sz w:val="18"/>
                <w:szCs w:val="18"/>
                <w:highlight w:val="none"/>
                <w:lang w:bidi="ar"/>
              </w:rPr>
              <w:t>、抗菌性能符合GB/T20944.2-2007（吸收法）或GB/T20944.3-2008（振荡法）</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val="en-US" w:eastAsia="zh-CN" w:bidi="ar"/>
              </w:rPr>
              <w:t>5</w:t>
            </w:r>
            <w:r>
              <w:rPr>
                <w:rFonts w:hint="eastAsia" w:ascii="仿宋_GB2312" w:hAnsi="仿宋_GB2312" w:eastAsia="仿宋_GB2312" w:cs="仿宋_GB2312"/>
                <w:color w:val="auto"/>
                <w:sz w:val="18"/>
                <w:szCs w:val="18"/>
                <w:highlight w:val="none"/>
                <w:lang w:bidi="ar"/>
              </w:rPr>
              <w:t>、实际高度小于2.8米时，按高2.8米的单价结算，实际高度大于2.8米时，按高3.5米的单价结算</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C69811F">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380</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49D8282">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平方</w:t>
            </w:r>
          </w:p>
        </w:tc>
      </w:tr>
      <w:tr w14:paraId="6D14C346">
        <w:tblPrEx>
          <w:tblCellMar>
            <w:top w:w="0" w:type="dxa"/>
            <w:left w:w="108" w:type="dxa"/>
            <w:bottom w:w="0" w:type="dxa"/>
            <w:right w:w="108" w:type="dxa"/>
          </w:tblCellMar>
        </w:tblPrEx>
        <w:trPr>
          <w:trHeight w:val="1420"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5AF7A51C">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125</w:t>
            </w:r>
          </w:p>
        </w:tc>
        <w:tc>
          <w:tcPr>
            <w:tcW w:w="1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3271A">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1815" w:type="dxa"/>
            <w:vMerge w:val="continue"/>
            <w:tcBorders>
              <w:top w:val="single" w:color="000000" w:sz="4" w:space="0"/>
              <w:left w:val="single" w:color="000000" w:sz="4" w:space="0"/>
              <w:bottom w:val="single" w:color="000000" w:sz="4" w:space="0"/>
              <w:right w:val="single" w:color="000000" w:sz="4" w:space="0"/>
            </w:tcBorders>
            <w:noWrap/>
            <w:vAlign w:val="center"/>
          </w:tcPr>
          <w:p w14:paraId="3B29EDDE">
            <w:pPr>
              <w:keepNext w:val="0"/>
              <w:keepLines w:val="0"/>
              <w:widowControl/>
              <w:suppressLineNumbers w:val="0"/>
              <w:snapToGrid w:val="0"/>
              <w:spacing w:before="0" w:beforeAutospacing="0" w:after="0" w:afterAutospacing="0" w:line="288" w:lineRule="auto"/>
              <w:ind w:left="0" w:right="0"/>
              <w:jc w:val="center"/>
              <w:rPr>
                <w:rFonts w:hint="eastAsia" w:ascii="仿宋_GB2312" w:hAnsi="仿宋_GB2312" w:eastAsia="仿宋_GB2312" w:cs="仿宋_GB2312"/>
                <w:color w:val="auto"/>
                <w:sz w:val="18"/>
                <w:szCs w:val="18"/>
                <w:highlight w:val="none"/>
              </w:rPr>
            </w:pP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0210CB8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高度2.8米（按立面投影面积乘1.8计算）</w:t>
            </w:r>
          </w:p>
        </w:tc>
        <w:tc>
          <w:tcPr>
            <w:tcW w:w="66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266EDF">
            <w:pPr>
              <w:keepNext w:val="0"/>
              <w:keepLines w:val="0"/>
              <w:widowControl/>
              <w:suppressLineNumbers w:val="0"/>
              <w:snapToGrid w:val="0"/>
              <w:spacing w:before="0" w:beforeAutospacing="0" w:after="0" w:afterAutospacing="0" w:line="288" w:lineRule="auto"/>
              <w:ind w:left="0" w:right="0"/>
              <w:jc w:val="left"/>
              <w:rPr>
                <w:rFonts w:hint="eastAsia" w:ascii="仿宋_GB2312" w:hAnsi="仿宋_GB2312" w:eastAsia="仿宋_GB2312" w:cs="仿宋_GB2312"/>
                <w:color w:val="auto"/>
                <w:sz w:val="18"/>
                <w:szCs w:val="18"/>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7B2507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1925</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39C1BF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平方</w:t>
            </w:r>
          </w:p>
        </w:tc>
      </w:tr>
      <w:tr w14:paraId="6115019C">
        <w:tblPrEx>
          <w:tblCellMar>
            <w:top w:w="0" w:type="dxa"/>
            <w:left w:w="108" w:type="dxa"/>
            <w:bottom w:w="0" w:type="dxa"/>
            <w:right w:w="108" w:type="dxa"/>
          </w:tblCellMar>
        </w:tblPrEx>
        <w:trPr>
          <w:trHeight w:val="627" w:hRule="atLeast"/>
        </w:trPr>
        <w:tc>
          <w:tcPr>
            <w:tcW w:w="555" w:type="dxa"/>
            <w:tcBorders>
              <w:top w:val="single" w:color="000000" w:sz="4" w:space="0"/>
              <w:left w:val="single" w:color="000000" w:sz="4" w:space="0"/>
              <w:bottom w:val="single" w:color="000000" w:sz="4" w:space="0"/>
              <w:right w:val="single" w:color="000000" w:sz="4" w:space="0"/>
            </w:tcBorders>
            <w:noWrap w:val="0"/>
            <w:vAlign w:val="center"/>
          </w:tcPr>
          <w:p w14:paraId="34A5DBE3">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126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7758EF4">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升降式窗帘</w:t>
            </w:r>
          </w:p>
        </w:tc>
        <w:tc>
          <w:tcPr>
            <w:tcW w:w="1815" w:type="dxa"/>
            <w:tcBorders>
              <w:top w:val="single" w:color="000000" w:sz="4" w:space="0"/>
              <w:left w:val="single" w:color="000000" w:sz="4" w:space="0"/>
              <w:bottom w:val="single" w:color="000000" w:sz="4" w:space="0"/>
              <w:right w:val="single" w:color="000000" w:sz="4" w:space="0"/>
            </w:tcBorders>
            <w:noWrap/>
            <w:vAlign w:val="center"/>
          </w:tcPr>
          <w:p w14:paraId="6DC1DFEA">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bdr w:val="single" w:color="000000" w:sz="4" w:space="0"/>
                <w:lang w:bidi="ar"/>
              </w:rPr>
              <w:drawing>
                <wp:anchor distT="0" distB="0" distL="114300" distR="114300" simplePos="0" relativeHeight="251691008" behindDoc="0" locked="0" layoutInCell="1" allowOverlap="1">
                  <wp:simplePos x="0" y="0"/>
                  <wp:positionH relativeFrom="column">
                    <wp:posOffset>104140</wp:posOffset>
                  </wp:positionH>
                  <wp:positionV relativeFrom="paragraph">
                    <wp:posOffset>12065</wp:posOffset>
                  </wp:positionV>
                  <wp:extent cx="800735" cy="869315"/>
                  <wp:effectExtent l="0" t="0" r="18415" b="6985"/>
                  <wp:wrapNone/>
                  <wp:docPr id="53" name="图片_74"/>
                  <wp:cNvGraphicFramePr/>
                  <a:graphic xmlns:a="http://schemas.openxmlformats.org/drawingml/2006/main">
                    <a:graphicData uri="http://schemas.openxmlformats.org/drawingml/2006/picture">
                      <pic:pic xmlns:pic="http://schemas.openxmlformats.org/drawingml/2006/picture">
                        <pic:nvPicPr>
                          <pic:cNvPr id="53" name="图片_74"/>
                          <pic:cNvPicPr/>
                        </pic:nvPicPr>
                        <pic:blipFill>
                          <a:blip r:embed="rId127"/>
                          <a:stretch>
                            <a:fillRect/>
                          </a:stretch>
                        </pic:blipFill>
                        <pic:spPr>
                          <a:xfrm>
                            <a:off x="0" y="0"/>
                            <a:ext cx="800735" cy="869315"/>
                          </a:xfrm>
                          <a:prstGeom prst="rect">
                            <a:avLst/>
                          </a:prstGeom>
                          <a:noFill/>
                          <a:ln>
                            <a:noFill/>
                          </a:ln>
                        </pic:spPr>
                      </pic:pic>
                    </a:graphicData>
                  </a:graphic>
                </wp:anchor>
              </w:drawing>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14:paraId="3BD270C5">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按立面投影面积计算（高度根据现场定制，高度不同，单价不予调整）</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A4FC811">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卷帘上管：</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1.壁厚：≥1.8mm；内有不少于3根加强筋</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2.抗拉强度：≥240MPa；</w:t>
            </w:r>
          </w:p>
          <w:p w14:paraId="392C19B5">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3.伸长率：≥12%；</w:t>
            </w:r>
          </w:p>
          <w:p w14:paraId="5C2C8928">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4.外观质量：涂漆后的漆膜应均匀、整洁、无皱纹、裂纹、气泡、流痕、夹杂物、发粘和漆膜脱落等影响的缺陷；</w:t>
            </w:r>
          </w:p>
          <w:p w14:paraId="45EFD53D">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卷帘下杆：</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1.尺寸偏差：壁厚：≥1.3mm；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2.外观质量：涂漆后的漆膜应均匀、整洁、无皱纹、裂纹、气泡、流痕、夹杂物、发粘和漆膜脱落等影响的缺陷；</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3.耐盐酸性：经耐盐酸性试验后，复合膜表面应无气泡或其他明显变化；</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4.抗拉强度：≥200MPa；</w:t>
            </w:r>
          </w:p>
          <w:p w14:paraId="0BA177AC">
            <w:pPr>
              <w:keepNext w:val="0"/>
              <w:keepLines w:val="0"/>
              <w:widowControl/>
              <w:suppressLineNumbers w:val="0"/>
              <w:snapToGrid w:val="0"/>
              <w:spacing w:before="0" w:beforeAutospacing="0" w:after="0" w:afterAutospacing="0" w:line="288" w:lineRule="auto"/>
              <w:ind w:left="0" w:right="0"/>
              <w:jc w:val="left"/>
              <w:textAlignment w:val="center"/>
              <w:rPr>
                <w:rFonts w:hint="eastAsia" w:ascii="仿宋_GB2312" w:hAnsi="仿宋_GB2312" w:eastAsia="仿宋_GB2312" w:cs="仿宋_GB2312"/>
                <w:color w:val="auto"/>
                <w:sz w:val="18"/>
                <w:szCs w:val="18"/>
                <w:highlight w:val="none"/>
                <w:lang w:bidi="ar"/>
              </w:rPr>
            </w:pPr>
            <w:r>
              <w:rPr>
                <w:rFonts w:hint="eastAsia" w:ascii="仿宋_GB2312" w:hAnsi="仿宋_GB2312" w:eastAsia="仿宋_GB2312" w:cs="仿宋_GB2312"/>
                <w:color w:val="auto"/>
                <w:sz w:val="18"/>
                <w:szCs w:val="18"/>
                <w:highlight w:val="none"/>
                <w:lang w:bidi="ar"/>
              </w:rPr>
              <w:t>5.伸长率：≥13%；</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卷帘制头、拉珠及拉绳：</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制头：</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1.外观质量：涂漆后的漆膜应均匀、整洁、无皱纹、裂纹、气泡</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流痕、夹杂物、发粘和漆膜脱落等影响的缺陷；</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2.安装脚铁质部分的厚度：≥1.90mm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拉珠及拉绳：</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1.拉绳抗拉力：≥500N</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2.拉珠直径：≥4.0mm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卷帘面料</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基本性能</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1、成分：100%聚酯纤维；净单位面积质量：≥530g/㎡；永久阻燃面料</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2、厚度：≥0.50mm；</w:t>
            </w:r>
            <w:r>
              <w:rPr>
                <w:rFonts w:hint="eastAsia" w:ascii="仿宋_GB2312" w:hAnsi="仿宋_GB2312" w:eastAsia="仿宋_GB2312" w:cs="仿宋_GB2312"/>
                <w:color w:val="auto"/>
                <w:sz w:val="18"/>
                <w:szCs w:val="18"/>
                <w:highlight w:val="none"/>
                <w:lang w:bidi="ar"/>
              </w:rPr>
              <w:br w:type="textWrapping"/>
            </w:r>
            <w:r>
              <w:rPr>
                <w:rFonts w:hint="eastAsia" w:ascii="仿宋_GB2312" w:hAnsi="仿宋_GB2312" w:eastAsia="仿宋_GB2312" w:cs="仿宋_GB2312"/>
                <w:color w:val="auto"/>
                <w:sz w:val="18"/>
                <w:szCs w:val="18"/>
                <w:highlight w:val="none"/>
                <w:lang w:bidi="ar"/>
              </w:rPr>
              <w:t>3、遮光率: ≥90%；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B0E576B">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4761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7315F11">
            <w:pPr>
              <w:keepNext w:val="0"/>
              <w:keepLines w:val="0"/>
              <w:widowControl/>
              <w:suppressLineNumbers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bidi="ar"/>
              </w:rPr>
              <w:t>平方</w:t>
            </w:r>
          </w:p>
        </w:tc>
      </w:tr>
    </w:tbl>
    <w:p w14:paraId="5E87756A">
      <w:pPr>
        <w:rPr>
          <w:rFonts w:hint="eastAsia" w:ascii="仿宋_GB2312" w:hAnsi="仿宋_GB2312" w:eastAsia="仿宋_GB2312" w:cs="仿宋_GB2312"/>
          <w:color w:val="auto"/>
        </w:rPr>
      </w:pPr>
    </w:p>
    <w:p w14:paraId="1DBBCCE1">
      <w:pPr>
        <w:rPr>
          <w:rFonts w:hint="eastAsia" w:ascii="仿宋_GB2312" w:hAnsi="仿宋_GB2312" w:eastAsia="仿宋_GB2312" w:cs="仿宋_GB2312"/>
          <w:color w:val="auto"/>
        </w:rPr>
      </w:pPr>
    </w:p>
    <w:p w14:paraId="5AFF915F">
      <w:pPr>
        <w:pStyle w:val="2"/>
        <w:rPr>
          <w:rFonts w:hint="eastAsia" w:ascii="仿宋_GB2312" w:hAnsi="仿宋_GB2312" w:eastAsia="仿宋_GB2312" w:cs="仿宋_GB2312"/>
          <w:color w:val="auto"/>
        </w:rPr>
        <w:sectPr>
          <w:pgSz w:w="16840" w:h="11907" w:orient="landscape"/>
          <w:pgMar w:top="1588" w:right="2041" w:bottom="1474" w:left="1474" w:header="851" w:footer="1134" w:gutter="0"/>
          <w:pgNumType w:fmt="numberInDash"/>
          <w:cols w:space="720" w:num="1"/>
          <w:docGrid w:type="lines" w:linePitch="609" w:charSpace="3254"/>
        </w:sectPr>
      </w:pPr>
    </w:p>
    <w:p w14:paraId="5F360147">
      <w:pPr>
        <w:spacing w:line="44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备注：</w:t>
      </w:r>
    </w:p>
    <w:p w14:paraId="03F55300">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1、窗帘、家具饰面板的规格、颜色、花纹等由设计单位、建设单位确认后方可进行订货施工。</w:t>
      </w:r>
    </w:p>
    <w:p w14:paraId="1D0C5F13">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2、投标人在投标前需进行施工现场踏看，各项费用投标时自行考虑，结算时不再增加该费用。</w:t>
      </w:r>
    </w:p>
    <w:p w14:paraId="5DDCFCE0">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3、清单项目中特征（工作内容）描述未详尽的，投标人须结合实际需要、相关图集及施工验收规范要求进行报价。</w:t>
      </w:r>
    </w:p>
    <w:p w14:paraId="7F328A14">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4、竣工验收前，中标人应自行清理并外运垃圾，</w:t>
      </w:r>
      <w:r>
        <w:rPr>
          <w:rFonts w:hint="eastAsia" w:ascii="仿宋_GB2312" w:hAnsi="仿宋_GB2312" w:eastAsia="仿宋_GB2312" w:cs="仿宋_GB2312"/>
          <w:color w:val="auto"/>
          <w:sz w:val="24"/>
          <w:szCs w:val="24"/>
          <w:lang w:eastAsia="zh-CN"/>
        </w:rPr>
        <w:t>投标</w:t>
      </w:r>
      <w:r>
        <w:rPr>
          <w:rFonts w:hint="eastAsia" w:ascii="仿宋_GB2312" w:hAnsi="仿宋_GB2312" w:eastAsia="仿宋_GB2312" w:cs="仿宋_GB2312"/>
          <w:color w:val="auto"/>
          <w:sz w:val="24"/>
          <w:szCs w:val="24"/>
        </w:rPr>
        <w:t>报价时综合考虑,结算时不另行增加费用。</w:t>
      </w:r>
    </w:p>
    <w:p w14:paraId="4784D5D7">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5、建筑工程一切险和安装工程一切险投保由承包人投保，因投保产生的保险费和其它相关费用由中标人支付，采购人不另行支付费用。</w:t>
      </w:r>
    </w:p>
    <w:p w14:paraId="6714D58F">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6、清单中的衣帽柜及玻璃壁柜的工程量按立面投影面积计算，请投标报价时综合考虑。</w:t>
      </w:r>
    </w:p>
    <w:p w14:paraId="7D56A0A0">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7、开水间吧台具体尺寸需按现场实际定制，工程量按延长米计取，请投标报价时综合考虑。</w:t>
      </w:r>
    </w:p>
    <w:p w14:paraId="62DD4212">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8、讲台基座的工程量按水平投影面积计算，包含基础龙骨等费用，请投标报价时综合考虑。</w:t>
      </w:r>
    </w:p>
    <w:p w14:paraId="5CAAA22F">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9、横拉式窗帘的工程量按立面投影面积乘系数1.8计算，高度需根据现场实际调整，实际高度小于2.8米时，按2.8米高度的单价结算，实际高度大于2.8米时，按3.5米高度的单价结算，请投标报价时综合考虑。</w:t>
      </w:r>
    </w:p>
    <w:p w14:paraId="475777F2">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10、升降式窗帘的工程量按立面投影面积计算，高度需根据现场实际调整，实际高度不同单价不予调整，请投标报价时综合考虑。</w:t>
      </w:r>
    </w:p>
    <w:p w14:paraId="4CA7AE1D">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11、所有家具根据现场实际情况局部调整款式、规格、功能（±5%之内 ），单价不作调整，请投标报价时综合考虑。</w:t>
      </w:r>
    </w:p>
    <w:p w14:paraId="42FF9F96">
      <w:pPr>
        <w:pStyle w:val="3"/>
        <w:rPr>
          <w:rFonts w:hint="eastAsia" w:ascii="仿宋_GB2312" w:hAnsi="仿宋_GB2312" w:eastAsia="仿宋_GB2312" w:cs="仿宋_GB2312"/>
          <w:color w:val="auto"/>
        </w:rPr>
        <w:sectPr>
          <w:pgSz w:w="11907" w:h="16840"/>
          <w:pgMar w:top="2041" w:right="1474" w:bottom="1474" w:left="1587" w:header="851" w:footer="1134" w:gutter="0"/>
          <w:pgNumType w:fmt="numberInDash"/>
          <w:cols w:space="720" w:num="1"/>
          <w:docGrid w:type="lines" w:linePitch="609" w:charSpace="0"/>
        </w:sectPr>
      </w:pPr>
    </w:p>
    <w:bookmarkEnd w:id="4"/>
    <w:bookmarkEnd w:id="9"/>
    <w:bookmarkEnd w:id="10"/>
    <w:bookmarkEnd w:id="11"/>
    <w:bookmarkEnd w:id="12"/>
    <w:bookmarkEnd w:id="13"/>
    <w:p w14:paraId="7543786A">
      <w:pPr>
        <w:pageBreakBefore/>
        <w:spacing w:line="360" w:lineRule="auto"/>
        <w:ind w:left="720" w:leftChars="343" w:firstLine="1084" w:firstLineChars="300"/>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拟签订的合同文本</w:t>
      </w:r>
    </w:p>
    <w:p w14:paraId="74915A70">
      <w:pPr>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合同编号：</w:t>
      </w:r>
      <w:r>
        <w:rPr>
          <w:rFonts w:hint="eastAsia" w:ascii="仿宋_GB2312" w:hAnsi="仿宋_GB2312" w:eastAsia="仿宋_GB2312" w:cs="仿宋_GB2312"/>
          <w:color w:val="auto"/>
          <w:sz w:val="24"/>
          <w:u w:val="single"/>
        </w:rPr>
        <w:t xml:space="preserve">           </w:t>
      </w:r>
    </w:p>
    <w:p w14:paraId="7584C2A0">
      <w:pPr>
        <w:spacing w:line="480" w:lineRule="auto"/>
        <w:jc w:val="center"/>
        <w:rPr>
          <w:rFonts w:hint="eastAsia" w:ascii="仿宋_GB2312" w:hAnsi="仿宋_GB2312" w:eastAsia="仿宋_GB2312" w:cs="仿宋_GB2312"/>
          <w:b/>
          <w:color w:val="auto"/>
          <w:sz w:val="28"/>
          <w:szCs w:val="28"/>
        </w:rPr>
      </w:pPr>
    </w:p>
    <w:p w14:paraId="5F8AAE1C">
      <w:pPr>
        <w:spacing w:line="480" w:lineRule="auto"/>
        <w:jc w:val="center"/>
        <w:rPr>
          <w:rFonts w:hint="eastAsia" w:ascii="仿宋_GB2312" w:hAnsi="仿宋_GB2312" w:eastAsia="仿宋_GB2312" w:cs="仿宋_GB2312"/>
          <w:b/>
          <w:color w:val="auto"/>
          <w:sz w:val="24"/>
        </w:rPr>
      </w:pPr>
    </w:p>
    <w:p w14:paraId="7468A1BB">
      <w:pPr>
        <w:spacing w:line="480" w:lineRule="auto"/>
        <w:jc w:val="center"/>
        <w:rPr>
          <w:rFonts w:hint="eastAsia" w:ascii="仿宋_GB2312" w:hAnsi="仿宋_GB2312" w:eastAsia="仿宋_GB2312" w:cs="仿宋_GB2312"/>
          <w:b/>
          <w:color w:val="auto"/>
          <w:sz w:val="24"/>
        </w:rPr>
      </w:pPr>
    </w:p>
    <w:p w14:paraId="0940188F">
      <w:pPr>
        <w:spacing w:line="480" w:lineRule="auto"/>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采购合同参考范本</w:t>
      </w:r>
    </w:p>
    <w:p w14:paraId="1430A89C">
      <w:pPr>
        <w:spacing w:line="480" w:lineRule="auto"/>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（货物类）</w:t>
      </w:r>
    </w:p>
    <w:p w14:paraId="31FF067D">
      <w:pPr>
        <w:pStyle w:val="313"/>
        <w:ind w:left="0" w:leftChars="0" w:firstLine="0" w:firstLineChars="0"/>
        <w:rPr>
          <w:rFonts w:hint="eastAsia" w:ascii="仿宋_GB2312" w:hAnsi="仿宋_GB2312" w:eastAsia="仿宋_GB2312" w:cs="仿宋_GB2312"/>
          <w:color w:val="auto"/>
          <w:szCs w:val="24"/>
        </w:rPr>
      </w:pPr>
    </w:p>
    <w:p w14:paraId="1F7E5585">
      <w:pPr>
        <w:pStyle w:val="313"/>
        <w:jc w:val="center"/>
        <w:rPr>
          <w:rFonts w:hint="eastAsia" w:ascii="仿宋_GB2312" w:hAnsi="仿宋_GB2312" w:eastAsia="仿宋_GB2312" w:cs="仿宋_GB2312"/>
          <w:color w:val="auto"/>
          <w:szCs w:val="24"/>
        </w:rPr>
      </w:pPr>
    </w:p>
    <w:p w14:paraId="3ED6F119">
      <w:pPr>
        <w:pStyle w:val="313"/>
        <w:ind w:firstLine="2843" w:firstLineChars="1180"/>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第一部分 合同书</w:t>
      </w:r>
    </w:p>
    <w:p w14:paraId="664CC076">
      <w:pPr>
        <w:pStyle w:val="313"/>
        <w:rPr>
          <w:rFonts w:hint="eastAsia" w:ascii="仿宋_GB2312" w:hAnsi="仿宋_GB2312" w:eastAsia="仿宋_GB2312" w:cs="仿宋_GB2312"/>
          <w:color w:val="auto"/>
          <w:szCs w:val="24"/>
        </w:rPr>
      </w:pPr>
    </w:p>
    <w:p w14:paraId="0F71E8A1">
      <w:pPr>
        <w:pStyle w:val="313"/>
        <w:rPr>
          <w:rFonts w:hint="eastAsia" w:ascii="仿宋_GB2312" w:hAnsi="仿宋_GB2312" w:eastAsia="仿宋_GB2312" w:cs="仿宋_GB2312"/>
          <w:color w:val="auto"/>
          <w:szCs w:val="24"/>
        </w:rPr>
      </w:pPr>
    </w:p>
    <w:p w14:paraId="722DBFCB">
      <w:pPr>
        <w:spacing w:before="120" w:line="22" w:lineRule="atLeast"/>
        <w:rPr>
          <w:rFonts w:hint="eastAsia" w:ascii="仿宋_GB2312" w:hAnsi="仿宋_GB2312" w:eastAsia="仿宋_GB2312" w:cs="仿宋_GB2312"/>
          <w:color w:val="auto"/>
          <w:sz w:val="24"/>
        </w:rPr>
      </w:pPr>
    </w:p>
    <w:p w14:paraId="46234B53">
      <w:pPr>
        <w:spacing w:before="120" w:line="22" w:lineRule="atLeast"/>
        <w:ind w:left="960"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r>
        <w:rPr>
          <w:rFonts w:hint="eastAsia" w:ascii="仿宋_GB2312" w:hAnsi="仿宋_GB2312" w:eastAsia="仿宋_GB2312" w:cs="仿宋_GB2312"/>
          <w:color w:val="auto"/>
          <w:sz w:val="24"/>
          <w:u w:val="single"/>
        </w:rPr>
        <w:t xml:space="preserve">                                   </w:t>
      </w:r>
    </w:p>
    <w:p w14:paraId="47842D2C">
      <w:pPr>
        <w:pStyle w:val="312"/>
        <w:spacing w:before="120" w:line="22" w:lineRule="atLeast"/>
        <w:rPr>
          <w:rFonts w:hint="eastAsia" w:ascii="仿宋_GB2312" w:hAnsi="仿宋_GB2312" w:eastAsia="仿宋_GB2312" w:cs="仿宋_GB2312"/>
          <w:color w:val="auto"/>
          <w:szCs w:val="24"/>
        </w:rPr>
      </w:pPr>
    </w:p>
    <w:p w14:paraId="28B6CAEC">
      <w:pPr>
        <w:pStyle w:val="312"/>
        <w:spacing w:before="120" w:line="22" w:lineRule="atLeast"/>
        <w:rPr>
          <w:rFonts w:hint="eastAsia" w:ascii="仿宋_GB2312" w:hAnsi="仿宋_GB2312" w:eastAsia="仿宋_GB2312" w:cs="仿宋_GB2312"/>
          <w:color w:val="auto"/>
          <w:szCs w:val="24"/>
        </w:rPr>
      </w:pPr>
    </w:p>
    <w:p w14:paraId="70FDC39D">
      <w:pPr>
        <w:rPr>
          <w:rFonts w:hint="eastAsia" w:ascii="仿宋_GB2312" w:hAnsi="仿宋_GB2312" w:eastAsia="仿宋_GB2312" w:cs="仿宋_GB2312"/>
          <w:color w:val="auto"/>
          <w:sz w:val="24"/>
        </w:rPr>
      </w:pPr>
    </w:p>
    <w:p w14:paraId="450126D3">
      <w:pPr>
        <w:spacing w:before="120" w:line="22" w:lineRule="atLeast"/>
        <w:ind w:left="960" w:firstLine="480" w:firstLineChars="2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甲方：</w:t>
      </w:r>
      <w:r>
        <w:rPr>
          <w:rFonts w:hint="eastAsia" w:ascii="仿宋_GB2312" w:hAnsi="仿宋_GB2312" w:eastAsia="仿宋_GB2312" w:cs="仿宋_GB2312"/>
          <w:color w:val="auto"/>
          <w:sz w:val="24"/>
          <w:u w:val="single"/>
        </w:rPr>
        <w:t xml:space="preserve">                                       </w:t>
      </w:r>
    </w:p>
    <w:p w14:paraId="166D3816">
      <w:pPr>
        <w:spacing w:before="120" w:line="22" w:lineRule="atLeast"/>
        <w:rPr>
          <w:rFonts w:hint="eastAsia" w:ascii="仿宋_GB2312" w:hAnsi="仿宋_GB2312" w:eastAsia="仿宋_GB2312" w:cs="仿宋_GB2312"/>
          <w:color w:val="auto"/>
          <w:sz w:val="24"/>
        </w:rPr>
      </w:pPr>
    </w:p>
    <w:p w14:paraId="78F36607">
      <w:pPr>
        <w:spacing w:before="120" w:line="22" w:lineRule="atLeast"/>
        <w:ind w:left="960" w:firstLine="480" w:firstLineChars="2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乙方：</w:t>
      </w:r>
      <w:r>
        <w:rPr>
          <w:rFonts w:hint="eastAsia" w:ascii="仿宋_GB2312" w:hAnsi="仿宋_GB2312" w:eastAsia="仿宋_GB2312" w:cs="仿宋_GB2312"/>
          <w:color w:val="auto"/>
          <w:sz w:val="24"/>
          <w:u w:val="single"/>
        </w:rPr>
        <w:t xml:space="preserve">                                       </w:t>
      </w:r>
    </w:p>
    <w:p w14:paraId="1BD15FF4">
      <w:pPr>
        <w:spacing w:before="120" w:line="22" w:lineRule="atLeast"/>
        <w:rPr>
          <w:rFonts w:hint="eastAsia" w:ascii="仿宋_GB2312" w:hAnsi="仿宋_GB2312" w:eastAsia="仿宋_GB2312" w:cs="仿宋_GB2312"/>
          <w:color w:val="auto"/>
          <w:sz w:val="24"/>
        </w:rPr>
      </w:pPr>
    </w:p>
    <w:p w14:paraId="01528EF5">
      <w:pPr>
        <w:spacing w:before="120" w:line="22" w:lineRule="atLeast"/>
        <w:ind w:firstLine="1440" w:firstLineChars="6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签订地：</w:t>
      </w:r>
      <w:r>
        <w:rPr>
          <w:rFonts w:hint="eastAsia" w:ascii="仿宋_GB2312" w:hAnsi="仿宋_GB2312" w:eastAsia="仿宋_GB2312" w:cs="仿宋_GB2312"/>
          <w:color w:val="auto"/>
          <w:sz w:val="24"/>
          <w:u w:val="single"/>
        </w:rPr>
        <w:t xml:space="preserve">                                     </w:t>
      </w:r>
    </w:p>
    <w:p w14:paraId="061C9B64">
      <w:pPr>
        <w:spacing w:before="120" w:line="22" w:lineRule="atLeast"/>
        <w:rPr>
          <w:rFonts w:hint="eastAsia" w:ascii="仿宋_GB2312" w:hAnsi="仿宋_GB2312" w:eastAsia="仿宋_GB2312" w:cs="仿宋_GB2312"/>
          <w:color w:val="auto"/>
          <w:sz w:val="24"/>
        </w:rPr>
      </w:pPr>
    </w:p>
    <w:p w14:paraId="4DEFA895">
      <w:pPr>
        <w:spacing w:before="120" w:line="22" w:lineRule="atLeast"/>
        <w:ind w:firstLine="1440" w:firstLineChars="6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签订日期：</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年</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月</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日</w:t>
      </w:r>
    </w:p>
    <w:p w14:paraId="75C4C837">
      <w:pPr>
        <w:widowControl/>
        <w:jc w:val="left"/>
        <w:rPr>
          <w:rFonts w:hint="eastAsia" w:ascii="仿宋_GB2312" w:hAnsi="仿宋_GB2312" w:eastAsia="仿宋_GB2312" w:cs="仿宋_GB2312"/>
          <w:color w:val="auto"/>
          <w:kern w:val="0"/>
          <w:sz w:val="24"/>
        </w:rPr>
        <w:sectPr>
          <w:pgSz w:w="11905" w:h="16838"/>
          <w:pgMar w:top="1814" w:right="1474" w:bottom="1814" w:left="1474" w:header="851" w:footer="850" w:gutter="0"/>
          <w:cols w:space="0" w:num="1"/>
          <w:titlePg/>
          <w:rtlGutter w:val="0"/>
          <w:docGrid w:linePitch="286" w:charSpace="0"/>
        </w:sectPr>
      </w:pPr>
    </w:p>
    <w:p w14:paraId="085D26A8">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u w:val="single"/>
          <w:lang w:val="zh-CN"/>
        </w:rPr>
        <w:t xml:space="preserve">        </w:t>
      </w:r>
      <w:r>
        <w:rPr>
          <w:rFonts w:hint="eastAsia" w:ascii="仿宋_GB2312" w:hAnsi="仿宋_GB2312" w:eastAsia="仿宋_GB2312" w:cs="仿宋_GB2312"/>
          <w:color w:val="auto"/>
          <w:sz w:val="24"/>
          <w:lang w:val="zh-CN"/>
        </w:rPr>
        <w:t>年</w:t>
      </w:r>
      <w:r>
        <w:rPr>
          <w:rFonts w:hint="eastAsia" w:ascii="仿宋_GB2312" w:hAnsi="仿宋_GB2312" w:eastAsia="仿宋_GB2312" w:cs="仿宋_GB2312"/>
          <w:color w:val="auto"/>
          <w:sz w:val="24"/>
          <w:u w:val="single"/>
          <w:lang w:val="zh-CN"/>
        </w:rPr>
        <w:t xml:space="preserve">    </w:t>
      </w:r>
      <w:r>
        <w:rPr>
          <w:rFonts w:hint="eastAsia" w:ascii="仿宋_GB2312" w:hAnsi="仿宋_GB2312" w:eastAsia="仿宋_GB2312" w:cs="仿宋_GB2312"/>
          <w:color w:val="auto"/>
          <w:sz w:val="24"/>
          <w:lang w:val="zh-CN"/>
        </w:rPr>
        <w:t>月</w:t>
      </w:r>
      <w:r>
        <w:rPr>
          <w:rFonts w:hint="eastAsia" w:ascii="仿宋_GB2312" w:hAnsi="仿宋_GB2312" w:eastAsia="仿宋_GB2312" w:cs="仿宋_GB2312"/>
          <w:color w:val="auto"/>
          <w:sz w:val="24"/>
          <w:u w:val="single"/>
          <w:lang w:val="zh-CN"/>
        </w:rPr>
        <w:t xml:space="preserve">    </w:t>
      </w:r>
      <w:r>
        <w:rPr>
          <w:rFonts w:hint="eastAsia" w:ascii="仿宋_GB2312" w:hAnsi="仿宋_GB2312" w:eastAsia="仿宋_GB2312" w:cs="仿宋_GB2312"/>
          <w:color w:val="auto"/>
          <w:sz w:val="24"/>
          <w:lang w:val="zh-CN"/>
        </w:rPr>
        <w:t>日</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u w:val="single"/>
        </w:rPr>
        <w:t xml:space="preserve">   （采购人）   </w:t>
      </w:r>
      <w:r>
        <w:rPr>
          <w:rFonts w:hint="eastAsia" w:ascii="仿宋_GB2312" w:hAnsi="仿宋_GB2312" w:eastAsia="仿宋_GB2312" w:cs="仿宋_GB2312"/>
          <w:color w:val="auto"/>
          <w:sz w:val="24"/>
        </w:rPr>
        <w:t>以</w:t>
      </w:r>
      <w:r>
        <w:rPr>
          <w:rFonts w:hint="eastAsia" w:ascii="仿宋_GB2312" w:hAnsi="仿宋_GB2312" w:eastAsia="仿宋_GB2312" w:cs="仿宋_GB2312"/>
          <w:color w:val="auto"/>
          <w:sz w:val="24"/>
          <w:u w:val="single"/>
        </w:rPr>
        <w:t xml:space="preserve">   （采购方式）  </w:t>
      </w:r>
      <w:r>
        <w:rPr>
          <w:rFonts w:hint="eastAsia" w:ascii="仿宋_GB2312" w:hAnsi="仿宋_GB2312" w:eastAsia="仿宋_GB2312" w:cs="仿宋_GB2312"/>
          <w:color w:val="auto"/>
          <w:sz w:val="24"/>
        </w:rPr>
        <w:t>对</w:t>
      </w:r>
      <w:r>
        <w:rPr>
          <w:rFonts w:hint="eastAsia" w:ascii="仿宋_GB2312" w:hAnsi="仿宋_GB2312" w:eastAsia="仿宋_GB2312" w:cs="仿宋_GB2312"/>
          <w:color w:val="auto"/>
          <w:sz w:val="24"/>
          <w:u w:val="single"/>
        </w:rPr>
        <w:t xml:space="preserve">   （项目名称、编号）   </w:t>
      </w:r>
      <w:r>
        <w:rPr>
          <w:rFonts w:hint="eastAsia" w:ascii="仿宋_GB2312" w:hAnsi="仿宋_GB2312" w:eastAsia="仿宋_GB2312" w:cs="仿宋_GB2312"/>
          <w:color w:val="auto"/>
          <w:sz w:val="24"/>
        </w:rPr>
        <w:t>项目进行了采购。经</w:t>
      </w:r>
      <w:r>
        <w:rPr>
          <w:rFonts w:hint="eastAsia" w:ascii="仿宋_GB2312" w:hAnsi="仿宋_GB2312" w:eastAsia="仿宋_GB2312" w:cs="仿宋_GB2312"/>
          <w:color w:val="auto"/>
          <w:sz w:val="24"/>
          <w:u w:val="single"/>
        </w:rPr>
        <w:t xml:space="preserve">   （相关评定主体名称）   </w:t>
      </w:r>
      <w:r>
        <w:rPr>
          <w:rFonts w:hint="eastAsia" w:ascii="仿宋_GB2312" w:hAnsi="仿宋_GB2312" w:eastAsia="仿宋_GB2312" w:cs="仿宋_GB2312"/>
          <w:color w:val="auto"/>
          <w:sz w:val="24"/>
        </w:rPr>
        <w:t>评定，</w:t>
      </w:r>
      <w:r>
        <w:rPr>
          <w:rFonts w:hint="eastAsia" w:ascii="仿宋_GB2312" w:hAnsi="仿宋_GB2312" w:eastAsia="仿宋_GB2312" w:cs="仿宋_GB2312"/>
          <w:color w:val="auto"/>
          <w:sz w:val="24"/>
          <w:u w:val="single"/>
        </w:rPr>
        <w:t xml:space="preserve">   （中标或者成交供应商名称）</w:t>
      </w:r>
      <w:r>
        <w:rPr>
          <w:rFonts w:hint="eastAsia" w:ascii="仿宋_GB2312" w:hAnsi="仿宋_GB2312" w:eastAsia="仿宋_GB2312" w:cs="仿宋_GB2312"/>
          <w:color w:val="auto"/>
          <w:sz w:val="24"/>
        </w:rPr>
        <w:t>为该项目中标或者成交供应商。现于中标或者成交通知书发出之日起10个工作日内，按照采购文件等确定的事项签订本合同。</w:t>
      </w:r>
    </w:p>
    <w:p w14:paraId="7B2C1B13">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zh-CN"/>
        </w:rPr>
        <w:t>根据《中华人民共和国民法典》《中华人民共和国政府采购法》等相关法律法规之规定，按照平等、自愿、公平、诚实信用和绿色的原则，经</w:t>
      </w:r>
      <w:r>
        <w:rPr>
          <w:rFonts w:hint="eastAsia" w:ascii="仿宋_GB2312" w:hAnsi="仿宋_GB2312" w:eastAsia="仿宋_GB2312" w:cs="仿宋_GB2312"/>
          <w:color w:val="auto"/>
          <w:sz w:val="24"/>
          <w:u w:val="single"/>
        </w:rPr>
        <w:t xml:space="preserve">   （采购人）   </w:t>
      </w:r>
      <w:r>
        <w:rPr>
          <w:rFonts w:hint="eastAsia" w:ascii="仿宋_GB2312" w:hAnsi="仿宋_GB2312" w:eastAsia="仿宋_GB2312" w:cs="仿宋_GB2312"/>
          <w:color w:val="auto"/>
          <w:sz w:val="24"/>
          <w:lang w:val="zh-CN"/>
        </w:rPr>
        <w:t>(以下简称：甲方)和</w:t>
      </w:r>
      <w:r>
        <w:rPr>
          <w:rFonts w:hint="eastAsia" w:ascii="仿宋_GB2312" w:hAnsi="仿宋_GB2312" w:eastAsia="仿宋_GB2312" w:cs="仿宋_GB2312"/>
          <w:color w:val="auto"/>
          <w:sz w:val="24"/>
          <w:u w:val="single"/>
        </w:rPr>
        <w:t xml:space="preserve">   （中标或者成交供应商名称）   </w:t>
      </w:r>
      <w:r>
        <w:rPr>
          <w:rFonts w:hint="eastAsia" w:ascii="仿宋_GB2312" w:hAnsi="仿宋_GB2312" w:eastAsia="仿宋_GB2312" w:cs="仿宋_GB2312"/>
          <w:color w:val="auto"/>
          <w:sz w:val="24"/>
          <w:lang w:val="zh-CN"/>
        </w:rPr>
        <w:t>(以下简称：乙方)协商一致，约定以下合同</w:t>
      </w:r>
      <w:r>
        <w:rPr>
          <w:rFonts w:hint="eastAsia" w:ascii="仿宋_GB2312" w:hAnsi="仿宋_GB2312" w:eastAsia="仿宋_GB2312" w:cs="仿宋_GB2312"/>
          <w:color w:val="auto"/>
          <w:sz w:val="24"/>
        </w:rPr>
        <w:t>条款，以兹共同遵守、全面履行。</w:t>
      </w:r>
    </w:p>
    <w:p w14:paraId="43355BFD">
      <w:pPr>
        <w:snapToGrid w:val="0"/>
        <w:spacing w:line="360" w:lineRule="auto"/>
        <w:ind w:firstLine="482" w:firstLineChars="200"/>
        <w:outlineLvl w:val="0"/>
        <w:rPr>
          <w:rFonts w:hint="eastAsia" w:ascii="仿宋_GB2312" w:hAnsi="仿宋_GB2312" w:eastAsia="仿宋_GB2312" w:cs="仿宋_GB2312"/>
          <w:b/>
          <w:color w:val="auto"/>
          <w:sz w:val="24"/>
        </w:rPr>
      </w:pPr>
      <w:bookmarkStart w:id="14" w:name="_Toc2232"/>
      <w:bookmarkStart w:id="15" w:name="_Toc24059"/>
      <w:bookmarkStart w:id="16" w:name="_Toc3029"/>
      <w:r>
        <w:rPr>
          <w:rFonts w:hint="eastAsia" w:ascii="仿宋_GB2312" w:hAnsi="仿宋_GB2312" w:eastAsia="仿宋_GB2312" w:cs="仿宋_GB2312"/>
          <w:b/>
          <w:color w:val="auto"/>
          <w:sz w:val="24"/>
        </w:rPr>
        <w:t>1.1 合同组成部分</w:t>
      </w:r>
      <w:bookmarkEnd w:id="14"/>
      <w:bookmarkEnd w:id="15"/>
      <w:bookmarkEnd w:id="16"/>
    </w:p>
    <w:p w14:paraId="55DEC25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51D9B68">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1.1.1 本合同及其补充合同、变更协议；</w:t>
      </w:r>
    </w:p>
    <w:p w14:paraId="23FE7756">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1.1.2 中标或者成交通知书；</w:t>
      </w:r>
    </w:p>
    <w:p w14:paraId="12AF9BDD">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1.1.3 投标或者响应文件（含澄清或者说明文件）；</w:t>
      </w:r>
    </w:p>
    <w:p w14:paraId="0DA94A72">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1.1.4 采购文件（含澄清或者修改文件）；</w:t>
      </w:r>
    </w:p>
    <w:p w14:paraId="55F9ACEE">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1.1.5 其他相关采购文件。</w:t>
      </w:r>
    </w:p>
    <w:p w14:paraId="2496FF3A">
      <w:pPr>
        <w:snapToGrid w:val="0"/>
        <w:spacing w:line="360" w:lineRule="auto"/>
        <w:ind w:firstLine="482" w:firstLineChars="200"/>
        <w:outlineLvl w:val="0"/>
        <w:rPr>
          <w:rFonts w:hint="eastAsia" w:ascii="仿宋_GB2312" w:hAnsi="仿宋_GB2312" w:eastAsia="仿宋_GB2312" w:cs="仿宋_GB2312"/>
          <w:b/>
          <w:color w:val="auto"/>
          <w:sz w:val="24"/>
        </w:rPr>
      </w:pPr>
      <w:bookmarkStart w:id="17" w:name="_Toc21295"/>
      <w:bookmarkStart w:id="18" w:name="_Toc27126"/>
      <w:bookmarkStart w:id="19" w:name="_Toc24300"/>
      <w:r>
        <w:rPr>
          <w:rFonts w:hint="eastAsia" w:ascii="仿宋_GB2312" w:hAnsi="仿宋_GB2312" w:eastAsia="仿宋_GB2312" w:cs="仿宋_GB2312"/>
          <w:b/>
          <w:color w:val="auto"/>
          <w:sz w:val="24"/>
        </w:rPr>
        <w:t>1.2 货物</w:t>
      </w:r>
      <w:bookmarkEnd w:id="17"/>
      <w:bookmarkEnd w:id="18"/>
      <w:bookmarkEnd w:id="19"/>
    </w:p>
    <w:p w14:paraId="571671C0">
      <w:pPr>
        <w:snapToGrid w:val="0"/>
        <w:spacing w:line="360" w:lineRule="auto"/>
        <w:ind w:firstLine="480" w:firstLineChars="2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1.2.1 货物名称、品牌、规格型号、花色：</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w:t>
      </w:r>
    </w:p>
    <w:p w14:paraId="247473DD">
      <w:pPr>
        <w:snapToGrid w:val="0"/>
        <w:spacing w:line="360" w:lineRule="auto"/>
        <w:ind w:firstLine="480" w:firstLineChars="2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1.2.2 货物数量：</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w:t>
      </w:r>
    </w:p>
    <w:p w14:paraId="287AB98A">
      <w:pPr>
        <w:snapToGrid w:val="0"/>
        <w:spacing w:line="360" w:lineRule="auto"/>
        <w:ind w:firstLine="480" w:firstLineChars="2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1.2.3 货物质量：</w:t>
      </w:r>
      <w:r>
        <w:rPr>
          <w:rFonts w:hint="eastAsia" w:ascii="仿宋_GB2312" w:hAnsi="仿宋_GB2312" w:eastAsia="仿宋_GB2312" w:cs="仿宋_GB2312"/>
          <w:color w:val="auto"/>
          <w:sz w:val="24"/>
          <w:u w:val="single"/>
        </w:rPr>
        <w:t>　　　　　　　　　                      　      ；</w:t>
      </w:r>
    </w:p>
    <w:p w14:paraId="31C0D0B8">
      <w:pPr>
        <w:snapToGrid w:val="0"/>
        <w:spacing w:line="360" w:lineRule="auto"/>
        <w:ind w:firstLine="482" w:firstLineChars="200"/>
        <w:outlineLvl w:val="0"/>
        <w:rPr>
          <w:rFonts w:hint="eastAsia" w:ascii="仿宋_GB2312" w:hAnsi="仿宋_GB2312" w:eastAsia="仿宋_GB2312" w:cs="仿宋_GB2312"/>
          <w:b/>
          <w:color w:val="auto"/>
          <w:sz w:val="24"/>
        </w:rPr>
      </w:pPr>
      <w:bookmarkStart w:id="20" w:name="_Toc23292"/>
      <w:bookmarkStart w:id="21" w:name="_Toc21551"/>
      <w:bookmarkStart w:id="22" w:name="_Toc21631"/>
      <w:r>
        <w:rPr>
          <w:rFonts w:hint="eastAsia" w:ascii="仿宋_GB2312" w:hAnsi="仿宋_GB2312" w:eastAsia="仿宋_GB2312" w:cs="仿宋_GB2312"/>
          <w:b/>
          <w:color w:val="auto"/>
          <w:sz w:val="24"/>
        </w:rPr>
        <w:t>1.3 价款</w:t>
      </w:r>
      <w:bookmarkEnd w:id="20"/>
      <w:bookmarkEnd w:id="21"/>
      <w:bookmarkEnd w:id="22"/>
    </w:p>
    <w:p w14:paraId="3F6A527F">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本合同总价（含税）为：￥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元（大写：</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元人民币）。</w:t>
      </w:r>
    </w:p>
    <w:p w14:paraId="5852A8C1">
      <w:pPr>
        <w:snapToGrid w:val="0"/>
        <w:spacing w:line="360" w:lineRule="auto"/>
        <w:ind w:firstLine="480" w:firstLineChars="2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分项价格：</w:t>
      </w:r>
    </w:p>
    <w:tbl>
      <w:tblPr>
        <w:tblStyle w:val="6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88D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EAAB595">
            <w:pPr>
              <w:pStyle w:val="211"/>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669929B">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84D2838">
            <w:pPr>
              <w:pStyle w:val="211"/>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分项价格</w:t>
            </w:r>
          </w:p>
        </w:tc>
      </w:tr>
      <w:tr w14:paraId="5799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ACD20BE">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A503012">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AF0C5A9">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r>
      <w:tr w14:paraId="382D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DF6B88B">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83A3C5D">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8E69ADA">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r>
      <w:tr w14:paraId="715B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8FE48B2">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DB60AB8">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EBE3054">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r>
      <w:tr w14:paraId="4135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305E58A">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F3044F1">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C0ED234">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r>
      <w:tr w14:paraId="4D73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4C9735A">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B05B569">
            <w:pPr>
              <w:pStyle w:val="211"/>
              <w:keepNext w:val="0"/>
              <w:keepLines w:val="0"/>
              <w:suppressLineNumbers w:val="0"/>
              <w:snapToGrid w:val="0"/>
              <w:spacing w:before="0" w:beforeAutospacing="0" w:after="0" w:afterAutospacing="0" w:line="360" w:lineRule="auto"/>
              <w:ind w:left="0" w:right="0" w:firstLine="200"/>
              <w:jc w:val="center"/>
              <w:rPr>
                <w:rFonts w:hint="eastAsia" w:ascii="仿宋_GB2312" w:hAnsi="仿宋_GB2312" w:eastAsia="仿宋_GB2312" w:cs="仿宋_GB2312"/>
                <w:color w:val="auto"/>
                <w:sz w:val="24"/>
                <w:szCs w:val="24"/>
              </w:rPr>
            </w:pPr>
          </w:p>
        </w:tc>
      </w:tr>
    </w:tbl>
    <w:p w14:paraId="2AC67783">
      <w:pPr>
        <w:pStyle w:val="314"/>
        <w:snapToGrid w:val="0"/>
        <w:spacing w:before="0" w:beforeAutospacing="0" w:after="0" w:afterAutospacing="0" w:line="360" w:lineRule="auto"/>
        <w:ind w:firstLine="480"/>
        <w:rPr>
          <w:rFonts w:hint="eastAsia" w:ascii="仿宋_GB2312" w:hAnsi="仿宋_GB2312" w:eastAsia="仿宋_GB2312" w:cs="仿宋_GB2312"/>
          <w:b/>
          <w:color w:val="auto"/>
        </w:rPr>
      </w:pPr>
      <w:bookmarkStart w:id="23" w:name="_Toc1814"/>
      <w:bookmarkStart w:id="24" w:name="_Toc22618"/>
      <w:bookmarkStart w:id="25" w:name="_Toc10340"/>
      <w:r>
        <w:rPr>
          <w:rFonts w:hint="eastAsia" w:ascii="仿宋_GB2312" w:hAnsi="仿宋_GB2312" w:eastAsia="仿宋_GB2312" w:cs="仿宋_GB2312"/>
          <w:b/>
          <w:color w:val="auto"/>
        </w:rPr>
        <w:t>1.4履约保证金</w:t>
      </w:r>
    </w:p>
    <w:p w14:paraId="5863BD39">
      <w:pPr>
        <w:pStyle w:val="314"/>
        <w:snapToGrid w:val="0"/>
        <w:spacing w:before="0" w:beforeAutospacing="0" w:after="0" w:afterAutospacing="0" w:line="360" w:lineRule="auto"/>
        <w:ind w:firstLine="480"/>
        <w:rPr>
          <w:rFonts w:hint="eastAsia" w:ascii="仿宋_GB2312" w:hAnsi="仿宋_GB2312" w:eastAsia="仿宋_GB2312" w:cs="仿宋_GB2312"/>
          <w:color w:val="auto"/>
        </w:rPr>
      </w:pPr>
      <w:r>
        <w:rPr>
          <w:rFonts w:hint="eastAsia" w:ascii="仿宋_GB2312" w:hAnsi="仿宋_GB2312" w:eastAsia="仿宋_GB2312" w:cs="仿宋_GB2312"/>
          <w:color w:val="auto"/>
        </w:rPr>
        <w:t>乙方</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（是/否）需要支付履约保证金。若需要支付履约保证金的，则：</w:t>
      </w:r>
    </w:p>
    <w:p w14:paraId="49D44EE7">
      <w:pPr>
        <w:snapToGrid w:val="0"/>
        <w:spacing w:line="360" w:lineRule="auto"/>
        <w:ind w:firstLine="480" w:firstLineChars="200"/>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1.4.1履约保证金的比例为合同金额的</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kern w:val="0"/>
          <w:sz w:val="24"/>
        </w:rPr>
        <w:t>%；</w:t>
      </w:r>
      <w:bookmarkStart w:id="169" w:name="_GoBack"/>
      <w:bookmarkEnd w:id="169"/>
    </w:p>
    <w:p w14:paraId="4874BC3C">
      <w:pPr>
        <w:snapToGrid w:val="0"/>
        <w:spacing w:line="360" w:lineRule="auto"/>
        <w:ind w:firstLine="480" w:firstLineChars="200"/>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1.4.2履约保证金支付方式详见</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kern w:val="0"/>
          <w:sz w:val="24"/>
        </w:rPr>
        <w:t>；</w:t>
      </w:r>
    </w:p>
    <w:p w14:paraId="5CFDA118">
      <w:pPr>
        <w:snapToGrid w:val="0"/>
        <w:spacing w:line="360" w:lineRule="auto"/>
        <w:ind w:firstLine="480" w:firstLineChars="200"/>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636FE5">
      <w:pPr>
        <w:snapToGrid w:val="0"/>
        <w:spacing w:line="360" w:lineRule="auto"/>
        <w:ind w:firstLine="480" w:firstLineChars="200"/>
        <w:outlineLvl w:val="0"/>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4"/>
        </w:rPr>
        <w:t>1.4.4 甲方在项目验收结束后及时退还履约保证金。甲方在项目通过验收之日起</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kern w:val="0"/>
          <w:sz w:val="24"/>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kern w:val="0"/>
          <w:sz w:val="24"/>
        </w:rPr>
        <w:t>%计算，最高限额为本合同履约保证金的</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kern w:val="0"/>
          <w:sz w:val="24"/>
        </w:rPr>
        <w:t xml:space="preserve"> %。</w:t>
      </w:r>
    </w:p>
    <w:p w14:paraId="36E13227">
      <w:pPr>
        <w:snapToGrid w:val="0"/>
        <w:spacing w:line="360" w:lineRule="auto"/>
        <w:ind w:firstLine="482" w:firstLineChars="200"/>
        <w:outlineLvl w:val="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1.5</w:t>
      </w:r>
      <w:bookmarkEnd w:id="23"/>
      <w:bookmarkEnd w:id="24"/>
      <w:bookmarkEnd w:id="25"/>
      <w:r>
        <w:rPr>
          <w:rFonts w:hint="eastAsia" w:ascii="仿宋_GB2312" w:hAnsi="仿宋_GB2312" w:eastAsia="仿宋_GB2312" w:cs="仿宋_GB2312"/>
          <w:b/>
          <w:color w:val="auto"/>
          <w:sz w:val="24"/>
        </w:rPr>
        <w:t>预付款</w:t>
      </w:r>
    </w:p>
    <w:p w14:paraId="06D6C7E3">
      <w:pPr>
        <w:pStyle w:val="314"/>
        <w:snapToGrid w:val="0"/>
        <w:spacing w:before="0" w:beforeAutospacing="0" w:after="0" w:afterAutospacing="0" w:line="360" w:lineRule="auto"/>
        <w:ind w:firstLine="480"/>
        <w:rPr>
          <w:rFonts w:hint="eastAsia" w:ascii="仿宋_GB2312" w:hAnsi="仿宋_GB2312" w:eastAsia="仿宋_GB2312" w:cs="仿宋_GB2312"/>
          <w:color w:val="auto"/>
        </w:rPr>
      </w:pPr>
      <w:r>
        <w:rPr>
          <w:rFonts w:hint="eastAsia" w:ascii="仿宋_GB2312" w:hAnsi="仿宋_GB2312" w:eastAsia="仿宋_GB2312" w:cs="仿宋_GB2312"/>
          <w:color w:val="auto"/>
        </w:rPr>
        <w:t>甲方</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（是/否）需要支付预付款。若需要支付预付款的，则：</w:t>
      </w:r>
    </w:p>
    <w:p w14:paraId="20281FB1">
      <w:pPr>
        <w:snapToGrid w:val="0"/>
        <w:spacing w:line="360" w:lineRule="auto"/>
        <w:ind w:firstLine="480" w:firstLineChars="20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1.5.1预付款比例、支付方式、时间详见</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kern w:val="0"/>
          <w:sz w:val="24"/>
          <w:u w:val="single"/>
        </w:rPr>
        <w:t xml:space="preserve">           </w:t>
      </w:r>
      <w:r>
        <w:rPr>
          <w:rFonts w:hint="eastAsia" w:ascii="仿宋_GB2312" w:hAnsi="仿宋_GB2312" w:eastAsia="仿宋_GB2312" w:cs="仿宋_GB2312"/>
          <w:color w:val="auto"/>
          <w:kern w:val="0"/>
          <w:sz w:val="24"/>
        </w:rPr>
        <w:t>；</w:t>
      </w:r>
    </w:p>
    <w:p w14:paraId="2AAAB291">
      <w:pPr>
        <w:pStyle w:val="314"/>
        <w:snapToGrid w:val="0"/>
        <w:spacing w:before="0" w:beforeAutospacing="0" w:after="0" w:afterAutospacing="0" w:line="360" w:lineRule="auto"/>
        <w:ind w:firstLine="480"/>
        <w:rPr>
          <w:rFonts w:hint="eastAsia" w:ascii="仿宋_GB2312" w:hAnsi="仿宋_GB2312" w:eastAsia="仿宋_GB2312" w:cs="仿宋_GB2312"/>
          <w:color w:val="auto"/>
        </w:rPr>
      </w:pPr>
      <w:r>
        <w:rPr>
          <w:rFonts w:hint="eastAsia" w:ascii="仿宋_GB2312" w:hAnsi="仿宋_GB2312" w:eastAsia="仿宋_GB2312" w:cs="仿宋_GB2312"/>
          <w:color w:val="auto"/>
        </w:rPr>
        <w:t>1.5.2预付款的扣回方式详见</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b/>
          <w:i/>
          <w:color w:val="auto"/>
          <w:u w:val="single"/>
        </w:rPr>
        <w:t>合同专用条款</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w:t>
      </w:r>
    </w:p>
    <w:p w14:paraId="274A6753">
      <w:pPr>
        <w:pStyle w:val="314"/>
        <w:snapToGrid w:val="0"/>
        <w:spacing w:before="0" w:beforeAutospacing="0" w:after="0" w:afterAutospacing="0" w:line="360" w:lineRule="auto"/>
        <w:ind w:firstLine="480"/>
        <w:rPr>
          <w:rFonts w:hint="eastAsia" w:ascii="仿宋_GB2312" w:hAnsi="仿宋_GB2312" w:eastAsia="仿宋_GB2312" w:cs="仿宋_GB2312"/>
          <w:color w:val="auto"/>
          <w:u w:val="single"/>
        </w:rPr>
      </w:pPr>
      <w:r>
        <w:rPr>
          <w:rFonts w:hint="eastAsia" w:ascii="仿宋_GB2312" w:hAnsi="仿宋_GB2312" w:eastAsia="仿宋_GB2312" w:cs="仿宋_GB2312"/>
          <w:color w:val="auto"/>
        </w:rPr>
        <w:t>1.5.3预付款的担保措施详见</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b/>
          <w:i/>
          <w:color w:val="auto"/>
          <w:u w:val="single"/>
        </w:rPr>
        <w:t>合同专用条款</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w:t>
      </w:r>
    </w:p>
    <w:p w14:paraId="72ADC20C">
      <w:pPr>
        <w:pStyle w:val="314"/>
        <w:snapToGrid w:val="0"/>
        <w:spacing w:before="0" w:beforeAutospacing="0" w:after="0" w:afterAutospacing="0" w:line="360" w:lineRule="auto"/>
        <w:ind w:firstLine="48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1.6资金支付</w:t>
      </w:r>
    </w:p>
    <w:p w14:paraId="2B30E90A">
      <w:pPr>
        <w:pStyle w:val="314"/>
        <w:snapToGrid w:val="0"/>
        <w:spacing w:before="0" w:beforeAutospacing="0" w:after="0" w:afterAutospacing="0" w:line="360" w:lineRule="auto"/>
        <w:ind w:firstLine="480"/>
        <w:rPr>
          <w:rFonts w:hint="eastAsia" w:ascii="仿宋_GB2312" w:hAnsi="仿宋_GB2312" w:eastAsia="仿宋_GB2312" w:cs="仿宋_GB2312"/>
          <w:color w:val="auto"/>
        </w:rPr>
      </w:pPr>
      <w:r>
        <w:rPr>
          <w:rFonts w:hint="eastAsia" w:ascii="仿宋_GB2312" w:hAnsi="仿宋_GB2312" w:eastAsia="仿宋_GB2312" w:cs="仿宋_GB2312"/>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4B08E97">
      <w:pPr>
        <w:snapToGrid w:val="0"/>
        <w:spacing w:line="360" w:lineRule="auto"/>
        <w:ind w:firstLine="480" w:firstLineChars="200"/>
        <w:outlineLvl w:val="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1.6.2资金支付的方式、时间和条件详见</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w:t>
      </w:r>
    </w:p>
    <w:p w14:paraId="1AA5DF0A">
      <w:pPr>
        <w:snapToGrid w:val="0"/>
        <w:spacing w:line="360" w:lineRule="auto"/>
        <w:ind w:firstLine="482" w:firstLineChars="200"/>
        <w:outlineLvl w:val="0"/>
        <w:rPr>
          <w:rFonts w:hint="eastAsia" w:ascii="仿宋_GB2312" w:hAnsi="仿宋_GB2312" w:eastAsia="仿宋_GB2312" w:cs="仿宋_GB2312"/>
          <w:b/>
          <w:color w:val="auto"/>
          <w:sz w:val="24"/>
        </w:rPr>
      </w:pPr>
      <w:bookmarkStart w:id="26" w:name="_Toc32071"/>
      <w:bookmarkStart w:id="27" w:name="_Toc19304"/>
      <w:bookmarkStart w:id="28" w:name="_Toc2846"/>
      <w:r>
        <w:rPr>
          <w:rFonts w:hint="eastAsia" w:ascii="仿宋_GB2312" w:hAnsi="仿宋_GB2312" w:eastAsia="仿宋_GB2312" w:cs="仿宋_GB2312"/>
          <w:b/>
          <w:color w:val="auto"/>
          <w:sz w:val="24"/>
        </w:rPr>
        <w:t>1.7货物交付期限、地点和方式</w:t>
      </w:r>
      <w:bookmarkEnd w:id="26"/>
      <w:bookmarkEnd w:id="27"/>
      <w:bookmarkEnd w:id="28"/>
    </w:p>
    <w:p w14:paraId="760FF460">
      <w:pPr>
        <w:snapToGrid w:val="0"/>
        <w:spacing w:line="360" w:lineRule="auto"/>
        <w:ind w:firstLine="480" w:firstLineChars="200"/>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1.7.1 交付期限：详见</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w:t>
      </w:r>
    </w:p>
    <w:p w14:paraId="4E315055">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1.7.2 交付地点：</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w:t>
      </w:r>
    </w:p>
    <w:p w14:paraId="498E762B">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1.7.3 交付方式：</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w:t>
      </w:r>
    </w:p>
    <w:p w14:paraId="49BA2328">
      <w:pPr>
        <w:snapToGrid w:val="0"/>
        <w:spacing w:line="360" w:lineRule="auto"/>
        <w:ind w:firstLine="482" w:firstLineChars="200"/>
        <w:outlineLvl w:val="0"/>
        <w:rPr>
          <w:rFonts w:hint="eastAsia" w:ascii="仿宋_GB2312" w:hAnsi="仿宋_GB2312" w:eastAsia="仿宋_GB2312" w:cs="仿宋_GB2312"/>
          <w:b/>
          <w:color w:val="auto"/>
          <w:sz w:val="24"/>
        </w:rPr>
      </w:pPr>
      <w:bookmarkStart w:id="29" w:name="_Toc21423"/>
      <w:bookmarkStart w:id="30" w:name="_Toc27250"/>
      <w:bookmarkStart w:id="31" w:name="_Toc19554"/>
      <w:r>
        <w:rPr>
          <w:rFonts w:hint="eastAsia" w:ascii="仿宋_GB2312" w:hAnsi="仿宋_GB2312" w:eastAsia="仿宋_GB2312" w:cs="仿宋_GB2312"/>
          <w:b/>
          <w:color w:val="auto"/>
          <w:sz w:val="24"/>
        </w:rPr>
        <w:t>1.8违约责任</w:t>
      </w:r>
      <w:bookmarkEnd w:id="29"/>
      <w:bookmarkEnd w:id="30"/>
      <w:bookmarkEnd w:id="31"/>
    </w:p>
    <w:p w14:paraId="1C40E10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%计算，最高限额为本合同总价的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%；迟延交付货物的违约金计算数额达到前述最高限额之日起，甲方有权在要求乙方支付违约金的同时，书面通知乙方解除本合同；</w:t>
      </w:r>
    </w:p>
    <w:p w14:paraId="68DBCA89">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1.8.2 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%计算，最高限额为本合同总价的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%；迟延付款的违约金计算数额达到前述最高限额之日起，乙方有权在要求甲方支付违约金的同时，书面通知甲方解除本合同；</w:t>
      </w:r>
    </w:p>
    <w:p w14:paraId="5DF7297B">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88FB245">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172FA42">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1.8.5如果出现采购监督管理部门在处理投诉事项期间，书面通知甲方暂停采购活动的情形，或者询问或质疑事项可能影响中标或者成交结果的，导致甲方中止履行合同的情形，均不视为甲方违约。</w:t>
      </w:r>
    </w:p>
    <w:p w14:paraId="7DCBA7EB">
      <w:pPr>
        <w:snapToGrid w:val="0"/>
        <w:spacing w:line="360" w:lineRule="auto"/>
        <w:ind w:left="-420" w:leftChars="-200" w:right="-420" w:rightChars="-200" w:firstLine="960" w:firstLineChars="4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1.8.6违约责任</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另有约定的，从其约定。</w:t>
      </w:r>
    </w:p>
    <w:p w14:paraId="52FAB80A">
      <w:pPr>
        <w:snapToGrid w:val="0"/>
        <w:spacing w:line="360" w:lineRule="auto"/>
        <w:ind w:firstLine="482" w:firstLineChars="200"/>
        <w:outlineLvl w:val="0"/>
        <w:rPr>
          <w:rFonts w:hint="eastAsia" w:ascii="仿宋_GB2312" w:hAnsi="仿宋_GB2312" w:eastAsia="仿宋_GB2312" w:cs="仿宋_GB2312"/>
          <w:b/>
          <w:color w:val="auto"/>
          <w:sz w:val="24"/>
        </w:rPr>
      </w:pPr>
      <w:bookmarkStart w:id="32" w:name="_Toc16021"/>
      <w:bookmarkStart w:id="33" w:name="_Toc28375"/>
      <w:bookmarkStart w:id="34" w:name="_Toc15583"/>
      <w:r>
        <w:rPr>
          <w:rFonts w:hint="eastAsia" w:ascii="仿宋_GB2312" w:hAnsi="仿宋_GB2312" w:eastAsia="仿宋_GB2312" w:cs="仿宋_GB2312"/>
          <w:b/>
          <w:color w:val="auto"/>
          <w:sz w:val="24"/>
        </w:rPr>
        <w:t>1.9合同争议的解决</w:t>
      </w:r>
      <w:bookmarkEnd w:id="32"/>
      <w:bookmarkEnd w:id="33"/>
      <w:bookmarkEnd w:id="34"/>
    </w:p>
    <w:p w14:paraId="5B665995">
      <w:pPr>
        <w:snapToGrid w:val="0"/>
        <w:spacing w:line="360" w:lineRule="auto"/>
        <w:ind w:left="-61" w:leftChars="-29" w:right="-420" w:rightChars="-200" w:firstLine="240" w:firstLineChars="1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本合同履行过程中发生的任何争议，双方当事人均可通过和解或者调解解决；不愿和解、调解或者和解、调解不成的，将争议提交绍兴仲裁委员会仲裁。</w:t>
      </w:r>
    </w:p>
    <w:p w14:paraId="5729E64A">
      <w:pPr>
        <w:snapToGrid w:val="0"/>
        <w:spacing w:line="360" w:lineRule="auto"/>
        <w:ind w:firstLine="482" w:firstLineChars="200"/>
        <w:outlineLvl w:val="0"/>
        <w:rPr>
          <w:rFonts w:hint="eastAsia" w:ascii="仿宋_GB2312" w:hAnsi="仿宋_GB2312" w:eastAsia="仿宋_GB2312" w:cs="仿宋_GB2312"/>
          <w:b/>
          <w:color w:val="auto"/>
          <w:sz w:val="24"/>
        </w:rPr>
      </w:pPr>
      <w:bookmarkStart w:id="35" w:name="_Toc7245"/>
      <w:bookmarkStart w:id="36" w:name="_Toc11173"/>
      <w:bookmarkStart w:id="37" w:name="_Toc15322"/>
      <w:r>
        <w:rPr>
          <w:rFonts w:hint="eastAsia" w:ascii="仿宋_GB2312" w:hAnsi="仿宋_GB2312" w:eastAsia="仿宋_GB2312" w:cs="仿宋_GB2312"/>
          <w:b/>
          <w:color w:val="auto"/>
          <w:sz w:val="24"/>
        </w:rPr>
        <w:t>2.0 合同生效</w:t>
      </w:r>
      <w:bookmarkEnd w:id="35"/>
      <w:bookmarkEnd w:id="36"/>
      <w:bookmarkEnd w:id="37"/>
    </w:p>
    <w:p w14:paraId="1B2562AC">
      <w:pPr>
        <w:snapToGrid w:val="0"/>
        <w:spacing w:line="360" w:lineRule="auto"/>
        <w:ind w:firstLine="480" w:firstLineChars="200"/>
        <w:rPr>
          <w:rFonts w:hint="eastAsia" w:ascii="仿宋_GB2312" w:hAnsi="仿宋_GB2312" w:eastAsia="仿宋_GB2312" w:cs="仿宋_GB2312"/>
          <w:b/>
          <w:color w:val="auto"/>
          <w:sz w:val="24"/>
        </w:rPr>
      </w:pPr>
      <w:r>
        <w:rPr>
          <w:rFonts w:hint="eastAsia" w:ascii="仿宋_GB2312" w:hAnsi="仿宋_GB2312" w:eastAsia="仿宋_GB2312" w:cs="仿宋_GB2312"/>
          <w:color w:val="auto"/>
          <w:sz w:val="24"/>
        </w:rPr>
        <w:t>本合同自双方当事人盖章签字时生效。</w:t>
      </w:r>
    </w:p>
    <w:p w14:paraId="5B2DC07E">
      <w:pPr>
        <w:autoSpaceDE w:val="0"/>
        <w:autoSpaceDN w:val="0"/>
        <w:snapToGrid w:val="0"/>
        <w:spacing w:line="360" w:lineRule="auto"/>
        <w:rPr>
          <w:rFonts w:hint="eastAsia" w:ascii="仿宋_GB2312" w:hAnsi="仿宋_GB2312" w:eastAsia="仿宋_GB2312" w:cs="仿宋_GB2312"/>
          <w:color w:val="auto"/>
          <w:sz w:val="24"/>
          <w:lang w:val="zh-CN"/>
        </w:rPr>
      </w:pPr>
    </w:p>
    <w:p w14:paraId="34CD4A2C">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b/>
          <w:color w:val="auto"/>
          <w:sz w:val="24"/>
          <w:lang w:val="zh-CN"/>
        </w:rPr>
        <w:t>甲方</w:t>
      </w:r>
      <w:r>
        <w:rPr>
          <w:rFonts w:hint="eastAsia" w:ascii="仿宋_GB2312" w:hAnsi="仿宋_GB2312" w:eastAsia="仿宋_GB2312" w:cs="仿宋_GB2312"/>
          <w:color w:val="auto"/>
          <w:sz w:val="24"/>
          <w:lang w:val="zh-CN"/>
        </w:rPr>
        <w:t xml:space="preserve">：                             </w:t>
      </w:r>
      <w:r>
        <w:rPr>
          <w:rFonts w:hint="eastAsia" w:ascii="仿宋_GB2312" w:hAnsi="仿宋_GB2312" w:eastAsia="仿宋_GB2312" w:cs="仿宋_GB2312"/>
          <w:b/>
          <w:color w:val="auto"/>
          <w:sz w:val="24"/>
          <w:lang w:val="zh-CN"/>
        </w:rPr>
        <w:t xml:space="preserve">      乙方</w:t>
      </w:r>
      <w:r>
        <w:rPr>
          <w:rFonts w:hint="eastAsia" w:ascii="仿宋_GB2312" w:hAnsi="仿宋_GB2312" w:eastAsia="仿宋_GB2312" w:cs="仿宋_GB2312"/>
          <w:color w:val="auto"/>
          <w:sz w:val="24"/>
          <w:lang w:val="zh-CN"/>
        </w:rPr>
        <w:t>：</w:t>
      </w:r>
    </w:p>
    <w:p w14:paraId="160126E5">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统一社会信用代码：                        统一社会信用代码或身份证号码：</w:t>
      </w:r>
    </w:p>
    <w:p w14:paraId="13FCB643">
      <w:pPr>
        <w:autoSpaceDE w:val="0"/>
        <w:autoSpaceDN w:val="0"/>
        <w:snapToGrid w:val="0"/>
        <w:spacing w:line="360" w:lineRule="auto"/>
        <w:rPr>
          <w:rFonts w:hint="eastAsia" w:ascii="仿宋_GB2312" w:hAnsi="仿宋_GB2312" w:eastAsia="仿宋_GB2312" w:cs="仿宋_GB2312"/>
          <w:color w:val="auto"/>
          <w:sz w:val="24"/>
          <w:lang w:val="zh-CN"/>
        </w:rPr>
      </w:pPr>
    </w:p>
    <w:p w14:paraId="50C1ABD4">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住所：                                   住所：</w:t>
      </w:r>
    </w:p>
    <w:p w14:paraId="45A458C6">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法定代表人或                             法定代表人</w:t>
      </w:r>
    </w:p>
    <w:p w14:paraId="5F63C064">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 xml:space="preserve">授权代表（签字）：                        或授权代表（签字）: </w:t>
      </w:r>
    </w:p>
    <w:p w14:paraId="3CF2A9F2">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联系人：                                 联系人：</w:t>
      </w:r>
    </w:p>
    <w:p w14:paraId="3EEDDDE3">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约定送达地址：                           约定送达地址：</w:t>
      </w:r>
    </w:p>
    <w:p w14:paraId="35031E08">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邮政编码：                               邮政编码：</w:t>
      </w:r>
    </w:p>
    <w:p w14:paraId="206B1CA5">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 xml:space="preserve">电话:                                    电话: </w:t>
      </w:r>
    </w:p>
    <w:p w14:paraId="51D10612">
      <w:pPr>
        <w:autoSpaceDE w:val="0"/>
        <w:autoSpaceDN w:val="0"/>
        <w:snapToGrid w:val="0"/>
        <w:spacing w:line="360" w:lineRule="auto"/>
        <w:rPr>
          <w:rFonts w:hint="eastAsia" w:ascii="仿宋_GB2312" w:hAnsi="仿宋_GB2312" w:eastAsia="仿宋_GB2312" w:cs="仿宋_GB2312"/>
          <w:color w:val="auto"/>
          <w:sz w:val="24"/>
          <w:lang w:val="zh-CN"/>
        </w:rPr>
      </w:pPr>
      <w:r>
        <w:rPr>
          <w:rFonts w:hint="eastAsia" w:ascii="仿宋_GB2312" w:hAnsi="仿宋_GB2312" w:eastAsia="仿宋_GB2312" w:cs="仿宋_GB2312"/>
          <w:color w:val="auto"/>
          <w:sz w:val="24"/>
          <w:lang w:val="zh-CN"/>
        </w:rPr>
        <w:t>传真:                                    传真:</w:t>
      </w:r>
    </w:p>
    <w:p w14:paraId="63CF194E">
      <w:pPr>
        <w:autoSpaceDE w:val="0"/>
        <w:autoSpaceDN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zh-CN"/>
        </w:rPr>
        <w:t>电子邮箱：                               电子邮箱：</w:t>
      </w:r>
    </w:p>
    <w:p w14:paraId="55E9BAE7">
      <w:pPr>
        <w:autoSpaceDE w:val="0"/>
        <w:autoSpaceDN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开户银行：                               开户银行： </w:t>
      </w:r>
    </w:p>
    <w:p w14:paraId="683F7F12">
      <w:pPr>
        <w:autoSpaceDE w:val="0"/>
        <w:autoSpaceDN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开户名称：                               开户名称： </w:t>
      </w:r>
    </w:p>
    <w:p w14:paraId="46E4DA90">
      <w:pPr>
        <w:autoSpaceDE w:val="0"/>
        <w:autoSpaceDN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开户账号：</w:t>
      </w:r>
      <w:r>
        <w:rPr>
          <w:rFonts w:hint="eastAsia" w:ascii="仿宋_GB2312" w:hAnsi="仿宋_GB2312" w:eastAsia="仿宋_GB2312" w:cs="仿宋_GB2312"/>
          <w:color w:val="auto"/>
          <w:sz w:val="24"/>
          <w:lang w:val="zh-CN"/>
        </w:rPr>
        <w:t xml:space="preserve">                               </w:t>
      </w:r>
      <w:r>
        <w:rPr>
          <w:rFonts w:hint="eastAsia" w:ascii="仿宋_GB2312" w:hAnsi="仿宋_GB2312" w:eastAsia="仿宋_GB2312" w:cs="仿宋_GB2312"/>
          <w:color w:val="auto"/>
          <w:sz w:val="24"/>
        </w:rPr>
        <w:t>开户账号：</w:t>
      </w:r>
    </w:p>
    <w:p w14:paraId="63D378ED">
      <w:pPr>
        <w:widowControl/>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rPr>
        <w:br w:type="page"/>
      </w:r>
    </w:p>
    <w:p w14:paraId="41EFD0D4">
      <w:pPr>
        <w:pStyle w:val="313"/>
        <w:spacing w:after="0"/>
        <w:ind w:firstLine="482"/>
        <w:jc w:val="center"/>
        <w:rPr>
          <w:rFonts w:hint="eastAsia" w:ascii="仿宋_GB2312" w:hAnsi="仿宋_GB2312" w:eastAsia="仿宋_GB2312" w:cs="仿宋_GB2312"/>
          <w:b/>
          <w:color w:val="auto"/>
          <w:szCs w:val="24"/>
        </w:rPr>
      </w:pPr>
    </w:p>
    <w:p w14:paraId="7E03E61F">
      <w:pPr>
        <w:pStyle w:val="313"/>
        <w:spacing w:after="0"/>
        <w:ind w:firstLine="482"/>
        <w:jc w:val="center"/>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第二部分 合同一般条款</w:t>
      </w:r>
    </w:p>
    <w:p w14:paraId="31625420">
      <w:pPr>
        <w:snapToGrid w:val="0"/>
        <w:spacing w:line="360" w:lineRule="auto"/>
        <w:ind w:firstLine="482" w:firstLineChars="200"/>
        <w:outlineLvl w:val="0"/>
        <w:rPr>
          <w:rFonts w:hint="eastAsia" w:ascii="仿宋_GB2312" w:hAnsi="仿宋_GB2312" w:eastAsia="仿宋_GB2312" w:cs="仿宋_GB2312"/>
          <w:b/>
          <w:color w:val="auto"/>
          <w:sz w:val="24"/>
        </w:rPr>
      </w:pPr>
      <w:bookmarkStart w:id="38" w:name="_Ref467379225"/>
      <w:bookmarkStart w:id="39" w:name="_Toc28763"/>
      <w:bookmarkStart w:id="40" w:name="_Ref467379214"/>
      <w:bookmarkStart w:id="41" w:name="_Toc259093669"/>
      <w:bookmarkStart w:id="42" w:name="_Toc279701240"/>
      <w:bookmarkStart w:id="43" w:name="_Ref467379109"/>
      <w:bookmarkStart w:id="44" w:name="_Ref467379094"/>
      <w:bookmarkStart w:id="45" w:name="_Toc16917"/>
      <w:bookmarkStart w:id="46" w:name="_Ref467378404"/>
      <w:bookmarkStart w:id="47" w:name="_Ref467378499"/>
      <w:bookmarkStart w:id="48" w:name="_Toc19614"/>
      <w:bookmarkStart w:id="49" w:name="_Ref467379195"/>
      <w:bookmarkStart w:id="50" w:name="_Ref467379101"/>
      <w:bookmarkStart w:id="51" w:name="_Ref467378463"/>
      <w:bookmarkStart w:id="52" w:name="_Ref467379205"/>
      <w:bookmarkStart w:id="53" w:name="_Toc487900349"/>
      <w:r>
        <w:rPr>
          <w:rFonts w:hint="eastAsia" w:ascii="仿宋_GB2312" w:hAnsi="仿宋_GB2312" w:eastAsia="仿宋_GB2312" w:cs="仿宋_GB2312"/>
          <w:b/>
          <w:color w:val="auto"/>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53976FFC">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本合同中的下列词语应按以下内容进行解释：</w:t>
      </w:r>
    </w:p>
    <w:p w14:paraId="22D5ED5A">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2.1.1 “合同”系指采购人和中标或成交供应商签订的载明双方当事人所达成的协议，并包括所有的附件、附录和构成合同的其他文件。</w:t>
      </w:r>
    </w:p>
    <w:p w14:paraId="50DDB200">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 “合同价”系指根据合同约定，中标或成交供应商在完全履行合同义务后，采购人应支付给中标或成交供应商的价格。</w:t>
      </w:r>
    </w:p>
    <w:p w14:paraId="59B76C4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08614947">
      <w:pPr>
        <w:snapToGrid w:val="0"/>
        <w:spacing w:line="360" w:lineRule="auto"/>
        <w:ind w:firstLine="480" w:firstLineChars="200"/>
        <w:rPr>
          <w:rFonts w:hint="eastAsia" w:ascii="仿宋_GB2312" w:hAnsi="仿宋_GB2312" w:eastAsia="仿宋_GB2312" w:cs="仿宋_GB2312"/>
          <w:color w:val="auto"/>
          <w:sz w:val="24"/>
        </w:rPr>
      </w:pPr>
      <w:bookmarkStart w:id="54" w:name="_Ref467378840"/>
      <w:r>
        <w:rPr>
          <w:rFonts w:hint="eastAsia" w:ascii="仿宋_GB2312" w:hAnsi="仿宋_GB2312" w:eastAsia="仿宋_GB2312" w:cs="仿宋_GB2312"/>
          <w:color w:val="auto"/>
          <w:sz w:val="24"/>
        </w:rPr>
        <w:t>2.1.4 “甲方”系指与中标或成交供应商签署合同的采购人</w:t>
      </w:r>
      <w:bookmarkEnd w:id="54"/>
      <w:r>
        <w:rPr>
          <w:rFonts w:hint="eastAsia" w:ascii="仿宋_GB2312" w:hAnsi="仿宋_GB2312" w:eastAsia="仿宋_GB2312" w:cs="仿宋_GB2312"/>
          <w:color w:val="auto"/>
          <w:sz w:val="24"/>
        </w:rPr>
        <w:t>；采购人委托采购代理机构代表其与乙方签订合同的，采购人的授权委托书作为合同附件。</w:t>
      </w:r>
    </w:p>
    <w:p w14:paraId="1EC2CC43">
      <w:pPr>
        <w:snapToGrid w:val="0"/>
        <w:spacing w:line="360" w:lineRule="auto"/>
        <w:ind w:firstLine="480" w:firstLineChars="200"/>
        <w:rPr>
          <w:rFonts w:hint="eastAsia" w:ascii="仿宋_GB2312" w:hAnsi="仿宋_GB2312" w:eastAsia="仿宋_GB2312" w:cs="仿宋_GB2312"/>
          <w:color w:val="auto"/>
          <w:sz w:val="24"/>
        </w:rPr>
      </w:pPr>
      <w:bookmarkStart w:id="55" w:name="_Ref467379400"/>
      <w:r>
        <w:rPr>
          <w:rFonts w:hint="eastAsia" w:ascii="仿宋_GB2312" w:hAnsi="仿宋_GB2312" w:eastAsia="仿宋_GB2312" w:cs="仿宋_GB2312"/>
          <w:color w:val="auto"/>
          <w:sz w:val="24"/>
        </w:rPr>
        <w:t>2.1.5 “乙方”系指根据合同约定交付货物的中标或成交供应商</w:t>
      </w:r>
      <w:bookmarkEnd w:id="55"/>
      <w:r>
        <w:rPr>
          <w:rFonts w:hint="eastAsia" w:ascii="仿宋_GB2312" w:hAnsi="仿宋_GB2312" w:eastAsia="仿宋_GB2312" w:cs="仿宋_GB2312"/>
          <w:color w:val="auto"/>
          <w:sz w:val="24"/>
        </w:rPr>
        <w:t>；两个以上的自然人、法人或者其他组织组成一个联合体，以一个供应商的身份共同参加采购的，联合体各方均应为乙方或者与乙方相同地位的合同当事人，并就合同约定的事项对甲方承担连带责任。</w:t>
      </w:r>
    </w:p>
    <w:p w14:paraId="31F8A7B1">
      <w:pPr>
        <w:snapToGrid w:val="0"/>
        <w:spacing w:line="360" w:lineRule="auto"/>
        <w:ind w:firstLine="480" w:firstLineChars="200"/>
        <w:rPr>
          <w:rFonts w:hint="eastAsia" w:ascii="仿宋_GB2312" w:hAnsi="仿宋_GB2312" w:eastAsia="仿宋_GB2312" w:cs="仿宋_GB2312"/>
          <w:color w:val="auto"/>
          <w:sz w:val="24"/>
        </w:rPr>
      </w:pPr>
      <w:bookmarkStart w:id="56" w:name="_Ref467379436"/>
      <w:r>
        <w:rPr>
          <w:rFonts w:hint="eastAsia" w:ascii="仿宋_GB2312" w:hAnsi="仿宋_GB2312" w:eastAsia="仿宋_GB2312" w:cs="仿宋_GB2312"/>
          <w:color w:val="auto"/>
          <w:sz w:val="24"/>
        </w:rPr>
        <w:t>2.1.6 “现场”系指合同约定货物将要运至或者安装的地点。</w:t>
      </w:r>
      <w:bookmarkEnd w:id="56"/>
    </w:p>
    <w:p w14:paraId="5606A444">
      <w:pPr>
        <w:snapToGrid w:val="0"/>
        <w:spacing w:line="360" w:lineRule="auto"/>
        <w:ind w:firstLine="482" w:firstLineChars="200"/>
        <w:outlineLvl w:val="0"/>
        <w:rPr>
          <w:rFonts w:hint="eastAsia" w:ascii="仿宋_GB2312" w:hAnsi="仿宋_GB2312" w:eastAsia="仿宋_GB2312" w:cs="仿宋_GB2312"/>
          <w:b/>
          <w:color w:val="auto"/>
          <w:sz w:val="24"/>
        </w:rPr>
      </w:pPr>
      <w:bookmarkStart w:id="57" w:name="_Toc259093670"/>
      <w:bookmarkStart w:id="58" w:name="_Toc13336"/>
      <w:bookmarkStart w:id="59" w:name="_Toc487900350"/>
      <w:bookmarkStart w:id="60" w:name="_Toc27635"/>
      <w:bookmarkStart w:id="61" w:name="_Toc279701241"/>
      <w:bookmarkStart w:id="62" w:name="_Toc32504"/>
      <w:r>
        <w:rPr>
          <w:rFonts w:hint="eastAsia" w:ascii="仿宋_GB2312" w:hAnsi="仿宋_GB2312" w:eastAsia="仿宋_GB2312" w:cs="仿宋_GB2312"/>
          <w:b/>
          <w:color w:val="auto"/>
          <w:sz w:val="24"/>
        </w:rPr>
        <w:t>2.2 技术规范</w:t>
      </w:r>
      <w:bookmarkEnd w:id="57"/>
      <w:bookmarkEnd w:id="58"/>
      <w:bookmarkEnd w:id="59"/>
      <w:bookmarkEnd w:id="60"/>
      <w:bookmarkEnd w:id="61"/>
      <w:bookmarkEnd w:id="62"/>
    </w:p>
    <w:p w14:paraId="71F0A1B5">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87BADE5">
      <w:pPr>
        <w:snapToGrid w:val="0"/>
        <w:spacing w:line="360" w:lineRule="auto"/>
        <w:ind w:firstLine="482" w:firstLineChars="200"/>
        <w:outlineLvl w:val="0"/>
        <w:rPr>
          <w:rFonts w:hint="eastAsia" w:ascii="仿宋_GB2312" w:hAnsi="仿宋_GB2312" w:eastAsia="仿宋_GB2312" w:cs="仿宋_GB2312"/>
          <w:b/>
          <w:color w:val="auto"/>
          <w:sz w:val="24"/>
        </w:rPr>
      </w:pPr>
      <w:bookmarkStart w:id="63" w:name="_Toc259093671"/>
      <w:bookmarkStart w:id="64" w:name="_Toc279701242"/>
      <w:bookmarkStart w:id="65" w:name="_Toc27853"/>
      <w:bookmarkStart w:id="66" w:name="_Toc9829"/>
      <w:bookmarkStart w:id="67" w:name="_Toc31634"/>
      <w:bookmarkStart w:id="68" w:name="_Toc487900351"/>
      <w:r>
        <w:rPr>
          <w:rFonts w:hint="eastAsia" w:ascii="仿宋_GB2312" w:hAnsi="仿宋_GB2312" w:eastAsia="仿宋_GB2312" w:cs="仿宋_GB2312"/>
          <w:b/>
          <w:color w:val="auto"/>
          <w:sz w:val="24"/>
        </w:rPr>
        <w:t>2.3 知识产权</w:t>
      </w:r>
      <w:bookmarkEnd w:id="63"/>
      <w:bookmarkEnd w:id="64"/>
      <w:bookmarkEnd w:id="65"/>
      <w:bookmarkEnd w:id="66"/>
      <w:bookmarkEnd w:id="67"/>
      <w:bookmarkEnd w:id="68"/>
    </w:p>
    <w:p w14:paraId="49BACD2F">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CA3C22">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2.3.2具有知识产权的计算机软件等货物的知识产权归属，详见</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w:t>
      </w:r>
    </w:p>
    <w:p w14:paraId="3DC4B116">
      <w:pPr>
        <w:snapToGrid w:val="0"/>
        <w:spacing w:line="360" w:lineRule="auto"/>
        <w:ind w:firstLine="482" w:firstLineChars="200"/>
        <w:outlineLvl w:val="0"/>
        <w:rPr>
          <w:rFonts w:hint="eastAsia" w:ascii="仿宋_GB2312" w:hAnsi="仿宋_GB2312" w:eastAsia="仿宋_GB2312" w:cs="仿宋_GB2312"/>
          <w:b/>
          <w:color w:val="auto"/>
          <w:sz w:val="24"/>
        </w:rPr>
      </w:pPr>
      <w:bookmarkStart w:id="69" w:name="_Toc11932"/>
      <w:bookmarkStart w:id="70" w:name="_Toc4194"/>
      <w:bookmarkStart w:id="71" w:name="_Toc29149"/>
      <w:r>
        <w:rPr>
          <w:rFonts w:hint="eastAsia" w:ascii="仿宋_GB2312" w:hAnsi="仿宋_GB2312" w:eastAsia="仿宋_GB2312" w:cs="仿宋_GB2312"/>
          <w:b/>
          <w:color w:val="auto"/>
          <w:sz w:val="24"/>
        </w:rPr>
        <w:t>2.4 包装和装运</w:t>
      </w:r>
      <w:bookmarkEnd w:id="69"/>
      <w:bookmarkEnd w:id="70"/>
      <w:bookmarkEnd w:id="71"/>
    </w:p>
    <w:p w14:paraId="2AA5050B">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2.4.1除</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B391331">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B814AA0">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2.4.3 装运货物的要求和通知，详见</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w:t>
      </w:r>
    </w:p>
    <w:p w14:paraId="7FCC3CCC">
      <w:pPr>
        <w:snapToGrid w:val="0"/>
        <w:spacing w:line="360" w:lineRule="auto"/>
        <w:ind w:firstLine="482" w:firstLineChars="200"/>
        <w:outlineLvl w:val="0"/>
        <w:rPr>
          <w:rFonts w:hint="eastAsia" w:ascii="仿宋_GB2312" w:hAnsi="仿宋_GB2312" w:eastAsia="仿宋_GB2312" w:cs="仿宋_GB2312"/>
          <w:b/>
          <w:color w:val="auto"/>
          <w:sz w:val="24"/>
        </w:rPr>
      </w:pPr>
      <w:bookmarkStart w:id="72" w:name="_Toc487900354"/>
      <w:bookmarkStart w:id="73" w:name="_Ref467379527"/>
      <w:bookmarkStart w:id="74" w:name="_Toc259093674"/>
      <w:bookmarkStart w:id="75" w:name="_Ref467379536"/>
      <w:bookmarkStart w:id="76" w:name="_Toc279701245"/>
      <w:bookmarkStart w:id="77" w:name="_Ref467378591"/>
      <w:bookmarkStart w:id="78" w:name="_Ref467379542"/>
      <w:bookmarkStart w:id="79" w:name="_Ref467378541"/>
      <w:bookmarkStart w:id="80" w:name="_Toc26182"/>
      <w:bookmarkStart w:id="81" w:name="_Toc19074"/>
      <w:bookmarkStart w:id="82" w:name="_Toc30272"/>
      <w:r>
        <w:rPr>
          <w:rFonts w:hint="eastAsia" w:ascii="仿宋_GB2312" w:hAnsi="仿宋_GB2312" w:eastAsia="仿宋_GB2312" w:cs="仿宋_GB2312"/>
          <w:b/>
          <w:color w:val="auto"/>
          <w:sz w:val="24"/>
        </w:rPr>
        <w:t>2.</w:t>
      </w:r>
      <w:bookmarkEnd w:id="72"/>
      <w:bookmarkEnd w:id="73"/>
      <w:bookmarkEnd w:id="74"/>
      <w:bookmarkEnd w:id="75"/>
      <w:bookmarkEnd w:id="76"/>
      <w:bookmarkEnd w:id="77"/>
      <w:bookmarkEnd w:id="78"/>
      <w:bookmarkEnd w:id="79"/>
      <w:r>
        <w:rPr>
          <w:rFonts w:hint="eastAsia" w:ascii="仿宋_GB2312" w:hAnsi="仿宋_GB2312" w:eastAsia="仿宋_GB2312" w:cs="仿宋_GB2312"/>
          <w:b/>
          <w:color w:val="auto"/>
          <w:sz w:val="24"/>
        </w:rPr>
        <w:t>5 履约检查和问题反馈</w:t>
      </w:r>
      <w:bookmarkEnd w:id="80"/>
      <w:bookmarkEnd w:id="81"/>
      <w:bookmarkEnd w:id="82"/>
    </w:p>
    <w:p w14:paraId="232869B5">
      <w:pPr>
        <w:snapToGrid w:val="0"/>
        <w:spacing w:line="360" w:lineRule="auto"/>
        <w:ind w:firstLine="480" w:firstLineChars="200"/>
        <w:rPr>
          <w:rFonts w:hint="eastAsia" w:ascii="仿宋_GB2312" w:hAnsi="仿宋_GB2312" w:eastAsia="仿宋_GB2312" w:cs="仿宋_GB2312"/>
          <w:color w:val="auto"/>
          <w:sz w:val="24"/>
        </w:rPr>
      </w:pPr>
      <w:bookmarkStart w:id="83" w:name="_Ref467379657"/>
      <w:r>
        <w:rPr>
          <w:rFonts w:hint="eastAsia" w:ascii="仿宋_GB2312" w:hAnsi="仿宋_GB2312" w:eastAsia="仿宋_GB2312" w:cs="仿宋_GB2312"/>
          <w:color w:val="auto"/>
          <w:sz w:val="24"/>
        </w:rPr>
        <w:t>2.5.1</w:t>
      </w:r>
      <w:bookmarkEnd w:id="83"/>
      <w:bookmarkStart w:id="84" w:name="_Toc186431854"/>
      <w:bookmarkStart w:id="85" w:name="_Ref467379807"/>
      <w:bookmarkStart w:id="86" w:name="_Toc279701247"/>
      <w:bookmarkStart w:id="87" w:name="_Toc259093676"/>
      <w:bookmarkStart w:id="88" w:name="_Toc487900357"/>
      <w:bookmarkStart w:id="89" w:name="_Ref467379793"/>
      <w:r>
        <w:rPr>
          <w:rFonts w:hint="eastAsia" w:ascii="仿宋_GB2312" w:hAnsi="仿宋_GB2312" w:eastAsia="仿宋_GB2312" w:cs="仿宋_GB2312"/>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2188E9FE">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2.5.2 合同履行期间，甲方有权将履行过程中出现的问题反馈给乙方，双方当事人应以书面形式约定需要完善和改进的内容</w:t>
      </w:r>
      <w:bookmarkEnd w:id="84"/>
      <w:bookmarkStart w:id="90" w:name="_Toc186431855"/>
      <w:r>
        <w:rPr>
          <w:rFonts w:hint="eastAsia" w:ascii="仿宋_GB2312" w:hAnsi="仿宋_GB2312" w:eastAsia="仿宋_GB2312" w:cs="仿宋_GB2312"/>
          <w:color w:val="auto"/>
          <w:sz w:val="24"/>
        </w:rPr>
        <w:t>。</w:t>
      </w:r>
    </w:p>
    <w:bookmarkEnd w:id="85"/>
    <w:bookmarkEnd w:id="86"/>
    <w:bookmarkEnd w:id="87"/>
    <w:bookmarkEnd w:id="88"/>
    <w:bookmarkEnd w:id="89"/>
    <w:bookmarkEnd w:id="90"/>
    <w:p w14:paraId="09EEF426">
      <w:pPr>
        <w:snapToGrid w:val="0"/>
        <w:spacing w:line="360" w:lineRule="auto"/>
        <w:ind w:firstLine="482" w:firstLineChars="200"/>
        <w:outlineLvl w:val="0"/>
        <w:rPr>
          <w:rFonts w:hint="eastAsia" w:ascii="仿宋_GB2312" w:hAnsi="仿宋_GB2312" w:eastAsia="仿宋_GB2312" w:cs="仿宋_GB2312"/>
          <w:b/>
          <w:color w:val="auto"/>
          <w:sz w:val="24"/>
        </w:rPr>
      </w:pPr>
      <w:bookmarkStart w:id="91" w:name="_Ref467379863"/>
      <w:bookmarkStart w:id="92" w:name="_Ref467379923"/>
      <w:bookmarkStart w:id="93" w:name="_Ref467379852"/>
      <w:bookmarkStart w:id="94" w:name="_Toc487900358"/>
      <w:bookmarkStart w:id="95" w:name="_Toc279701248"/>
      <w:bookmarkStart w:id="96" w:name="_Toc259093677"/>
      <w:bookmarkStart w:id="97" w:name="_Toc3225"/>
      <w:bookmarkStart w:id="98" w:name="_Toc16110"/>
      <w:bookmarkStart w:id="99" w:name="_Toc774"/>
      <w:r>
        <w:rPr>
          <w:rFonts w:hint="eastAsia" w:ascii="仿宋_GB2312" w:hAnsi="仿宋_GB2312" w:eastAsia="仿宋_GB2312" w:cs="仿宋_GB2312"/>
          <w:b/>
          <w:color w:val="auto"/>
          <w:sz w:val="24"/>
        </w:rPr>
        <w:t>2.6 技术资料</w:t>
      </w:r>
      <w:bookmarkEnd w:id="91"/>
      <w:bookmarkEnd w:id="92"/>
      <w:bookmarkEnd w:id="93"/>
      <w:bookmarkEnd w:id="94"/>
      <w:bookmarkEnd w:id="95"/>
      <w:bookmarkEnd w:id="96"/>
      <w:r>
        <w:rPr>
          <w:rFonts w:hint="eastAsia" w:ascii="仿宋_GB2312" w:hAnsi="仿宋_GB2312" w:eastAsia="仿宋_GB2312" w:cs="仿宋_GB2312"/>
          <w:b/>
          <w:color w:val="auto"/>
          <w:sz w:val="24"/>
        </w:rPr>
        <w:t>和保密义务</w:t>
      </w:r>
      <w:bookmarkEnd w:id="97"/>
      <w:bookmarkEnd w:id="98"/>
      <w:bookmarkEnd w:id="99"/>
    </w:p>
    <w:p w14:paraId="31E0A55F">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2.6.1 乙方有权依据合同约定和项目需要，向甲方了解有关情况，调阅有关资料等，甲方应予积极配合；</w:t>
      </w:r>
    </w:p>
    <w:p w14:paraId="5FD62A01">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2.6.2 乙方有义务妥善保管和保护由甲方提供的前款信息和资料等；</w:t>
      </w:r>
    </w:p>
    <w:p w14:paraId="221E896F">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3C3923B">
      <w:pPr>
        <w:snapToGrid w:val="0"/>
        <w:spacing w:line="360" w:lineRule="auto"/>
        <w:ind w:firstLine="482" w:firstLineChars="200"/>
        <w:outlineLvl w:val="0"/>
        <w:rPr>
          <w:rFonts w:hint="eastAsia" w:ascii="仿宋_GB2312" w:hAnsi="仿宋_GB2312" w:eastAsia="仿宋_GB2312" w:cs="仿宋_GB2312"/>
          <w:b/>
          <w:color w:val="auto"/>
          <w:sz w:val="24"/>
        </w:rPr>
      </w:pPr>
      <w:bookmarkStart w:id="100" w:name="_Toc7860"/>
      <w:r>
        <w:rPr>
          <w:rFonts w:hint="eastAsia" w:ascii="仿宋_GB2312" w:hAnsi="仿宋_GB2312" w:eastAsia="仿宋_GB2312" w:cs="仿宋_GB2312"/>
          <w:b/>
          <w:color w:val="auto"/>
          <w:sz w:val="24"/>
        </w:rPr>
        <w:t>2.7 质量保证</w:t>
      </w:r>
      <w:bookmarkEnd w:id="100"/>
    </w:p>
    <w:p w14:paraId="3812B5C3">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2.7.1 乙方应建立和完善履行合同的内部质量保证体系，并提供相关内部规章制度给甲方，以便甲方进行监督检查；</w:t>
      </w:r>
    </w:p>
    <w:p w14:paraId="1EDA5BF7">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2.7.2 乙方应保证履行合同的人员数量和素质、软件和硬件设备的配置、场地、环境和设施等满足全面履行合同的要求，并应接受甲方的监督检查。</w:t>
      </w:r>
    </w:p>
    <w:p w14:paraId="5AFE3582">
      <w:pPr>
        <w:snapToGrid w:val="0"/>
        <w:spacing w:line="360" w:lineRule="auto"/>
        <w:ind w:firstLine="482" w:firstLineChars="200"/>
        <w:outlineLvl w:val="0"/>
        <w:rPr>
          <w:rFonts w:hint="eastAsia" w:ascii="仿宋_GB2312" w:hAnsi="仿宋_GB2312" w:eastAsia="仿宋_GB2312" w:cs="仿宋_GB2312"/>
          <w:b/>
          <w:color w:val="auto"/>
          <w:sz w:val="24"/>
        </w:rPr>
      </w:pPr>
      <w:bookmarkStart w:id="101" w:name="_Toc17244"/>
      <w:bookmarkStart w:id="102" w:name="_Toc487900362"/>
      <w:bookmarkStart w:id="103" w:name="_Toc279701252"/>
      <w:bookmarkStart w:id="104" w:name="_Toc259093681"/>
      <w:r>
        <w:rPr>
          <w:rFonts w:hint="eastAsia" w:ascii="仿宋_GB2312" w:hAnsi="仿宋_GB2312" w:eastAsia="仿宋_GB2312" w:cs="仿宋_GB2312"/>
          <w:b/>
          <w:color w:val="auto"/>
          <w:sz w:val="24"/>
        </w:rPr>
        <w:t>2.8 货物的风险负担</w:t>
      </w:r>
      <w:bookmarkEnd w:id="101"/>
    </w:p>
    <w:p w14:paraId="42AACC69">
      <w:pPr>
        <w:snapToGrid w:val="0"/>
        <w:spacing w:line="360" w:lineRule="auto"/>
        <w:ind w:firstLine="480" w:firstLineChars="200"/>
        <w:rPr>
          <w:rFonts w:hint="eastAsia" w:ascii="仿宋_GB2312" w:hAnsi="仿宋_GB2312" w:eastAsia="仿宋_GB2312" w:cs="仿宋_GB2312"/>
          <w:b/>
          <w:color w:val="auto"/>
          <w:sz w:val="24"/>
        </w:rPr>
      </w:pPr>
      <w:r>
        <w:rPr>
          <w:rFonts w:hint="eastAsia" w:ascii="仿宋_GB2312" w:hAnsi="仿宋_GB2312" w:eastAsia="仿宋_GB2312" w:cs="仿宋_GB2312"/>
          <w:color w:val="auto"/>
          <w:sz w:val="24"/>
        </w:rPr>
        <w:t>货物或者在途货物或者交付给第一承运人后的货物毁损、灭失的风险负担详见</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w:t>
      </w:r>
    </w:p>
    <w:p w14:paraId="616789EE">
      <w:pPr>
        <w:snapToGrid w:val="0"/>
        <w:spacing w:line="360" w:lineRule="auto"/>
        <w:ind w:firstLine="482" w:firstLineChars="200"/>
        <w:outlineLvl w:val="0"/>
        <w:rPr>
          <w:rFonts w:hint="eastAsia" w:ascii="仿宋_GB2312" w:hAnsi="仿宋_GB2312" w:eastAsia="仿宋_GB2312" w:cs="仿宋_GB2312"/>
          <w:b/>
          <w:color w:val="auto"/>
          <w:sz w:val="24"/>
        </w:rPr>
      </w:pPr>
      <w:bookmarkStart w:id="105" w:name="_Toc14055"/>
      <w:r>
        <w:rPr>
          <w:rFonts w:hint="eastAsia" w:ascii="仿宋_GB2312" w:hAnsi="仿宋_GB2312" w:eastAsia="仿宋_GB2312" w:cs="仿宋_GB2312"/>
          <w:b/>
          <w:color w:val="auto"/>
          <w:sz w:val="24"/>
        </w:rPr>
        <w:t>2.9 延迟交货</w:t>
      </w:r>
      <w:bookmarkEnd w:id="102"/>
      <w:bookmarkEnd w:id="103"/>
      <w:bookmarkEnd w:id="104"/>
      <w:bookmarkEnd w:id="105"/>
    </w:p>
    <w:p w14:paraId="1F34AC1A">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2C9BD3AF">
      <w:pPr>
        <w:snapToGrid w:val="0"/>
        <w:spacing w:line="360" w:lineRule="auto"/>
        <w:ind w:firstLine="482" w:firstLineChars="200"/>
        <w:outlineLvl w:val="0"/>
        <w:rPr>
          <w:rFonts w:hint="eastAsia" w:ascii="仿宋_GB2312" w:hAnsi="仿宋_GB2312" w:eastAsia="仿宋_GB2312" w:cs="仿宋_GB2312"/>
          <w:b/>
          <w:color w:val="auto"/>
          <w:sz w:val="24"/>
        </w:rPr>
      </w:pPr>
      <w:bookmarkStart w:id="106" w:name="_Toc7502"/>
      <w:bookmarkStart w:id="107" w:name="_Toc259093683"/>
      <w:bookmarkStart w:id="108" w:name="_Toc279701254"/>
      <w:bookmarkStart w:id="109" w:name="_Toc487900364"/>
      <w:bookmarkStart w:id="110" w:name="_Ref467378121"/>
      <w:r>
        <w:rPr>
          <w:rFonts w:hint="eastAsia" w:ascii="仿宋_GB2312" w:hAnsi="仿宋_GB2312" w:eastAsia="仿宋_GB2312" w:cs="仿宋_GB2312"/>
          <w:b/>
          <w:color w:val="auto"/>
          <w:sz w:val="24"/>
        </w:rPr>
        <w:t>2.10 合同变更</w:t>
      </w:r>
      <w:bookmarkEnd w:id="106"/>
    </w:p>
    <w:p w14:paraId="4F7CB2B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合同继续履行将损害国家利益和社会公共利益的，双方当事人应当以书面形式变更合同。有过错的一方应当承担赔偿责任，双方当事人都有过错的，各自承担相应的责任。</w:t>
      </w:r>
      <w:bookmarkStart w:id="111" w:name="_Toc487900369"/>
      <w:bookmarkStart w:id="112" w:name="_Toc279701259"/>
      <w:bookmarkStart w:id="113" w:name="_Toc259093688"/>
    </w:p>
    <w:p w14:paraId="13A232A7">
      <w:pPr>
        <w:snapToGrid w:val="0"/>
        <w:spacing w:line="360" w:lineRule="auto"/>
        <w:ind w:firstLine="482" w:firstLineChars="200"/>
        <w:outlineLvl w:val="0"/>
        <w:rPr>
          <w:rFonts w:hint="eastAsia" w:ascii="仿宋_GB2312" w:hAnsi="仿宋_GB2312" w:eastAsia="仿宋_GB2312" w:cs="仿宋_GB2312"/>
          <w:b/>
          <w:color w:val="auto"/>
          <w:sz w:val="24"/>
        </w:rPr>
      </w:pPr>
      <w:bookmarkStart w:id="114" w:name="_Toc10366"/>
      <w:bookmarkStart w:id="115" w:name="_Toc15237"/>
      <w:bookmarkStart w:id="116" w:name="_Toc22955"/>
      <w:r>
        <w:rPr>
          <w:rFonts w:hint="eastAsia" w:ascii="仿宋_GB2312" w:hAnsi="仿宋_GB2312" w:eastAsia="仿宋_GB2312" w:cs="仿宋_GB2312"/>
          <w:b/>
          <w:color w:val="auto"/>
          <w:sz w:val="24"/>
        </w:rPr>
        <w:t>2.11 合同转让</w:t>
      </w:r>
      <w:bookmarkEnd w:id="111"/>
      <w:bookmarkEnd w:id="112"/>
      <w:bookmarkEnd w:id="113"/>
      <w:r>
        <w:rPr>
          <w:rFonts w:hint="eastAsia" w:ascii="仿宋_GB2312" w:hAnsi="仿宋_GB2312" w:eastAsia="仿宋_GB2312" w:cs="仿宋_GB2312"/>
          <w:b/>
          <w:color w:val="auto"/>
          <w:sz w:val="24"/>
        </w:rPr>
        <w:t>和分包</w:t>
      </w:r>
      <w:bookmarkEnd w:id="114"/>
      <w:bookmarkEnd w:id="115"/>
      <w:bookmarkEnd w:id="116"/>
    </w:p>
    <w:p w14:paraId="7C279A42">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B83BC60">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2.11.2乙方采取分包方式履行合同的，甲方可直接向分包供应商支付款项。</w:t>
      </w:r>
    </w:p>
    <w:p w14:paraId="26A0A487">
      <w:pPr>
        <w:snapToGrid w:val="0"/>
        <w:spacing w:line="360" w:lineRule="auto"/>
        <w:ind w:firstLine="482" w:firstLineChars="200"/>
        <w:outlineLvl w:val="0"/>
        <w:rPr>
          <w:rFonts w:hint="eastAsia" w:ascii="仿宋_GB2312" w:hAnsi="仿宋_GB2312" w:eastAsia="仿宋_GB2312" w:cs="仿宋_GB2312"/>
          <w:b/>
          <w:color w:val="auto"/>
          <w:sz w:val="24"/>
        </w:rPr>
      </w:pPr>
      <w:bookmarkStart w:id="117" w:name="_Toc16508"/>
      <w:bookmarkStart w:id="118" w:name="_Toc13566"/>
      <w:bookmarkStart w:id="119" w:name="_Toc14066"/>
      <w:r>
        <w:rPr>
          <w:rFonts w:hint="eastAsia" w:ascii="仿宋_GB2312" w:hAnsi="仿宋_GB2312" w:eastAsia="仿宋_GB2312" w:cs="仿宋_GB2312"/>
          <w:b/>
          <w:color w:val="auto"/>
          <w:sz w:val="24"/>
        </w:rPr>
        <w:t>2.12 不可抗力</w:t>
      </w:r>
      <w:bookmarkEnd w:id="117"/>
      <w:bookmarkEnd w:id="118"/>
      <w:bookmarkEnd w:id="119"/>
    </w:p>
    <w:p w14:paraId="6FDE76C5">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2.12.1如果任何一方遭遇法律规定的不可抗力，致使合同履行受阻时，履行合同的期限应予延长，延长的期限应相当于不可抗力所影响的时间；</w:t>
      </w:r>
    </w:p>
    <w:p w14:paraId="670B6EB1">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2.12.2 因不可抗力致使不能实现合同目的的，当事人可以解除合同；</w:t>
      </w:r>
    </w:p>
    <w:p w14:paraId="4E38D672">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2.12.3 因不可抗力致使合同有变更必要的，双方当事人应在</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约定时间内以书面形式变更合同；</w:t>
      </w:r>
    </w:p>
    <w:p w14:paraId="1F1883CA">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2.12.4受不可抗力影响的一方在不可抗力发生后，应在</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约定时间内以书面形式通知对方当事人，并在</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约定时间内，将有关部门出具的证明文件送达对方当事人。</w:t>
      </w:r>
    </w:p>
    <w:p w14:paraId="7EA155D9">
      <w:pPr>
        <w:snapToGrid w:val="0"/>
        <w:spacing w:line="360" w:lineRule="auto"/>
        <w:ind w:firstLine="482" w:firstLineChars="200"/>
        <w:outlineLvl w:val="0"/>
        <w:rPr>
          <w:rFonts w:hint="eastAsia" w:ascii="仿宋_GB2312" w:hAnsi="仿宋_GB2312" w:eastAsia="仿宋_GB2312" w:cs="仿宋_GB2312"/>
          <w:b/>
          <w:color w:val="auto"/>
          <w:sz w:val="24"/>
        </w:rPr>
      </w:pPr>
      <w:bookmarkStart w:id="120" w:name="_Toc259093684"/>
      <w:bookmarkStart w:id="121" w:name="_Toc689"/>
      <w:bookmarkStart w:id="122" w:name="_Toc487900365"/>
      <w:bookmarkStart w:id="123" w:name="_Toc6969"/>
      <w:bookmarkStart w:id="124" w:name="_Toc30676"/>
      <w:bookmarkStart w:id="125" w:name="_Toc279701255"/>
      <w:r>
        <w:rPr>
          <w:rFonts w:hint="eastAsia" w:ascii="仿宋_GB2312" w:hAnsi="仿宋_GB2312" w:eastAsia="仿宋_GB2312" w:cs="仿宋_GB2312"/>
          <w:b/>
          <w:color w:val="auto"/>
          <w:sz w:val="24"/>
        </w:rPr>
        <w:t>2.13 税费</w:t>
      </w:r>
      <w:bookmarkEnd w:id="120"/>
      <w:bookmarkEnd w:id="121"/>
      <w:bookmarkEnd w:id="122"/>
      <w:bookmarkEnd w:id="123"/>
      <w:bookmarkEnd w:id="124"/>
      <w:bookmarkEnd w:id="125"/>
    </w:p>
    <w:p w14:paraId="166CEC15">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与合同有关的一切税费，均按照中华人民共和国法律的相关规定。</w:t>
      </w:r>
    </w:p>
    <w:p w14:paraId="64F41A65">
      <w:pPr>
        <w:snapToGrid w:val="0"/>
        <w:spacing w:line="360" w:lineRule="auto"/>
        <w:ind w:firstLine="482" w:firstLineChars="200"/>
        <w:outlineLvl w:val="0"/>
        <w:rPr>
          <w:rFonts w:hint="eastAsia" w:ascii="仿宋_GB2312" w:hAnsi="仿宋_GB2312" w:eastAsia="仿宋_GB2312" w:cs="仿宋_GB2312"/>
          <w:b/>
          <w:color w:val="auto"/>
          <w:sz w:val="24"/>
        </w:rPr>
      </w:pPr>
      <w:bookmarkStart w:id="126" w:name="_Toc259093687"/>
      <w:bookmarkStart w:id="127" w:name="_Toc16959"/>
      <w:bookmarkStart w:id="128" w:name="_Toc487900368"/>
      <w:bookmarkStart w:id="129" w:name="_Toc8298"/>
      <w:bookmarkStart w:id="130" w:name="_Toc279701258"/>
      <w:bookmarkStart w:id="131" w:name="_Toc7102"/>
      <w:r>
        <w:rPr>
          <w:rFonts w:hint="eastAsia" w:ascii="仿宋_GB2312" w:hAnsi="仿宋_GB2312" w:eastAsia="仿宋_GB2312" w:cs="仿宋_GB2312"/>
          <w:b/>
          <w:color w:val="auto"/>
          <w:sz w:val="24"/>
        </w:rPr>
        <w:t>2.14乙方破产</w:t>
      </w:r>
      <w:bookmarkEnd w:id="126"/>
      <w:bookmarkEnd w:id="127"/>
      <w:bookmarkEnd w:id="128"/>
      <w:bookmarkEnd w:id="129"/>
      <w:bookmarkEnd w:id="130"/>
      <w:bookmarkEnd w:id="131"/>
    </w:p>
    <w:p w14:paraId="62D8BB15">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36040E1">
      <w:pPr>
        <w:snapToGrid w:val="0"/>
        <w:spacing w:line="360" w:lineRule="auto"/>
        <w:ind w:firstLine="482" w:firstLineChars="200"/>
        <w:outlineLvl w:val="0"/>
        <w:rPr>
          <w:rFonts w:hint="eastAsia" w:ascii="仿宋_GB2312" w:hAnsi="仿宋_GB2312" w:eastAsia="仿宋_GB2312" w:cs="仿宋_GB2312"/>
          <w:b/>
          <w:color w:val="auto"/>
          <w:sz w:val="24"/>
        </w:rPr>
      </w:pPr>
      <w:bookmarkStart w:id="132" w:name="_Toc29333"/>
      <w:bookmarkStart w:id="133" w:name="_Toc6134"/>
      <w:bookmarkStart w:id="134" w:name="_Toc15387"/>
      <w:r>
        <w:rPr>
          <w:rFonts w:hint="eastAsia" w:ascii="仿宋_GB2312" w:hAnsi="仿宋_GB2312" w:eastAsia="仿宋_GB2312" w:cs="仿宋_GB2312"/>
          <w:b/>
          <w:color w:val="auto"/>
          <w:sz w:val="24"/>
        </w:rPr>
        <w:t>2.15 合同中止、终止</w:t>
      </w:r>
      <w:bookmarkEnd w:id="132"/>
      <w:bookmarkEnd w:id="133"/>
      <w:bookmarkEnd w:id="134"/>
    </w:p>
    <w:p w14:paraId="78DEA76A">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2.15.1 双方当事人不得擅自中止或者终止合同；</w:t>
      </w:r>
    </w:p>
    <w:p w14:paraId="46DD7BF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2.15.2合同继续履行将损害国家利益和社会公共利益的，双方当事人应当中止或者终止合同。有过错的一方应当承担赔偿责任，双方当事人都有过错的，各自承担相应的责任。</w:t>
      </w:r>
    </w:p>
    <w:p w14:paraId="6CB446D0">
      <w:pPr>
        <w:snapToGrid w:val="0"/>
        <w:spacing w:line="360" w:lineRule="auto"/>
        <w:ind w:firstLine="482" w:firstLineChars="200"/>
        <w:outlineLvl w:val="0"/>
        <w:rPr>
          <w:rFonts w:hint="eastAsia" w:ascii="仿宋_GB2312" w:hAnsi="仿宋_GB2312" w:eastAsia="仿宋_GB2312" w:cs="仿宋_GB2312"/>
          <w:b/>
          <w:color w:val="auto"/>
          <w:sz w:val="24"/>
        </w:rPr>
      </w:pPr>
      <w:bookmarkStart w:id="135" w:name="_Toc6596"/>
      <w:bookmarkStart w:id="136" w:name="_Toc14563"/>
      <w:bookmarkStart w:id="137" w:name="_Toc1125"/>
      <w:r>
        <w:rPr>
          <w:rFonts w:hint="eastAsia" w:ascii="仿宋_GB2312" w:hAnsi="仿宋_GB2312" w:eastAsia="仿宋_GB2312" w:cs="仿宋_GB2312"/>
          <w:b/>
          <w:color w:val="auto"/>
          <w:sz w:val="24"/>
        </w:rPr>
        <w:t>2.16检验和验收</w:t>
      </w:r>
      <w:bookmarkEnd w:id="135"/>
      <w:bookmarkEnd w:id="136"/>
      <w:bookmarkEnd w:id="137"/>
    </w:p>
    <w:p w14:paraId="741F35C8">
      <w:pPr>
        <w:tabs>
          <w:tab w:val="left" w:pos="360"/>
          <w:tab w:val="left" w:pos="540"/>
          <w:tab w:val="left" w:pos="1080"/>
        </w:tabs>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2.16.1货物交付前，乙方应对货物的质量、数量等方面进行详细、全面的检验，并向甲方出具证明货物符合合同约定的文件；货物交付时，甲方在</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约定时间内组织验收，并可依法邀请相关方参加，验收应出具验收书。</w:t>
      </w:r>
    </w:p>
    <w:p w14:paraId="674BE82D">
      <w:pPr>
        <w:tabs>
          <w:tab w:val="left" w:pos="360"/>
          <w:tab w:val="left" w:pos="540"/>
          <w:tab w:val="left" w:pos="1080"/>
        </w:tabs>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5122CF2">
      <w:pPr>
        <w:tabs>
          <w:tab w:val="left" w:pos="360"/>
          <w:tab w:val="left" w:pos="540"/>
          <w:tab w:val="left" w:pos="1080"/>
        </w:tabs>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2.16.3 检验和验收标准、程序等具体内容以及前述验收书的效力详见</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i/>
          <w:color w:val="auto"/>
          <w:sz w:val="24"/>
        </w:rPr>
        <w:t>。</w:t>
      </w:r>
    </w:p>
    <w:bookmarkEnd w:id="107"/>
    <w:bookmarkEnd w:id="108"/>
    <w:bookmarkEnd w:id="109"/>
    <w:bookmarkEnd w:id="110"/>
    <w:p w14:paraId="49B34296">
      <w:pPr>
        <w:snapToGrid w:val="0"/>
        <w:spacing w:line="360" w:lineRule="auto"/>
        <w:ind w:firstLine="482" w:firstLineChars="200"/>
        <w:outlineLvl w:val="0"/>
        <w:rPr>
          <w:rFonts w:hint="eastAsia" w:ascii="仿宋_GB2312" w:hAnsi="仿宋_GB2312" w:eastAsia="仿宋_GB2312" w:cs="仿宋_GB2312"/>
          <w:b/>
          <w:color w:val="auto"/>
          <w:sz w:val="24"/>
        </w:rPr>
      </w:pPr>
      <w:bookmarkStart w:id="138" w:name="_Toc259093690"/>
      <w:bookmarkStart w:id="139" w:name="_Toc487900371"/>
      <w:bookmarkStart w:id="140" w:name="_Toc279701261"/>
      <w:bookmarkStart w:id="141" w:name="_Toc11284"/>
      <w:bookmarkStart w:id="142" w:name="_Toc25182"/>
      <w:bookmarkStart w:id="143" w:name="_Toc19604"/>
      <w:r>
        <w:rPr>
          <w:rFonts w:hint="eastAsia" w:ascii="仿宋_GB2312" w:hAnsi="仿宋_GB2312" w:eastAsia="仿宋_GB2312" w:cs="仿宋_GB2312"/>
          <w:b/>
          <w:color w:val="auto"/>
          <w:sz w:val="24"/>
        </w:rPr>
        <w:t>2.17 通知</w:t>
      </w:r>
      <w:bookmarkEnd w:id="138"/>
      <w:bookmarkEnd w:id="139"/>
      <w:bookmarkEnd w:id="140"/>
      <w:r>
        <w:rPr>
          <w:rFonts w:hint="eastAsia" w:ascii="仿宋_GB2312" w:hAnsi="仿宋_GB2312" w:eastAsia="仿宋_GB2312" w:cs="仿宋_GB2312"/>
          <w:b/>
          <w:color w:val="auto"/>
          <w:sz w:val="24"/>
        </w:rPr>
        <w:t>和送达</w:t>
      </w:r>
      <w:bookmarkEnd w:id="141"/>
      <w:bookmarkEnd w:id="142"/>
      <w:bookmarkEnd w:id="143"/>
    </w:p>
    <w:p w14:paraId="064924CA">
      <w:pPr>
        <w:snapToGrid w:val="0"/>
        <w:spacing w:line="360" w:lineRule="auto"/>
        <w:ind w:firstLine="480" w:firstLineChars="200"/>
        <w:rPr>
          <w:rFonts w:hint="eastAsia" w:ascii="仿宋_GB2312" w:hAnsi="仿宋_GB2312" w:eastAsia="仿宋_GB2312" w:cs="仿宋_GB2312"/>
          <w:color w:val="auto"/>
          <w:sz w:val="24"/>
        </w:rPr>
      </w:pPr>
      <w:bookmarkStart w:id="144" w:name="_Toc3135"/>
      <w:bookmarkStart w:id="145" w:name="_Toc6698"/>
      <w:bookmarkStart w:id="146" w:name="_Toc487900372"/>
      <w:bookmarkStart w:id="147" w:name="_Toc279701262"/>
      <w:bookmarkStart w:id="148" w:name="_Toc259093691"/>
      <w:r>
        <w:rPr>
          <w:rFonts w:hint="eastAsia" w:ascii="仿宋_GB2312" w:hAnsi="仿宋_GB2312" w:eastAsia="仿宋_GB2312" w:cs="仿宋_GB2312"/>
          <w:color w:val="auto"/>
          <w:sz w:val="24"/>
        </w:rPr>
        <w:t xml:space="preserve">2.17.1任何一方因履行合同而以合同第一部分尾部所列明的传真或电子邮件 </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发出的所有通知、文件、材料，均视为已向对方当事人送达；任何一方变更上述送达方式或者地址的，应于</w:t>
      </w:r>
      <w:r>
        <w:rPr>
          <w:rFonts w:hint="eastAsia" w:ascii="仿宋_GB2312" w:hAnsi="仿宋_GB2312" w:eastAsia="仿宋_GB2312" w:cs="仿宋_GB2312"/>
          <w:color w:val="auto"/>
          <w:sz w:val="24"/>
          <w:u w:val="single"/>
        </w:rPr>
        <w:t>3</w:t>
      </w:r>
      <w:r>
        <w:rPr>
          <w:rFonts w:hint="eastAsia" w:ascii="仿宋_GB2312" w:hAnsi="仿宋_GB2312" w:eastAsia="仿宋_GB2312" w:cs="仿宋_GB2312"/>
          <w:color w:val="auto"/>
          <w:sz w:val="24"/>
        </w:rPr>
        <w:t>个工作日内书面通知对方当事人，在对方当事人收到有关变更通知之前，变更前的约定送达方式或者地址仍视为有效。</w:t>
      </w:r>
      <w:bookmarkEnd w:id="144"/>
      <w:bookmarkEnd w:id="145"/>
    </w:p>
    <w:p w14:paraId="4DABCD70">
      <w:pPr>
        <w:snapToGrid w:val="0"/>
        <w:spacing w:line="360" w:lineRule="auto"/>
        <w:ind w:firstLine="480" w:firstLineChars="200"/>
        <w:rPr>
          <w:rFonts w:hint="eastAsia" w:ascii="仿宋_GB2312" w:hAnsi="仿宋_GB2312" w:eastAsia="仿宋_GB2312" w:cs="仿宋_GB2312"/>
          <w:color w:val="auto"/>
          <w:sz w:val="24"/>
        </w:rPr>
      </w:pPr>
      <w:bookmarkStart w:id="149" w:name="_Toc23294"/>
      <w:bookmarkStart w:id="150" w:name="_Toc23128"/>
      <w:r>
        <w:rPr>
          <w:rFonts w:hint="eastAsia" w:ascii="仿宋_GB2312" w:hAnsi="仿宋_GB2312" w:eastAsia="仿宋_GB2312" w:cs="仿宋_GB2312"/>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249C322F">
      <w:pPr>
        <w:snapToGrid w:val="0"/>
        <w:spacing w:line="360" w:lineRule="auto"/>
        <w:ind w:firstLine="482" w:firstLineChars="200"/>
        <w:outlineLvl w:val="0"/>
        <w:rPr>
          <w:rFonts w:hint="eastAsia" w:ascii="仿宋_GB2312" w:hAnsi="仿宋_GB2312" w:eastAsia="仿宋_GB2312" w:cs="仿宋_GB2312"/>
          <w:b/>
          <w:color w:val="auto"/>
          <w:sz w:val="24"/>
        </w:rPr>
      </w:pPr>
      <w:bookmarkStart w:id="151" w:name="_Toc30599"/>
      <w:bookmarkStart w:id="152" w:name="_Toc18540"/>
      <w:bookmarkStart w:id="153" w:name="_Toc4355"/>
      <w:r>
        <w:rPr>
          <w:rFonts w:hint="eastAsia" w:ascii="仿宋_GB2312" w:hAnsi="仿宋_GB2312" w:eastAsia="仿宋_GB2312" w:cs="仿宋_GB2312"/>
          <w:b/>
          <w:color w:val="auto"/>
          <w:sz w:val="24"/>
        </w:rPr>
        <w:t>2.18 计量单位</w:t>
      </w:r>
      <w:bookmarkEnd w:id="146"/>
      <w:bookmarkEnd w:id="147"/>
      <w:bookmarkEnd w:id="148"/>
      <w:bookmarkEnd w:id="151"/>
      <w:bookmarkEnd w:id="152"/>
      <w:bookmarkEnd w:id="153"/>
    </w:p>
    <w:p w14:paraId="44E3599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除技术规范中另有规定外,合同的计量单位均使用国家法定计量单位。</w:t>
      </w:r>
    </w:p>
    <w:p w14:paraId="554AF0AE">
      <w:pPr>
        <w:snapToGrid w:val="0"/>
        <w:spacing w:line="360" w:lineRule="auto"/>
        <w:ind w:firstLine="482" w:firstLineChars="200"/>
        <w:outlineLvl w:val="0"/>
        <w:rPr>
          <w:rFonts w:hint="eastAsia" w:ascii="仿宋_GB2312" w:hAnsi="仿宋_GB2312" w:eastAsia="仿宋_GB2312" w:cs="仿宋_GB2312"/>
          <w:b/>
          <w:color w:val="auto"/>
          <w:sz w:val="24"/>
        </w:rPr>
      </w:pPr>
      <w:bookmarkStart w:id="154" w:name="_Toc12773"/>
      <w:bookmarkStart w:id="155" w:name="_Toc279701263"/>
      <w:bookmarkStart w:id="156" w:name="_Toc18567"/>
      <w:bookmarkStart w:id="157" w:name="_Toc259093692"/>
      <w:bookmarkStart w:id="158" w:name="_Toc487900373"/>
      <w:bookmarkStart w:id="159" w:name="_Toc10330"/>
      <w:r>
        <w:rPr>
          <w:rFonts w:hint="eastAsia" w:ascii="仿宋_GB2312" w:hAnsi="仿宋_GB2312" w:eastAsia="仿宋_GB2312" w:cs="仿宋_GB2312"/>
          <w:b/>
          <w:color w:val="auto"/>
          <w:sz w:val="24"/>
        </w:rPr>
        <w:t>2.19 合同使用的文字和适用的法律</w:t>
      </w:r>
      <w:bookmarkEnd w:id="154"/>
      <w:bookmarkEnd w:id="155"/>
      <w:bookmarkEnd w:id="156"/>
      <w:bookmarkEnd w:id="157"/>
      <w:bookmarkEnd w:id="158"/>
      <w:bookmarkEnd w:id="159"/>
    </w:p>
    <w:p w14:paraId="26A01A7F">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2.19.1 合同使用汉语书就、变更和解释；</w:t>
      </w:r>
    </w:p>
    <w:p w14:paraId="56E2CA8D">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2.19.2 合同适用中华人民共和国法律。</w:t>
      </w:r>
    </w:p>
    <w:p w14:paraId="05285897">
      <w:pPr>
        <w:snapToGrid w:val="0"/>
        <w:spacing w:line="360" w:lineRule="auto"/>
        <w:ind w:firstLine="482" w:firstLineChars="200"/>
        <w:outlineLvl w:val="0"/>
        <w:rPr>
          <w:rFonts w:hint="eastAsia" w:ascii="仿宋_GB2312" w:hAnsi="仿宋_GB2312" w:eastAsia="仿宋_GB2312" w:cs="仿宋_GB2312"/>
          <w:b/>
          <w:color w:val="auto"/>
          <w:sz w:val="24"/>
        </w:rPr>
      </w:pPr>
      <w:bookmarkStart w:id="160" w:name="_Toc14001"/>
      <w:bookmarkStart w:id="161" w:name="_Toc19890"/>
      <w:bookmarkStart w:id="162" w:name="_Toc6885"/>
      <w:r>
        <w:rPr>
          <w:rFonts w:hint="eastAsia" w:ascii="仿宋_GB2312" w:hAnsi="仿宋_GB2312" w:eastAsia="仿宋_GB2312" w:cs="仿宋_GB2312"/>
          <w:b/>
          <w:color w:val="auto"/>
          <w:sz w:val="24"/>
        </w:rPr>
        <w:t>2.20 合同份数</w:t>
      </w:r>
      <w:bookmarkEnd w:id="160"/>
      <w:bookmarkEnd w:id="161"/>
      <w:bookmarkEnd w:id="162"/>
    </w:p>
    <w:p w14:paraId="43E4F5B6">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合同份数按</w:t>
      </w:r>
      <w:r>
        <w:rPr>
          <w:rFonts w:hint="eastAsia" w:ascii="仿宋_GB2312" w:hAnsi="仿宋_GB2312" w:eastAsia="仿宋_GB2312" w:cs="仿宋_GB2312"/>
          <w:b/>
          <w:i/>
          <w:color w:val="auto"/>
          <w:sz w:val="24"/>
          <w:u w:val="single"/>
        </w:rPr>
        <w:t>合同专用条款</w:t>
      </w:r>
      <w:r>
        <w:rPr>
          <w:rFonts w:hint="eastAsia" w:ascii="仿宋_GB2312" w:hAnsi="仿宋_GB2312" w:eastAsia="仿宋_GB2312" w:cs="仿宋_GB2312"/>
          <w:color w:val="auto"/>
          <w:sz w:val="24"/>
        </w:rPr>
        <w:t>规定，每份均具有同等法律效力。</w:t>
      </w:r>
    </w:p>
    <w:p w14:paraId="10E3EB98">
      <w:pPr>
        <w:spacing w:line="360" w:lineRule="auto"/>
        <w:ind w:firstLine="480" w:firstLineChars="200"/>
        <w:jc w:val="center"/>
        <w:outlineLvl w:val="0"/>
        <w:rPr>
          <w:rFonts w:hint="eastAsia" w:ascii="仿宋_GB2312" w:hAnsi="仿宋_GB2312" w:eastAsia="仿宋_GB2312" w:cs="仿宋_GB2312"/>
          <w:b/>
          <w:color w:val="auto"/>
        </w:rPr>
      </w:pPr>
      <w:r>
        <w:rPr>
          <w:rFonts w:hint="eastAsia" w:ascii="仿宋_GB2312" w:hAnsi="仿宋_GB2312" w:eastAsia="仿宋_GB2312" w:cs="仿宋_GB2312"/>
          <w:color w:val="auto"/>
          <w:sz w:val="24"/>
        </w:rPr>
        <w:br w:type="page"/>
      </w:r>
      <w:r>
        <w:rPr>
          <w:rFonts w:hint="eastAsia" w:ascii="仿宋_GB2312" w:hAnsi="仿宋_GB2312" w:eastAsia="仿宋_GB2312" w:cs="仿宋_GB2312"/>
          <w:b/>
          <w:color w:val="auto"/>
          <w:sz w:val="32"/>
          <w:szCs w:val="20"/>
        </w:rPr>
        <w:t xml:space="preserve"> </w:t>
      </w:r>
      <w:r>
        <w:rPr>
          <w:rFonts w:hint="eastAsia" w:ascii="仿宋_GB2312" w:hAnsi="仿宋_GB2312" w:eastAsia="仿宋_GB2312" w:cs="仿宋_GB2312"/>
          <w:b/>
          <w:color w:val="auto"/>
          <w:sz w:val="24"/>
        </w:rPr>
        <w:t>第三部分  合同专用条款</w:t>
      </w:r>
    </w:p>
    <w:p w14:paraId="25DB40BB">
      <w:pPr>
        <w:spacing w:line="560" w:lineRule="exact"/>
        <w:ind w:left="-420" w:leftChars="-200" w:right="-420" w:rightChars="-200" w:firstLine="48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6"/>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69B5C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081313D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条款号</w:t>
            </w:r>
          </w:p>
        </w:tc>
        <w:tc>
          <w:tcPr>
            <w:tcW w:w="8176" w:type="dxa"/>
            <w:vAlign w:val="center"/>
          </w:tcPr>
          <w:p w14:paraId="2537C53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约定内容</w:t>
            </w:r>
          </w:p>
        </w:tc>
      </w:tr>
      <w:tr w14:paraId="44777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F65107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1.4.2</w:t>
            </w:r>
          </w:p>
        </w:tc>
        <w:tc>
          <w:tcPr>
            <w:tcW w:w="8176" w:type="dxa"/>
            <w:vAlign w:val="center"/>
          </w:tcPr>
          <w:p w14:paraId="7DA9F9A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5DF34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69E852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1.5.1</w:t>
            </w:r>
          </w:p>
        </w:tc>
        <w:tc>
          <w:tcPr>
            <w:tcW w:w="8176" w:type="dxa"/>
            <w:vAlign w:val="center"/>
          </w:tcPr>
          <w:p w14:paraId="6D9A77D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50F42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068BB0">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1.5.2 </w:t>
            </w:r>
          </w:p>
        </w:tc>
        <w:tc>
          <w:tcPr>
            <w:tcW w:w="8176" w:type="dxa"/>
            <w:vAlign w:val="center"/>
          </w:tcPr>
          <w:p w14:paraId="46013F6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76A65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092652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1.5.3</w:t>
            </w:r>
          </w:p>
        </w:tc>
        <w:tc>
          <w:tcPr>
            <w:tcW w:w="8176" w:type="dxa"/>
            <w:vAlign w:val="center"/>
          </w:tcPr>
          <w:p w14:paraId="7F145824">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7FFE0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01D3BE4">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1.6.2</w:t>
            </w:r>
          </w:p>
        </w:tc>
        <w:tc>
          <w:tcPr>
            <w:tcW w:w="8176" w:type="dxa"/>
            <w:vAlign w:val="center"/>
          </w:tcPr>
          <w:p w14:paraId="31F2AF0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5356E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AA995D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1.7.1</w:t>
            </w:r>
          </w:p>
        </w:tc>
        <w:tc>
          <w:tcPr>
            <w:tcW w:w="8176" w:type="dxa"/>
            <w:vAlign w:val="center"/>
          </w:tcPr>
          <w:p w14:paraId="1A1DC0F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425FF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873BDC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1.7.2</w:t>
            </w:r>
          </w:p>
        </w:tc>
        <w:tc>
          <w:tcPr>
            <w:tcW w:w="8176" w:type="dxa"/>
            <w:vAlign w:val="center"/>
          </w:tcPr>
          <w:p w14:paraId="3D1DCB5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57C35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82EA35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1.7.3</w:t>
            </w:r>
          </w:p>
        </w:tc>
        <w:tc>
          <w:tcPr>
            <w:tcW w:w="8176" w:type="dxa"/>
            <w:vAlign w:val="center"/>
          </w:tcPr>
          <w:p w14:paraId="0AFB59F4">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346D9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69234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1.8.6</w:t>
            </w:r>
          </w:p>
        </w:tc>
        <w:tc>
          <w:tcPr>
            <w:tcW w:w="8176" w:type="dxa"/>
            <w:vAlign w:val="center"/>
          </w:tcPr>
          <w:p w14:paraId="32D6AAF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3290B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0B484B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2.3.2</w:t>
            </w:r>
          </w:p>
        </w:tc>
        <w:tc>
          <w:tcPr>
            <w:tcW w:w="8176" w:type="dxa"/>
            <w:vAlign w:val="center"/>
          </w:tcPr>
          <w:p w14:paraId="545D1CE9">
            <w:pPr>
              <w:keepNext w:val="0"/>
              <w:keepLines w:val="0"/>
              <w:suppressLineNumbers w:val="0"/>
              <w:spacing w:before="0" w:beforeAutospacing="0" w:after="0" w:afterAutospacing="0" w:line="360" w:lineRule="auto"/>
              <w:ind w:left="-420" w:leftChars="-200" w:right="-420" w:rightChars="-200" w:firstLine="480" w:firstLineChars="200"/>
              <w:rPr>
                <w:rFonts w:hint="eastAsia" w:ascii="仿宋_GB2312" w:hAnsi="仿宋_GB2312" w:eastAsia="仿宋_GB2312" w:cs="仿宋_GB2312"/>
                <w:color w:val="auto"/>
                <w:sz w:val="24"/>
              </w:rPr>
            </w:pPr>
          </w:p>
        </w:tc>
      </w:tr>
      <w:tr w14:paraId="04FFE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780A4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2.4.1</w:t>
            </w:r>
          </w:p>
        </w:tc>
        <w:tc>
          <w:tcPr>
            <w:tcW w:w="8176" w:type="dxa"/>
            <w:vAlign w:val="center"/>
          </w:tcPr>
          <w:p w14:paraId="40395578">
            <w:pPr>
              <w:keepNext w:val="0"/>
              <w:keepLines w:val="0"/>
              <w:suppressLineNumbers w:val="0"/>
              <w:spacing w:before="0" w:beforeAutospacing="0" w:after="0" w:afterAutospacing="0" w:line="360" w:lineRule="auto"/>
              <w:ind w:left="-420" w:leftChars="-200" w:right="-420" w:rightChars="-200" w:firstLine="480" w:firstLineChars="200"/>
              <w:rPr>
                <w:rFonts w:hint="eastAsia" w:ascii="仿宋_GB2312" w:hAnsi="仿宋_GB2312" w:eastAsia="仿宋_GB2312" w:cs="仿宋_GB2312"/>
                <w:color w:val="auto"/>
                <w:sz w:val="24"/>
              </w:rPr>
            </w:pPr>
          </w:p>
        </w:tc>
      </w:tr>
      <w:tr w14:paraId="0AAE3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6CF70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2.4.3</w:t>
            </w:r>
          </w:p>
        </w:tc>
        <w:tc>
          <w:tcPr>
            <w:tcW w:w="8176" w:type="dxa"/>
            <w:vAlign w:val="center"/>
          </w:tcPr>
          <w:p w14:paraId="41AEA7D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0BF5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5F3562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2.8 </w:t>
            </w:r>
          </w:p>
        </w:tc>
        <w:tc>
          <w:tcPr>
            <w:tcW w:w="8176" w:type="dxa"/>
          </w:tcPr>
          <w:p w14:paraId="438CCE0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2FD8D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EB809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2.12.3</w:t>
            </w:r>
          </w:p>
        </w:tc>
        <w:tc>
          <w:tcPr>
            <w:tcW w:w="8176" w:type="dxa"/>
            <w:vAlign w:val="center"/>
          </w:tcPr>
          <w:p w14:paraId="1B046D4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1ABD8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F581B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2.12.4</w:t>
            </w:r>
          </w:p>
        </w:tc>
        <w:tc>
          <w:tcPr>
            <w:tcW w:w="8176" w:type="dxa"/>
            <w:vAlign w:val="center"/>
          </w:tcPr>
          <w:p w14:paraId="43D7125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0E7FC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E205B7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2.16.1</w:t>
            </w:r>
          </w:p>
        </w:tc>
        <w:tc>
          <w:tcPr>
            <w:tcW w:w="8176" w:type="dxa"/>
            <w:vAlign w:val="center"/>
          </w:tcPr>
          <w:p w14:paraId="33F76A0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26128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6AF2810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2.16.3</w:t>
            </w:r>
          </w:p>
        </w:tc>
        <w:tc>
          <w:tcPr>
            <w:tcW w:w="8176" w:type="dxa"/>
            <w:vAlign w:val="center"/>
          </w:tcPr>
          <w:p w14:paraId="12285BF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1EB8B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36304394">
            <w:pPr>
              <w:keepNext w:val="0"/>
              <w:keepLines w:val="0"/>
              <w:suppressLineNumbers w:val="0"/>
              <w:spacing w:before="0" w:beforeAutospacing="0" w:after="0" w:afterAutospacing="0" w:line="360" w:lineRule="auto"/>
              <w:ind w:left="-420" w:leftChars="-200" w:right="-420" w:rightChars="-200" w:firstLine="480" w:firstLineChars="200"/>
              <w:outlineLvl w:val="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2.20 </w:t>
            </w:r>
          </w:p>
        </w:tc>
        <w:tc>
          <w:tcPr>
            <w:tcW w:w="8176" w:type="dxa"/>
            <w:vAlign w:val="center"/>
          </w:tcPr>
          <w:p w14:paraId="2B8ECB4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bl>
    <w:p w14:paraId="5E13C167">
      <w:pPr>
        <w:pStyle w:val="34"/>
        <w:pageBreakBefore/>
        <w:spacing w:line="800" w:lineRule="exact"/>
        <w:ind w:firstLine="726"/>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第五部分  评标方法及标准</w:t>
      </w:r>
    </w:p>
    <w:p w14:paraId="3A7FE78C">
      <w:pPr>
        <w:spacing w:line="440" w:lineRule="exact"/>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1、评标方法：</w:t>
      </w:r>
    </w:p>
    <w:p w14:paraId="17949DE7">
      <w:pPr>
        <w:spacing w:line="44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C714857">
      <w:pPr>
        <w:spacing w:line="440" w:lineRule="exact"/>
        <w:ind w:firstLine="472" w:firstLineChars="196"/>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7B19F58">
      <w:pPr>
        <w:spacing w:line="440" w:lineRule="exact"/>
        <w:ind w:firstLine="482"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14:paraId="6DD8CAC2">
      <w:pPr>
        <w:spacing w:line="44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2.评分标准：</w:t>
      </w:r>
      <w:r>
        <w:rPr>
          <w:rFonts w:hint="eastAsia" w:ascii="仿宋_GB2312" w:hAnsi="仿宋_GB2312" w:eastAsia="仿宋_GB2312" w:cs="仿宋_GB2312"/>
          <w:color w:val="auto"/>
          <w:sz w:val="24"/>
        </w:rPr>
        <w:t>共100分，其中商务技术分</w:t>
      </w:r>
      <w:r>
        <w:rPr>
          <w:rFonts w:hint="eastAsia" w:ascii="仿宋_GB2312" w:hAnsi="仿宋_GB2312" w:eastAsia="仿宋_GB2312" w:cs="仿宋_GB2312"/>
          <w:color w:val="auto"/>
          <w:sz w:val="24"/>
          <w:lang w:val="en-US" w:eastAsia="zh-CN"/>
        </w:rPr>
        <w:t>40</w:t>
      </w:r>
      <w:r>
        <w:rPr>
          <w:rFonts w:hint="eastAsia" w:ascii="仿宋_GB2312" w:hAnsi="仿宋_GB2312" w:eastAsia="仿宋_GB2312" w:cs="仿宋_GB2312"/>
          <w:color w:val="auto"/>
          <w:sz w:val="24"/>
        </w:rPr>
        <w:t>分，价格分</w:t>
      </w:r>
      <w:r>
        <w:rPr>
          <w:rFonts w:hint="eastAsia" w:ascii="仿宋_GB2312" w:hAnsi="仿宋_GB2312" w:eastAsia="仿宋_GB2312" w:cs="仿宋_GB2312"/>
          <w:color w:val="auto"/>
          <w:sz w:val="24"/>
          <w:lang w:val="en-US" w:eastAsia="zh-CN"/>
        </w:rPr>
        <w:t>60</w:t>
      </w:r>
      <w:r>
        <w:rPr>
          <w:rFonts w:hint="eastAsia" w:ascii="仿宋_GB2312" w:hAnsi="仿宋_GB2312" w:eastAsia="仿宋_GB2312" w:cs="仿宋_GB2312"/>
          <w:color w:val="auto"/>
          <w:sz w:val="24"/>
        </w:rPr>
        <w:t>分。评分依下述所列为评标打分依据，分值如下（计算分值时，按其算术平均值保留小数2位）。</w:t>
      </w:r>
    </w:p>
    <w:p w14:paraId="73D94568">
      <w:pPr>
        <w:spacing w:line="440" w:lineRule="exact"/>
        <w:rPr>
          <w:rFonts w:hint="eastAsia" w:ascii="仿宋_GB2312" w:hAnsi="仿宋_GB2312" w:eastAsia="仿宋_GB2312" w:cs="仿宋_GB2312"/>
          <w:color w:val="auto"/>
        </w:rPr>
      </w:pPr>
      <w:r>
        <w:rPr>
          <w:rFonts w:hint="eastAsia" w:ascii="仿宋_GB2312" w:hAnsi="仿宋_GB2312" w:eastAsia="仿宋_GB2312" w:cs="仿宋_GB2312"/>
          <w:b/>
          <w:bCs/>
          <w:iCs/>
          <w:color w:val="auto"/>
          <w:sz w:val="24"/>
        </w:rPr>
        <w:t>2.1商务技术分（</w:t>
      </w:r>
      <w:r>
        <w:rPr>
          <w:rFonts w:hint="eastAsia" w:ascii="仿宋_GB2312" w:hAnsi="仿宋_GB2312" w:eastAsia="仿宋_GB2312" w:cs="仿宋_GB2312"/>
          <w:b/>
          <w:bCs/>
          <w:iCs/>
          <w:color w:val="auto"/>
          <w:sz w:val="24"/>
          <w:lang w:val="en-US" w:eastAsia="zh-CN"/>
        </w:rPr>
        <w:t>40</w:t>
      </w:r>
      <w:r>
        <w:rPr>
          <w:rFonts w:hint="eastAsia" w:ascii="仿宋_GB2312" w:hAnsi="仿宋_GB2312" w:eastAsia="仿宋_GB2312" w:cs="仿宋_GB2312"/>
          <w:b/>
          <w:bCs/>
          <w:iCs/>
          <w:color w:val="auto"/>
          <w:sz w:val="24"/>
        </w:rPr>
        <w:t>分）</w:t>
      </w:r>
    </w:p>
    <w:tbl>
      <w:tblPr>
        <w:tblStyle w:val="66"/>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045"/>
        <w:gridCol w:w="6616"/>
        <w:gridCol w:w="658"/>
      </w:tblGrid>
      <w:tr w14:paraId="1877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69" w:type="dxa"/>
            <w:noWrap w:val="0"/>
            <w:vAlign w:val="center"/>
          </w:tcPr>
          <w:p w14:paraId="031B266E">
            <w:pPr>
              <w:keepNext w:val="0"/>
              <w:keepLines w:val="0"/>
              <w:widowControl/>
              <w:suppressLineNumbers w:val="0"/>
              <w:snapToGrid w:val="0"/>
              <w:spacing w:before="0" w:beforeAutospacing="0" w:after="0" w:afterAutospacing="0" w:line="312" w:lineRule="auto"/>
              <w:ind w:left="0" w:right="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045" w:type="dxa"/>
            <w:noWrap w:val="0"/>
            <w:vAlign w:val="center"/>
          </w:tcPr>
          <w:p w14:paraId="424F5BCA">
            <w:pPr>
              <w:keepNext w:val="0"/>
              <w:keepLines w:val="0"/>
              <w:widowControl/>
              <w:suppressLineNumbers w:val="0"/>
              <w:snapToGrid w:val="0"/>
              <w:spacing w:before="0" w:beforeAutospacing="0" w:after="0" w:afterAutospacing="0" w:line="320" w:lineRule="exact"/>
              <w:ind w:left="0" w:right="0"/>
              <w:jc w:val="center"/>
              <w:rPr>
                <w:rFonts w:hint="eastAsia" w:ascii="仿宋_GB2312" w:hAnsi="仿宋_GB2312" w:eastAsia="仿宋_GB2312" w:cs="仿宋_GB2312"/>
                <w:color w:val="auto"/>
                <w:sz w:val="24"/>
                <w:szCs w:val="24"/>
                <w:highlight w:val="none"/>
              </w:rPr>
            </w:pPr>
            <w:r>
              <w:rPr>
                <w:rFonts w:hint="eastAsia" w:ascii="仿宋" w:hAnsi="仿宋" w:eastAsia="仿宋" w:cs="仿宋"/>
                <w:b/>
                <w:bCs/>
                <w:color w:val="auto"/>
                <w:kern w:val="0"/>
                <w:sz w:val="24"/>
              </w:rPr>
              <w:t>评分项</w:t>
            </w:r>
          </w:p>
        </w:tc>
        <w:tc>
          <w:tcPr>
            <w:tcW w:w="6616" w:type="dxa"/>
            <w:noWrap w:val="0"/>
            <w:vAlign w:val="center"/>
          </w:tcPr>
          <w:p w14:paraId="4A830355">
            <w:pPr>
              <w:keepNext w:val="0"/>
              <w:keepLines w:val="0"/>
              <w:widowControl/>
              <w:suppressLineNumbers w:val="0"/>
              <w:snapToGrid w:val="0"/>
              <w:spacing w:before="0" w:beforeAutospacing="0" w:after="0" w:afterAutospacing="0" w:line="320" w:lineRule="exact"/>
              <w:ind w:left="0" w:right="0"/>
              <w:jc w:val="center"/>
              <w:rPr>
                <w:rFonts w:hint="eastAsia" w:ascii="仿宋_GB2312" w:hAnsi="仿宋_GB2312" w:eastAsia="仿宋_GB2312" w:cs="仿宋_GB2312"/>
                <w:color w:val="auto"/>
                <w:sz w:val="24"/>
                <w:szCs w:val="24"/>
                <w:highlight w:val="none"/>
              </w:rPr>
            </w:pPr>
            <w:r>
              <w:rPr>
                <w:rFonts w:hint="eastAsia" w:ascii="仿宋" w:hAnsi="仿宋" w:eastAsia="仿宋" w:cs="仿宋"/>
                <w:b/>
                <w:bCs/>
                <w:color w:val="auto"/>
                <w:kern w:val="0"/>
                <w:sz w:val="24"/>
              </w:rPr>
              <w:t>评审依据及标准</w:t>
            </w:r>
          </w:p>
        </w:tc>
        <w:tc>
          <w:tcPr>
            <w:tcW w:w="658" w:type="dxa"/>
            <w:noWrap w:val="0"/>
            <w:vAlign w:val="center"/>
          </w:tcPr>
          <w:p w14:paraId="6CC6430E">
            <w:pPr>
              <w:keepNext w:val="0"/>
              <w:keepLines w:val="0"/>
              <w:widowControl/>
              <w:suppressLineNumbers w:val="0"/>
              <w:snapToGrid w:val="0"/>
              <w:spacing w:before="0" w:beforeAutospacing="0" w:after="0" w:afterAutospacing="0" w:line="312" w:lineRule="auto"/>
              <w:ind w:left="0" w:right="0"/>
              <w:jc w:val="center"/>
              <w:rPr>
                <w:rFonts w:hint="eastAsia" w:ascii="仿宋_GB2312" w:hAnsi="仿宋_GB2312" w:eastAsia="仿宋_GB2312" w:cs="仿宋_GB2312"/>
                <w:color w:val="auto"/>
                <w:sz w:val="24"/>
                <w:szCs w:val="24"/>
                <w:highlight w:val="none"/>
              </w:rPr>
            </w:pPr>
            <w:r>
              <w:rPr>
                <w:rFonts w:hint="eastAsia" w:ascii="仿宋" w:hAnsi="仿宋" w:eastAsia="仿宋" w:cs="仿宋"/>
                <w:b/>
                <w:bCs/>
                <w:color w:val="auto"/>
                <w:kern w:val="0"/>
                <w:sz w:val="24"/>
              </w:rPr>
              <w:t>分值</w:t>
            </w:r>
          </w:p>
        </w:tc>
      </w:tr>
      <w:tr w14:paraId="6376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669" w:type="dxa"/>
            <w:noWrap w:val="0"/>
            <w:vAlign w:val="center"/>
          </w:tcPr>
          <w:p w14:paraId="7897631F">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045" w:type="dxa"/>
            <w:noWrap w:val="0"/>
            <w:vAlign w:val="center"/>
          </w:tcPr>
          <w:p w14:paraId="4E439FCB">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企业业绩</w:t>
            </w:r>
          </w:p>
        </w:tc>
        <w:tc>
          <w:tcPr>
            <w:tcW w:w="6616" w:type="dxa"/>
            <w:noWrap w:val="0"/>
            <w:vAlign w:val="center"/>
          </w:tcPr>
          <w:p w14:paraId="71A1521D">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投标人自2021年7月1日以来（以合同签订时间为准）完成过</w:t>
            </w:r>
            <w:r>
              <w:rPr>
                <w:rFonts w:hint="eastAsia" w:ascii="仿宋_GB2312" w:hAnsi="仿宋_GB2312" w:eastAsia="仿宋_GB2312" w:cs="仿宋_GB2312"/>
                <w:color w:val="auto"/>
                <w:sz w:val="24"/>
                <w:szCs w:val="24"/>
                <w:highlight w:val="none"/>
                <w:lang w:eastAsia="zh-CN"/>
              </w:rPr>
              <w:t>同类案例</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eastAsia="zh-CN"/>
              </w:rPr>
              <w:t>有一个</w:t>
            </w:r>
            <w:r>
              <w:rPr>
                <w:rFonts w:hint="eastAsia" w:ascii="仿宋_GB2312" w:hAnsi="仿宋_GB2312" w:eastAsia="仿宋_GB2312" w:cs="仿宋_GB2312"/>
                <w:color w:val="auto"/>
                <w:sz w:val="24"/>
                <w:szCs w:val="24"/>
                <w:highlight w:val="none"/>
              </w:rPr>
              <w:t>得1.5分，最高得3分。</w:t>
            </w:r>
          </w:p>
          <w:p w14:paraId="577F9C66">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注：1.每个案例提供合同</w:t>
            </w:r>
            <w:r>
              <w:rPr>
                <w:rFonts w:hint="eastAsia" w:ascii="仿宋_GB2312" w:hAnsi="仿宋_GB2312" w:eastAsia="仿宋_GB2312" w:cs="仿宋_GB2312"/>
                <w:color w:val="auto"/>
                <w:sz w:val="24"/>
                <w:szCs w:val="24"/>
                <w:highlight w:val="none"/>
                <w:lang w:val="en-US" w:eastAsia="zh-CN"/>
              </w:rPr>
              <w:t>和验收报告的复印件，并</w:t>
            </w:r>
            <w:r>
              <w:rPr>
                <w:rFonts w:hint="eastAsia" w:ascii="仿宋_GB2312" w:hAnsi="仿宋_GB2312" w:eastAsia="仿宋_GB2312" w:cs="仿宋_GB2312"/>
                <w:color w:val="auto"/>
                <w:sz w:val="24"/>
                <w:szCs w:val="24"/>
                <w:highlight w:val="none"/>
              </w:rPr>
              <w:t>加盖</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公章。2.投标产品为省级以上主管部门认定的首台套产品，自纳入《省推应用指导目录》起三年内参加政府采购活动，视同已具备相应销售业绩，业绩分为满分。</w:t>
            </w:r>
          </w:p>
        </w:tc>
        <w:tc>
          <w:tcPr>
            <w:tcW w:w="658" w:type="dxa"/>
            <w:noWrap w:val="0"/>
            <w:vAlign w:val="center"/>
          </w:tcPr>
          <w:p w14:paraId="62421C3F">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14:paraId="61D0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69" w:type="dxa"/>
            <w:vMerge w:val="restart"/>
            <w:noWrap w:val="0"/>
            <w:vAlign w:val="center"/>
          </w:tcPr>
          <w:p w14:paraId="00F2F9CD">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045" w:type="dxa"/>
            <w:vMerge w:val="restart"/>
            <w:noWrap w:val="0"/>
            <w:vAlign w:val="center"/>
          </w:tcPr>
          <w:p w14:paraId="2014CCC3">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产品技术参数配置响应</w:t>
            </w:r>
          </w:p>
        </w:tc>
        <w:tc>
          <w:tcPr>
            <w:tcW w:w="6616" w:type="dxa"/>
            <w:noWrap w:val="0"/>
            <w:vAlign w:val="center"/>
          </w:tcPr>
          <w:p w14:paraId="511A22DD">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基本技术参数配置及性能、功能要求等：完全满足标文技术参数配置要求得基本分10分，指标每负偏离一项，扣1分，扣完为止。</w:t>
            </w:r>
          </w:p>
          <w:p w14:paraId="687F81FD">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注：偏离情况需在投标文件商务技术偏离表中列出，以商务技术偏离表为准。</w:t>
            </w:r>
          </w:p>
        </w:tc>
        <w:tc>
          <w:tcPr>
            <w:tcW w:w="658" w:type="dxa"/>
            <w:noWrap w:val="0"/>
            <w:vAlign w:val="center"/>
          </w:tcPr>
          <w:p w14:paraId="76FA1178">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r>
      <w:tr w14:paraId="5909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69" w:type="dxa"/>
            <w:vMerge w:val="continue"/>
            <w:noWrap w:val="0"/>
            <w:vAlign w:val="center"/>
          </w:tcPr>
          <w:p w14:paraId="2983B504">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p>
        </w:tc>
        <w:tc>
          <w:tcPr>
            <w:tcW w:w="1045" w:type="dxa"/>
            <w:vMerge w:val="continue"/>
            <w:noWrap w:val="0"/>
            <w:vAlign w:val="center"/>
          </w:tcPr>
          <w:p w14:paraId="29C79909">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p>
        </w:tc>
        <w:tc>
          <w:tcPr>
            <w:tcW w:w="6616" w:type="dxa"/>
            <w:noWrap w:val="0"/>
            <w:vAlign w:val="center"/>
          </w:tcPr>
          <w:p w14:paraId="43E4C160">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投标人提供关于甲醛等</w:t>
            </w:r>
            <w:r>
              <w:rPr>
                <w:rFonts w:hint="eastAsia" w:ascii="仿宋_GB2312" w:hAnsi="仿宋_GB2312" w:eastAsia="仿宋_GB2312" w:cs="仿宋_GB2312"/>
                <w:color w:val="auto"/>
                <w:sz w:val="24"/>
                <w:szCs w:val="24"/>
                <w:highlight w:val="none"/>
                <w:lang w:eastAsia="zh-CN"/>
              </w:rPr>
              <w:t>性能</w:t>
            </w:r>
            <w:r>
              <w:rPr>
                <w:rFonts w:hint="eastAsia" w:ascii="仿宋_GB2312" w:hAnsi="仿宋_GB2312" w:eastAsia="仿宋_GB2312" w:cs="仿宋_GB2312"/>
                <w:color w:val="auto"/>
                <w:sz w:val="24"/>
                <w:szCs w:val="24"/>
                <w:highlight w:val="none"/>
              </w:rPr>
              <w:t>指标的承诺，提供承诺书的得5分，不提供不得分。承诺书格式见附件《甲醛等</w:t>
            </w:r>
            <w:r>
              <w:rPr>
                <w:rFonts w:hint="eastAsia" w:ascii="仿宋_GB2312" w:hAnsi="仿宋_GB2312" w:eastAsia="仿宋_GB2312" w:cs="仿宋_GB2312"/>
                <w:color w:val="auto"/>
                <w:sz w:val="24"/>
                <w:szCs w:val="24"/>
                <w:highlight w:val="none"/>
                <w:lang w:eastAsia="zh-CN"/>
              </w:rPr>
              <w:t>性能</w:t>
            </w:r>
            <w:r>
              <w:rPr>
                <w:rFonts w:hint="eastAsia" w:ascii="仿宋_GB2312" w:hAnsi="仿宋_GB2312" w:eastAsia="仿宋_GB2312" w:cs="仿宋_GB2312"/>
                <w:color w:val="auto"/>
                <w:sz w:val="24"/>
                <w:szCs w:val="24"/>
                <w:highlight w:val="none"/>
              </w:rPr>
              <w:t>指标参数响应承诺书》。</w:t>
            </w:r>
          </w:p>
        </w:tc>
        <w:tc>
          <w:tcPr>
            <w:tcW w:w="658" w:type="dxa"/>
            <w:noWrap w:val="0"/>
            <w:vAlign w:val="center"/>
          </w:tcPr>
          <w:p w14:paraId="606CE326">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14:paraId="37CA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669" w:type="dxa"/>
            <w:noWrap w:val="0"/>
            <w:vAlign w:val="center"/>
          </w:tcPr>
          <w:p w14:paraId="459EF63E">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045" w:type="dxa"/>
            <w:noWrap w:val="0"/>
            <w:vAlign w:val="center"/>
          </w:tcPr>
          <w:p w14:paraId="42EC1116">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供货、安装方案</w:t>
            </w:r>
          </w:p>
        </w:tc>
        <w:tc>
          <w:tcPr>
            <w:tcW w:w="6616" w:type="dxa"/>
            <w:noWrap w:val="0"/>
            <w:vAlign w:val="center"/>
          </w:tcPr>
          <w:p w14:paraId="6CCFD290">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根据投标人提供的产品供货进度保障、质量保障措施、运输、现场安装、专业技术安装人员的配备等方面进行评审。0-4分。</w:t>
            </w:r>
          </w:p>
        </w:tc>
        <w:tc>
          <w:tcPr>
            <w:tcW w:w="658" w:type="dxa"/>
            <w:noWrap w:val="0"/>
            <w:vAlign w:val="center"/>
          </w:tcPr>
          <w:p w14:paraId="7D0DC855">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r>
      <w:tr w14:paraId="7CA0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69" w:type="dxa"/>
            <w:noWrap w:val="0"/>
            <w:vAlign w:val="center"/>
          </w:tcPr>
          <w:p w14:paraId="241BF65A">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045" w:type="dxa"/>
            <w:vMerge w:val="restart"/>
            <w:noWrap w:val="0"/>
            <w:vAlign w:val="center"/>
          </w:tcPr>
          <w:p w14:paraId="56C806F0">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售后服务方案</w:t>
            </w:r>
          </w:p>
        </w:tc>
        <w:tc>
          <w:tcPr>
            <w:tcW w:w="6616" w:type="dxa"/>
            <w:noWrap w:val="0"/>
            <w:vAlign w:val="center"/>
          </w:tcPr>
          <w:p w14:paraId="3C2D39E0">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在原有的质保期两年的基础上每增加1年加1分，最多得2分；</w:t>
            </w:r>
            <w:r>
              <w:rPr>
                <w:rFonts w:hint="eastAsia" w:ascii="仿宋_GB2312" w:hAnsi="仿宋_GB2312" w:eastAsia="仿宋_GB2312" w:cs="仿宋_GB2312"/>
                <w:color w:val="auto"/>
                <w:sz w:val="24"/>
                <w:szCs w:val="24"/>
                <w:highlight w:val="none"/>
                <w:lang w:eastAsia="zh-CN"/>
              </w:rPr>
              <w:t>投标文件中提供书面承诺函（格式自拟）</w:t>
            </w:r>
          </w:p>
        </w:tc>
        <w:tc>
          <w:tcPr>
            <w:tcW w:w="658" w:type="dxa"/>
            <w:noWrap w:val="0"/>
            <w:vAlign w:val="center"/>
          </w:tcPr>
          <w:p w14:paraId="273ACA8F">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r w14:paraId="3935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69" w:type="dxa"/>
            <w:vMerge w:val="restart"/>
            <w:noWrap w:val="0"/>
            <w:vAlign w:val="center"/>
          </w:tcPr>
          <w:p w14:paraId="362B200A">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045" w:type="dxa"/>
            <w:vMerge w:val="continue"/>
            <w:noWrap w:val="0"/>
            <w:vAlign w:val="center"/>
          </w:tcPr>
          <w:p w14:paraId="0CBA71A3">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p>
        </w:tc>
        <w:tc>
          <w:tcPr>
            <w:tcW w:w="6616" w:type="dxa"/>
            <w:noWrap w:val="0"/>
            <w:vAlign w:val="center"/>
          </w:tcPr>
          <w:p w14:paraId="1DBBE9F7">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根据投标人提供的详细完整的“三包”措施及售后服务措施和方案，包括服务措施、产品质量保证、回访、技术培训等方面进行评审。0-4分。</w:t>
            </w:r>
          </w:p>
        </w:tc>
        <w:tc>
          <w:tcPr>
            <w:tcW w:w="658" w:type="dxa"/>
            <w:noWrap w:val="0"/>
            <w:vAlign w:val="center"/>
          </w:tcPr>
          <w:p w14:paraId="34F15999">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r>
      <w:tr w14:paraId="3554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69" w:type="dxa"/>
            <w:vMerge w:val="continue"/>
            <w:noWrap w:val="0"/>
            <w:vAlign w:val="center"/>
          </w:tcPr>
          <w:p w14:paraId="393DBF87">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p>
        </w:tc>
        <w:tc>
          <w:tcPr>
            <w:tcW w:w="1045" w:type="dxa"/>
            <w:vMerge w:val="continue"/>
            <w:noWrap w:val="0"/>
            <w:vAlign w:val="center"/>
          </w:tcPr>
          <w:p w14:paraId="558AE29F">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p>
        </w:tc>
        <w:tc>
          <w:tcPr>
            <w:tcW w:w="6616" w:type="dxa"/>
            <w:noWrap w:val="0"/>
            <w:vAlign w:val="center"/>
          </w:tcPr>
          <w:p w14:paraId="497890E1">
            <w:pPr>
              <w:keepNext w:val="0"/>
              <w:keepLines w:val="0"/>
              <w:widowControl/>
              <w:suppressLineNumbers w:val="0"/>
              <w:snapToGrid w:val="0"/>
              <w:spacing w:before="0" w:beforeAutospacing="0" w:after="0" w:afterAutospacing="0" w:line="312" w:lineRule="auto"/>
              <w:ind w:left="0" w:righ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对确需现场实施的紧急售后服务</w:t>
            </w:r>
            <w:r>
              <w:rPr>
                <w:rFonts w:hint="eastAsia" w:ascii="仿宋_GB2312" w:hAnsi="仿宋_GB2312" w:eastAsia="仿宋_GB2312" w:cs="仿宋_GB2312"/>
                <w:color w:val="auto"/>
                <w:sz w:val="24"/>
                <w:szCs w:val="24"/>
                <w:highlight w:val="none"/>
                <w:lang w:eastAsia="zh-CN"/>
              </w:rPr>
              <w:t>，承诺</w:t>
            </w:r>
            <w:r>
              <w:rPr>
                <w:rFonts w:hint="eastAsia" w:ascii="仿宋_GB2312" w:hAnsi="仿宋_GB2312" w:eastAsia="仿宋_GB2312" w:cs="仿宋_GB2312"/>
                <w:color w:val="auto"/>
                <w:sz w:val="24"/>
                <w:szCs w:val="24"/>
                <w:highlight w:val="none"/>
              </w:rPr>
              <w:t>在2小时内</w:t>
            </w:r>
            <w:r>
              <w:rPr>
                <w:rFonts w:hint="eastAsia" w:ascii="仿宋_GB2312" w:hAnsi="仿宋_GB2312" w:eastAsia="仿宋_GB2312" w:cs="仿宋_GB2312"/>
                <w:color w:val="auto"/>
                <w:sz w:val="24"/>
                <w:szCs w:val="24"/>
                <w:highlight w:val="none"/>
                <w:lang w:eastAsia="zh-CN"/>
              </w:rPr>
              <w:t>到达</w:t>
            </w:r>
            <w:r>
              <w:rPr>
                <w:rFonts w:hint="eastAsia" w:ascii="仿宋_GB2312" w:hAnsi="仿宋_GB2312" w:eastAsia="仿宋_GB2312" w:cs="仿宋_GB2312"/>
                <w:color w:val="auto"/>
                <w:sz w:val="24"/>
                <w:szCs w:val="24"/>
                <w:highlight w:val="none"/>
              </w:rPr>
              <w:t>采购人项目所在地</w:t>
            </w:r>
            <w:r>
              <w:rPr>
                <w:rFonts w:hint="eastAsia" w:ascii="仿宋_GB2312" w:hAnsi="仿宋_GB2312" w:eastAsia="仿宋_GB2312" w:cs="仿宋_GB2312"/>
                <w:color w:val="auto"/>
                <w:sz w:val="24"/>
                <w:szCs w:val="24"/>
                <w:highlight w:val="none"/>
                <w:lang w:eastAsia="zh-CN"/>
              </w:rPr>
              <w:t>的</w:t>
            </w:r>
            <w:r>
              <w:rPr>
                <w:rFonts w:hint="eastAsia" w:ascii="仿宋_GB2312" w:hAnsi="仿宋_GB2312" w:eastAsia="仿宋_GB2312" w:cs="仿宋_GB2312"/>
                <w:color w:val="auto"/>
                <w:sz w:val="24"/>
                <w:szCs w:val="24"/>
                <w:highlight w:val="none"/>
              </w:rPr>
              <w:t>得</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分；在4小时内</w:t>
            </w:r>
            <w:r>
              <w:rPr>
                <w:rFonts w:hint="eastAsia" w:ascii="仿宋_GB2312" w:hAnsi="仿宋_GB2312" w:eastAsia="仿宋_GB2312" w:cs="仿宋_GB2312"/>
                <w:color w:val="auto"/>
                <w:sz w:val="24"/>
                <w:szCs w:val="24"/>
                <w:highlight w:val="none"/>
                <w:lang w:eastAsia="zh-CN"/>
              </w:rPr>
              <w:t>到达</w:t>
            </w:r>
            <w:r>
              <w:rPr>
                <w:rFonts w:hint="eastAsia" w:ascii="仿宋_GB2312" w:hAnsi="仿宋_GB2312" w:eastAsia="仿宋_GB2312" w:cs="仿宋_GB2312"/>
                <w:color w:val="auto"/>
                <w:sz w:val="24"/>
                <w:szCs w:val="24"/>
                <w:highlight w:val="none"/>
              </w:rPr>
              <w:t>采购人项目所在地</w:t>
            </w:r>
            <w:r>
              <w:rPr>
                <w:rFonts w:hint="eastAsia" w:ascii="仿宋_GB2312" w:hAnsi="仿宋_GB2312" w:eastAsia="仿宋_GB2312" w:cs="仿宋_GB2312"/>
                <w:color w:val="auto"/>
                <w:sz w:val="24"/>
                <w:szCs w:val="24"/>
                <w:highlight w:val="none"/>
                <w:lang w:eastAsia="zh-CN"/>
              </w:rPr>
              <w:t>的</w:t>
            </w:r>
            <w:r>
              <w:rPr>
                <w:rFonts w:hint="eastAsia" w:ascii="仿宋_GB2312" w:hAnsi="仿宋_GB2312" w:eastAsia="仿宋_GB2312" w:cs="仿宋_GB2312"/>
                <w:color w:val="auto"/>
                <w:sz w:val="24"/>
                <w:szCs w:val="24"/>
                <w:highlight w:val="none"/>
              </w:rPr>
              <w:t>得</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其余</w:t>
            </w:r>
            <w:r>
              <w:rPr>
                <w:rFonts w:hint="eastAsia" w:ascii="仿宋_GB2312" w:hAnsi="仿宋_GB2312" w:eastAsia="仿宋_GB2312" w:cs="仿宋_GB2312"/>
                <w:color w:val="auto"/>
                <w:sz w:val="24"/>
                <w:szCs w:val="24"/>
                <w:highlight w:val="none"/>
              </w:rPr>
              <w:t>不得分。</w:t>
            </w:r>
            <w:r>
              <w:rPr>
                <w:rFonts w:hint="eastAsia" w:ascii="仿宋_GB2312" w:hAnsi="仿宋_GB2312" w:eastAsia="仿宋_GB2312" w:cs="仿宋_GB2312"/>
                <w:color w:val="auto"/>
                <w:sz w:val="24"/>
                <w:szCs w:val="24"/>
                <w:highlight w:val="none"/>
                <w:lang w:eastAsia="zh-CN"/>
              </w:rPr>
              <w:t>投标文件中</w:t>
            </w:r>
            <w:r>
              <w:rPr>
                <w:rFonts w:hint="eastAsia" w:ascii="仿宋_GB2312" w:hAnsi="仿宋_GB2312" w:eastAsia="仿宋_GB2312" w:cs="仿宋_GB2312"/>
                <w:color w:val="auto"/>
                <w:sz w:val="24"/>
                <w:szCs w:val="24"/>
                <w:highlight w:val="none"/>
              </w:rPr>
              <w:t>提供书面承诺函</w:t>
            </w:r>
            <w:r>
              <w:rPr>
                <w:rFonts w:hint="eastAsia" w:ascii="仿宋_GB2312" w:hAnsi="仿宋_GB2312" w:eastAsia="仿宋_GB2312" w:cs="仿宋_GB2312"/>
                <w:color w:val="auto"/>
                <w:sz w:val="24"/>
                <w:szCs w:val="24"/>
                <w:highlight w:val="none"/>
                <w:lang w:eastAsia="zh-CN"/>
              </w:rPr>
              <w:t>（格式自拟）</w:t>
            </w:r>
          </w:p>
        </w:tc>
        <w:tc>
          <w:tcPr>
            <w:tcW w:w="658" w:type="dxa"/>
            <w:noWrap w:val="0"/>
            <w:vAlign w:val="center"/>
          </w:tcPr>
          <w:p w14:paraId="2C534D9A">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14:paraId="11DB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69" w:type="dxa"/>
            <w:noWrap w:val="0"/>
            <w:vAlign w:val="center"/>
          </w:tcPr>
          <w:p w14:paraId="56E52F83">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045" w:type="dxa"/>
            <w:noWrap w:val="0"/>
            <w:vAlign w:val="center"/>
          </w:tcPr>
          <w:p w14:paraId="4CBA8C27">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样品</w:t>
            </w:r>
          </w:p>
        </w:tc>
        <w:tc>
          <w:tcPr>
            <w:tcW w:w="6616" w:type="dxa"/>
            <w:noWrap w:val="0"/>
            <w:vAlign w:val="center"/>
          </w:tcPr>
          <w:p w14:paraId="6CBECAEA">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一、样品：（9分）</w:t>
            </w:r>
          </w:p>
          <w:p w14:paraId="74730363">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1、样品类型及数量：</w:t>
            </w:r>
          </w:p>
          <w:p w14:paraId="4B674FF9">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（1）采购清单序号66的折叠椅，一把；（3分）</w:t>
            </w:r>
          </w:p>
          <w:p w14:paraId="0D9C4C54">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（2）采购清单序号85的课桌2，一张；（3分）</w:t>
            </w:r>
          </w:p>
          <w:p w14:paraId="7BC8C891">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（3）采购清单序号89的课椅1，一把；（3分）</w:t>
            </w:r>
          </w:p>
          <w:p w14:paraId="5CFEA9C7">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2、评委根据样品以下要求进行打分：</w:t>
            </w:r>
          </w:p>
          <w:p w14:paraId="584A6B7D">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产品制作工艺要求：板件或部件在接触人体或贮物部位不应有毛刺、刃口或棱角；板件或部件的外表应光滑，倒棱、圆角、圆线应均匀一致各种配件安装应严密、平整、端正、牢固，结合处应无开裂或松动；专家根据功能性优良打分，分值范围0-1；</w:t>
            </w:r>
          </w:p>
          <w:p w14:paraId="497E703A">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样品外观：a.金属件：管材应无裂缝、叠缝，外露管口端面应封闭；焊接处应无脱焊、虚焊、焊穿、错位，焊接处应无夹渣、气孔、焊瘤、焊丝头。b.木制件：表面应无明显色差，不应有蛀虫现象；应无贯通裂缝；内、外表应无腐朽材，结合处无崩茬；薄木、塑料等材料贴面无明显透胶、脱胶、凹陷、压痕、鼓泡、胶迹等；专家根据功能性优良打分，分值范围0-1；</w:t>
            </w:r>
          </w:p>
          <w:p w14:paraId="55D5D670">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漆膜外观要求：同色部件的色泽应相似；应无褪色、掉色现象；涂层不应有皱皮、发粘或漏漆现象；涂层应平整光滑、清晰、无明显粒子、涨边现象；应无明显加工痕迹、划痕、雾光、白棱、白点、鼓泡、油白、流挂、缩孔、刷毛、积粉和杂渣。专家根据功能性优良打分，分值范围0-1；</w:t>
            </w:r>
          </w:p>
          <w:p w14:paraId="57D355F1">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注：未提供样品或提供样品不满足采购需求实质性条件的作无效投标处理。</w:t>
            </w:r>
          </w:p>
        </w:tc>
        <w:tc>
          <w:tcPr>
            <w:tcW w:w="658" w:type="dxa"/>
            <w:noWrap w:val="0"/>
            <w:vAlign w:val="center"/>
          </w:tcPr>
          <w:p w14:paraId="480B6C3E">
            <w:pPr>
              <w:keepNext w:val="0"/>
              <w:keepLines w:val="0"/>
              <w:widowControl/>
              <w:suppressLineNumbers w:val="0"/>
              <w:snapToGrid w:val="0"/>
              <w:spacing w:before="0" w:beforeAutospacing="0" w:after="0" w:afterAutospacing="0" w:line="312" w:lineRule="auto"/>
              <w:ind w:left="0" w:righ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r>
    </w:tbl>
    <w:p w14:paraId="1975A36E">
      <w:pPr>
        <w:snapToGrid w:val="0"/>
        <w:spacing w:line="44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备注：</w:t>
      </w:r>
      <w:r>
        <w:rPr>
          <w:rFonts w:hint="eastAsia" w:ascii="仿宋_GB2312" w:hAnsi="仿宋_GB2312" w:eastAsia="仿宋_GB2312" w:cs="仿宋_GB2312"/>
          <w:color w:val="auto"/>
          <w:sz w:val="24"/>
        </w:rPr>
        <w:t>投标人编制投标文件（商务技术文件部分）时，建议按此目录（序号和内容）提供评标标准相应的商务技术资料。</w:t>
      </w:r>
    </w:p>
    <w:p w14:paraId="521C3394">
      <w:pPr>
        <w:spacing w:line="440" w:lineRule="exact"/>
        <w:rPr>
          <w:rFonts w:hint="eastAsia" w:ascii="仿宋_GB2312" w:hAnsi="仿宋_GB2312" w:eastAsia="仿宋_GB2312" w:cs="仿宋_GB2312"/>
          <w:b/>
          <w:bCs/>
          <w:iCs/>
          <w:color w:val="auto"/>
          <w:sz w:val="24"/>
        </w:rPr>
      </w:pPr>
      <w:r>
        <w:rPr>
          <w:rFonts w:hint="eastAsia" w:ascii="仿宋_GB2312" w:hAnsi="仿宋_GB2312" w:eastAsia="仿宋_GB2312" w:cs="仿宋_GB2312"/>
          <w:b/>
          <w:bCs/>
          <w:iCs/>
          <w:color w:val="auto"/>
          <w:sz w:val="24"/>
        </w:rPr>
        <w:t>2.2价格分</w:t>
      </w:r>
      <w:r>
        <w:rPr>
          <w:rFonts w:hint="eastAsia" w:ascii="仿宋_GB2312" w:hAnsi="仿宋_GB2312" w:eastAsia="仿宋_GB2312" w:cs="仿宋_GB2312"/>
          <w:b/>
          <w:bCs/>
          <w:iCs/>
          <w:color w:val="auto"/>
          <w:sz w:val="24"/>
          <w:lang w:val="en-US" w:eastAsia="zh-CN"/>
        </w:rPr>
        <w:t>60</w:t>
      </w:r>
      <w:r>
        <w:rPr>
          <w:rFonts w:hint="eastAsia" w:ascii="仿宋_GB2312" w:hAnsi="仿宋_GB2312" w:eastAsia="仿宋_GB2312" w:cs="仿宋_GB2312"/>
          <w:b/>
          <w:bCs/>
          <w:iCs/>
          <w:color w:val="auto"/>
          <w:sz w:val="24"/>
        </w:rPr>
        <w:t>分</w:t>
      </w:r>
    </w:p>
    <w:p w14:paraId="39B1EDB4">
      <w:pPr>
        <w:spacing w:line="440" w:lineRule="exact"/>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2.2.1评标基准价：即满足招标文件要求且投标价格最低的投标报价为评标基准价，其价格分为满分。</w:t>
      </w:r>
    </w:p>
    <w:p w14:paraId="603F25EC">
      <w:pPr>
        <w:spacing w:line="440" w:lineRule="exact"/>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2.2.2其他投标人的价格分统一按照下列公式计算：</w:t>
      </w:r>
    </w:p>
    <w:p w14:paraId="16834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color w:val="auto"/>
          <w:sz w:val="24"/>
        </w:rPr>
      </w:pPr>
      <w:r>
        <w:rPr>
          <w:rFonts w:hint="eastAsia" w:ascii="仿宋_GB2312" w:hAnsi="仿宋_GB2312" w:eastAsia="仿宋_GB2312" w:cs="仿宋_GB2312"/>
          <w:bCs/>
          <w:iCs/>
          <w:color w:val="auto"/>
          <w:sz w:val="24"/>
        </w:rPr>
        <w:t>投标报价得分=(评标基准价／投标报价)×价格权值×100</w:t>
      </w:r>
    </w:p>
    <w:p w14:paraId="7E09F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color w:val="auto"/>
          <w:sz w:val="36"/>
          <w:szCs w:val="20"/>
          <w:lang w:val="en-US" w:eastAsia="zh-CN"/>
        </w:rPr>
      </w:pPr>
      <w:r>
        <w:rPr>
          <w:rFonts w:hint="eastAsia" w:ascii="仿宋_GB2312" w:hAnsi="仿宋_GB2312" w:eastAsia="仿宋_GB2312" w:cs="仿宋_GB2312"/>
          <w:bCs/>
          <w:iCs/>
          <w:color w:val="auto"/>
          <w:sz w:val="24"/>
        </w:rPr>
        <w:t>即：投标报价得分=(评标基准价／投标报价)×</w:t>
      </w:r>
      <w:bookmarkEnd w:id="5"/>
      <w:bookmarkEnd w:id="6"/>
      <w:bookmarkEnd w:id="7"/>
      <w:bookmarkEnd w:id="8"/>
      <w:r>
        <w:rPr>
          <w:rFonts w:hint="eastAsia" w:ascii="仿宋_GB2312" w:hAnsi="仿宋_GB2312" w:eastAsia="仿宋_GB2312" w:cs="仿宋_GB2312"/>
          <w:bCs/>
          <w:iCs/>
          <w:color w:val="auto"/>
          <w:sz w:val="24"/>
          <w:lang w:val="en-US" w:eastAsia="zh-CN"/>
        </w:rPr>
        <w:t>60</w:t>
      </w:r>
    </w:p>
    <w:p w14:paraId="6F0CEB81">
      <w:pPr>
        <w:pageBreakBefore/>
        <w:snapToGrid w:val="0"/>
        <w:spacing w:line="360" w:lineRule="auto"/>
        <w:jc w:val="center"/>
        <w:rPr>
          <w:rFonts w:hint="eastAsia"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   投标文件及其附件格式</w:t>
      </w:r>
    </w:p>
    <w:p w14:paraId="45BC7ED2">
      <w:pPr>
        <w:spacing w:line="360" w:lineRule="auto"/>
        <w:ind w:firstLine="480" w:firstLineChars="200"/>
        <w:outlineLvl w:val="0"/>
        <w:rPr>
          <w:rFonts w:hint="eastAsia" w:ascii="仿宋_GB2312" w:hAnsi="仿宋_GB2312" w:eastAsia="仿宋_GB2312" w:cs="仿宋_GB2312"/>
          <w:color w:val="auto"/>
          <w:sz w:val="24"/>
        </w:rPr>
      </w:pPr>
    </w:p>
    <w:p w14:paraId="66DB50DB">
      <w:pPr>
        <w:adjustRightInd w:val="0"/>
        <w:spacing w:line="360" w:lineRule="auto"/>
        <w:jc w:val="center"/>
        <w:outlineLvl w:val="0"/>
        <w:rPr>
          <w:rFonts w:hint="eastAsia"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资格文件部分</w:t>
      </w:r>
    </w:p>
    <w:p w14:paraId="0BC54F3F">
      <w:pPr>
        <w:adjustRightInd w:val="0"/>
        <w:spacing w:line="360" w:lineRule="auto"/>
        <w:jc w:val="center"/>
        <w:outlineLvl w:val="0"/>
        <w:rPr>
          <w:rFonts w:hint="eastAsia"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14:paraId="3C3FDF49">
      <w:pPr>
        <w:adjustRightInd w:val="0"/>
        <w:spacing w:line="360" w:lineRule="auto"/>
        <w:jc w:val="center"/>
        <w:outlineLvl w:val="0"/>
        <w:rPr>
          <w:rFonts w:hint="eastAsia" w:ascii="仿宋_GB2312" w:hAnsi="仿宋_GB2312" w:eastAsia="仿宋_GB2312" w:cs="仿宋_GB2312"/>
          <w:b/>
          <w:color w:val="auto"/>
          <w:kern w:val="0"/>
          <w:sz w:val="36"/>
          <w:szCs w:val="36"/>
        </w:rPr>
      </w:pPr>
    </w:p>
    <w:p w14:paraId="74BE5030">
      <w:pPr>
        <w:adjustRightInd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（1）符合参加采购活动应当具备的一般条件的承诺函…………………（页码）</w:t>
      </w:r>
    </w:p>
    <w:p w14:paraId="06EFA85C">
      <w:pPr>
        <w:adjustRightInd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snapToGrid w:val="0"/>
          <w:color w:val="auto"/>
          <w:kern w:val="28"/>
          <w:sz w:val="24"/>
          <w:szCs w:val="20"/>
        </w:rPr>
        <w:t>（2）联合协议</w:t>
      </w:r>
      <w:r>
        <w:rPr>
          <w:rFonts w:hint="eastAsia" w:ascii="仿宋_GB2312" w:hAnsi="仿宋_GB2312" w:eastAsia="仿宋_GB2312" w:cs="仿宋_GB2312"/>
          <w:color w:val="auto"/>
          <w:sz w:val="24"/>
        </w:rPr>
        <w:t>………………………………………………………………（页码）</w:t>
      </w:r>
    </w:p>
    <w:p w14:paraId="10868202">
      <w:pPr>
        <w:autoSpaceDE w:val="0"/>
        <w:autoSpaceDN w:val="0"/>
        <w:adjustRightInd w:val="0"/>
        <w:spacing w:line="360" w:lineRule="auto"/>
        <w:rPr>
          <w:rFonts w:hint="eastAsia" w:ascii="仿宋_GB2312" w:hAnsi="仿宋_GB2312" w:eastAsia="仿宋_GB2312" w:cs="仿宋_GB2312"/>
          <w:snapToGrid w:val="0"/>
          <w:color w:val="auto"/>
          <w:sz w:val="24"/>
          <w:szCs w:val="21"/>
          <w:lang w:val="zh-CN"/>
        </w:rPr>
      </w:pPr>
      <w:r>
        <w:rPr>
          <w:rFonts w:hint="eastAsia" w:ascii="仿宋_GB2312" w:hAnsi="仿宋_GB2312" w:eastAsia="仿宋_GB2312" w:cs="仿宋_GB2312"/>
          <w:snapToGrid w:val="0"/>
          <w:color w:val="auto"/>
          <w:sz w:val="24"/>
          <w:szCs w:val="21"/>
          <w:lang w:val="zh-CN"/>
        </w:rPr>
        <w:t>（3）分包协议………………………………………………………………（页码）</w:t>
      </w:r>
    </w:p>
    <w:p w14:paraId="32754CA6">
      <w:pPr>
        <w:adjustRightInd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（4）落实采购政策需满足的资格要求……………………………………（页码）</w:t>
      </w:r>
    </w:p>
    <w:p w14:paraId="4085F556">
      <w:pPr>
        <w:adjustRightInd w:val="0"/>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（5）本项目的特定资格要求………………………………………………（页码）</w:t>
      </w:r>
    </w:p>
    <w:p w14:paraId="1050F773">
      <w:pPr>
        <w:spacing w:line="360" w:lineRule="auto"/>
        <w:ind w:firstLine="480" w:firstLineChars="200"/>
        <w:outlineLvl w:val="0"/>
        <w:rPr>
          <w:rFonts w:hint="eastAsia" w:ascii="仿宋_GB2312" w:hAnsi="仿宋_GB2312" w:eastAsia="仿宋_GB2312" w:cs="仿宋_GB2312"/>
          <w:color w:val="auto"/>
          <w:sz w:val="24"/>
        </w:rPr>
      </w:pPr>
    </w:p>
    <w:p w14:paraId="48E795FB">
      <w:pPr>
        <w:pStyle w:val="26"/>
        <w:spacing w:line="800" w:lineRule="atLeast"/>
        <w:ind w:left="0" w:leftChars="0"/>
        <w:rPr>
          <w:rFonts w:hint="eastAsia" w:ascii="仿宋_GB2312" w:hAnsi="仿宋_GB2312" w:eastAsia="仿宋_GB2312" w:cs="仿宋_GB2312"/>
          <w:b/>
          <w:color w:val="auto"/>
          <w:sz w:val="36"/>
          <w:szCs w:val="36"/>
        </w:rPr>
      </w:pPr>
    </w:p>
    <w:p w14:paraId="6BC53C0A">
      <w:pPr>
        <w:pStyle w:val="26"/>
        <w:spacing w:line="800" w:lineRule="atLeast"/>
        <w:ind w:left="0" w:leftChars="0"/>
        <w:rPr>
          <w:rFonts w:hint="eastAsia" w:ascii="仿宋_GB2312" w:hAnsi="仿宋_GB2312" w:eastAsia="仿宋_GB2312" w:cs="仿宋_GB2312"/>
          <w:b/>
          <w:color w:val="auto"/>
          <w:sz w:val="36"/>
          <w:szCs w:val="36"/>
        </w:rPr>
      </w:pPr>
    </w:p>
    <w:p w14:paraId="32ACE348">
      <w:pPr>
        <w:rPr>
          <w:rFonts w:hint="eastAsia" w:ascii="仿宋_GB2312" w:hAnsi="仿宋_GB2312" w:eastAsia="仿宋_GB2312" w:cs="仿宋_GB2312"/>
          <w:b/>
          <w:color w:val="auto"/>
          <w:sz w:val="30"/>
          <w:szCs w:val="30"/>
        </w:rPr>
      </w:pPr>
    </w:p>
    <w:p w14:paraId="7051046D">
      <w:pPr>
        <w:rPr>
          <w:rFonts w:hint="eastAsia" w:ascii="仿宋_GB2312" w:hAnsi="仿宋_GB2312" w:eastAsia="仿宋_GB2312" w:cs="仿宋_GB2312"/>
          <w:b/>
          <w:color w:val="auto"/>
          <w:sz w:val="30"/>
          <w:szCs w:val="30"/>
        </w:rPr>
      </w:pPr>
    </w:p>
    <w:p w14:paraId="1536C28B">
      <w:pPr>
        <w:snapToGrid w:val="0"/>
        <w:spacing w:line="440" w:lineRule="exact"/>
        <w:rPr>
          <w:rFonts w:hint="eastAsia" w:ascii="仿宋_GB2312" w:hAnsi="仿宋_GB2312" w:eastAsia="仿宋_GB2312" w:cs="仿宋_GB2312"/>
          <w:color w:val="auto"/>
          <w:sz w:val="24"/>
        </w:rPr>
      </w:pPr>
    </w:p>
    <w:p w14:paraId="1772CBBB">
      <w:pPr>
        <w:snapToGrid w:val="0"/>
        <w:spacing w:line="440" w:lineRule="exact"/>
        <w:rPr>
          <w:rFonts w:hint="eastAsia" w:ascii="仿宋_GB2312" w:hAnsi="仿宋_GB2312" w:eastAsia="仿宋_GB2312" w:cs="仿宋_GB2312"/>
          <w:color w:val="auto"/>
          <w:sz w:val="24"/>
        </w:rPr>
      </w:pPr>
    </w:p>
    <w:p w14:paraId="23CE55E6">
      <w:pPr>
        <w:snapToGrid w:val="0"/>
        <w:spacing w:line="440" w:lineRule="exact"/>
        <w:rPr>
          <w:rFonts w:hint="eastAsia" w:ascii="仿宋_GB2312" w:hAnsi="仿宋_GB2312" w:eastAsia="仿宋_GB2312" w:cs="仿宋_GB2312"/>
          <w:color w:val="auto"/>
          <w:sz w:val="24"/>
        </w:rPr>
      </w:pPr>
    </w:p>
    <w:p w14:paraId="57F64FE8">
      <w:pPr>
        <w:snapToGrid w:val="0"/>
        <w:spacing w:line="440" w:lineRule="exact"/>
        <w:rPr>
          <w:rFonts w:hint="eastAsia" w:ascii="仿宋_GB2312" w:hAnsi="仿宋_GB2312" w:eastAsia="仿宋_GB2312" w:cs="仿宋_GB2312"/>
          <w:color w:val="auto"/>
          <w:sz w:val="24"/>
        </w:rPr>
      </w:pPr>
    </w:p>
    <w:p w14:paraId="4964DE27">
      <w:pPr>
        <w:snapToGrid w:val="0"/>
        <w:spacing w:line="440" w:lineRule="exact"/>
        <w:rPr>
          <w:rFonts w:hint="eastAsia" w:ascii="仿宋_GB2312" w:hAnsi="仿宋_GB2312" w:eastAsia="仿宋_GB2312" w:cs="仿宋_GB2312"/>
          <w:color w:val="auto"/>
          <w:sz w:val="24"/>
        </w:rPr>
      </w:pPr>
    </w:p>
    <w:p w14:paraId="1ADEF41D">
      <w:pPr>
        <w:snapToGrid w:val="0"/>
        <w:spacing w:line="440" w:lineRule="exact"/>
        <w:rPr>
          <w:rFonts w:hint="eastAsia" w:ascii="仿宋_GB2312" w:hAnsi="仿宋_GB2312" w:eastAsia="仿宋_GB2312" w:cs="仿宋_GB2312"/>
          <w:color w:val="auto"/>
          <w:sz w:val="24"/>
        </w:rPr>
      </w:pPr>
    </w:p>
    <w:p w14:paraId="7D8F67EE">
      <w:pPr>
        <w:snapToGrid w:val="0"/>
        <w:spacing w:line="440" w:lineRule="exact"/>
        <w:rPr>
          <w:rFonts w:hint="eastAsia" w:ascii="仿宋_GB2312" w:hAnsi="仿宋_GB2312" w:eastAsia="仿宋_GB2312" w:cs="仿宋_GB2312"/>
          <w:color w:val="auto"/>
          <w:sz w:val="24"/>
        </w:rPr>
      </w:pPr>
    </w:p>
    <w:p w14:paraId="1E5D4853">
      <w:pPr>
        <w:snapToGrid w:val="0"/>
        <w:spacing w:line="440" w:lineRule="exact"/>
        <w:rPr>
          <w:rFonts w:hint="eastAsia" w:ascii="仿宋_GB2312" w:hAnsi="仿宋_GB2312" w:eastAsia="仿宋_GB2312" w:cs="仿宋_GB2312"/>
          <w:color w:val="auto"/>
          <w:sz w:val="24"/>
        </w:rPr>
      </w:pPr>
    </w:p>
    <w:p w14:paraId="7EC73854">
      <w:pPr>
        <w:snapToGrid w:val="0"/>
        <w:spacing w:line="440" w:lineRule="exact"/>
        <w:rPr>
          <w:rFonts w:hint="eastAsia" w:ascii="仿宋_GB2312" w:hAnsi="仿宋_GB2312" w:eastAsia="仿宋_GB2312" w:cs="仿宋_GB2312"/>
          <w:color w:val="auto"/>
          <w:sz w:val="24"/>
        </w:rPr>
      </w:pPr>
    </w:p>
    <w:p w14:paraId="4D1224C4">
      <w:pPr>
        <w:snapToGrid w:val="0"/>
        <w:spacing w:line="440" w:lineRule="exact"/>
        <w:rPr>
          <w:rFonts w:hint="eastAsia" w:ascii="仿宋_GB2312" w:hAnsi="仿宋_GB2312" w:eastAsia="仿宋_GB2312" w:cs="仿宋_GB2312"/>
          <w:color w:val="auto"/>
          <w:sz w:val="24"/>
        </w:rPr>
      </w:pPr>
    </w:p>
    <w:p w14:paraId="52B1E0FF">
      <w:pPr>
        <w:snapToGrid w:val="0"/>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b/>
          <w:color w:val="auto"/>
          <w:kern w:val="0"/>
          <w:sz w:val="32"/>
          <w:szCs w:val="32"/>
        </w:rPr>
        <w:t>一、 符合参加采购活动应当具备的一般条件的承诺函</w:t>
      </w:r>
    </w:p>
    <w:p w14:paraId="35542A36">
      <w:pPr>
        <w:snapToGrid w:val="0"/>
        <w:spacing w:line="440" w:lineRule="exact"/>
        <w:rPr>
          <w:rFonts w:hint="eastAsia" w:ascii="仿宋_GB2312" w:hAnsi="仿宋_GB2312" w:eastAsia="仿宋_GB2312" w:cs="仿宋_GB2312"/>
          <w:color w:val="auto"/>
          <w:sz w:val="24"/>
        </w:rPr>
      </w:pPr>
    </w:p>
    <w:p w14:paraId="3B9FCD77">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（采购人）、（采购代理机构）：</w:t>
      </w:r>
    </w:p>
    <w:p w14:paraId="66BF6B62">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我方参与</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项目（招标编号:</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）采购活动，郑重承诺：</w:t>
      </w:r>
    </w:p>
    <w:p w14:paraId="38809D52">
      <w:pPr>
        <w:snapToGrid w:val="0"/>
        <w:spacing w:line="360" w:lineRule="auto"/>
        <w:ind w:firstLine="360" w:firstLineChars="15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（一）具备《中华人民共和国政府采购法》第二十二条第一款规定的条件：</w:t>
      </w:r>
    </w:p>
    <w:p w14:paraId="29349347">
      <w:pPr>
        <w:snapToGrid w:val="0"/>
        <w:spacing w:line="336"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7C90FB91">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2、具有良好的商业信誉和健全的财务会计制度； </w:t>
      </w:r>
    </w:p>
    <w:p w14:paraId="44E99209">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3、具有履行合同所必需的设备和专业技术能力；</w:t>
      </w:r>
    </w:p>
    <w:p w14:paraId="7997CAD1">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4、有依法缴纳税收和社会保障资金的良好记录；</w:t>
      </w:r>
    </w:p>
    <w:p w14:paraId="328C0AB3">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5、参加采购活动前三年内，在经营活动中没有重大违法记录；</w:t>
      </w:r>
    </w:p>
    <w:p w14:paraId="043FDDA6">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6、具有法律、行政法规规定的其他条件。</w:t>
      </w:r>
    </w:p>
    <w:p w14:paraId="3E04B92C">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（二）未被信用中国（www.creditchina.gov.cn)、中国政府采购网（www.ccgp.gov.cn）列入失信被执行人、重大税收违法案件当事人名单、政府采购严重违法失信行为记录名单。</w:t>
      </w:r>
    </w:p>
    <w:p w14:paraId="32981A66">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（三）不存在以下情况：</w:t>
      </w:r>
    </w:p>
    <w:p w14:paraId="63F7F6E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1、单位负责人为同一人或者存在直接控股、管理关系的不同供应商参加同一合同项下的采购活动的；</w:t>
      </w:r>
    </w:p>
    <w:p w14:paraId="23CF8C24">
      <w:pPr>
        <w:snapToGrid w:val="0"/>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2、为采购项目提供整体设计、规范编制或者项目管理、监理、检测等服务后再参加该采购项目的其他采购活动的。</w:t>
      </w:r>
    </w:p>
    <w:p w14:paraId="0AAE3B47">
      <w:pPr>
        <w:snapToGrid w:val="0"/>
        <w:spacing w:line="360" w:lineRule="auto"/>
        <w:ind w:firstLine="5520" w:firstLineChars="230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投标人名称(电子签名)：</w:t>
      </w:r>
    </w:p>
    <w:p w14:paraId="00A16EFC">
      <w:pPr>
        <w:snapToGrid w:val="0"/>
        <w:spacing w:line="360" w:lineRule="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14:paraId="1A79069F">
      <w:pPr>
        <w:snapToGrid w:val="0"/>
        <w:spacing w:line="440" w:lineRule="exact"/>
        <w:rPr>
          <w:rFonts w:hint="eastAsia" w:ascii="仿宋_GB2312" w:hAnsi="仿宋_GB2312" w:eastAsia="仿宋_GB2312" w:cs="仿宋_GB2312"/>
          <w:color w:val="auto"/>
          <w:sz w:val="24"/>
        </w:rPr>
      </w:pPr>
    </w:p>
    <w:p w14:paraId="1534200F">
      <w:pPr>
        <w:snapToGrid w:val="0"/>
        <w:spacing w:line="440" w:lineRule="exact"/>
        <w:rPr>
          <w:rFonts w:hint="eastAsia" w:ascii="仿宋_GB2312" w:hAnsi="仿宋_GB2312" w:eastAsia="仿宋_GB2312" w:cs="仿宋_GB2312"/>
          <w:color w:val="auto"/>
          <w:sz w:val="24"/>
        </w:rPr>
      </w:pPr>
    </w:p>
    <w:p w14:paraId="40683117">
      <w:pPr>
        <w:pageBreakBefore/>
        <w:widowControl/>
        <w:spacing w:line="360" w:lineRule="auto"/>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二、联合协议（如果有）</w:t>
      </w:r>
    </w:p>
    <w:p w14:paraId="53617DDF">
      <w:pPr>
        <w:widowControl/>
        <w:spacing w:line="360" w:lineRule="auto"/>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[以联合体形式投标的，提供联合协议（附件5）；本项目不接受联合体投标或者投标人不以联合体形式投标的，则不需要提供]</w:t>
      </w:r>
    </w:p>
    <w:p w14:paraId="502E4B6E">
      <w:pPr>
        <w:pStyle w:val="2"/>
        <w:rPr>
          <w:rFonts w:hint="eastAsia" w:ascii="仿宋_GB2312" w:hAnsi="仿宋_GB2312" w:eastAsia="仿宋_GB2312" w:cs="仿宋_GB2312"/>
          <w:color w:val="auto"/>
        </w:rPr>
      </w:pPr>
    </w:p>
    <w:p w14:paraId="6FDC401D">
      <w:pPr>
        <w:snapToGrid w:val="0"/>
        <w:spacing w:line="360" w:lineRule="auto"/>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三、分包意向协议（如果有）</w:t>
      </w:r>
    </w:p>
    <w:p w14:paraId="45150957">
      <w:pPr>
        <w:widowControl/>
        <w:spacing w:line="360" w:lineRule="auto"/>
        <w:ind w:firstLine="361" w:firstLineChars="15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[中标后以分包方式履行合同的，提供分包意向协议(附件6)；采购人不同意分包或者投标人中标后不以分包方式履行合同的，则不需要提供。]</w:t>
      </w:r>
    </w:p>
    <w:p w14:paraId="35BAE7D8">
      <w:pPr>
        <w:snapToGrid w:val="0"/>
        <w:spacing w:line="360" w:lineRule="auto"/>
        <w:ind w:right="480"/>
        <w:jc w:val="center"/>
        <w:rPr>
          <w:rFonts w:hint="eastAsia" w:ascii="仿宋_GB2312" w:hAnsi="仿宋_GB2312" w:eastAsia="仿宋_GB2312" w:cs="仿宋_GB2312"/>
          <w:b/>
          <w:color w:val="auto"/>
          <w:kern w:val="0"/>
          <w:sz w:val="32"/>
          <w:szCs w:val="32"/>
        </w:rPr>
      </w:pPr>
    </w:p>
    <w:p w14:paraId="05C7A605">
      <w:pPr>
        <w:snapToGrid w:val="0"/>
        <w:spacing w:line="360" w:lineRule="auto"/>
        <w:ind w:right="480"/>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四、落实采购政策需满足的资格要求</w:t>
      </w:r>
    </w:p>
    <w:p w14:paraId="296C6AF8">
      <w:pPr>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（根据招标公告落实采购政策需满足的资格要求选择提供相应的材料；未要求的，无需提供）</w:t>
      </w:r>
    </w:p>
    <w:p w14:paraId="4BFC6592">
      <w:pPr>
        <w:snapToGrid w:val="0"/>
        <w:spacing w:before="50" w:after="50" w:line="360" w:lineRule="auto"/>
        <w:ind w:firstLine="472" w:firstLineChars="196"/>
        <w:jc w:val="left"/>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A</w:t>
      </w:r>
      <w:r>
        <w:rPr>
          <w:rFonts w:hint="eastAsia" w:ascii="仿宋_GB2312" w:hAnsi="仿宋_GB2312" w:eastAsia="仿宋_GB2312" w:cs="仿宋_GB2312"/>
          <w:color w:val="auto"/>
          <w:sz w:val="24"/>
        </w:rPr>
        <w:t xml:space="preserve">.专门面向中小企业，货物全部由符合政策要求的中小企业（或小微企业）制造的，提供相应的中小企业声明函（附件7）。 </w:t>
      </w:r>
    </w:p>
    <w:p w14:paraId="053049FE">
      <w:pPr>
        <w:widowControl/>
        <w:spacing w:line="360" w:lineRule="auto"/>
        <w:ind w:firstLine="472" w:firstLineChars="196"/>
        <w:jc w:val="left"/>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B.</w:t>
      </w:r>
      <w:r>
        <w:rPr>
          <w:rFonts w:hint="eastAsia" w:ascii="仿宋_GB2312" w:hAnsi="仿宋_GB2312" w:eastAsia="仿宋_GB2312" w:cs="仿宋_GB2312"/>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rPr>
        <w:t>并相应达到了前述比例要求，</w:t>
      </w:r>
      <w:r>
        <w:rPr>
          <w:rFonts w:hint="eastAsia" w:ascii="仿宋_GB2312" w:hAnsi="仿宋_GB2312" w:eastAsia="仿宋_GB2312" w:cs="仿宋_GB2312"/>
          <w:color w:val="auto"/>
          <w:sz w:val="24"/>
        </w:rPr>
        <w:t>视同符合了资格条件，无需再与其他中小企业组成联合体参加采购活动，无需提供联合协议。</w:t>
      </w:r>
    </w:p>
    <w:p w14:paraId="66649486">
      <w:pPr>
        <w:spacing w:line="360" w:lineRule="auto"/>
        <w:ind w:firstLine="482" w:firstLineChars="200"/>
        <w:rPr>
          <w:rFonts w:hint="eastAsia" w:ascii="仿宋_GB2312" w:hAnsi="仿宋_GB2312" w:eastAsia="仿宋_GB2312" w:cs="仿宋_GB2312"/>
          <w:color w:val="auto"/>
          <w:sz w:val="24"/>
        </w:rPr>
      </w:pPr>
      <w:r>
        <w:rPr>
          <w:rFonts w:hint="eastAsia" w:ascii="仿宋_GB2312" w:hAnsi="仿宋_GB2312" w:eastAsia="仿宋_GB2312" w:cs="仿宋_GB2312"/>
          <w:b/>
          <w:color w:val="auto"/>
          <w:sz w:val="24"/>
        </w:rPr>
        <w:t>C、</w:t>
      </w:r>
      <w:r>
        <w:rPr>
          <w:rFonts w:hint="eastAsia" w:ascii="仿宋_GB2312" w:hAnsi="仿宋_GB2312" w:eastAsia="仿宋_GB2312" w:cs="仿宋_GB2312"/>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rPr>
        <w:t>并相应达到了前述比例要求，</w:t>
      </w:r>
      <w:r>
        <w:rPr>
          <w:rFonts w:hint="eastAsia" w:ascii="仿宋_GB2312" w:hAnsi="仿宋_GB2312" w:eastAsia="仿宋_GB2312" w:cs="仿宋_GB2312"/>
          <w:color w:val="auto"/>
          <w:sz w:val="24"/>
        </w:rPr>
        <w:t>视同符合了资格条件，无需再向中小企业分包，无需提供分包意向协议。</w:t>
      </w:r>
    </w:p>
    <w:p w14:paraId="51D00306">
      <w:pPr>
        <w:widowControl/>
        <w:spacing w:line="360" w:lineRule="auto"/>
        <w:ind w:left="150"/>
        <w:jc w:val="center"/>
        <w:rPr>
          <w:rFonts w:hint="eastAsia" w:ascii="仿宋_GB2312" w:hAnsi="仿宋_GB2312" w:eastAsia="仿宋_GB2312" w:cs="仿宋_GB2312"/>
          <w:b/>
          <w:color w:val="auto"/>
          <w:kern w:val="0"/>
          <w:sz w:val="32"/>
          <w:szCs w:val="32"/>
        </w:rPr>
      </w:pPr>
    </w:p>
    <w:p w14:paraId="17AB9CA2">
      <w:pPr>
        <w:widowControl/>
        <w:spacing w:line="360" w:lineRule="auto"/>
        <w:ind w:left="150"/>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五、本项目的特定资格要求</w:t>
      </w:r>
    </w:p>
    <w:p w14:paraId="075ED0FB">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（根据招标公告本项目的特定资格要求提供相应的材料；未要求的，无需提供）</w:t>
      </w:r>
    </w:p>
    <w:p w14:paraId="791BEF42">
      <w:pPr>
        <w:spacing w:line="336" w:lineRule="auto"/>
        <w:jc w:val="center"/>
        <w:rPr>
          <w:rFonts w:hint="eastAsia" w:ascii="仿宋_GB2312" w:hAnsi="仿宋_GB2312" w:eastAsia="仿宋_GB2312" w:cs="仿宋_GB2312"/>
          <w:b/>
          <w:color w:val="auto"/>
          <w:kern w:val="0"/>
          <w:sz w:val="36"/>
          <w:szCs w:val="36"/>
        </w:rPr>
      </w:pPr>
    </w:p>
    <w:p w14:paraId="4FEEF8E3">
      <w:pPr>
        <w:spacing w:line="336" w:lineRule="auto"/>
        <w:jc w:val="center"/>
        <w:rPr>
          <w:rFonts w:hint="eastAsia" w:ascii="仿宋_GB2312" w:hAnsi="仿宋_GB2312" w:eastAsia="仿宋_GB2312" w:cs="仿宋_GB2312"/>
          <w:b/>
          <w:color w:val="auto"/>
          <w:kern w:val="0"/>
          <w:sz w:val="36"/>
          <w:szCs w:val="36"/>
        </w:rPr>
      </w:pPr>
    </w:p>
    <w:p w14:paraId="09979155">
      <w:pPr>
        <w:spacing w:line="336" w:lineRule="auto"/>
        <w:jc w:val="center"/>
        <w:rPr>
          <w:rFonts w:hint="eastAsia"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商务技术文件部分</w:t>
      </w:r>
    </w:p>
    <w:p w14:paraId="69D59C5B">
      <w:pPr>
        <w:spacing w:line="336" w:lineRule="auto"/>
        <w:jc w:val="center"/>
        <w:outlineLvl w:val="0"/>
        <w:rPr>
          <w:rFonts w:hint="eastAsia" w:ascii="仿宋_GB2312" w:hAnsi="仿宋_GB2312" w:eastAsia="仿宋_GB2312" w:cs="仿宋_GB2312"/>
          <w:b/>
          <w:color w:val="auto"/>
          <w:kern w:val="0"/>
          <w:sz w:val="24"/>
        </w:rPr>
      </w:pPr>
    </w:p>
    <w:p w14:paraId="3A72F2BA">
      <w:pPr>
        <w:spacing w:line="336" w:lineRule="auto"/>
        <w:jc w:val="center"/>
        <w:outlineLvl w:val="0"/>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目录</w:t>
      </w:r>
    </w:p>
    <w:p w14:paraId="5C6A30BB">
      <w:pPr>
        <w:pStyle w:val="224"/>
        <w:spacing w:line="336" w:lineRule="auto"/>
        <w:ind w:lef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（1）</w:t>
      </w:r>
      <w:r>
        <w:rPr>
          <w:rFonts w:hint="eastAsia" w:ascii="仿宋_GB2312" w:hAnsi="仿宋_GB2312" w:eastAsia="仿宋_GB2312" w:cs="仿宋_GB2312"/>
          <w:color w:val="auto"/>
        </w:rPr>
        <w:t>投标函……………………………………………………………………… （页码）</w:t>
      </w:r>
    </w:p>
    <w:p w14:paraId="514B1314">
      <w:pPr>
        <w:pStyle w:val="224"/>
        <w:spacing w:line="336" w:lineRule="auto"/>
        <w:ind w:lef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（2）</w:t>
      </w:r>
      <w:r>
        <w:rPr>
          <w:rFonts w:hint="eastAsia" w:ascii="仿宋_GB2312" w:hAnsi="仿宋_GB2312" w:eastAsia="仿宋_GB2312" w:cs="仿宋_GB2312"/>
          <w:color w:val="auto"/>
        </w:rPr>
        <w:t>法定代表人授权书………………………………………………………   （页码）</w:t>
      </w:r>
    </w:p>
    <w:p w14:paraId="51CD6770">
      <w:pPr>
        <w:pStyle w:val="224"/>
        <w:spacing w:line="336" w:lineRule="auto"/>
        <w:ind w:lef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（3）</w:t>
      </w:r>
      <w:r>
        <w:rPr>
          <w:rFonts w:hint="eastAsia" w:ascii="仿宋_GB2312" w:hAnsi="仿宋_GB2312" w:eastAsia="仿宋_GB2312" w:cs="仿宋_GB2312"/>
          <w:color w:val="auto"/>
        </w:rPr>
        <w:t>授权代表社保证明………………………………………………………   （页码）</w:t>
      </w:r>
    </w:p>
    <w:p w14:paraId="62C55410">
      <w:pPr>
        <w:pStyle w:val="224"/>
        <w:spacing w:line="336" w:lineRule="auto"/>
        <w:ind w:lef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（4）</w:t>
      </w:r>
      <w:r>
        <w:rPr>
          <w:rFonts w:hint="eastAsia" w:ascii="仿宋_GB2312" w:hAnsi="仿宋_GB2312" w:eastAsia="仿宋_GB2312" w:cs="仿宋_GB2312"/>
          <w:color w:val="auto"/>
        </w:rPr>
        <w:t>法定代表人及其授权代表身份证复印件（复印件）…………………… （页码）</w:t>
      </w:r>
    </w:p>
    <w:p w14:paraId="4DC06648">
      <w:pPr>
        <w:pStyle w:val="224"/>
        <w:spacing w:line="336" w:lineRule="auto"/>
        <w:ind w:lef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（5）</w:t>
      </w:r>
      <w:r>
        <w:rPr>
          <w:rFonts w:hint="eastAsia" w:ascii="仿宋_GB2312" w:hAnsi="仿宋_GB2312" w:eastAsia="仿宋_GB2312" w:cs="仿宋_GB2312"/>
          <w:color w:val="auto"/>
        </w:rPr>
        <w:t>法定代表人身份证明书…………………………………………………… （页码）</w:t>
      </w:r>
    </w:p>
    <w:p w14:paraId="2F2ADE26">
      <w:pPr>
        <w:pStyle w:val="224"/>
        <w:spacing w:line="336" w:lineRule="auto"/>
        <w:ind w:lef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（6）</w:t>
      </w:r>
      <w:r>
        <w:rPr>
          <w:rFonts w:hint="eastAsia" w:ascii="仿宋_GB2312" w:hAnsi="仿宋_GB2312" w:eastAsia="仿宋_GB2312" w:cs="仿宋_GB2312"/>
          <w:color w:val="auto"/>
        </w:rPr>
        <w:t>商务技术偏离表…………………………………………………………… （页码）</w:t>
      </w:r>
    </w:p>
    <w:p w14:paraId="73B3C160">
      <w:pPr>
        <w:pStyle w:val="224"/>
        <w:spacing w:line="336" w:lineRule="auto"/>
        <w:ind w:lef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（7）采购供应商廉洁自律承诺书</w:t>
      </w:r>
      <w:r>
        <w:rPr>
          <w:rFonts w:hint="eastAsia" w:ascii="仿宋_GB2312" w:hAnsi="仿宋_GB2312" w:eastAsia="仿宋_GB2312" w:cs="仿宋_GB2312"/>
          <w:color w:val="auto"/>
        </w:rPr>
        <w:t>……………………………………………… （页码）</w:t>
      </w:r>
    </w:p>
    <w:p w14:paraId="2BCA3B18">
      <w:pPr>
        <w:spacing w:line="360" w:lineRule="auto"/>
        <w:ind w:right="-510" w:rightChars="-243"/>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14:paraId="3A7E67BA">
      <w:pPr>
        <w:spacing w:line="360" w:lineRule="auto"/>
        <w:ind w:right="-510" w:rightChars="-243"/>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14:paraId="0B29E642">
      <w:pPr>
        <w:spacing w:line="360" w:lineRule="auto"/>
        <w:ind w:right="-510" w:rightChars="-243"/>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14:paraId="6BAAA784">
      <w:pPr>
        <w:spacing w:line="360" w:lineRule="auto"/>
        <w:ind w:right="-510" w:rightChars="-243"/>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3EA3419E">
      <w:pPr>
        <w:spacing w:line="360" w:lineRule="auto"/>
        <w:ind w:right="-510" w:rightChars="-243"/>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14:paraId="0EF21A8F">
      <w:pPr>
        <w:spacing w:line="360" w:lineRule="auto"/>
        <w:ind w:right="-510" w:rightChars="-243"/>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21080859">
      <w:pPr>
        <w:spacing w:line="360" w:lineRule="auto"/>
        <w:ind w:right="-510" w:rightChars="-243"/>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14F7F52B">
      <w:pPr>
        <w:spacing w:line="360" w:lineRule="auto"/>
        <w:ind w:right="-510" w:rightChars="-243"/>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17C5749B">
      <w:pPr>
        <w:spacing w:line="360" w:lineRule="auto"/>
        <w:ind w:right="-510" w:rightChars="-243"/>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2AD6316F">
      <w:pPr>
        <w:spacing w:line="360" w:lineRule="auto"/>
        <w:ind w:right="-510" w:rightChars="-243"/>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704BF207">
      <w:pPr>
        <w:spacing w:line="360" w:lineRule="auto"/>
        <w:ind w:right="-510" w:rightChars="-243"/>
        <w:rPr>
          <w:rFonts w:hint="eastAsia" w:ascii="仿宋_GB2312" w:hAnsi="仿宋_GB2312" w:eastAsia="仿宋_GB2312" w:cs="仿宋_GB2312"/>
          <w:color w:val="auto"/>
          <w:kern w:val="0"/>
          <w:sz w:val="24"/>
          <w:u w:val="single"/>
          <w:lang w:val="zh-CN"/>
        </w:rPr>
      </w:pPr>
      <w:r>
        <w:rPr>
          <w:rFonts w:hint="eastAsia" w:ascii="仿宋_GB2312" w:hAnsi="仿宋_GB2312" w:eastAsia="仿宋_GB2312" w:cs="仿宋_GB2312"/>
          <w:color w:val="auto"/>
          <w:kern w:val="0"/>
          <w:sz w:val="24"/>
          <w:u w:val="single"/>
          <w:lang w:val="zh-CN"/>
        </w:rPr>
        <w:t>（18）甲醛等</w:t>
      </w:r>
      <w:r>
        <w:rPr>
          <w:rFonts w:hint="eastAsia" w:ascii="仿宋_GB2312" w:hAnsi="仿宋_GB2312" w:eastAsia="仿宋_GB2312" w:cs="仿宋_GB2312"/>
          <w:color w:val="auto"/>
          <w:kern w:val="0"/>
          <w:sz w:val="24"/>
          <w:u w:val="single"/>
          <w:lang w:val="zh-CN" w:eastAsia="zh-CN"/>
        </w:rPr>
        <w:t>性能</w:t>
      </w:r>
      <w:r>
        <w:rPr>
          <w:rFonts w:hint="eastAsia" w:ascii="仿宋_GB2312" w:hAnsi="仿宋_GB2312" w:eastAsia="仿宋_GB2312" w:cs="仿宋_GB2312"/>
          <w:color w:val="auto"/>
          <w:kern w:val="0"/>
          <w:sz w:val="24"/>
          <w:u w:val="single"/>
          <w:lang w:val="zh-CN"/>
        </w:rPr>
        <w:t>指标参数响应承诺书</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4E63E292">
      <w:pPr>
        <w:spacing w:line="360" w:lineRule="auto"/>
        <w:ind w:right="-368" w:rightChars="-175"/>
        <w:rPr>
          <w:rFonts w:hint="eastAsia" w:ascii="仿宋_GB2312" w:hAnsi="仿宋_GB2312" w:eastAsia="仿宋_GB2312" w:cs="仿宋_GB2312"/>
          <w:b/>
          <w:bCs/>
          <w:color w:val="auto"/>
          <w:sz w:val="24"/>
        </w:rPr>
      </w:pP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lang w:val="en-US" w:eastAsia="zh-CN"/>
        </w:rPr>
        <w:t>19</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7963C630">
      <w:pPr>
        <w:snapToGrid w:val="0"/>
        <w:spacing w:line="360" w:lineRule="auto"/>
        <w:ind w:firstLine="3855" w:firstLineChars="1200"/>
        <w:outlineLvl w:val="0"/>
        <w:rPr>
          <w:rFonts w:hint="eastAsia" w:ascii="仿宋_GB2312" w:hAnsi="仿宋_GB2312" w:eastAsia="仿宋_GB2312" w:cs="仿宋_GB2312"/>
          <w:b/>
          <w:color w:val="auto"/>
          <w:kern w:val="0"/>
          <w:sz w:val="32"/>
          <w:szCs w:val="32"/>
        </w:rPr>
      </w:pPr>
    </w:p>
    <w:p w14:paraId="2CC0DE1C">
      <w:pPr>
        <w:snapToGrid w:val="0"/>
        <w:spacing w:line="360" w:lineRule="auto"/>
        <w:ind w:firstLine="3855" w:firstLineChars="1200"/>
        <w:outlineLvl w:val="0"/>
        <w:rPr>
          <w:rFonts w:hint="eastAsia" w:ascii="仿宋_GB2312" w:hAnsi="仿宋_GB2312" w:eastAsia="仿宋_GB2312" w:cs="仿宋_GB2312"/>
          <w:b/>
          <w:color w:val="auto"/>
          <w:kern w:val="0"/>
          <w:sz w:val="32"/>
          <w:szCs w:val="32"/>
        </w:rPr>
      </w:pPr>
    </w:p>
    <w:p w14:paraId="430AA162">
      <w:pPr>
        <w:snapToGrid w:val="0"/>
        <w:spacing w:line="360" w:lineRule="auto"/>
        <w:ind w:firstLine="3855" w:firstLineChars="1200"/>
        <w:outlineLvl w:val="0"/>
        <w:rPr>
          <w:rFonts w:hint="eastAsia" w:ascii="仿宋_GB2312" w:hAnsi="仿宋_GB2312" w:eastAsia="仿宋_GB2312" w:cs="仿宋_GB2312"/>
          <w:b/>
          <w:color w:val="auto"/>
          <w:kern w:val="0"/>
          <w:sz w:val="32"/>
          <w:szCs w:val="32"/>
        </w:rPr>
      </w:pPr>
    </w:p>
    <w:p w14:paraId="230E9254">
      <w:pPr>
        <w:snapToGrid w:val="0"/>
        <w:spacing w:line="360" w:lineRule="auto"/>
        <w:ind w:firstLine="3855" w:firstLineChars="1200"/>
        <w:outlineLvl w:val="0"/>
        <w:rPr>
          <w:rFonts w:hint="eastAsia" w:ascii="仿宋_GB2312" w:hAnsi="仿宋_GB2312" w:eastAsia="仿宋_GB2312" w:cs="仿宋_GB2312"/>
          <w:b/>
          <w:color w:val="auto"/>
          <w:kern w:val="0"/>
          <w:sz w:val="32"/>
          <w:szCs w:val="32"/>
        </w:rPr>
      </w:pPr>
    </w:p>
    <w:p w14:paraId="12D84A3D">
      <w:pPr>
        <w:snapToGrid w:val="0"/>
        <w:spacing w:line="360" w:lineRule="auto"/>
        <w:ind w:firstLine="3855" w:firstLineChars="1200"/>
        <w:outlineLvl w:val="0"/>
        <w:rPr>
          <w:rFonts w:hint="eastAsia" w:ascii="仿宋_GB2312" w:hAnsi="仿宋_GB2312" w:eastAsia="仿宋_GB2312" w:cs="仿宋_GB2312"/>
          <w:b/>
          <w:color w:val="auto"/>
          <w:kern w:val="0"/>
          <w:sz w:val="32"/>
          <w:szCs w:val="32"/>
        </w:rPr>
      </w:pPr>
    </w:p>
    <w:p w14:paraId="6D195509">
      <w:pPr>
        <w:snapToGrid w:val="0"/>
        <w:spacing w:line="400" w:lineRule="exact"/>
        <w:ind w:firstLine="3855" w:firstLineChars="1200"/>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kern w:val="0"/>
          <w:sz w:val="32"/>
          <w:szCs w:val="32"/>
        </w:rPr>
        <w:t>一、投标</w:t>
      </w:r>
      <w:r>
        <w:rPr>
          <w:rFonts w:hint="eastAsia" w:ascii="仿宋_GB2312" w:hAnsi="仿宋_GB2312" w:eastAsia="仿宋_GB2312" w:cs="仿宋_GB2312"/>
          <w:b/>
          <w:color w:val="auto"/>
          <w:sz w:val="32"/>
          <w:szCs w:val="32"/>
        </w:rPr>
        <w:t>函</w:t>
      </w:r>
    </w:p>
    <w:p w14:paraId="5DD2029D">
      <w:pPr>
        <w:pStyle w:val="101"/>
        <w:spacing w:afterLines="0" w:line="400" w:lineRule="exact"/>
        <w:ind w:firstLine="0" w:firstLineChars="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致：</w:t>
      </w:r>
      <w:r>
        <w:rPr>
          <w:rFonts w:hint="eastAsia" w:ascii="仿宋_GB2312" w:hAnsi="仿宋_GB2312" w:eastAsia="仿宋_GB2312" w:cs="仿宋_GB2312"/>
          <w:color w:val="auto"/>
          <w:szCs w:val="24"/>
          <w:u w:val="single"/>
        </w:rPr>
        <w:t xml:space="preserve">                                  </w:t>
      </w:r>
    </w:p>
    <w:p w14:paraId="792F8EA9">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根据贵方</w:t>
      </w:r>
      <w:r>
        <w:rPr>
          <w:rFonts w:hint="eastAsia" w:ascii="仿宋_GB2312" w:hAnsi="仿宋_GB2312" w:eastAsia="仿宋_GB2312" w:cs="仿宋_GB2312"/>
          <w:color w:val="auto"/>
          <w:szCs w:val="24"/>
          <w:u w:val="single"/>
        </w:rPr>
        <w:t xml:space="preserve">                   项目</w:t>
      </w:r>
      <w:r>
        <w:rPr>
          <w:rFonts w:hint="eastAsia" w:ascii="仿宋_GB2312" w:hAnsi="仿宋_GB2312" w:eastAsia="仿宋_GB2312" w:cs="仿宋_GB2312"/>
          <w:color w:val="auto"/>
          <w:szCs w:val="24"/>
        </w:rPr>
        <w:t>招标文件（</w:t>
      </w:r>
      <w:r>
        <w:rPr>
          <w:rFonts w:hint="eastAsia" w:ascii="仿宋_GB2312" w:hAnsi="仿宋_GB2312" w:eastAsia="仿宋_GB2312" w:cs="仿宋_GB2312"/>
          <w:b/>
          <w:color w:val="auto"/>
          <w:szCs w:val="24"/>
          <w:u w:val="single"/>
        </w:rPr>
        <w:t xml:space="preserve">填写招标编号：       </w:t>
      </w:r>
      <w:r>
        <w:rPr>
          <w:rFonts w:hint="eastAsia" w:ascii="仿宋_GB2312" w:hAnsi="仿宋_GB2312" w:eastAsia="仿宋_GB2312" w:cs="仿宋_GB2312"/>
          <w:color w:val="auto"/>
          <w:szCs w:val="24"/>
        </w:rPr>
        <w:t>）的要求，正式授权</w:t>
      </w:r>
      <w:r>
        <w:rPr>
          <w:rFonts w:hint="eastAsia" w:ascii="仿宋_GB2312" w:hAnsi="仿宋_GB2312" w:eastAsia="仿宋_GB2312" w:cs="仿宋_GB2312"/>
          <w:b/>
          <w:color w:val="auto"/>
          <w:szCs w:val="24"/>
          <w:u w:val="single"/>
        </w:rPr>
        <w:t>（全权代表姓名    、单位    、职务   ）</w:t>
      </w:r>
      <w:r>
        <w:rPr>
          <w:rFonts w:hint="eastAsia" w:ascii="仿宋_GB2312" w:hAnsi="仿宋_GB2312" w:eastAsia="仿宋_GB2312" w:cs="仿宋_GB2312"/>
          <w:color w:val="auto"/>
          <w:szCs w:val="24"/>
        </w:rPr>
        <w:t>代表投标人</w:t>
      </w:r>
      <w:r>
        <w:rPr>
          <w:rFonts w:hint="eastAsia" w:ascii="仿宋_GB2312" w:hAnsi="仿宋_GB2312" w:eastAsia="仿宋_GB2312" w:cs="仿宋_GB2312"/>
          <w:color w:val="auto"/>
          <w:szCs w:val="24"/>
          <w:u w:val="single"/>
        </w:rPr>
        <w:t>（</w:t>
      </w:r>
      <w:r>
        <w:rPr>
          <w:rFonts w:hint="eastAsia" w:ascii="仿宋_GB2312" w:hAnsi="仿宋_GB2312" w:eastAsia="仿宋_GB2312" w:cs="仿宋_GB2312"/>
          <w:b/>
          <w:color w:val="auto"/>
          <w:szCs w:val="24"/>
          <w:u w:val="single"/>
        </w:rPr>
        <w:t xml:space="preserve">填写单位    、地址   </w:t>
      </w:r>
      <w:r>
        <w:rPr>
          <w:rFonts w:hint="eastAsia" w:ascii="仿宋_GB2312" w:hAnsi="仿宋_GB2312" w:eastAsia="仿宋_GB2312" w:cs="仿宋_GB2312"/>
          <w:color w:val="auto"/>
          <w:szCs w:val="24"/>
          <w:u w:val="single"/>
        </w:rPr>
        <w:t>）</w:t>
      </w:r>
      <w:r>
        <w:rPr>
          <w:rFonts w:hint="eastAsia" w:ascii="仿宋_GB2312" w:hAnsi="仿宋_GB2312" w:eastAsia="仿宋_GB2312" w:cs="仿宋_GB2312"/>
          <w:color w:val="auto"/>
          <w:szCs w:val="24"/>
        </w:rPr>
        <w:t>提交投标文件。</w:t>
      </w:r>
    </w:p>
    <w:p w14:paraId="6A30C30D">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我方已完全明白招标文件的所有条款要求，兹声明同意如下：</w:t>
      </w:r>
    </w:p>
    <w:p w14:paraId="466DF126">
      <w:pPr>
        <w:pStyle w:val="15"/>
        <w:tabs>
          <w:tab w:val="clear" w:pos="1697"/>
        </w:tabs>
        <w:spacing w:afterLines="0" w:line="400" w:lineRule="exact"/>
        <w:ind w:left="0" w:firstLine="480" w:firstLineChars="20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1.我方同意在投标人</w:t>
      </w:r>
      <w:r>
        <w:rPr>
          <w:rFonts w:hint="eastAsia" w:ascii="仿宋_GB2312" w:hAnsi="仿宋_GB2312" w:eastAsia="仿宋_GB2312" w:cs="仿宋_GB2312"/>
          <w:color w:val="auto"/>
          <w:kern w:val="44"/>
          <w:szCs w:val="24"/>
        </w:rPr>
        <w:t>须知</w:t>
      </w:r>
      <w:r>
        <w:rPr>
          <w:rFonts w:hint="eastAsia" w:ascii="仿宋_GB2312" w:hAnsi="仿宋_GB2312" w:eastAsia="仿宋_GB2312" w:cs="仿宋_GB2312"/>
          <w:color w:val="auto"/>
          <w:szCs w:val="24"/>
        </w:rPr>
        <w:t>规定的开标日期起遵守本投标文件中的承诺且在投标有效期满之前均具有约束力。</w:t>
      </w:r>
    </w:p>
    <w:p w14:paraId="400A87D5">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2.我方承诺已经具备《中华人民共和国政府采购法》中规定的参加采购活动的供应商应当具备的条件。</w:t>
      </w:r>
    </w:p>
    <w:p w14:paraId="299829AA">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A8DEAF9">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4.我方理解贵方将不受你们所收到的最低报价的约束。</w:t>
      </w:r>
    </w:p>
    <w:p w14:paraId="11E70635">
      <w:pPr>
        <w:pStyle w:val="15"/>
        <w:tabs>
          <w:tab w:val="clear" w:pos="1697"/>
        </w:tabs>
        <w:spacing w:afterLines="0" w:line="400" w:lineRule="exact"/>
        <w:ind w:left="0" w:firstLine="480" w:firstLineChars="20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5.本投标自开标之日（投标截止之日）起90天内有效。</w:t>
      </w:r>
    </w:p>
    <w:p w14:paraId="0905E369">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6.我方将严格遵守《中华人民共和国政府采购法》第七十七条规定，供应商有下列情形之一的，处以采购金额5‰以上10‰以下的罚款，列入不良行为记录名单，在一至三年内禁止参加</w:t>
      </w:r>
      <w:r>
        <w:rPr>
          <w:rFonts w:hint="eastAsia" w:ascii="仿宋_GB2312" w:hAnsi="仿宋_GB2312" w:eastAsia="仿宋_GB2312" w:cs="仿宋_GB2312"/>
          <w:color w:val="auto"/>
          <w:szCs w:val="24"/>
          <w:lang w:eastAsia="zh-CN"/>
        </w:rPr>
        <w:t>政府</w:t>
      </w:r>
      <w:r>
        <w:rPr>
          <w:rFonts w:hint="eastAsia" w:ascii="仿宋_GB2312" w:hAnsi="仿宋_GB2312" w:eastAsia="仿宋_GB2312" w:cs="仿宋_GB2312"/>
          <w:color w:val="auto"/>
          <w:szCs w:val="24"/>
        </w:rPr>
        <w:t>采购活动；有违法所得的，并处没收违法所得；情节严重的，由工商行政管理机关吊销营业执照；构成犯罪的，依法追究刑事责任：</w:t>
      </w:r>
    </w:p>
    <w:p w14:paraId="5561C0E5">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a)提供虚假材料谋取中标、成交的；</w:t>
      </w:r>
    </w:p>
    <w:p w14:paraId="4089D079">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b)采取不正当手段诋毁、排挤其他供应商的；</w:t>
      </w:r>
    </w:p>
    <w:p w14:paraId="678EE6E7">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c)与采购人、其它供应商或者采购代理机构恶意串通的；</w:t>
      </w:r>
    </w:p>
    <w:p w14:paraId="4CA4BDFC">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d)向采购人、采购代理机构行贿或者提供其他不正当利益的；</w:t>
      </w:r>
    </w:p>
    <w:p w14:paraId="51CC001F">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e)在招标采购过程中与采购人进行协商谈判的；</w:t>
      </w:r>
    </w:p>
    <w:p w14:paraId="4647FC92">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f)拒绝有关部门监督检查或提供虚假情况的。</w:t>
      </w:r>
    </w:p>
    <w:p w14:paraId="0B7C4F4C">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供应商有前款第a)至e)项情形之一的，中标、成交无效。</w:t>
      </w:r>
    </w:p>
    <w:p w14:paraId="003364AC">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地址：　　　　　　　　　　　　　　　邮政编码：</w:t>
      </w:r>
    </w:p>
    <w:p w14:paraId="18BA49CB">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电话：                              传真：</w:t>
      </w:r>
    </w:p>
    <w:p w14:paraId="7ED02B18">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开户银行：                          帐号：</w:t>
      </w:r>
    </w:p>
    <w:p w14:paraId="7B75F878">
      <w:pPr>
        <w:pStyle w:val="101"/>
        <w:spacing w:afterLines="0" w:line="40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法定代表人或其授权代表(签字或盖章)：</w:t>
      </w:r>
    </w:p>
    <w:p w14:paraId="6DBB2303">
      <w:pPr>
        <w:snapToGrid w:val="0"/>
        <w:spacing w:line="400" w:lineRule="exact"/>
        <w:ind w:firstLine="480" w:firstLineChars="200"/>
        <w:jc w:val="left"/>
        <w:rPr>
          <w:rFonts w:hint="eastAsia" w:ascii="仿宋_GB2312" w:hAnsi="仿宋_GB2312" w:eastAsia="仿宋_GB2312" w:cs="仿宋_GB2312"/>
          <w:color w:val="auto"/>
          <w:sz w:val="24"/>
        </w:rPr>
      </w:pPr>
    </w:p>
    <w:p w14:paraId="44A1C392">
      <w:pPr>
        <w:snapToGrid w:val="0"/>
        <w:spacing w:line="400" w:lineRule="exact"/>
        <w:ind w:firstLine="480" w:firstLineChars="200"/>
        <w:jc w:val="left"/>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color w:val="auto"/>
          <w:sz w:val="24"/>
        </w:rPr>
        <w:t xml:space="preserve">投标人(电子签章)：　　　　　　　　　日期：  </w:t>
      </w:r>
    </w:p>
    <w:p w14:paraId="2F877D18">
      <w:pPr>
        <w:pageBreakBefore/>
        <w:widowControl/>
        <w:jc w:val="center"/>
        <w:rPr>
          <w:rFonts w:hint="eastAsia"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 xml:space="preserve">二、法定代表人授权委托书（格式） </w:t>
      </w:r>
      <w:r>
        <w:rPr>
          <w:rFonts w:hint="eastAsia" w:ascii="仿宋_GB2312" w:hAnsi="仿宋_GB2312" w:eastAsia="仿宋_GB2312" w:cs="仿宋_GB2312"/>
          <w:b/>
          <w:color w:val="auto"/>
          <w:kern w:val="0"/>
          <w:sz w:val="32"/>
          <w:szCs w:val="32"/>
          <w:lang w:val="zh-CN"/>
        </w:rPr>
        <w:t>（适用于非联合体投标）</w:t>
      </w:r>
    </w:p>
    <w:p w14:paraId="1F813E9C">
      <w:pPr>
        <w:jc w:val="center"/>
        <w:rPr>
          <w:rFonts w:hint="eastAsia" w:ascii="仿宋_GB2312" w:hAnsi="仿宋_GB2312" w:eastAsia="仿宋_GB2312" w:cs="仿宋_GB2312"/>
          <w:b/>
          <w:color w:val="auto"/>
          <w:sz w:val="24"/>
        </w:rPr>
      </w:pPr>
    </w:p>
    <w:p w14:paraId="7C61ACD0">
      <w:pPr>
        <w:snapToGrid w:val="0"/>
        <w:spacing w:line="5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本授权委托书声明：我</w:t>
      </w:r>
      <w:r>
        <w:rPr>
          <w:rFonts w:hint="eastAsia" w:ascii="仿宋_GB2312" w:hAnsi="仿宋_GB2312" w:eastAsia="仿宋_GB2312" w:cs="仿宋_GB2312"/>
          <w:color w:val="auto"/>
          <w:sz w:val="24"/>
          <w:u w:val="single"/>
        </w:rPr>
        <w:t xml:space="preserve">         (填写姓名)</w:t>
      </w:r>
      <w:r>
        <w:rPr>
          <w:rFonts w:hint="eastAsia" w:ascii="仿宋_GB2312" w:hAnsi="仿宋_GB2312" w:eastAsia="仿宋_GB2312" w:cs="仿宋_GB2312"/>
          <w:color w:val="auto"/>
          <w:sz w:val="24"/>
        </w:rPr>
        <w:t>系</w:t>
      </w:r>
      <w:r>
        <w:rPr>
          <w:rFonts w:hint="eastAsia" w:ascii="仿宋_GB2312" w:hAnsi="仿宋_GB2312" w:eastAsia="仿宋_GB2312" w:cs="仿宋_GB2312"/>
          <w:color w:val="auto"/>
          <w:sz w:val="24"/>
          <w:u w:val="single"/>
        </w:rPr>
        <w:t xml:space="preserve">                      （填写投标人单位全称）</w:t>
      </w:r>
      <w:r>
        <w:rPr>
          <w:rFonts w:hint="eastAsia" w:ascii="仿宋_GB2312" w:hAnsi="仿宋_GB2312" w:eastAsia="仿宋_GB2312" w:cs="仿宋_GB2312"/>
          <w:color w:val="auto"/>
          <w:sz w:val="24"/>
        </w:rPr>
        <w:t>的法定代表人，现授权委托</w:t>
      </w:r>
      <w:r>
        <w:rPr>
          <w:rFonts w:hint="eastAsia" w:ascii="仿宋_GB2312" w:hAnsi="仿宋_GB2312" w:eastAsia="仿宋_GB2312" w:cs="仿宋_GB2312"/>
          <w:color w:val="auto"/>
          <w:sz w:val="24"/>
          <w:u w:val="single"/>
        </w:rPr>
        <w:t xml:space="preserve">                     （填写单位全称）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（填写姓名）为我公司授权代表，</w:t>
      </w:r>
      <w:r>
        <w:rPr>
          <w:rFonts w:hint="eastAsia" w:ascii="仿宋_GB2312" w:hAnsi="仿宋_GB2312" w:eastAsia="仿宋_GB2312" w:cs="仿宋_GB2312"/>
          <w:color w:val="auto"/>
          <w:sz w:val="24"/>
          <w:u w:val="single"/>
        </w:rPr>
        <w:t>（填写身份证号码：           ）</w:t>
      </w:r>
      <w:r>
        <w:rPr>
          <w:rFonts w:hint="eastAsia" w:ascii="仿宋_GB2312" w:hAnsi="仿宋_GB2312" w:eastAsia="仿宋_GB2312" w:cs="仿宋_GB2312"/>
          <w:color w:val="auto"/>
          <w:sz w:val="24"/>
        </w:rPr>
        <w:t>。以本公司的名义参加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组织的</w:t>
      </w:r>
      <w:r>
        <w:rPr>
          <w:rFonts w:hint="eastAsia" w:ascii="仿宋_GB2312" w:hAnsi="仿宋_GB2312" w:eastAsia="仿宋_GB2312" w:cs="仿宋_GB2312"/>
          <w:color w:val="auto"/>
          <w:sz w:val="24"/>
          <w:u w:val="single"/>
        </w:rPr>
        <w:t xml:space="preserve">                           项目（招标编号:                 ）</w:t>
      </w:r>
      <w:r>
        <w:rPr>
          <w:rFonts w:hint="eastAsia" w:ascii="仿宋_GB2312" w:hAnsi="仿宋_GB2312" w:eastAsia="仿宋_GB2312" w:cs="仿宋_GB2312"/>
          <w:color w:val="auto"/>
          <w:sz w:val="24"/>
        </w:rPr>
        <w:t>投标活动。授权代表在开标、评标、合同谈判过程中所签署的一切文件和处理与之有关的一切事务，我均予以承认。</w:t>
      </w:r>
    </w:p>
    <w:p w14:paraId="75C467B5">
      <w:pPr>
        <w:snapToGrid w:val="0"/>
        <w:spacing w:line="5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在撤销授权的书面通知以前，本授权书一直有效。全权代表在授权书有效期内签署的所有文件不因授权的撤销而失效。</w:t>
      </w:r>
    </w:p>
    <w:p w14:paraId="37C96226">
      <w:pPr>
        <w:spacing w:line="5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授权代表无转委托权。特此委托。</w:t>
      </w:r>
    </w:p>
    <w:p w14:paraId="2F9380E8">
      <w:pPr>
        <w:snapToGrid w:val="0"/>
        <w:spacing w:line="600" w:lineRule="exact"/>
        <w:jc w:val="left"/>
        <w:rPr>
          <w:rFonts w:hint="eastAsia" w:ascii="仿宋_GB2312" w:hAnsi="仿宋_GB2312" w:eastAsia="仿宋_GB2312" w:cs="仿宋_GB2312"/>
          <w:color w:val="auto"/>
          <w:sz w:val="24"/>
        </w:rPr>
      </w:pPr>
    </w:p>
    <w:p w14:paraId="30B93568">
      <w:pPr>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授权代表姓名：              性别：               年龄：</w:t>
      </w:r>
    </w:p>
    <w:p w14:paraId="3B639164">
      <w:pPr>
        <w:spacing w:line="360" w:lineRule="exact"/>
        <w:rPr>
          <w:rFonts w:hint="eastAsia" w:ascii="仿宋_GB2312" w:hAnsi="仿宋_GB2312" w:eastAsia="仿宋_GB2312" w:cs="仿宋_GB2312"/>
          <w:color w:val="auto"/>
          <w:sz w:val="24"/>
        </w:rPr>
      </w:pPr>
    </w:p>
    <w:p w14:paraId="0A2120F1">
      <w:pPr>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单位：                      部门：               职务：</w:t>
      </w:r>
    </w:p>
    <w:p w14:paraId="6D4F7A0C">
      <w:pPr>
        <w:spacing w:line="360" w:lineRule="exact"/>
        <w:rPr>
          <w:rFonts w:hint="eastAsia" w:ascii="仿宋_GB2312" w:hAnsi="仿宋_GB2312" w:eastAsia="仿宋_GB2312" w:cs="仿宋_GB2312"/>
          <w:color w:val="auto"/>
          <w:sz w:val="24"/>
        </w:rPr>
      </w:pPr>
    </w:p>
    <w:p w14:paraId="5ECD08FA">
      <w:pPr>
        <w:widowControl/>
        <w:snapToGrid w:val="0"/>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办公地址：                  联系电话：           传真：</w:t>
      </w:r>
    </w:p>
    <w:p w14:paraId="2E7B741F">
      <w:pPr>
        <w:spacing w:line="360" w:lineRule="exact"/>
        <w:rPr>
          <w:rFonts w:hint="eastAsia" w:ascii="仿宋_GB2312" w:hAnsi="仿宋_GB2312" w:eastAsia="仿宋_GB2312" w:cs="仿宋_GB2312"/>
          <w:color w:val="auto"/>
          <w:sz w:val="24"/>
        </w:rPr>
      </w:pPr>
    </w:p>
    <w:p w14:paraId="12D673A1">
      <w:pPr>
        <w:spacing w:line="360" w:lineRule="exact"/>
        <w:rPr>
          <w:rFonts w:hint="eastAsia" w:ascii="仿宋_GB2312" w:hAnsi="仿宋_GB2312" w:eastAsia="仿宋_GB2312" w:cs="仿宋_GB2312"/>
          <w:color w:val="auto"/>
          <w:sz w:val="24"/>
        </w:rPr>
      </w:pPr>
    </w:p>
    <w:p w14:paraId="7A1392EF">
      <w:pPr>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投标人（电子签章）：</w:t>
      </w:r>
    </w:p>
    <w:p w14:paraId="62AA9064">
      <w:pPr>
        <w:spacing w:line="360" w:lineRule="exact"/>
        <w:rPr>
          <w:rFonts w:hint="eastAsia" w:ascii="仿宋_GB2312" w:hAnsi="仿宋_GB2312" w:eastAsia="仿宋_GB2312" w:cs="仿宋_GB2312"/>
          <w:color w:val="auto"/>
          <w:sz w:val="24"/>
        </w:rPr>
      </w:pPr>
    </w:p>
    <w:p w14:paraId="48BBC9A3">
      <w:pPr>
        <w:spacing w:line="360" w:lineRule="exact"/>
        <w:rPr>
          <w:rFonts w:hint="eastAsia" w:ascii="仿宋_GB2312" w:hAnsi="仿宋_GB2312" w:eastAsia="仿宋_GB2312" w:cs="仿宋_GB2312"/>
          <w:color w:val="auto"/>
          <w:sz w:val="24"/>
        </w:rPr>
      </w:pPr>
    </w:p>
    <w:p w14:paraId="603CCDFF">
      <w:pPr>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法定代表人（签字或盖章）：</w:t>
      </w:r>
    </w:p>
    <w:p w14:paraId="372C20B9">
      <w:pPr>
        <w:spacing w:line="360" w:lineRule="exact"/>
        <w:rPr>
          <w:rFonts w:hint="eastAsia" w:ascii="仿宋_GB2312" w:hAnsi="仿宋_GB2312" w:eastAsia="仿宋_GB2312" w:cs="仿宋_GB2312"/>
          <w:color w:val="auto"/>
          <w:sz w:val="24"/>
        </w:rPr>
      </w:pPr>
    </w:p>
    <w:p w14:paraId="523C94EA">
      <w:pPr>
        <w:spacing w:line="360" w:lineRule="exact"/>
        <w:rPr>
          <w:rFonts w:hint="eastAsia" w:ascii="仿宋_GB2312" w:hAnsi="仿宋_GB2312" w:eastAsia="仿宋_GB2312" w:cs="仿宋_GB2312"/>
          <w:color w:val="auto"/>
          <w:sz w:val="24"/>
        </w:rPr>
      </w:pPr>
    </w:p>
    <w:p w14:paraId="18BA9CA4">
      <w:pPr>
        <w:ind w:firstLine="5280" w:firstLineChars="2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日期：    年   月   日</w:t>
      </w:r>
    </w:p>
    <w:p w14:paraId="0F4B6387">
      <w:pPr>
        <w:ind w:firstLine="4920" w:firstLineChars="2050"/>
        <w:jc w:val="left"/>
        <w:rPr>
          <w:rFonts w:hint="eastAsia" w:ascii="仿宋_GB2312" w:hAnsi="仿宋_GB2312" w:eastAsia="仿宋_GB2312" w:cs="仿宋_GB2312"/>
          <w:color w:val="auto"/>
          <w:sz w:val="24"/>
        </w:rPr>
      </w:pPr>
    </w:p>
    <w:p w14:paraId="21C1EE13">
      <w:pPr>
        <w:spacing w:line="800" w:lineRule="exact"/>
        <w:rPr>
          <w:rFonts w:hint="eastAsia" w:ascii="仿宋_GB2312" w:hAnsi="仿宋_GB2312" w:eastAsia="仿宋_GB2312" w:cs="仿宋_GB2312"/>
          <w:b/>
          <w:color w:val="auto"/>
          <w:sz w:val="24"/>
        </w:rPr>
      </w:pPr>
    </w:p>
    <w:p w14:paraId="57168493">
      <w:pPr>
        <w:pageBreakBefore/>
        <w:spacing w:line="800" w:lineRule="exact"/>
        <w:jc w:val="center"/>
        <w:rPr>
          <w:rFonts w:hint="eastAsia"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 xml:space="preserve">法定代表人授权委托书（格式） </w:t>
      </w:r>
      <w:r>
        <w:rPr>
          <w:rFonts w:hint="eastAsia" w:ascii="仿宋_GB2312" w:hAnsi="仿宋_GB2312" w:eastAsia="仿宋_GB2312" w:cs="仿宋_GB2312"/>
          <w:b/>
          <w:color w:val="auto"/>
          <w:kern w:val="0"/>
          <w:sz w:val="32"/>
          <w:szCs w:val="32"/>
          <w:lang w:val="zh-CN"/>
        </w:rPr>
        <w:t>（适用于联合体投标）</w:t>
      </w:r>
    </w:p>
    <w:p w14:paraId="77B4869C">
      <w:pPr>
        <w:jc w:val="center"/>
        <w:rPr>
          <w:rFonts w:hint="eastAsia" w:ascii="仿宋_GB2312" w:hAnsi="仿宋_GB2312" w:eastAsia="仿宋_GB2312" w:cs="仿宋_GB2312"/>
          <w:b/>
          <w:color w:val="auto"/>
          <w:sz w:val="24"/>
        </w:rPr>
      </w:pPr>
    </w:p>
    <w:p w14:paraId="700AEAF6">
      <w:pPr>
        <w:snapToGrid w:val="0"/>
        <w:spacing w:line="5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本授权委托书声明：</w:t>
      </w:r>
    </w:p>
    <w:p w14:paraId="5B655F7C">
      <w:pPr>
        <w:snapToGrid w:val="0"/>
        <w:spacing w:line="5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现授权委托</w:t>
      </w:r>
      <w:r>
        <w:rPr>
          <w:rFonts w:hint="eastAsia" w:ascii="仿宋_GB2312" w:hAnsi="仿宋_GB2312" w:eastAsia="仿宋_GB2312" w:cs="仿宋_GB2312"/>
          <w:color w:val="auto"/>
          <w:sz w:val="24"/>
          <w:u w:val="single"/>
        </w:rPr>
        <w:t xml:space="preserve">                  （填写单位全称）</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（填写姓名）</w:t>
      </w:r>
      <w:r>
        <w:rPr>
          <w:rFonts w:hint="eastAsia" w:ascii="仿宋_GB2312" w:hAnsi="仿宋_GB2312" w:eastAsia="仿宋_GB2312" w:cs="仿宋_GB2312"/>
          <w:color w:val="auto"/>
          <w:sz w:val="24"/>
        </w:rPr>
        <w:t>为我方授权代表，</w:t>
      </w:r>
      <w:r>
        <w:rPr>
          <w:rFonts w:hint="eastAsia" w:ascii="仿宋_GB2312" w:hAnsi="仿宋_GB2312" w:eastAsia="仿宋_GB2312" w:cs="仿宋_GB2312"/>
          <w:color w:val="auto"/>
          <w:sz w:val="24"/>
          <w:u w:val="single"/>
        </w:rPr>
        <w:t>（填写身份证号码：                         ）</w:t>
      </w:r>
      <w:r>
        <w:rPr>
          <w:rFonts w:hint="eastAsia" w:ascii="仿宋_GB2312" w:hAnsi="仿宋_GB2312" w:eastAsia="仿宋_GB2312" w:cs="仿宋_GB2312"/>
          <w:color w:val="auto"/>
          <w:sz w:val="24"/>
        </w:rPr>
        <w:t>。以我方的名义参加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组织的</w:t>
      </w:r>
      <w:r>
        <w:rPr>
          <w:rFonts w:hint="eastAsia" w:ascii="仿宋_GB2312" w:hAnsi="仿宋_GB2312" w:eastAsia="仿宋_GB2312" w:cs="仿宋_GB2312"/>
          <w:color w:val="auto"/>
          <w:sz w:val="24"/>
          <w:u w:val="single"/>
        </w:rPr>
        <w:t xml:space="preserve">                项目（招标编号:        ）</w:t>
      </w:r>
      <w:r>
        <w:rPr>
          <w:rFonts w:hint="eastAsia" w:ascii="仿宋_GB2312" w:hAnsi="仿宋_GB2312" w:eastAsia="仿宋_GB2312" w:cs="仿宋_GB2312"/>
          <w:color w:val="auto"/>
          <w:sz w:val="24"/>
        </w:rPr>
        <w:t>投标活动。授权代表在开标、评标、合同谈判过程中所签署的一切文件和处理与之有关的一切事务，我均予以承认。</w:t>
      </w:r>
    </w:p>
    <w:p w14:paraId="5B79AD31">
      <w:pPr>
        <w:snapToGrid w:val="0"/>
        <w:spacing w:line="56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在撤销授权的书面通知以前，本授权书一直有效。全权代表在授权书有效期内签署的所有文件不因授权的撤销而失效。</w:t>
      </w:r>
    </w:p>
    <w:p w14:paraId="4ABA14FD">
      <w:pPr>
        <w:spacing w:line="56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授权代表无转委托权。特此委托。</w:t>
      </w:r>
    </w:p>
    <w:p w14:paraId="352FC1CA">
      <w:pPr>
        <w:snapToGrid w:val="0"/>
        <w:spacing w:line="600" w:lineRule="exact"/>
        <w:jc w:val="left"/>
        <w:rPr>
          <w:rFonts w:hint="eastAsia" w:ascii="仿宋_GB2312" w:hAnsi="仿宋_GB2312" w:eastAsia="仿宋_GB2312" w:cs="仿宋_GB2312"/>
          <w:color w:val="auto"/>
          <w:sz w:val="24"/>
        </w:rPr>
      </w:pPr>
    </w:p>
    <w:p w14:paraId="4BF7577B">
      <w:pPr>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授权代表姓名：              性别：               年龄：</w:t>
      </w:r>
    </w:p>
    <w:p w14:paraId="64E54590">
      <w:pPr>
        <w:spacing w:line="360" w:lineRule="exact"/>
        <w:rPr>
          <w:rFonts w:hint="eastAsia" w:ascii="仿宋_GB2312" w:hAnsi="仿宋_GB2312" w:eastAsia="仿宋_GB2312" w:cs="仿宋_GB2312"/>
          <w:color w:val="auto"/>
          <w:sz w:val="24"/>
        </w:rPr>
      </w:pPr>
    </w:p>
    <w:p w14:paraId="16C1B50E">
      <w:pPr>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单位：                      部门：               职务：</w:t>
      </w:r>
    </w:p>
    <w:p w14:paraId="61F85605">
      <w:pPr>
        <w:spacing w:line="360" w:lineRule="exact"/>
        <w:rPr>
          <w:rFonts w:hint="eastAsia" w:ascii="仿宋_GB2312" w:hAnsi="仿宋_GB2312" w:eastAsia="仿宋_GB2312" w:cs="仿宋_GB2312"/>
          <w:color w:val="auto"/>
          <w:sz w:val="24"/>
        </w:rPr>
      </w:pPr>
    </w:p>
    <w:p w14:paraId="2BB5B359">
      <w:pPr>
        <w:widowControl/>
        <w:snapToGrid w:val="0"/>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办公地址：                  联系电话：           传真：</w:t>
      </w:r>
    </w:p>
    <w:p w14:paraId="0BD23845">
      <w:pPr>
        <w:spacing w:line="360" w:lineRule="exact"/>
        <w:rPr>
          <w:rFonts w:hint="eastAsia" w:ascii="仿宋_GB2312" w:hAnsi="仿宋_GB2312" w:eastAsia="仿宋_GB2312" w:cs="仿宋_GB2312"/>
          <w:color w:val="auto"/>
          <w:sz w:val="24"/>
        </w:rPr>
      </w:pPr>
    </w:p>
    <w:p w14:paraId="1743004A">
      <w:pPr>
        <w:spacing w:line="360" w:lineRule="exact"/>
        <w:rPr>
          <w:rFonts w:hint="eastAsia" w:ascii="仿宋_GB2312" w:hAnsi="仿宋_GB2312" w:eastAsia="仿宋_GB2312" w:cs="仿宋_GB2312"/>
          <w:color w:val="auto"/>
          <w:sz w:val="24"/>
        </w:rPr>
      </w:pPr>
    </w:p>
    <w:p w14:paraId="3A506E6F">
      <w:pPr>
        <w:jc w:val="center"/>
        <w:rPr>
          <w:rFonts w:hint="eastAsia" w:ascii="仿宋_GB2312" w:hAnsi="仿宋_GB2312" w:eastAsia="仿宋_GB2312" w:cs="仿宋_GB2312"/>
          <w:b/>
          <w:color w:val="auto"/>
          <w:kern w:val="0"/>
          <w:sz w:val="32"/>
          <w:szCs w:val="32"/>
        </w:rPr>
      </w:pPr>
    </w:p>
    <w:p w14:paraId="67708DED">
      <w:pPr>
        <w:rPr>
          <w:rFonts w:hint="eastAsia" w:ascii="仿宋_GB2312" w:hAnsi="仿宋_GB2312" w:eastAsia="仿宋_GB2312" w:cs="仿宋_GB2312"/>
          <w:color w:val="auto"/>
        </w:rPr>
      </w:pPr>
    </w:p>
    <w:p w14:paraId="3DAC953B">
      <w:pPr>
        <w:snapToGrid w:val="0"/>
        <w:spacing w:line="360" w:lineRule="auto"/>
        <w:ind w:firstLine="5040" w:firstLineChars="2100"/>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联合体成员名称(电子签名/公章)：</w:t>
      </w:r>
    </w:p>
    <w:p w14:paraId="0229D0D6">
      <w:pPr>
        <w:snapToGrid w:val="0"/>
        <w:spacing w:line="360" w:lineRule="auto"/>
        <w:ind w:firstLine="5040" w:firstLineChars="2100"/>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联合体成员名称(电子签名/公章)：</w:t>
      </w:r>
    </w:p>
    <w:p w14:paraId="079FF1A2">
      <w:pPr>
        <w:snapToGrid w:val="0"/>
        <w:spacing w:line="360" w:lineRule="auto"/>
        <w:ind w:firstLine="5760" w:firstLineChars="2400"/>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4"/>
          <w:lang w:val="zh-CN"/>
        </w:rPr>
        <w:t>……</w:t>
      </w:r>
    </w:p>
    <w:p w14:paraId="7D21AD8B">
      <w:pPr>
        <w:snapToGrid w:val="0"/>
        <w:spacing w:line="360" w:lineRule="auto"/>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日期：   年   月   日</w:t>
      </w:r>
    </w:p>
    <w:p w14:paraId="3EA568F7">
      <w:pPr>
        <w:autoSpaceDE w:val="0"/>
        <w:autoSpaceDN w:val="0"/>
        <w:spacing w:line="360" w:lineRule="auto"/>
        <w:jc w:val="center"/>
        <w:rPr>
          <w:rFonts w:hint="eastAsia" w:ascii="仿宋_GB2312" w:hAnsi="仿宋_GB2312" w:eastAsia="仿宋_GB2312" w:cs="仿宋_GB2312"/>
          <w:b/>
          <w:color w:val="auto"/>
          <w:kern w:val="0"/>
          <w:sz w:val="32"/>
          <w:szCs w:val="32"/>
          <w:lang w:val="zh-CN"/>
        </w:rPr>
      </w:pPr>
    </w:p>
    <w:p w14:paraId="3E359123">
      <w:pPr>
        <w:pageBreakBefore/>
        <w:spacing w:line="800" w:lineRule="exact"/>
        <w:rPr>
          <w:rFonts w:hint="eastAsia"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三、授权代表社保证明（复印件）</w:t>
      </w:r>
    </w:p>
    <w:p w14:paraId="5E6233AC">
      <w:pPr>
        <w:spacing w:line="800" w:lineRule="exact"/>
        <w:ind w:firstLine="480" w:firstLineChars="200"/>
        <w:rPr>
          <w:rFonts w:hint="eastAsia" w:ascii="仿宋_GB2312" w:hAnsi="仿宋_GB2312" w:eastAsia="仿宋_GB2312" w:cs="仿宋_GB2312"/>
          <w:color w:val="auto"/>
          <w:sz w:val="24"/>
          <w:u w:val="wave"/>
        </w:rPr>
      </w:pPr>
      <w:r>
        <w:rPr>
          <w:rFonts w:hint="eastAsia" w:ascii="仿宋_GB2312" w:hAnsi="仿宋_GB2312" w:eastAsia="仿宋_GB2312" w:cs="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0E3C8E7">
      <w:pPr>
        <w:pStyle w:val="83"/>
        <w:rPr>
          <w:rFonts w:hint="eastAsia" w:ascii="仿宋_GB2312" w:hAnsi="仿宋_GB2312" w:eastAsia="仿宋_GB2312" w:cs="仿宋_GB2312"/>
          <w:color w:val="auto"/>
        </w:rPr>
      </w:pPr>
    </w:p>
    <w:p w14:paraId="669BF786">
      <w:pPr>
        <w:pStyle w:val="83"/>
        <w:rPr>
          <w:rFonts w:hint="eastAsia" w:ascii="仿宋_GB2312" w:hAnsi="仿宋_GB2312" w:eastAsia="仿宋_GB2312" w:cs="仿宋_GB2312"/>
          <w:color w:val="auto"/>
        </w:rPr>
      </w:pPr>
    </w:p>
    <w:p w14:paraId="21A3F41A">
      <w:pPr>
        <w:pStyle w:val="83"/>
        <w:rPr>
          <w:rFonts w:hint="eastAsia" w:ascii="仿宋_GB2312" w:hAnsi="仿宋_GB2312" w:eastAsia="仿宋_GB2312" w:cs="仿宋_GB2312"/>
          <w:color w:val="auto"/>
        </w:rPr>
      </w:pPr>
    </w:p>
    <w:p w14:paraId="0ED55FF3">
      <w:pPr>
        <w:pStyle w:val="83"/>
        <w:ind w:firstLine="0" w:firstLineChars="0"/>
        <w:rPr>
          <w:rFonts w:hint="eastAsia" w:ascii="仿宋_GB2312" w:hAnsi="仿宋_GB2312" w:eastAsia="仿宋_GB2312" w:cs="仿宋_GB2312"/>
          <w:color w:val="auto"/>
        </w:rPr>
      </w:pPr>
      <w:r>
        <w:rPr>
          <w:rFonts w:hint="eastAsia" w:ascii="仿宋_GB2312" w:hAnsi="仿宋_GB2312" w:eastAsia="仿宋_GB2312" w:cs="仿宋_GB2312"/>
          <w:b/>
          <w:color w:val="auto"/>
          <w:sz w:val="30"/>
          <w:szCs w:val="30"/>
        </w:rPr>
        <w:t>四、法定代表人及其授权代表身份证复印件（正反面）</w:t>
      </w:r>
    </w:p>
    <w:p w14:paraId="39F4A888">
      <w:pPr>
        <w:spacing w:line="800" w:lineRule="exact"/>
        <w:rPr>
          <w:rFonts w:hint="eastAsia" w:ascii="仿宋_GB2312" w:hAnsi="仿宋_GB2312" w:eastAsia="仿宋_GB2312" w:cs="仿宋_GB2312"/>
          <w:b/>
          <w:color w:val="auto"/>
          <w:sz w:val="24"/>
        </w:rPr>
      </w:pPr>
    </w:p>
    <w:p w14:paraId="0919EDED">
      <w:pPr>
        <w:pStyle w:val="83"/>
        <w:rPr>
          <w:rFonts w:hint="eastAsia" w:ascii="仿宋_GB2312" w:hAnsi="仿宋_GB2312" w:eastAsia="仿宋_GB2312" w:cs="仿宋_GB2312"/>
          <w:color w:val="auto"/>
        </w:rPr>
      </w:pPr>
    </w:p>
    <w:p w14:paraId="438E3C69">
      <w:pPr>
        <w:spacing w:line="800" w:lineRule="exact"/>
        <w:jc w:val="center"/>
        <w:rPr>
          <w:rFonts w:hint="eastAsia"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五、法定代表人身份证明书(格式)</w:t>
      </w:r>
    </w:p>
    <w:p w14:paraId="605559D1">
      <w:pPr>
        <w:spacing w:line="440" w:lineRule="exact"/>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投 标 人：</w:t>
      </w:r>
      <w:r>
        <w:rPr>
          <w:rFonts w:hint="eastAsia" w:ascii="仿宋_GB2312" w:hAnsi="仿宋_GB2312" w:eastAsia="仿宋_GB2312" w:cs="仿宋_GB2312"/>
          <w:color w:val="auto"/>
          <w:sz w:val="24"/>
          <w:u w:val="single"/>
        </w:rPr>
        <w:t xml:space="preserve">                                      ；</w:t>
      </w:r>
    </w:p>
    <w:p w14:paraId="77092D85">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地    址：</w:t>
      </w:r>
      <w:r>
        <w:rPr>
          <w:rFonts w:hint="eastAsia" w:ascii="仿宋_GB2312" w:hAnsi="仿宋_GB2312" w:eastAsia="仿宋_GB2312" w:cs="仿宋_GB2312"/>
          <w:color w:val="auto"/>
          <w:sz w:val="24"/>
          <w:u w:val="single"/>
        </w:rPr>
        <w:t xml:space="preserve">                                      ；</w:t>
      </w:r>
    </w:p>
    <w:p w14:paraId="43AA172B">
      <w:pPr>
        <w:spacing w:line="440" w:lineRule="exact"/>
        <w:ind w:right="281" w:rightChars="134"/>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姓    名：</w:t>
      </w:r>
      <w:r>
        <w:rPr>
          <w:rFonts w:hint="eastAsia" w:ascii="仿宋_GB2312" w:hAnsi="仿宋_GB2312" w:eastAsia="仿宋_GB2312" w:cs="仿宋_GB2312"/>
          <w:color w:val="auto"/>
          <w:sz w:val="24"/>
          <w:u w:val="single"/>
        </w:rPr>
        <w:t xml:space="preserve">                                      ；</w:t>
      </w:r>
    </w:p>
    <w:p w14:paraId="7157881A">
      <w:pPr>
        <w:spacing w:line="440" w:lineRule="exact"/>
        <w:ind w:right="281" w:rightChars="134"/>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身份证号码：</w:t>
      </w:r>
      <w:r>
        <w:rPr>
          <w:rFonts w:hint="eastAsia" w:ascii="仿宋_GB2312" w:hAnsi="仿宋_GB2312" w:eastAsia="仿宋_GB2312" w:cs="仿宋_GB2312"/>
          <w:color w:val="auto"/>
          <w:sz w:val="24"/>
          <w:u w:val="single"/>
        </w:rPr>
        <w:t xml:space="preserve">                                      ；</w:t>
      </w:r>
    </w:p>
    <w:p w14:paraId="0ED728DD">
      <w:pPr>
        <w:spacing w:line="440" w:lineRule="exact"/>
        <w:ind w:right="281" w:rightChars="134"/>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职   务：</w:t>
      </w:r>
      <w:r>
        <w:rPr>
          <w:rFonts w:hint="eastAsia" w:ascii="仿宋_GB2312" w:hAnsi="仿宋_GB2312" w:eastAsia="仿宋_GB2312" w:cs="仿宋_GB2312"/>
          <w:color w:val="auto"/>
          <w:sz w:val="24"/>
          <w:u w:val="single"/>
        </w:rPr>
        <w:t xml:space="preserve">                                      ；</w:t>
      </w:r>
    </w:p>
    <w:p w14:paraId="47117DC4">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系</w:t>
      </w:r>
      <w:r>
        <w:rPr>
          <w:rFonts w:hint="eastAsia" w:ascii="仿宋_GB2312" w:hAnsi="仿宋_GB2312" w:eastAsia="仿宋_GB2312" w:cs="仿宋_GB2312"/>
          <w:color w:val="auto"/>
          <w:sz w:val="24"/>
          <w:u w:val="single"/>
        </w:rPr>
        <w:t xml:space="preserve">                           （填写投标人名称）</w:t>
      </w:r>
      <w:r>
        <w:rPr>
          <w:rFonts w:hint="eastAsia" w:ascii="仿宋_GB2312" w:hAnsi="仿宋_GB2312" w:eastAsia="仿宋_GB2312" w:cs="仿宋_GB2312"/>
          <w:color w:val="auto"/>
          <w:sz w:val="24"/>
        </w:rPr>
        <w:t>的法定代表人。</w:t>
      </w:r>
    </w:p>
    <w:p w14:paraId="0B50AA79">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特此证明。</w:t>
      </w:r>
    </w:p>
    <w:p w14:paraId="314699C8">
      <w:pPr>
        <w:spacing w:line="440" w:lineRule="exact"/>
        <w:rPr>
          <w:rFonts w:hint="eastAsia" w:ascii="仿宋_GB2312" w:hAnsi="仿宋_GB2312" w:eastAsia="仿宋_GB2312" w:cs="仿宋_GB2312"/>
          <w:color w:val="auto"/>
          <w:sz w:val="24"/>
        </w:rPr>
      </w:pPr>
    </w:p>
    <w:p w14:paraId="3A9BAE0F">
      <w:pPr>
        <w:spacing w:line="44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投标人名称：                             （电子签章）</w:t>
      </w:r>
    </w:p>
    <w:p w14:paraId="02816556">
      <w:pPr>
        <w:spacing w:line="440" w:lineRule="exact"/>
        <w:ind w:right="480"/>
        <w:rPr>
          <w:rFonts w:hint="eastAsia" w:ascii="仿宋_GB2312" w:hAnsi="仿宋_GB2312" w:eastAsia="仿宋_GB2312" w:cs="仿宋_GB2312"/>
          <w:color w:val="auto"/>
          <w:sz w:val="24"/>
        </w:rPr>
      </w:pPr>
    </w:p>
    <w:p w14:paraId="106A5B50">
      <w:pPr>
        <w:spacing w:line="440" w:lineRule="exact"/>
        <w:ind w:right="720"/>
        <w:jc w:val="righ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   月   日</w:t>
      </w:r>
    </w:p>
    <w:p w14:paraId="1A21BB13">
      <w:pPr>
        <w:jc w:val="center"/>
        <w:rPr>
          <w:rFonts w:hint="eastAsia" w:ascii="仿宋_GB2312" w:hAnsi="仿宋_GB2312" w:eastAsia="仿宋_GB2312" w:cs="仿宋_GB2312"/>
          <w:b/>
          <w:color w:val="auto"/>
          <w:kern w:val="0"/>
          <w:sz w:val="32"/>
          <w:szCs w:val="32"/>
        </w:rPr>
      </w:pPr>
    </w:p>
    <w:p w14:paraId="5BA527D9">
      <w:pPr>
        <w:rPr>
          <w:rFonts w:hint="eastAsia" w:ascii="仿宋_GB2312" w:hAnsi="仿宋_GB2312" w:eastAsia="仿宋_GB2312" w:cs="仿宋_GB2312"/>
          <w:color w:val="auto"/>
        </w:rPr>
      </w:pPr>
    </w:p>
    <w:p w14:paraId="04E5DED8">
      <w:pPr>
        <w:jc w:val="center"/>
        <w:rPr>
          <w:rFonts w:hint="eastAsia" w:ascii="仿宋_GB2312" w:hAnsi="仿宋_GB2312" w:eastAsia="仿宋_GB2312" w:cs="仿宋_GB2312"/>
          <w:b/>
          <w:color w:val="auto"/>
          <w:kern w:val="0"/>
          <w:sz w:val="32"/>
          <w:szCs w:val="32"/>
        </w:rPr>
      </w:pPr>
    </w:p>
    <w:p w14:paraId="6F1E1E86">
      <w:pPr>
        <w:numPr>
          <w:ilvl w:val="0"/>
          <w:numId w:val="7"/>
        </w:numPr>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商务技术偏离表</w:t>
      </w:r>
    </w:p>
    <w:p w14:paraId="2D33519C">
      <w:pPr>
        <w:spacing w:line="360" w:lineRule="auto"/>
        <w:ind w:right="420"/>
        <w:rPr>
          <w:rFonts w:hint="eastAsia" w:ascii="仿宋_GB2312" w:hAnsi="仿宋" w:eastAsia="仿宋_GB2312" w:cs="仿宋"/>
          <w:color w:val="auto"/>
          <w:sz w:val="24"/>
        </w:rPr>
      </w:pPr>
    </w:p>
    <w:tbl>
      <w:tblPr>
        <w:tblStyle w:val="6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456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8264737">
            <w:pPr>
              <w:keepNext w:val="0"/>
              <w:keepLines w:val="0"/>
              <w:suppressLineNumbers w:val="0"/>
              <w:spacing w:before="0" w:beforeAutospacing="0" w:after="0" w:afterAutospacing="0"/>
              <w:ind w:left="0" w:right="0"/>
              <w:jc w:val="center"/>
              <w:rPr>
                <w:rFonts w:hint="default" w:ascii="仿宋_GB2312" w:eastAsia="仿宋_GB2312"/>
                <w:b/>
                <w:color w:val="auto"/>
              </w:rPr>
            </w:pPr>
            <w:r>
              <w:rPr>
                <w:rFonts w:hint="eastAsia" w:ascii="仿宋_GB2312" w:eastAsia="仿宋_GB2312"/>
                <w:b/>
                <w:color w:val="auto"/>
              </w:rPr>
              <w:t>序号</w:t>
            </w:r>
          </w:p>
        </w:tc>
        <w:tc>
          <w:tcPr>
            <w:tcW w:w="3650" w:type="dxa"/>
            <w:vAlign w:val="center"/>
          </w:tcPr>
          <w:p w14:paraId="3F0E8A0D">
            <w:pPr>
              <w:keepNext w:val="0"/>
              <w:keepLines w:val="0"/>
              <w:suppressLineNumbers w:val="0"/>
              <w:spacing w:before="0" w:beforeAutospacing="0" w:after="0" w:afterAutospacing="0"/>
              <w:ind w:left="0" w:right="0"/>
              <w:jc w:val="center"/>
              <w:rPr>
                <w:rFonts w:hint="default" w:ascii="仿宋_GB2312" w:eastAsia="仿宋_GB2312"/>
                <w:b/>
                <w:color w:val="auto"/>
              </w:rPr>
            </w:pPr>
            <w:r>
              <w:rPr>
                <w:rFonts w:hint="eastAsia" w:ascii="仿宋_GB2312" w:eastAsia="仿宋_GB2312"/>
                <w:b/>
                <w:color w:val="auto"/>
              </w:rPr>
              <w:t>招标文件章节及具体内容</w:t>
            </w:r>
          </w:p>
        </w:tc>
        <w:tc>
          <w:tcPr>
            <w:tcW w:w="3514" w:type="dxa"/>
            <w:vAlign w:val="center"/>
          </w:tcPr>
          <w:p w14:paraId="69B002E8">
            <w:pPr>
              <w:keepNext w:val="0"/>
              <w:keepLines w:val="0"/>
              <w:suppressLineNumbers w:val="0"/>
              <w:spacing w:before="0" w:beforeAutospacing="0" w:after="0" w:afterAutospacing="0"/>
              <w:ind w:left="0" w:right="0"/>
              <w:jc w:val="center"/>
              <w:rPr>
                <w:rFonts w:hint="default" w:ascii="仿宋_GB2312" w:eastAsia="仿宋_GB2312"/>
                <w:b/>
                <w:color w:val="auto"/>
              </w:rPr>
            </w:pPr>
            <w:r>
              <w:rPr>
                <w:rFonts w:hint="eastAsia" w:ascii="仿宋_GB2312" w:eastAsia="仿宋_GB2312"/>
                <w:b/>
                <w:color w:val="auto"/>
              </w:rPr>
              <w:t>投标文件章节及具体内容</w:t>
            </w:r>
          </w:p>
        </w:tc>
        <w:tc>
          <w:tcPr>
            <w:tcW w:w="1265" w:type="dxa"/>
            <w:vAlign w:val="center"/>
          </w:tcPr>
          <w:p w14:paraId="1DEA0F77">
            <w:pPr>
              <w:keepNext w:val="0"/>
              <w:keepLines w:val="0"/>
              <w:suppressLineNumbers w:val="0"/>
              <w:spacing w:before="0" w:beforeAutospacing="0" w:after="0" w:afterAutospacing="0"/>
              <w:ind w:left="0" w:right="0"/>
              <w:jc w:val="center"/>
              <w:rPr>
                <w:rFonts w:hint="default" w:ascii="仿宋_GB2312" w:eastAsia="仿宋_GB2312"/>
                <w:b/>
                <w:color w:val="auto"/>
              </w:rPr>
            </w:pPr>
            <w:r>
              <w:rPr>
                <w:rFonts w:hint="eastAsia" w:ascii="仿宋_GB2312" w:eastAsia="仿宋_GB2312"/>
                <w:b/>
                <w:color w:val="auto"/>
              </w:rPr>
              <w:t>偏离说明</w:t>
            </w:r>
          </w:p>
        </w:tc>
      </w:tr>
      <w:tr w14:paraId="264A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1F10194">
            <w:pPr>
              <w:keepNext w:val="0"/>
              <w:keepLines w:val="0"/>
              <w:suppressLineNumbers w:val="0"/>
              <w:spacing w:before="0" w:beforeAutospacing="0" w:after="0" w:afterAutospacing="0"/>
              <w:ind w:left="0" w:right="0"/>
              <w:jc w:val="center"/>
              <w:rPr>
                <w:rFonts w:hint="default" w:ascii="仿宋_GB2312" w:eastAsia="仿宋_GB2312"/>
                <w:b/>
                <w:color w:val="auto"/>
              </w:rPr>
            </w:pPr>
            <w:r>
              <w:rPr>
                <w:rFonts w:hint="eastAsia" w:ascii="仿宋_GB2312" w:eastAsia="仿宋_GB2312"/>
                <w:b/>
                <w:color w:val="auto"/>
              </w:rPr>
              <w:t>1</w:t>
            </w:r>
          </w:p>
        </w:tc>
        <w:tc>
          <w:tcPr>
            <w:tcW w:w="3650" w:type="dxa"/>
            <w:vAlign w:val="center"/>
          </w:tcPr>
          <w:p w14:paraId="035E1C7D">
            <w:pPr>
              <w:keepNext w:val="0"/>
              <w:keepLines w:val="0"/>
              <w:suppressLineNumbers w:val="0"/>
              <w:spacing w:before="0" w:beforeAutospacing="0" w:after="0" w:afterAutospacing="0"/>
              <w:ind w:left="0" w:right="0"/>
              <w:jc w:val="center"/>
              <w:rPr>
                <w:rFonts w:hint="default" w:ascii="仿宋_GB2312" w:eastAsia="仿宋_GB2312"/>
                <w:b/>
                <w:color w:val="auto"/>
              </w:rPr>
            </w:pPr>
          </w:p>
        </w:tc>
        <w:tc>
          <w:tcPr>
            <w:tcW w:w="3514" w:type="dxa"/>
            <w:vAlign w:val="center"/>
          </w:tcPr>
          <w:p w14:paraId="50F8F935">
            <w:pPr>
              <w:keepNext w:val="0"/>
              <w:keepLines w:val="0"/>
              <w:suppressLineNumbers w:val="0"/>
              <w:spacing w:before="0" w:beforeAutospacing="0" w:after="0" w:afterAutospacing="0"/>
              <w:ind w:left="0" w:right="0"/>
              <w:jc w:val="center"/>
              <w:rPr>
                <w:rFonts w:hint="default" w:ascii="仿宋_GB2312" w:eastAsia="仿宋_GB2312"/>
                <w:b/>
                <w:color w:val="auto"/>
              </w:rPr>
            </w:pPr>
          </w:p>
        </w:tc>
        <w:tc>
          <w:tcPr>
            <w:tcW w:w="1265" w:type="dxa"/>
            <w:vAlign w:val="center"/>
          </w:tcPr>
          <w:p w14:paraId="468E788D">
            <w:pPr>
              <w:keepNext w:val="0"/>
              <w:keepLines w:val="0"/>
              <w:suppressLineNumbers w:val="0"/>
              <w:spacing w:before="0" w:beforeAutospacing="0" w:after="0" w:afterAutospacing="0"/>
              <w:ind w:left="0" w:right="0"/>
              <w:jc w:val="center"/>
              <w:rPr>
                <w:rFonts w:hint="default" w:ascii="仿宋_GB2312" w:eastAsia="仿宋_GB2312"/>
                <w:b/>
                <w:color w:val="auto"/>
              </w:rPr>
            </w:pPr>
          </w:p>
        </w:tc>
      </w:tr>
      <w:tr w14:paraId="10B6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E86CF12">
            <w:pPr>
              <w:keepNext w:val="0"/>
              <w:keepLines w:val="0"/>
              <w:suppressLineNumbers w:val="0"/>
              <w:spacing w:before="0" w:beforeAutospacing="0" w:after="0" w:afterAutospacing="0"/>
              <w:ind w:left="0" w:right="0"/>
              <w:jc w:val="center"/>
              <w:rPr>
                <w:rFonts w:hint="default" w:ascii="仿宋_GB2312" w:eastAsia="仿宋_GB2312"/>
                <w:b/>
                <w:color w:val="auto"/>
              </w:rPr>
            </w:pPr>
            <w:r>
              <w:rPr>
                <w:rFonts w:hint="eastAsia" w:ascii="仿宋_GB2312" w:eastAsia="仿宋_GB2312"/>
                <w:b/>
                <w:color w:val="auto"/>
              </w:rPr>
              <w:t>2</w:t>
            </w:r>
          </w:p>
        </w:tc>
        <w:tc>
          <w:tcPr>
            <w:tcW w:w="3650" w:type="dxa"/>
            <w:vAlign w:val="center"/>
          </w:tcPr>
          <w:p w14:paraId="2010991D">
            <w:pPr>
              <w:keepNext w:val="0"/>
              <w:keepLines w:val="0"/>
              <w:suppressLineNumbers w:val="0"/>
              <w:spacing w:before="0" w:beforeAutospacing="0" w:after="0" w:afterAutospacing="0"/>
              <w:ind w:left="0" w:right="0"/>
              <w:jc w:val="center"/>
              <w:rPr>
                <w:rFonts w:hint="default" w:ascii="仿宋_GB2312" w:eastAsia="仿宋_GB2312"/>
                <w:b/>
                <w:color w:val="auto"/>
              </w:rPr>
            </w:pPr>
          </w:p>
        </w:tc>
        <w:tc>
          <w:tcPr>
            <w:tcW w:w="3514" w:type="dxa"/>
            <w:vAlign w:val="center"/>
          </w:tcPr>
          <w:p w14:paraId="1684BEF3">
            <w:pPr>
              <w:keepNext w:val="0"/>
              <w:keepLines w:val="0"/>
              <w:suppressLineNumbers w:val="0"/>
              <w:spacing w:before="0" w:beforeAutospacing="0" w:after="0" w:afterAutospacing="0"/>
              <w:ind w:left="0" w:right="0"/>
              <w:jc w:val="center"/>
              <w:rPr>
                <w:rFonts w:hint="default" w:ascii="仿宋_GB2312" w:eastAsia="仿宋_GB2312"/>
                <w:b/>
                <w:color w:val="auto"/>
              </w:rPr>
            </w:pPr>
          </w:p>
        </w:tc>
        <w:tc>
          <w:tcPr>
            <w:tcW w:w="1265" w:type="dxa"/>
            <w:vAlign w:val="center"/>
          </w:tcPr>
          <w:p w14:paraId="1988F2FE">
            <w:pPr>
              <w:keepNext w:val="0"/>
              <w:keepLines w:val="0"/>
              <w:suppressLineNumbers w:val="0"/>
              <w:spacing w:before="0" w:beforeAutospacing="0" w:after="0" w:afterAutospacing="0"/>
              <w:ind w:left="0" w:right="0"/>
              <w:jc w:val="center"/>
              <w:rPr>
                <w:rFonts w:hint="default" w:ascii="仿宋_GB2312" w:eastAsia="仿宋_GB2312"/>
                <w:b/>
                <w:color w:val="auto"/>
              </w:rPr>
            </w:pPr>
          </w:p>
        </w:tc>
      </w:tr>
      <w:tr w14:paraId="7A07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E59A574">
            <w:pPr>
              <w:keepNext w:val="0"/>
              <w:keepLines w:val="0"/>
              <w:suppressLineNumbers w:val="0"/>
              <w:spacing w:before="0" w:beforeAutospacing="0" w:after="0" w:afterAutospacing="0"/>
              <w:ind w:left="0" w:right="0"/>
              <w:jc w:val="center"/>
              <w:rPr>
                <w:rFonts w:hint="default" w:ascii="仿宋_GB2312" w:eastAsia="仿宋_GB2312"/>
                <w:b/>
                <w:color w:val="auto"/>
              </w:rPr>
            </w:pPr>
            <w:r>
              <w:rPr>
                <w:rFonts w:hint="eastAsia" w:ascii="仿宋_GB2312" w:eastAsia="仿宋_GB2312"/>
                <w:b/>
                <w:color w:val="auto"/>
              </w:rPr>
              <w:t>……</w:t>
            </w:r>
          </w:p>
        </w:tc>
        <w:tc>
          <w:tcPr>
            <w:tcW w:w="3650" w:type="dxa"/>
            <w:vAlign w:val="center"/>
          </w:tcPr>
          <w:p w14:paraId="44F825EF">
            <w:pPr>
              <w:keepNext w:val="0"/>
              <w:keepLines w:val="0"/>
              <w:suppressLineNumbers w:val="0"/>
              <w:spacing w:before="0" w:beforeAutospacing="0" w:after="0" w:afterAutospacing="0"/>
              <w:ind w:left="0" w:right="0"/>
              <w:jc w:val="center"/>
              <w:rPr>
                <w:rFonts w:hint="default" w:ascii="仿宋_GB2312" w:eastAsia="仿宋_GB2312"/>
                <w:b/>
                <w:color w:val="auto"/>
              </w:rPr>
            </w:pPr>
          </w:p>
        </w:tc>
        <w:tc>
          <w:tcPr>
            <w:tcW w:w="3514" w:type="dxa"/>
            <w:vAlign w:val="center"/>
          </w:tcPr>
          <w:p w14:paraId="30C0AEEF">
            <w:pPr>
              <w:keepNext w:val="0"/>
              <w:keepLines w:val="0"/>
              <w:suppressLineNumbers w:val="0"/>
              <w:spacing w:before="0" w:beforeAutospacing="0" w:after="0" w:afterAutospacing="0"/>
              <w:ind w:left="0" w:right="0"/>
              <w:jc w:val="center"/>
              <w:rPr>
                <w:rFonts w:hint="default" w:ascii="仿宋_GB2312" w:eastAsia="仿宋_GB2312"/>
                <w:b/>
                <w:color w:val="auto"/>
              </w:rPr>
            </w:pPr>
          </w:p>
        </w:tc>
        <w:tc>
          <w:tcPr>
            <w:tcW w:w="1265" w:type="dxa"/>
            <w:vAlign w:val="center"/>
          </w:tcPr>
          <w:p w14:paraId="2F6F7FCC">
            <w:pPr>
              <w:keepNext w:val="0"/>
              <w:keepLines w:val="0"/>
              <w:suppressLineNumbers w:val="0"/>
              <w:spacing w:before="0" w:beforeAutospacing="0" w:after="0" w:afterAutospacing="0"/>
              <w:ind w:left="0" w:right="0"/>
              <w:jc w:val="center"/>
              <w:rPr>
                <w:rFonts w:hint="default" w:ascii="仿宋_GB2312" w:eastAsia="仿宋_GB2312"/>
                <w:b/>
                <w:color w:val="auto"/>
              </w:rPr>
            </w:pPr>
          </w:p>
        </w:tc>
      </w:tr>
    </w:tbl>
    <w:p w14:paraId="29DFBCCB">
      <w:pPr>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投标人保证：除商务技术偏离表列出的偏离外，投标人响应招标文件的全部要求</w:t>
      </w:r>
    </w:p>
    <w:p w14:paraId="7AE2864E">
      <w:pPr>
        <w:jc w:val="center"/>
        <w:rPr>
          <w:rFonts w:ascii="仿宋_GB2312" w:hAnsi="仿宋" w:eastAsia="仿宋_GB2312" w:cs="仿宋"/>
          <w:b/>
          <w:color w:val="auto"/>
          <w:kern w:val="0"/>
          <w:sz w:val="32"/>
          <w:szCs w:val="32"/>
        </w:rPr>
      </w:pPr>
    </w:p>
    <w:p w14:paraId="753A8E55">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14:paraId="095C880E">
      <w:pPr>
        <w:pStyle w:val="83"/>
        <w:rPr>
          <w:rFonts w:hint="eastAsia" w:ascii="仿宋_GB2312" w:hAnsi="仿宋_GB2312" w:eastAsia="仿宋_GB2312" w:cs="仿宋_GB2312"/>
          <w:color w:val="auto"/>
        </w:rPr>
      </w:pPr>
    </w:p>
    <w:p w14:paraId="763AE1F3">
      <w:pPr>
        <w:pStyle w:val="83"/>
        <w:rPr>
          <w:rFonts w:hint="eastAsia" w:ascii="仿宋_GB2312" w:hAnsi="仿宋_GB2312" w:eastAsia="仿宋_GB2312" w:cs="仿宋_GB2312"/>
          <w:color w:val="auto"/>
        </w:rPr>
      </w:pPr>
    </w:p>
    <w:p w14:paraId="51E7CE27">
      <w:pPr>
        <w:pStyle w:val="83"/>
        <w:rPr>
          <w:rFonts w:hint="eastAsia" w:ascii="仿宋_GB2312" w:hAnsi="仿宋_GB2312" w:eastAsia="仿宋_GB2312" w:cs="仿宋_GB2312"/>
          <w:color w:val="auto"/>
        </w:rPr>
      </w:pPr>
    </w:p>
    <w:p w14:paraId="7414628B">
      <w:pPr>
        <w:pStyle w:val="83"/>
        <w:rPr>
          <w:rFonts w:hint="eastAsia" w:ascii="仿宋_GB2312" w:hAnsi="仿宋_GB2312" w:eastAsia="仿宋_GB2312" w:cs="仿宋_GB2312"/>
          <w:color w:val="auto"/>
        </w:rPr>
      </w:pPr>
    </w:p>
    <w:p w14:paraId="041C08A5">
      <w:pPr>
        <w:pStyle w:val="83"/>
        <w:rPr>
          <w:rFonts w:hint="eastAsia" w:ascii="仿宋_GB2312" w:hAnsi="仿宋_GB2312" w:eastAsia="仿宋_GB2312" w:cs="仿宋_GB2312"/>
          <w:color w:val="auto"/>
        </w:rPr>
      </w:pPr>
    </w:p>
    <w:p w14:paraId="517154D7">
      <w:pPr>
        <w:pStyle w:val="83"/>
        <w:rPr>
          <w:rFonts w:hint="eastAsia" w:ascii="仿宋_GB2312" w:hAnsi="仿宋_GB2312" w:eastAsia="仿宋_GB2312" w:cs="仿宋_GB2312"/>
          <w:color w:val="auto"/>
        </w:rPr>
      </w:pPr>
    </w:p>
    <w:p w14:paraId="33484C06">
      <w:pPr>
        <w:pStyle w:val="83"/>
        <w:rPr>
          <w:rFonts w:hint="eastAsia" w:ascii="仿宋_GB2312" w:hAnsi="仿宋_GB2312" w:eastAsia="仿宋_GB2312" w:cs="仿宋_GB2312"/>
          <w:color w:val="auto"/>
        </w:rPr>
      </w:pPr>
    </w:p>
    <w:p w14:paraId="1D167101">
      <w:pPr>
        <w:pStyle w:val="83"/>
        <w:rPr>
          <w:rFonts w:hint="eastAsia" w:ascii="仿宋_GB2312" w:hAnsi="仿宋_GB2312" w:eastAsia="仿宋_GB2312" w:cs="仿宋_GB2312"/>
          <w:color w:val="auto"/>
        </w:rPr>
      </w:pPr>
    </w:p>
    <w:p w14:paraId="07A581C6">
      <w:pPr>
        <w:pStyle w:val="83"/>
        <w:rPr>
          <w:rFonts w:hint="eastAsia" w:ascii="仿宋_GB2312" w:hAnsi="仿宋_GB2312" w:eastAsia="仿宋_GB2312" w:cs="仿宋_GB2312"/>
          <w:color w:val="auto"/>
        </w:rPr>
      </w:pPr>
    </w:p>
    <w:p w14:paraId="2661E8BA">
      <w:pPr>
        <w:pStyle w:val="83"/>
        <w:rPr>
          <w:rFonts w:hint="eastAsia" w:ascii="仿宋_GB2312" w:hAnsi="仿宋_GB2312" w:eastAsia="仿宋_GB2312" w:cs="仿宋_GB2312"/>
          <w:color w:val="auto"/>
        </w:rPr>
      </w:pPr>
    </w:p>
    <w:p w14:paraId="5C9913FD">
      <w:pPr>
        <w:pStyle w:val="83"/>
        <w:rPr>
          <w:rFonts w:hint="eastAsia" w:ascii="仿宋_GB2312" w:hAnsi="仿宋_GB2312" w:eastAsia="仿宋_GB2312" w:cs="仿宋_GB2312"/>
          <w:color w:val="auto"/>
        </w:rPr>
      </w:pPr>
    </w:p>
    <w:p w14:paraId="5D4A4365">
      <w:pPr>
        <w:pStyle w:val="83"/>
        <w:rPr>
          <w:rFonts w:hint="eastAsia" w:ascii="仿宋_GB2312" w:hAnsi="仿宋_GB2312" w:eastAsia="仿宋_GB2312" w:cs="仿宋_GB2312"/>
          <w:color w:val="auto"/>
        </w:rPr>
      </w:pPr>
    </w:p>
    <w:p w14:paraId="6961BA4C">
      <w:pPr>
        <w:pStyle w:val="83"/>
        <w:rPr>
          <w:rFonts w:hint="eastAsia" w:ascii="仿宋_GB2312" w:hAnsi="仿宋_GB2312" w:eastAsia="仿宋_GB2312" w:cs="仿宋_GB2312"/>
          <w:color w:val="auto"/>
        </w:rPr>
      </w:pPr>
    </w:p>
    <w:p w14:paraId="4316B59F">
      <w:pPr>
        <w:pStyle w:val="83"/>
        <w:rPr>
          <w:rFonts w:hint="eastAsia" w:ascii="仿宋_GB2312" w:hAnsi="仿宋_GB2312" w:eastAsia="仿宋_GB2312" w:cs="仿宋_GB2312"/>
          <w:color w:val="auto"/>
        </w:rPr>
      </w:pPr>
    </w:p>
    <w:p w14:paraId="7A6EEFEA">
      <w:pPr>
        <w:pStyle w:val="83"/>
        <w:rPr>
          <w:rFonts w:hint="eastAsia" w:ascii="仿宋_GB2312" w:hAnsi="仿宋_GB2312" w:eastAsia="仿宋_GB2312" w:cs="仿宋_GB2312"/>
          <w:color w:val="auto"/>
        </w:rPr>
      </w:pPr>
    </w:p>
    <w:p w14:paraId="3421F96F">
      <w:pPr>
        <w:pStyle w:val="83"/>
        <w:rPr>
          <w:rFonts w:hint="eastAsia" w:ascii="仿宋_GB2312" w:hAnsi="仿宋_GB2312" w:eastAsia="仿宋_GB2312" w:cs="仿宋_GB2312"/>
          <w:color w:val="auto"/>
        </w:rPr>
      </w:pPr>
    </w:p>
    <w:p w14:paraId="554D6C60">
      <w:pPr>
        <w:pStyle w:val="83"/>
        <w:rPr>
          <w:rFonts w:hint="eastAsia" w:ascii="仿宋_GB2312" w:hAnsi="仿宋_GB2312" w:eastAsia="仿宋_GB2312" w:cs="仿宋_GB2312"/>
          <w:color w:val="auto"/>
        </w:rPr>
      </w:pPr>
    </w:p>
    <w:p w14:paraId="297AB06B">
      <w:pPr>
        <w:pStyle w:val="83"/>
        <w:rPr>
          <w:rFonts w:hint="eastAsia" w:ascii="仿宋_GB2312" w:hAnsi="仿宋_GB2312" w:eastAsia="仿宋_GB2312" w:cs="仿宋_GB2312"/>
          <w:color w:val="auto"/>
        </w:rPr>
      </w:pPr>
    </w:p>
    <w:p w14:paraId="500A4A36">
      <w:pPr>
        <w:pStyle w:val="83"/>
        <w:rPr>
          <w:rFonts w:hint="eastAsia" w:ascii="仿宋_GB2312" w:hAnsi="仿宋_GB2312" w:eastAsia="仿宋_GB2312" w:cs="仿宋_GB2312"/>
          <w:color w:val="auto"/>
        </w:rPr>
      </w:pPr>
    </w:p>
    <w:p w14:paraId="1B5FC736">
      <w:pPr>
        <w:pStyle w:val="83"/>
        <w:rPr>
          <w:rFonts w:hint="eastAsia" w:ascii="仿宋_GB2312" w:hAnsi="仿宋_GB2312" w:eastAsia="仿宋_GB2312" w:cs="仿宋_GB2312"/>
          <w:color w:val="auto"/>
        </w:rPr>
      </w:pPr>
    </w:p>
    <w:p w14:paraId="685EC341">
      <w:pPr>
        <w:pStyle w:val="83"/>
        <w:rPr>
          <w:rFonts w:hint="eastAsia" w:ascii="仿宋_GB2312" w:hAnsi="仿宋_GB2312" w:eastAsia="仿宋_GB2312" w:cs="仿宋_GB2312"/>
          <w:color w:val="auto"/>
        </w:rPr>
      </w:pPr>
    </w:p>
    <w:p w14:paraId="07DE2194">
      <w:pPr>
        <w:ind w:firstLine="1911" w:firstLineChars="595"/>
        <w:rPr>
          <w:rFonts w:hint="eastAsia" w:ascii="仿宋_GB2312" w:hAnsi="仿宋_GB2312" w:eastAsia="仿宋_GB2312" w:cs="仿宋_GB2312"/>
          <w:b/>
          <w:bCs/>
          <w:color w:val="auto"/>
          <w:sz w:val="32"/>
          <w:szCs w:val="32"/>
        </w:rPr>
      </w:pPr>
    </w:p>
    <w:p w14:paraId="2B03626A">
      <w:pPr>
        <w:widowControl/>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color w:val="auto"/>
          <w:sz w:val="32"/>
          <w:szCs w:val="32"/>
        </w:rPr>
        <w:t>七</w:t>
      </w:r>
      <w:r>
        <w:rPr>
          <w:rFonts w:hint="eastAsia" w:ascii="仿宋_GB2312" w:hAnsi="仿宋_GB2312" w:eastAsia="仿宋_GB2312" w:cs="仿宋_GB2312"/>
          <w:b/>
          <w:color w:val="auto"/>
          <w:kern w:val="0"/>
          <w:sz w:val="32"/>
          <w:szCs w:val="32"/>
        </w:rPr>
        <w:t>、</w:t>
      </w:r>
      <w:r>
        <w:rPr>
          <w:rFonts w:hint="eastAsia" w:ascii="仿宋_GB2312" w:hAnsi="仿宋_GB2312" w:eastAsia="仿宋_GB2312" w:cs="仿宋_GB2312"/>
          <w:b/>
          <w:color w:val="auto"/>
          <w:kern w:val="0"/>
          <w:sz w:val="32"/>
          <w:szCs w:val="32"/>
          <w:lang w:val="zh-CN"/>
        </w:rPr>
        <w:t>采购供应商廉洁自律承诺书</w:t>
      </w:r>
    </w:p>
    <w:p w14:paraId="32371DBA">
      <w:pPr>
        <w:snapToGrid w:val="0"/>
        <w:spacing w:line="360" w:lineRule="auto"/>
        <w:rPr>
          <w:rFonts w:hint="eastAsia" w:ascii="仿宋_GB2312" w:hAnsi="仿宋_GB2312" w:eastAsia="仿宋_GB2312" w:cs="仿宋_GB2312"/>
          <w:color w:val="auto"/>
          <w:sz w:val="24"/>
        </w:rPr>
      </w:pPr>
    </w:p>
    <w:p w14:paraId="0AC70535">
      <w:pPr>
        <w:snapToGrid w:val="0"/>
        <w:spacing w:line="360" w:lineRule="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（采购人）、（采购代理机构）</w:t>
      </w:r>
      <w:r>
        <w:rPr>
          <w:rFonts w:hint="eastAsia" w:ascii="仿宋_GB2312" w:hAnsi="仿宋_GB2312" w:eastAsia="仿宋_GB2312" w:cs="仿宋_GB2312"/>
          <w:color w:val="auto"/>
          <w:kern w:val="0"/>
          <w:sz w:val="24"/>
          <w:lang w:val="zh-CN"/>
        </w:rPr>
        <w:t>：</w:t>
      </w:r>
    </w:p>
    <w:p w14:paraId="3FBFFBF0">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我单位响应你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kern w:val="0"/>
          <w:sz w:val="24"/>
          <w:lang w:val="zh-CN"/>
        </w:rPr>
        <w:t>项目招标要求参加投标。在这次投标过程中和中标后，我们将严格遵守国家法律法规要求，并郑重承诺：</w:t>
      </w:r>
    </w:p>
    <w:p w14:paraId="2D6CC35C">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一、不向项目有关人员及部门赠送礼金礼物、有价证券、回扣以及中介费、介绍费、咨询费等好处费； </w:t>
      </w:r>
    </w:p>
    <w:p w14:paraId="63EBD607">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二、不为项目有关人员及部门报销应由你方单位或个人支付的费用； </w:t>
      </w:r>
    </w:p>
    <w:p w14:paraId="2DEF1AEC">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三、不向项目有关人员及部门提供有可能影响公正的宴请和健身娱乐等活动； </w:t>
      </w:r>
    </w:p>
    <w:p w14:paraId="1FABEA00">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四、不为项目有关人员及部门出国（境）、旅游等提供方便；</w:t>
      </w:r>
    </w:p>
    <w:p w14:paraId="3056DCE0">
      <w:pPr>
        <w:autoSpaceDE w:val="0"/>
        <w:autoSpaceDN w:val="0"/>
        <w:spacing w:line="360" w:lineRule="auto"/>
        <w:ind w:left="481" w:leftChars="229"/>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五、不为项目有关人员个人装修住房、婚丧嫁娶、配偶子女工作安排等提供</w:t>
      </w:r>
    </w:p>
    <w:p w14:paraId="0EA3C35C">
      <w:pPr>
        <w:autoSpaceDE w:val="0"/>
        <w:autoSpaceDN w:val="0"/>
        <w:spacing w:line="360" w:lineRule="auto"/>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好处；</w:t>
      </w:r>
    </w:p>
    <w:p w14:paraId="0584CF1F">
      <w:pPr>
        <w:autoSpaceDE w:val="0"/>
        <w:autoSpaceDN w:val="0"/>
        <w:spacing w:line="360" w:lineRule="auto"/>
        <w:ind w:left="481" w:leftChars="229"/>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六、严格遵守《</w:t>
      </w:r>
      <w:r>
        <w:rPr>
          <w:rFonts w:hint="eastAsia" w:ascii="仿宋_GB2312" w:hAnsi="仿宋_GB2312" w:eastAsia="仿宋_GB2312" w:cs="仿宋_GB2312"/>
          <w:color w:val="auto"/>
          <w:sz w:val="24"/>
          <w:lang w:val="zh-CN"/>
        </w:rPr>
        <w:t>中华人民共和国</w:t>
      </w:r>
      <w:r>
        <w:rPr>
          <w:rFonts w:hint="eastAsia" w:ascii="仿宋_GB2312" w:hAnsi="仿宋_GB2312" w:eastAsia="仿宋_GB2312" w:cs="仿宋_GB2312"/>
          <w:color w:val="auto"/>
          <w:kern w:val="0"/>
          <w:sz w:val="24"/>
          <w:lang w:val="zh-CN"/>
        </w:rPr>
        <w:t>政府采购法》《</w:t>
      </w:r>
      <w:r>
        <w:rPr>
          <w:rFonts w:hint="eastAsia" w:ascii="仿宋_GB2312" w:hAnsi="仿宋_GB2312" w:eastAsia="仿宋_GB2312" w:cs="仿宋_GB2312"/>
          <w:color w:val="auto"/>
          <w:sz w:val="24"/>
          <w:lang w:val="zh-CN"/>
        </w:rPr>
        <w:t>中华人民共和国</w:t>
      </w:r>
      <w:r>
        <w:rPr>
          <w:rFonts w:hint="eastAsia" w:ascii="仿宋_GB2312" w:hAnsi="仿宋_GB2312" w:eastAsia="仿宋_GB2312" w:cs="仿宋_GB2312"/>
          <w:color w:val="auto"/>
          <w:kern w:val="0"/>
          <w:sz w:val="24"/>
          <w:lang w:val="zh-CN"/>
        </w:rPr>
        <w:t>招标投标</w:t>
      </w:r>
    </w:p>
    <w:p w14:paraId="3BF3AF11">
      <w:pPr>
        <w:autoSpaceDE w:val="0"/>
        <w:autoSpaceDN w:val="0"/>
        <w:spacing w:line="360" w:lineRule="auto"/>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法》</w:t>
      </w:r>
      <w:r>
        <w:rPr>
          <w:rFonts w:hint="eastAsia" w:ascii="仿宋_GB2312" w:hAnsi="仿宋_GB2312" w:eastAsia="仿宋_GB2312" w:cs="仿宋_GB2312"/>
          <w:color w:val="auto"/>
          <w:sz w:val="24"/>
          <w:lang w:val="zh-CN"/>
        </w:rPr>
        <w:t>《中华人民共和国民法典》</w:t>
      </w:r>
      <w:r>
        <w:rPr>
          <w:rFonts w:hint="eastAsia" w:ascii="仿宋_GB2312" w:hAnsi="仿宋_GB2312" w:eastAsia="仿宋_GB2312" w:cs="仿宋_GB2312"/>
          <w:color w:val="auto"/>
          <w:kern w:val="0"/>
          <w:sz w:val="24"/>
          <w:lang w:val="zh-CN"/>
        </w:rPr>
        <w:t xml:space="preserve">等法律法规，诚实守信，合法经营，坚决抵制各种违法违纪行为。 </w:t>
      </w:r>
    </w:p>
    <w:p w14:paraId="04B54EAF">
      <w:pPr>
        <w:autoSpaceDE w:val="0"/>
        <w:autoSpaceDN w:val="0"/>
        <w:spacing w:line="360" w:lineRule="auto"/>
        <w:ind w:firstLine="480" w:firstLineChars="2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如违反上述承诺，你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进行项目建设或其他经营活动，并通报市财政局。由此引起的相应损失均由我单位承担。</w:t>
      </w:r>
    </w:p>
    <w:p w14:paraId="6C793370">
      <w:pPr>
        <w:autoSpaceDE w:val="0"/>
        <w:autoSpaceDN w:val="0"/>
        <w:spacing w:line="360" w:lineRule="auto"/>
        <w:ind w:left="2"/>
        <w:jc w:val="left"/>
        <w:rPr>
          <w:rFonts w:hint="eastAsia" w:ascii="仿宋_GB2312" w:hAnsi="仿宋_GB2312" w:eastAsia="仿宋_GB2312" w:cs="仿宋_GB2312"/>
          <w:color w:val="auto"/>
          <w:kern w:val="0"/>
          <w:sz w:val="24"/>
          <w:lang w:val="zh-CN"/>
        </w:rPr>
      </w:pPr>
    </w:p>
    <w:p w14:paraId="352283F6">
      <w:pPr>
        <w:autoSpaceDE w:val="0"/>
        <w:autoSpaceDN w:val="0"/>
        <w:spacing w:line="360" w:lineRule="auto"/>
        <w:ind w:left="2"/>
        <w:jc w:val="left"/>
        <w:rPr>
          <w:rFonts w:hint="eastAsia" w:ascii="仿宋_GB2312" w:hAnsi="仿宋_GB2312" w:eastAsia="仿宋_GB2312" w:cs="仿宋_GB2312"/>
          <w:color w:val="auto"/>
          <w:kern w:val="0"/>
          <w:sz w:val="24"/>
          <w:lang w:val="zh-CN"/>
        </w:rPr>
      </w:pPr>
    </w:p>
    <w:p w14:paraId="4418CEAE">
      <w:pPr>
        <w:autoSpaceDE w:val="0"/>
        <w:autoSpaceDN w:val="0"/>
        <w:spacing w:line="360" w:lineRule="auto"/>
        <w:ind w:left="2"/>
        <w:jc w:val="left"/>
        <w:rPr>
          <w:rFonts w:hint="eastAsia" w:ascii="仿宋_GB2312" w:hAnsi="仿宋_GB2312" w:eastAsia="仿宋_GB2312" w:cs="仿宋_GB2312"/>
          <w:color w:val="auto"/>
          <w:kern w:val="0"/>
          <w:sz w:val="24"/>
          <w:lang w:val="zh-CN"/>
        </w:rPr>
      </w:pPr>
    </w:p>
    <w:p w14:paraId="6B413301">
      <w:pPr>
        <w:autoSpaceDE w:val="0"/>
        <w:autoSpaceDN w:val="0"/>
        <w:spacing w:line="360" w:lineRule="auto"/>
        <w:ind w:left="2" w:leftChars="1" w:right="1120" w:firstLine="4560" w:firstLineChars="19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投标人名称（</w:t>
      </w:r>
      <w:r>
        <w:rPr>
          <w:rFonts w:hint="eastAsia" w:ascii="仿宋_GB2312" w:hAnsi="仿宋_GB2312" w:eastAsia="仿宋_GB2312" w:cs="仿宋_GB2312"/>
          <w:color w:val="auto"/>
          <w:sz w:val="24"/>
        </w:rPr>
        <w:t>电子签名</w:t>
      </w:r>
      <w:r>
        <w:rPr>
          <w:rFonts w:hint="eastAsia" w:ascii="仿宋_GB2312" w:hAnsi="仿宋_GB2312" w:eastAsia="仿宋_GB2312" w:cs="仿宋_GB2312"/>
          <w:color w:val="auto"/>
          <w:kern w:val="0"/>
          <w:sz w:val="24"/>
          <w:lang w:val="zh-CN"/>
        </w:rPr>
        <w:t xml:space="preserve">）：                                                                                                                                                                                                               </w:t>
      </w:r>
    </w:p>
    <w:p w14:paraId="668D59BA">
      <w:pPr>
        <w:spacing w:line="360" w:lineRule="auto"/>
        <w:ind w:left="4620" w:leftChars="2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 xml:space="preserve">   年   月   日</w:t>
      </w:r>
    </w:p>
    <w:p w14:paraId="13C2B6E4">
      <w:pPr>
        <w:spacing w:line="360" w:lineRule="auto"/>
        <w:jc w:val="center"/>
        <w:rPr>
          <w:rFonts w:hint="eastAsia" w:ascii="仿宋_GB2312" w:hAnsi="仿宋_GB2312" w:eastAsia="仿宋_GB2312" w:cs="仿宋_GB2312"/>
          <w:b/>
          <w:bCs/>
          <w:color w:val="auto"/>
          <w:sz w:val="24"/>
        </w:rPr>
      </w:pPr>
    </w:p>
    <w:p w14:paraId="1C7C7B49">
      <w:pPr>
        <w:spacing w:line="360" w:lineRule="auto"/>
        <w:ind w:right="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注：按本格式和要求提供。</w:t>
      </w:r>
    </w:p>
    <w:p w14:paraId="4E3E703D">
      <w:pPr>
        <w:spacing w:line="360" w:lineRule="auto"/>
        <w:jc w:val="center"/>
        <w:rPr>
          <w:rFonts w:hint="eastAsia" w:ascii="仿宋_GB2312" w:hAnsi="仿宋_GB2312" w:eastAsia="仿宋_GB2312" w:cs="仿宋_GB2312"/>
          <w:b/>
          <w:color w:val="auto"/>
          <w:sz w:val="32"/>
          <w:szCs w:val="32"/>
        </w:rPr>
      </w:pPr>
    </w:p>
    <w:p w14:paraId="797AEEDB">
      <w:pPr>
        <w:spacing w:line="360" w:lineRule="auto"/>
        <w:jc w:val="center"/>
        <w:rPr>
          <w:rFonts w:hint="eastAsia" w:ascii="仿宋_GB2312" w:hAnsi="仿宋_GB2312" w:eastAsia="仿宋_GB2312" w:cs="仿宋_GB2312"/>
          <w:b/>
          <w:color w:val="auto"/>
          <w:sz w:val="32"/>
          <w:szCs w:val="32"/>
        </w:rPr>
      </w:pPr>
    </w:p>
    <w:p w14:paraId="66FC042B">
      <w:pPr>
        <w:spacing w:line="360" w:lineRule="auto"/>
        <w:jc w:val="center"/>
        <w:rPr>
          <w:rFonts w:hint="eastAsia" w:ascii="仿宋_GB2312" w:hAnsi="仿宋_GB2312" w:eastAsia="仿宋_GB2312" w:cs="仿宋_GB2312"/>
          <w:b/>
          <w:color w:val="auto"/>
          <w:sz w:val="32"/>
          <w:szCs w:val="32"/>
        </w:rPr>
      </w:pPr>
    </w:p>
    <w:p w14:paraId="7F26072F">
      <w:pPr>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7CBB88F5">
      <w:pPr>
        <w:autoSpaceDE w:val="0"/>
        <w:autoSpaceDN w:val="0"/>
        <w:spacing w:line="360" w:lineRule="auto"/>
        <w:ind w:firstLine="12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1FDACC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1D38049">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AFA781D">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348B144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98DBE5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097A43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4518630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7AE9EEE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C3FCD2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1C432C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ED12BB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324AB44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36770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11A0A7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10478D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4F3A4E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4D2813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E6E7E2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27BF405">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522D71C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354F06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18596A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CCF57D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181E43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A865DCC">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3542BE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AA6BF0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4A62B58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BB85BB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27BA271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589248C">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FA27BC9">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05F2CC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E7BC369">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FEE04D5">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r>
    </w:tbl>
    <w:p w14:paraId="4FEBA982">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43F5B1E1">
      <w:pPr>
        <w:autoSpaceDE w:val="0"/>
        <w:autoSpaceDN w:val="0"/>
        <w:spacing w:line="360" w:lineRule="auto"/>
        <w:rPr>
          <w:rFonts w:hint="eastAsia" w:ascii="仿宋_GB2312" w:hAnsi="仿宋_GB2312" w:eastAsia="仿宋_GB2312" w:cs="仿宋_GB2312"/>
          <w:b/>
          <w:color w:val="auto"/>
          <w:sz w:val="24"/>
        </w:rPr>
      </w:pPr>
    </w:p>
    <w:p w14:paraId="7CC40F21">
      <w:pPr>
        <w:autoSpaceDE w:val="0"/>
        <w:autoSpaceDN w:val="0"/>
        <w:spacing w:line="360" w:lineRule="auto"/>
        <w:rPr>
          <w:rFonts w:hint="eastAsia" w:ascii="仿宋_GB2312" w:hAnsi="仿宋_GB2312" w:eastAsia="仿宋_GB2312" w:cs="仿宋_GB2312"/>
          <w:color w:val="auto"/>
          <w:sz w:val="24"/>
        </w:rPr>
      </w:pPr>
    </w:p>
    <w:p w14:paraId="03A6B347">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6DC7A892">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09C3071E">
      <w:pPr>
        <w:pStyle w:val="225"/>
        <w:ind w:firstLine="0"/>
        <w:jc w:val="both"/>
        <w:rPr>
          <w:rFonts w:hint="eastAsia" w:ascii="仿宋_GB2312" w:hAnsi="仿宋_GB2312" w:eastAsia="仿宋_GB2312" w:cs="仿宋_GB2312"/>
          <w:color w:val="auto"/>
        </w:rPr>
      </w:pPr>
    </w:p>
    <w:p w14:paraId="6C069E5E">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71D5C607">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B651BDD">
      <w:pPr>
        <w:spacing w:line="360" w:lineRule="auto"/>
        <w:jc w:val="center"/>
        <w:rPr>
          <w:rFonts w:hint="eastAsia" w:ascii="仿宋_GB2312" w:hAnsi="仿宋_GB2312" w:eastAsia="仿宋_GB2312" w:cs="仿宋_GB2312"/>
          <w:color w:val="auto"/>
          <w:sz w:val="24"/>
        </w:rPr>
      </w:pPr>
    </w:p>
    <w:p w14:paraId="426F3D7A">
      <w:pPr>
        <w:snapToGrid w:val="0"/>
        <w:spacing w:line="360" w:lineRule="auto"/>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118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B7516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47236CD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5E27A3BA">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1CF378B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322393B3">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18E1BEF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1297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8038BBB">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04A9F329">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vAlign w:val="center"/>
          </w:tcPr>
          <w:p w14:paraId="4CCFA281">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340" w:type="dxa"/>
            <w:vAlign w:val="center"/>
          </w:tcPr>
          <w:p w14:paraId="7B47139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080" w:type="dxa"/>
            <w:vAlign w:val="center"/>
          </w:tcPr>
          <w:p w14:paraId="37C55709">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332" w:type="dxa"/>
            <w:vAlign w:val="center"/>
          </w:tcPr>
          <w:p w14:paraId="11207CA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r w14:paraId="2A05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5EF4D4">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77D531A6">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vAlign w:val="center"/>
          </w:tcPr>
          <w:p w14:paraId="3503F7C0">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340" w:type="dxa"/>
            <w:vAlign w:val="center"/>
          </w:tcPr>
          <w:p w14:paraId="3A1CAE5B">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080" w:type="dxa"/>
            <w:vAlign w:val="center"/>
          </w:tcPr>
          <w:p w14:paraId="5839F8D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332" w:type="dxa"/>
            <w:vAlign w:val="center"/>
          </w:tcPr>
          <w:p w14:paraId="07B1ADA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r w14:paraId="7797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FE425A">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334CC406">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vAlign w:val="center"/>
          </w:tcPr>
          <w:p w14:paraId="16304920">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340" w:type="dxa"/>
            <w:vAlign w:val="center"/>
          </w:tcPr>
          <w:p w14:paraId="3BD09D5A">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080" w:type="dxa"/>
            <w:vAlign w:val="center"/>
          </w:tcPr>
          <w:p w14:paraId="791AE3D4">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332" w:type="dxa"/>
            <w:vAlign w:val="center"/>
          </w:tcPr>
          <w:p w14:paraId="2F1107C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r w14:paraId="2C6B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489D6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52B3384B">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vAlign w:val="center"/>
          </w:tcPr>
          <w:p w14:paraId="338B7EC2">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340" w:type="dxa"/>
            <w:vAlign w:val="center"/>
          </w:tcPr>
          <w:p w14:paraId="32C28B7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080" w:type="dxa"/>
            <w:vAlign w:val="center"/>
          </w:tcPr>
          <w:p w14:paraId="7F057F6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332" w:type="dxa"/>
            <w:vAlign w:val="center"/>
          </w:tcPr>
          <w:p w14:paraId="1F682429">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r w14:paraId="16DA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6340D6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07FEF113">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vAlign w:val="center"/>
          </w:tcPr>
          <w:p w14:paraId="186E63A6">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340" w:type="dxa"/>
            <w:vAlign w:val="center"/>
          </w:tcPr>
          <w:p w14:paraId="6F9C6956">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080" w:type="dxa"/>
            <w:vAlign w:val="center"/>
          </w:tcPr>
          <w:p w14:paraId="7DAE411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332" w:type="dxa"/>
            <w:vAlign w:val="center"/>
          </w:tcPr>
          <w:p w14:paraId="69756A8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bl>
    <w:p w14:paraId="56389643">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4CC3B54D">
      <w:pPr>
        <w:autoSpaceDE w:val="0"/>
        <w:autoSpaceDN w:val="0"/>
        <w:spacing w:line="360" w:lineRule="auto"/>
        <w:rPr>
          <w:rFonts w:hint="eastAsia" w:ascii="仿宋_GB2312" w:hAnsi="仿宋_GB2312" w:eastAsia="仿宋_GB2312" w:cs="仿宋_GB2312"/>
          <w:b/>
          <w:color w:val="auto"/>
          <w:spacing w:val="6"/>
          <w:sz w:val="24"/>
        </w:rPr>
      </w:pPr>
      <w:r>
        <w:rPr>
          <w:rFonts w:hint="eastAsia" w:ascii="仿宋_GB2312" w:hAnsi="仿宋_GB2312" w:eastAsia="仿宋_GB2312" w:cs="仿宋_GB2312"/>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0F69FDA1">
      <w:pPr>
        <w:autoSpaceDE w:val="0"/>
        <w:autoSpaceDN w:val="0"/>
        <w:spacing w:line="360" w:lineRule="auto"/>
        <w:rPr>
          <w:rFonts w:hint="eastAsia"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2pt;width:443.55pt;" o:ole="t" filled="f" o:preferrelative="t" stroked="f" coordsize="21600,21600">
            <v:path/>
            <v:fill on="f" focussize="0,0"/>
            <v:stroke on="f" joinstyle="miter"/>
            <v:imagedata r:id="rId129" o:title=""/>
            <o:lock v:ext="edit" aspectratio="t"/>
            <w10:wrap type="none"/>
            <w10:anchorlock/>
          </v:shape>
          <o:OLEObject Type="Embed" ProgID="Package" ShapeID="_x0000_i1025" DrawAspect="Content" ObjectID="_1468075725" r:id="rId128">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2pt;width:440.85pt;" o:ole="t" filled="f" o:preferrelative="t" stroked="f" coordsize="21600,21600">
            <v:path/>
            <v:fill on="f" focussize="0,0"/>
            <v:stroke on="f" joinstyle="miter"/>
            <v:imagedata r:id="rId131" o:title=""/>
            <o:lock v:ext="edit" aspectratio="t"/>
            <w10:wrap type="none"/>
            <w10:anchorlock/>
          </v:shape>
          <o:OLEObject Type="Embed" ProgID="Package" ShapeID="_x0000_i1026" DrawAspect="Content" ObjectID="_1468075726" r:id="rId130">
            <o:LockedField>false</o:LockedField>
          </o:OLEObject>
        </w:object>
      </w:r>
    </w:p>
    <w:p w14:paraId="7DA57402">
      <w:pPr>
        <w:autoSpaceDE w:val="0"/>
        <w:autoSpaceDN w:val="0"/>
        <w:spacing w:line="360" w:lineRule="auto"/>
        <w:ind w:firstLine="4560" w:firstLineChars="1900"/>
        <w:rPr>
          <w:rFonts w:hint="eastAsia" w:ascii="仿宋_GB2312" w:hAnsi="仿宋_GB2312" w:eastAsia="仿宋_GB2312" w:cs="仿宋_GB2312"/>
          <w:color w:val="auto"/>
          <w:kern w:val="0"/>
          <w:sz w:val="24"/>
        </w:rPr>
      </w:pPr>
    </w:p>
    <w:p w14:paraId="614B7F6D">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4DEF6AEA">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70DF7784">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2CB86AC8">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lang w:val="zh-CN"/>
        </w:rPr>
      </w:pPr>
    </w:p>
    <w:p w14:paraId="2109899A">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14:paraId="3CBD77DC">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0A85DC96">
      <w:pPr>
        <w:pStyle w:val="2"/>
        <w:rPr>
          <w:rFonts w:hint="eastAsia" w:ascii="仿宋_GB2312" w:hAnsi="仿宋_GB2312" w:eastAsia="仿宋_GB2312" w:cs="仿宋_GB2312"/>
          <w:color w:val="auto"/>
        </w:rPr>
      </w:pPr>
    </w:p>
    <w:p w14:paraId="5B333DFF">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F08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CA0B7D3">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60E5A91">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3261AB66">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286AE34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6B6F1213">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45BB9459">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488A7DBB">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747643EB">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5FABC419">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70C8910E">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285E2B69">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5D19DF2F">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1E7977DC">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097C59C6">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3370CE5F">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26E4219C">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6FE406B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1939C3D3">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65A2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EFF16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194EF46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09127E6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67BEFB3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180B564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4DECCAF0">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7792E33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0FBA29C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60EA8E5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4D9B5A9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3F65C10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79E8762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18AE84D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47E4879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1BB2926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6B33E184">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21B4FEC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3B59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40480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48F045D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16F9FC6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3534E70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1CADC8E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30EACE1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672996B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5DEB9DE0">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0809691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7FFE1CA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2C2A0C1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75E85C8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65C64C2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18BA4E7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30958CB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7AAEFA1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1F87857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48EF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6A956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267F9ED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050D9A5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26D4004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0473A92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597753F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2" w:type="dxa"/>
          </w:tcPr>
          <w:p w14:paraId="0CE2E98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41EBEE1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7A6A541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05E1A06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25BCF05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1EB5C89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48BED69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53445D5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7E8FB43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2500E25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53" w:type="dxa"/>
          </w:tcPr>
          <w:p w14:paraId="03CD2BE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rPr>
            </w:pPr>
          </w:p>
        </w:tc>
      </w:tr>
    </w:tbl>
    <w:p w14:paraId="237C012B">
      <w:pPr>
        <w:autoSpaceDE w:val="0"/>
        <w:autoSpaceDN w:val="0"/>
        <w:spacing w:line="360" w:lineRule="auto"/>
        <w:rPr>
          <w:rFonts w:hint="eastAsia"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64CF3A84">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47C76D95">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281EB5B7">
      <w:pPr>
        <w:spacing w:line="360" w:lineRule="auto"/>
        <w:rPr>
          <w:rFonts w:hint="eastAsia" w:ascii="仿宋_GB2312" w:hAnsi="仿宋_GB2312" w:eastAsia="仿宋_GB2312" w:cs="仿宋_GB2312"/>
          <w:color w:val="auto"/>
          <w:kern w:val="0"/>
          <w:sz w:val="24"/>
        </w:rPr>
      </w:pPr>
    </w:p>
    <w:p w14:paraId="26AD9FB8">
      <w:pPr>
        <w:spacing w:line="360" w:lineRule="auto"/>
        <w:jc w:val="center"/>
        <w:rPr>
          <w:rFonts w:hint="eastAsia" w:ascii="仿宋_GB2312" w:hAnsi="仿宋_GB2312" w:eastAsia="仿宋_GB2312" w:cs="仿宋_GB2312"/>
          <w:b/>
          <w:bCs/>
          <w:color w:val="auto"/>
          <w:sz w:val="32"/>
          <w:szCs w:val="32"/>
        </w:rPr>
      </w:pPr>
    </w:p>
    <w:p w14:paraId="6D165209">
      <w:pPr>
        <w:spacing w:line="360" w:lineRule="auto"/>
        <w:jc w:val="center"/>
        <w:rPr>
          <w:rFonts w:hint="eastAsia" w:ascii="仿宋_GB2312" w:hAnsi="仿宋_GB2312" w:eastAsia="仿宋_GB2312" w:cs="仿宋_GB2312"/>
          <w:b/>
          <w:bCs/>
          <w:color w:val="auto"/>
          <w:sz w:val="32"/>
          <w:szCs w:val="32"/>
        </w:rPr>
      </w:pPr>
    </w:p>
    <w:p w14:paraId="46AAB4E4">
      <w:pPr>
        <w:spacing w:line="360" w:lineRule="auto"/>
        <w:jc w:val="center"/>
        <w:rPr>
          <w:rFonts w:hint="eastAsia" w:ascii="仿宋_GB2312" w:hAnsi="仿宋_GB2312" w:eastAsia="仿宋_GB2312" w:cs="仿宋_GB2312"/>
          <w:b/>
          <w:bCs/>
          <w:color w:val="auto"/>
          <w:sz w:val="32"/>
          <w:szCs w:val="32"/>
        </w:rPr>
      </w:pPr>
    </w:p>
    <w:p w14:paraId="215D1376">
      <w:pPr>
        <w:spacing w:line="360" w:lineRule="auto"/>
        <w:jc w:val="center"/>
        <w:rPr>
          <w:rFonts w:hint="eastAsia" w:ascii="仿宋_GB2312" w:hAnsi="仿宋_GB2312" w:eastAsia="仿宋_GB2312" w:cs="仿宋_GB2312"/>
          <w:b/>
          <w:bCs/>
          <w:color w:val="auto"/>
          <w:sz w:val="32"/>
          <w:szCs w:val="32"/>
        </w:rPr>
      </w:pPr>
    </w:p>
    <w:p w14:paraId="5405DF2B">
      <w:pPr>
        <w:spacing w:line="360" w:lineRule="auto"/>
        <w:jc w:val="center"/>
        <w:rPr>
          <w:rFonts w:hint="eastAsia" w:ascii="仿宋_GB2312" w:hAnsi="仿宋_GB2312" w:eastAsia="仿宋_GB2312" w:cs="仿宋_GB2312"/>
          <w:b/>
          <w:bCs/>
          <w:color w:val="auto"/>
          <w:sz w:val="32"/>
          <w:szCs w:val="32"/>
        </w:rPr>
      </w:pPr>
    </w:p>
    <w:p w14:paraId="0C9E8DD0">
      <w:pPr>
        <w:spacing w:line="360" w:lineRule="auto"/>
        <w:jc w:val="center"/>
        <w:rPr>
          <w:rFonts w:hint="eastAsia" w:ascii="仿宋_GB2312" w:hAnsi="仿宋_GB2312" w:eastAsia="仿宋_GB2312" w:cs="仿宋_GB2312"/>
          <w:b/>
          <w:bCs/>
          <w:color w:val="auto"/>
          <w:sz w:val="32"/>
          <w:szCs w:val="32"/>
        </w:rPr>
      </w:pPr>
    </w:p>
    <w:p w14:paraId="2DE816EE">
      <w:pPr>
        <w:spacing w:line="360" w:lineRule="auto"/>
        <w:jc w:val="center"/>
        <w:rPr>
          <w:rFonts w:hint="eastAsia" w:ascii="仿宋_GB2312" w:hAnsi="仿宋_GB2312" w:eastAsia="仿宋_GB2312" w:cs="仿宋_GB2312"/>
          <w:b/>
          <w:bCs/>
          <w:color w:val="auto"/>
          <w:sz w:val="32"/>
          <w:szCs w:val="32"/>
        </w:rPr>
      </w:pPr>
    </w:p>
    <w:p w14:paraId="62483810">
      <w:pPr>
        <w:spacing w:line="360" w:lineRule="auto"/>
        <w:jc w:val="center"/>
        <w:rPr>
          <w:rFonts w:hint="eastAsia" w:ascii="仿宋_GB2312" w:hAnsi="仿宋_GB2312" w:eastAsia="仿宋_GB2312" w:cs="仿宋_GB2312"/>
          <w:b/>
          <w:bCs/>
          <w:color w:val="auto"/>
          <w:sz w:val="32"/>
          <w:szCs w:val="32"/>
        </w:rPr>
      </w:pPr>
    </w:p>
    <w:p w14:paraId="5CCCBB59">
      <w:pPr>
        <w:spacing w:line="360" w:lineRule="auto"/>
        <w:jc w:val="center"/>
        <w:rPr>
          <w:rFonts w:hint="eastAsia" w:ascii="仿宋_GB2312" w:hAnsi="仿宋_GB2312" w:eastAsia="仿宋_GB2312" w:cs="仿宋_GB2312"/>
          <w:b/>
          <w:bCs/>
          <w:color w:val="auto"/>
          <w:sz w:val="32"/>
          <w:szCs w:val="32"/>
        </w:rPr>
      </w:pPr>
    </w:p>
    <w:p w14:paraId="74F1985D">
      <w:pPr>
        <w:spacing w:line="360" w:lineRule="auto"/>
        <w:jc w:val="center"/>
        <w:rPr>
          <w:rFonts w:hint="eastAsia" w:ascii="仿宋_GB2312" w:hAnsi="仿宋_GB2312" w:eastAsia="仿宋_GB2312" w:cs="仿宋_GB2312"/>
          <w:b/>
          <w:bCs/>
          <w:color w:val="auto"/>
          <w:sz w:val="32"/>
          <w:szCs w:val="32"/>
        </w:rPr>
      </w:pPr>
    </w:p>
    <w:p w14:paraId="5B01324C">
      <w:pPr>
        <w:spacing w:line="360" w:lineRule="auto"/>
        <w:jc w:val="center"/>
        <w:rPr>
          <w:rFonts w:hint="eastAsia" w:ascii="仿宋_GB2312" w:hAnsi="仿宋_GB2312" w:eastAsia="仿宋_GB2312" w:cs="仿宋_GB2312"/>
          <w:b/>
          <w:bCs/>
          <w:color w:val="auto"/>
          <w:sz w:val="32"/>
          <w:szCs w:val="32"/>
        </w:rPr>
      </w:pPr>
    </w:p>
    <w:p w14:paraId="7048893B">
      <w:pPr>
        <w:spacing w:line="360" w:lineRule="auto"/>
        <w:jc w:val="center"/>
        <w:rPr>
          <w:rFonts w:hint="eastAsia" w:ascii="仿宋_GB2312" w:hAnsi="仿宋_GB2312" w:eastAsia="仿宋_GB2312" w:cs="仿宋_GB2312"/>
          <w:b/>
          <w:bCs/>
          <w:color w:val="auto"/>
          <w:sz w:val="32"/>
          <w:szCs w:val="32"/>
        </w:rPr>
      </w:pPr>
    </w:p>
    <w:p w14:paraId="5F4377E8">
      <w:pPr>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129DB8A9">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62EAA4F">
      <w:pPr>
        <w:pStyle w:val="2"/>
        <w:rPr>
          <w:rFonts w:hint="eastAsia" w:ascii="仿宋_GB2312" w:hAnsi="仿宋_GB2312" w:eastAsia="仿宋_GB2312" w:cs="仿宋_GB2312"/>
          <w:color w:val="auto"/>
        </w:rPr>
      </w:pPr>
    </w:p>
    <w:p w14:paraId="53944DD0">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4C6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01E058D">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49CB4EF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681EE84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10C1EDE3">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6BB6A95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0A889F5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0A3D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2487B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tcPr>
          <w:p w14:paraId="0FCA0B23">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620" w:type="dxa"/>
          </w:tcPr>
          <w:p w14:paraId="7FEA7393">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245" w:type="dxa"/>
          </w:tcPr>
          <w:p w14:paraId="696FA3D9">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75" w:type="dxa"/>
          </w:tcPr>
          <w:p w14:paraId="0D8D67B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260" w:type="dxa"/>
          </w:tcPr>
          <w:p w14:paraId="42BA3CC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r w14:paraId="2EED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3443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tcPr>
          <w:p w14:paraId="5398C2D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620" w:type="dxa"/>
          </w:tcPr>
          <w:p w14:paraId="1DF4BC1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245" w:type="dxa"/>
          </w:tcPr>
          <w:p w14:paraId="2260E47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75" w:type="dxa"/>
          </w:tcPr>
          <w:p w14:paraId="16B5E69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260" w:type="dxa"/>
          </w:tcPr>
          <w:p w14:paraId="3A4757C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r w14:paraId="60E2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F30E3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60" w:type="dxa"/>
          </w:tcPr>
          <w:p w14:paraId="7F5335A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620" w:type="dxa"/>
          </w:tcPr>
          <w:p w14:paraId="489C9BC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245" w:type="dxa"/>
          </w:tcPr>
          <w:p w14:paraId="7CDEBE83">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2175" w:type="dxa"/>
          </w:tcPr>
          <w:p w14:paraId="5EFC320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1260" w:type="dxa"/>
          </w:tcPr>
          <w:p w14:paraId="1B8F824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r>
    </w:tbl>
    <w:p w14:paraId="48537985">
      <w:pPr>
        <w:autoSpaceDE w:val="0"/>
        <w:autoSpaceDN w:val="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54752D2F">
      <w:pPr>
        <w:autoSpaceDE w:val="0"/>
        <w:autoSpaceDN w:val="0"/>
        <w:rPr>
          <w:rFonts w:hint="eastAsia"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989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567FCDA">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FAA1D59">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9D4430E">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ECFA6E">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509575">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6AFF4A3">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4FF7A20">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6659843">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46C0228">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691A1C">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A225893">
            <w:pPr>
              <w:keepNext w:val="0"/>
              <w:keepLines w:val="0"/>
              <w:suppressLineNumbers w:val="0"/>
              <w:autoSpaceDE w:val="0"/>
              <w:autoSpaceDN w:val="0"/>
              <w:spacing w:before="0" w:beforeAutospacing="0" w:after="0" w:afterAutospacing="0" w:line="240" w:lineRule="exact"/>
              <w:ind w:left="-36" w:leftChars="-17" w:right="-181" w:rightChars="-86"/>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5FD9B5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DE37C3">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E9E1AC0">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7867DE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F782141">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49A9D1">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E66AF4">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9676A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3CF8C3A">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5EFEB3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7A47901">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8C37C6C">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r>
      <w:tr w14:paraId="1C42663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6C898B4">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73EB2A4">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3B4D43B">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A37FAE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B7FE527">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40857BE">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838B67A">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84640EA">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99C1D99">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979FB1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2C700AE">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r>
      <w:tr w14:paraId="27FB0B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19D7D5">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07747B">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3E4F03F">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A8DE25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E5A57CE">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5793BAE">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41C444B">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F77415">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93FFFA8">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59CC8AC">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A99A4C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rPr>
            </w:pPr>
          </w:p>
        </w:tc>
      </w:tr>
    </w:tbl>
    <w:p w14:paraId="28F3D887">
      <w:pPr>
        <w:spacing w:line="360" w:lineRule="auto"/>
        <w:ind w:firstLine="480" w:firstLineChars="200"/>
        <w:rPr>
          <w:rFonts w:hint="eastAsia" w:ascii="仿宋_GB2312" w:hAnsi="仿宋_GB2312" w:eastAsia="仿宋_GB2312" w:cs="仿宋_GB2312"/>
          <w:color w:val="auto"/>
          <w:sz w:val="24"/>
          <w:szCs w:val="20"/>
        </w:rPr>
      </w:pPr>
    </w:p>
    <w:p w14:paraId="07468B5E">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50A726D5">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1174BC9C">
      <w:pPr>
        <w:spacing w:line="360" w:lineRule="auto"/>
        <w:rPr>
          <w:rFonts w:hint="eastAsia" w:ascii="仿宋_GB2312" w:hAnsi="仿宋_GB2312" w:eastAsia="仿宋_GB2312" w:cs="仿宋_GB2312"/>
          <w:b/>
          <w:color w:val="auto"/>
          <w:sz w:val="30"/>
          <w:szCs w:val="30"/>
        </w:rPr>
      </w:pPr>
    </w:p>
    <w:p w14:paraId="10366A7C">
      <w:pPr>
        <w:spacing w:line="360" w:lineRule="auto"/>
        <w:rPr>
          <w:rFonts w:hint="eastAsia" w:ascii="仿宋_GB2312" w:hAnsi="仿宋_GB2312" w:eastAsia="仿宋_GB2312" w:cs="仿宋_GB2312"/>
          <w:b/>
          <w:color w:val="auto"/>
          <w:sz w:val="30"/>
          <w:szCs w:val="30"/>
        </w:rPr>
      </w:pPr>
    </w:p>
    <w:p w14:paraId="54F7BF33">
      <w:pPr>
        <w:spacing w:line="360" w:lineRule="auto"/>
        <w:rPr>
          <w:rFonts w:hint="eastAsia" w:ascii="仿宋_GB2312" w:hAnsi="仿宋_GB2312" w:eastAsia="仿宋_GB2312" w:cs="仿宋_GB2312"/>
          <w:b/>
          <w:color w:val="auto"/>
          <w:sz w:val="30"/>
          <w:szCs w:val="30"/>
        </w:rPr>
      </w:pPr>
    </w:p>
    <w:p w14:paraId="770F8A62">
      <w:pPr>
        <w:spacing w:line="360" w:lineRule="auto"/>
        <w:jc w:val="center"/>
        <w:rPr>
          <w:rFonts w:hint="eastAsia"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2C6351AA">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59E9D84E">
      <w:pPr>
        <w:spacing w:line="336" w:lineRule="auto"/>
        <w:ind w:firstLine="3600" w:firstLineChars="1500"/>
        <w:rPr>
          <w:rFonts w:hint="eastAsia" w:ascii="仿宋_GB2312" w:hAnsi="仿宋_GB2312" w:eastAsia="仿宋_GB2312" w:cs="仿宋_GB2312"/>
          <w:color w:val="auto"/>
          <w:sz w:val="24"/>
        </w:rPr>
      </w:pPr>
    </w:p>
    <w:p w14:paraId="2997C008">
      <w:pPr>
        <w:pStyle w:val="2"/>
        <w:rPr>
          <w:rFonts w:hint="eastAsia" w:ascii="仿宋_GB2312" w:hAnsi="仿宋_GB2312" w:eastAsia="仿宋_GB2312" w:cs="仿宋_GB2312"/>
          <w:color w:val="auto"/>
        </w:rPr>
      </w:pPr>
    </w:p>
    <w:p w14:paraId="48F0F35A">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73EB248F">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3C6C4FBB">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797E8C8C">
      <w:pPr>
        <w:spacing w:line="360" w:lineRule="auto"/>
        <w:jc w:val="center"/>
        <w:rPr>
          <w:rFonts w:hint="eastAsia"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2C7E4774">
      <w:pPr>
        <w:keepNext/>
        <w:autoSpaceDE w:val="0"/>
        <w:autoSpaceDN w:val="0"/>
        <w:spacing w:line="360" w:lineRule="auto"/>
        <w:ind w:firstLine="477"/>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6"/>
        <w:tblW w:w="8755" w:type="dxa"/>
        <w:tblInd w:w="0" w:type="dxa"/>
        <w:tblLayout w:type="fixed"/>
        <w:tblCellMar>
          <w:top w:w="0" w:type="dxa"/>
          <w:left w:w="108" w:type="dxa"/>
          <w:bottom w:w="0" w:type="dxa"/>
          <w:right w:w="108" w:type="dxa"/>
        </w:tblCellMar>
      </w:tblPr>
      <w:tblGrid>
        <w:gridCol w:w="2061"/>
        <w:gridCol w:w="1287"/>
        <w:gridCol w:w="1260"/>
        <w:gridCol w:w="4147"/>
      </w:tblGrid>
      <w:tr w14:paraId="78A2A33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DB143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A2CFC0C">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58980F">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9F8FB83">
            <w:pPr>
              <w:keepNext w:val="0"/>
              <w:keepLines w:val="0"/>
              <w:suppressLineNumbers w:val="0"/>
              <w:autoSpaceDE w:val="0"/>
              <w:autoSpaceDN w:val="0"/>
              <w:spacing w:before="0" w:beforeAutospacing="0" w:after="0" w:afterAutospacing="0"/>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792D16D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1F493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055160">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827C1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A3FCC3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22D5B5E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97800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CA663EF">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DFD03DC">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4D1F25">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50B06EF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5615EC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CC268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DA709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9E022B">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34822E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37C8AA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654399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AB5A3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C86C8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6217EDE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A9E5E8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49252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C5655F">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A4D575">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322A678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FA896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F601878">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449B0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2A1036">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6A97B8F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CE0115">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3E0BECB">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3CF33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59C32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77D8CC6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9A815B">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CD0CB0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913F0C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F3F54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r w14:paraId="0BEB918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C4896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397F2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8F7010">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EE088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rPr>
            </w:pPr>
          </w:p>
        </w:tc>
      </w:tr>
    </w:tbl>
    <w:p w14:paraId="1059A5BA">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67623B67">
      <w:pPr>
        <w:pStyle w:val="2"/>
        <w:rPr>
          <w:rFonts w:hint="eastAsia" w:ascii="仿宋_GB2312" w:hAnsi="仿宋_GB2312" w:eastAsia="仿宋_GB2312" w:cs="仿宋_GB2312"/>
          <w:color w:val="auto"/>
        </w:rPr>
      </w:pPr>
    </w:p>
    <w:p w14:paraId="01F883FF">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BA519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BDF77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CFCC0D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BC431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43B220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DBF9D23">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76CDA89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D94A4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7CE790D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79F19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708B2E7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0BDABB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608B87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E4C121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5948E90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ED003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107F97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952046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9F983C9">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E47C20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4A67E7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BF2B2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B62ECD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ADA3897">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017BE22">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13D3DB6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B374DE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6FF2E2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CBEBE3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11DA92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6146992">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1D9E48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49A8D6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49C092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28EB1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EC4ABC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r>
    </w:tbl>
    <w:p w14:paraId="16CD8B1C">
      <w:pPr>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164F00E4">
      <w:pPr>
        <w:pStyle w:val="2"/>
        <w:rPr>
          <w:rFonts w:hint="eastAsia" w:ascii="仿宋_GB2312" w:hAnsi="仿宋_GB2312" w:eastAsia="仿宋_GB2312" w:cs="仿宋_GB2312"/>
          <w:color w:val="auto"/>
        </w:rPr>
      </w:pPr>
    </w:p>
    <w:p w14:paraId="7589F77E">
      <w:pPr>
        <w:spacing w:line="360" w:lineRule="auto"/>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07291B87">
      <w:pPr>
        <w:spacing w:line="360" w:lineRule="auto"/>
        <w:ind w:firstLine="480" w:firstLineChars="200"/>
        <w:rPr>
          <w:rFonts w:hint="eastAsia" w:ascii="仿宋_GB2312" w:hAnsi="仿宋_GB2312" w:eastAsia="仿宋_GB2312" w:cs="仿宋_GB2312"/>
          <w:color w:val="auto"/>
          <w:sz w:val="24"/>
          <w:szCs w:val="20"/>
        </w:rPr>
      </w:pPr>
    </w:p>
    <w:p w14:paraId="18291712">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投标人名称（电子签名）：</w:t>
      </w:r>
    </w:p>
    <w:p w14:paraId="27709B4C">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39160C1C">
      <w:pPr>
        <w:snapToGrid w:val="0"/>
        <w:spacing w:line="360" w:lineRule="auto"/>
        <w:ind w:firstLine="6907" w:firstLineChars="2150"/>
        <w:rPr>
          <w:rFonts w:hint="eastAsia" w:ascii="仿宋_GB2312" w:hAnsi="仿宋_GB2312" w:eastAsia="仿宋_GB2312" w:cs="仿宋_GB2312"/>
          <w:b/>
          <w:bCs/>
          <w:color w:val="auto"/>
          <w:sz w:val="32"/>
          <w:szCs w:val="32"/>
        </w:rPr>
      </w:pPr>
    </w:p>
    <w:p w14:paraId="55DE80D3">
      <w:pPr>
        <w:snapToGrid w:val="0"/>
        <w:spacing w:line="360" w:lineRule="auto"/>
        <w:ind w:right="960"/>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72366E76">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AB0A9AB">
      <w:pPr>
        <w:spacing w:line="360" w:lineRule="auto"/>
        <w:rPr>
          <w:rFonts w:hint="eastAsia" w:ascii="仿宋_GB2312" w:hAnsi="仿宋_GB2312" w:eastAsia="仿宋_GB2312" w:cs="仿宋_GB2312"/>
          <w:color w:val="auto"/>
          <w:sz w:val="18"/>
          <w:szCs w:val="18"/>
        </w:rPr>
      </w:pPr>
    </w:p>
    <w:p w14:paraId="263D7A2D">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5C806421">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53B7E108">
      <w:pPr>
        <w:spacing w:line="360" w:lineRule="auto"/>
        <w:rPr>
          <w:rFonts w:hint="eastAsia" w:ascii="仿宋_GB2312" w:hAnsi="仿宋_GB2312" w:eastAsia="仿宋_GB2312" w:cs="仿宋_GB2312"/>
          <w:b/>
          <w:bCs/>
          <w:color w:val="auto"/>
          <w:sz w:val="18"/>
          <w:szCs w:val="18"/>
        </w:rPr>
      </w:pPr>
    </w:p>
    <w:p w14:paraId="2E45D4EB">
      <w:pPr>
        <w:spacing w:line="360" w:lineRule="auto"/>
        <w:rPr>
          <w:rFonts w:hint="eastAsia" w:ascii="仿宋_GB2312" w:hAnsi="仿宋_GB2312" w:eastAsia="仿宋_GB2312" w:cs="仿宋_GB2312"/>
          <w:b/>
          <w:bCs/>
          <w:color w:val="auto"/>
          <w:sz w:val="32"/>
          <w:szCs w:val="32"/>
        </w:rPr>
      </w:pPr>
    </w:p>
    <w:p w14:paraId="5D19324C">
      <w:pPr>
        <w:spacing w:line="360" w:lineRule="auto"/>
        <w:rPr>
          <w:rFonts w:hint="eastAsia" w:ascii="仿宋_GB2312" w:hAnsi="仿宋_GB2312" w:eastAsia="仿宋_GB2312" w:cs="仿宋_GB2312"/>
          <w:b/>
          <w:bCs/>
          <w:color w:val="auto"/>
          <w:sz w:val="32"/>
          <w:szCs w:val="32"/>
        </w:rPr>
      </w:pPr>
    </w:p>
    <w:p w14:paraId="13BF6BEA">
      <w:pPr>
        <w:spacing w:line="360" w:lineRule="auto"/>
        <w:jc w:val="center"/>
        <w:rPr>
          <w:rFonts w:hint="eastAsia" w:ascii="仿宋_GB2312" w:hAnsi="仿宋_GB2312" w:eastAsia="仿宋_GB2312" w:cs="仿宋_GB2312"/>
          <w:b/>
          <w:bCs/>
          <w:color w:val="auto"/>
          <w:sz w:val="32"/>
          <w:szCs w:val="32"/>
        </w:rPr>
      </w:pPr>
    </w:p>
    <w:p w14:paraId="65DDFE00">
      <w:pPr>
        <w:spacing w:line="360" w:lineRule="auto"/>
        <w:jc w:val="center"/>
        <w:rPr>
          <w:rFonts w:hint="eastAsia" w:ascii="仿宋_GB2312" w:hAnsi="仿宋_GB2312" w:eastAsia="仿宋_GB2312" w:cs="仿宋_GB2312"/>
          <w:b/>
          <w:bCs/>
          <w:color w:val="auto"/>
          <w:sz w:val="32"/>
          <w:szCs w:val="32"/>
        </w:rPr>
      </w:pPr>
    </w:p>
    <w:p w14:paraId="6A65FA55">
      <w:pPr>
        <w:spacing w:line="360" w:lineRule="auto"/>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2D08B0F4">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27638E1">
      <w:pPr>
        <w:snapToGrid w:val="0"/>
        <w:spacing w:line="360" w:lineRule="auto"/>
        <w:ind w:right="960"/>
        <w:jc w:val="right"/>
        <w:rPr>
          <w:rFonts w:hint="eastAsia" w:ascii="仿宋_GB2312" w:hAnsi="仿宋_GB2312" w:eastAsia="仿宋_GB2312" w:cs="仿宋_GB2312"/>
          <w:color w:val="auto"/>
          <w:kern w:val="0"/>
          <w:sz w:val="24"/>
          <w:lang w:val="zh-CN"/>
        </w:rPr>
      </w:pPr>
    </w:p>
    <w:p w14:paraId="3AD2F59A">
      <w:pPr>
        <w:snapToGrid w:val="0"/>
        <w:spacing w:line="360" w:lineRule="auto"/>
        <w:ind w:right="960"/>
        <w:jc w:val="right"/>
        <w:rPr>
          <w:rFonts w:hint="eastAsia" w:ascii="仿宋_GB2312" w:hAnsi="仿宋_GB2312" w:eastAsia="仿宋_GB2312" w:cs="仿宋_GB2312"/>
          <w:color w:val="auto"/>
          <w:kern w:val="0"/>
          <w:sz w:val="24"/>
          <w:lang w:val="zh-CN"/>
        </w:rPr>
      </w:pPr>
    </w:p>
    <w:p w14:paraId="169774BE">
      <w:pPr>
        <w:snapToGrid w:val="0"/>
        <w:spacing w:line="360" w:lineRule="auto"/>
        <w:ind w:right="960"/>
        <w:jc w:val="right"/>
        <w:rPr>
          <w:rFonts w:hint="eastAsia" w:ascii="仿宋_GB2312" w:hAnsi="仿宋_GB2312" w:eastAsia="仿宋_GB2312" w:cs="仿宋_GB2312"/>
          <w:color w:val="auto"/>
          <w:kern w:val="0"/>
          <w:sz w:val="24"/>
          <w:lang w:val="zh-CN"/>
        </w:rPr>
      </w:pPr>
    </w:p>
    <w:p w14:paraId="6E4E9E53">
      <w:pPr>
        <w:snapToGrid w:val="0"/>
        <w:spacing w:line="360" w:lineRule="auto"/>
        <w:ind w:right="960"/>
        <w:jc w:val="right"/>
        <w:rPr>
          <w:rFonts w:hint="eastAsia" w:ascii="仿宋_GB2312" w:hAnsi="仿宋_GB2312" w:eastAsia="仿宋_GB2312" w:cs="仿宋_GB2312"/>
          <w:color w:val="auto"/>
          <w:kern w:val="0"/>
          <w:sz w:val="24"/>
          <w:lang w:val="zh-CN"/>
        </w:rPr>
      </w:pPr>
    </w:p>
    <w:p w14:paraId="625417AD">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189ED777">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2757B7F8">
      <w:pPr>
        <w:spacing w:line="360" w:lineRule="auto"/>
        <w:jc w:val="center"/>
        <w:rPr>
          <w:rFonts w:hint="eastAsia" w:ascii="仿宋_GB2312" w:hAnsi="仿宋_GB2312" w:eastAsia="仿宋_GB2312" w:cs="仿宋_GB2312"/>
          <w:b/>
          <w:bCs/>
          <w:color w:val="auto"/>
          <w:sz w:val="32"/>
          <w:szCs w:val="32"/>
        </w:rPr>
      </w:pPr>
    </w:p>
    <w:p w14:paraId="1A18161E">
      <w:pPr>
        <w:spacing w:line="360" w:lineRule="auto"/>
        <w:jc w:val="center"/>
        <w:rPr>
          <w:rFonts w:hint="eastAsia" w:ascii="仿宋_GB2312" w:hAnsi="仿宋_GB2312" w:eastAsia="仿宋_GB2312" w:cs="仿宋_GB2312"/>
          <w:b/>
          <w:bCs/>
          <w:color w:val="auto"/>
          <w:sz w:val="32"/>
          <w:szCs w:val="32"/>
        </w:rPr>
      </w:pPr>
    </w:p>
    <w:p w14:paraId="58F507D9">
      <w:pPr>
        <w:spacing w:line="360" w:lineRule="auto"/>
        <w:jc w:val="center"/>
        <w:rPr>
          <w:rFonts w:hint="eastAsia" w:ascii="仿宋_GB2312" w:hAnsi="仿宋_GB2312" w:eastAsia="仿宋_GB2312" w:cs="仿宋_GB2312"/>
          <w:b/>
          <w:bCs/>
          <w:color w:val="auto"/>
          <w:sz w:val="32"/>
          <w:szCs w:val="32"/>
        </w:rPr>
      </w:pPr>
    </w:p>
    <w:p w14:paraId="466070B6">
      <w:pPr>
        <w:spacing w:line="360" w:lineRule="auto"/>
        <w:jc w:val="center"/>
        <w:rPr>
          <w:rFonts w:hint="eastAsia" w:ascii="仿宋_GB2312" w:hAnsi="仿宋_GB2312" w:eastAsia="仿宋_GB2312" w:cs="仿宋_GB2312"/>
          <w:b/>
          <w:bCs/>
          <w:color w:val="auto"/>
          <w:sz w:val="32"/>
          <w:szCs w:val="32"/>
        </w:rPr>
      </w:pPr>
    </w:p>
    <w:p w14:paraId="15D303A5">
      <w:pPr>
        <w:pageBreakBefore/>
        <w:spacing w:line="360" w:lineRule="auto"/>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55E741CC">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B22249C">
      <w:pPr>
        <w:keepNext/>
        <w:autoSpaceDE w:val="0"/>
        <w:autoSpaceDN w:val="0"/>
        <w:spacing w:line="360" w:lineRule="auto"/>
        <w:ind w:firstLine="477"/>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2B3D1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76678F0">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0A33B8">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7F4EC72">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966B75A">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80D6AFD">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2F56390">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51BD7F0">
            <w:pPr>
              <w:keepNext w:val="0"/>
              <w:keepLines w:val="0"/>
              <w:suppressLineNumbers w:val="0"/>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754FF83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6632C69">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7418EA37">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505020D6">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55BAB5F9">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2B8499C4">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1A284A58">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4E16FA4B">
            <w:pPr>
              <w:keepNext w:val="0"/>
              <w:keepLines w:val="0"/>
              <w:suppressLineNumbers w:val="0"/>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r>
      <w:tr w14:paraId="3DF5E2A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FF4C705">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44E583">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7DCBB9E9">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3757F63B">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25CAF238">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9737AD0">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04BF8EA9">
            <w:pPr>
              <w:keepNext w:val="0"/>
              <w:keepLines w:val="0"/>
              <w:suppressLineNumbers w:val="0"/>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rPr>
            </w:pPr>
          </w:p>
        </w:tc>
      </w:tr>
    </w:tbl>
    <w:p w14:paraId="56C75FC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02D78A8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1B3507A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300EA70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6895073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4851868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35EABF65">
      <w:pPr>
        <w:autoSpaceDE w:val="0"/>
        <w:autoSpaceDN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600B7FE6">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B627412">
      <w:pPr>
        <w:spacing w:line="360" w:lineRule="auto"/>
        <w:ind w:firstLine="480" w:firstLineChars="200"/>
        <w:rPr>
          <w:rFonts w:hint="eastAsia" w:ascii="仿宋_GB2312" w:hAnsi="仿宋_GB2312" w:eastAsia="仿宋_GB2312" w:cs="仿宋_GB2312"/>
          <w:color w:val="auto"/>
          <w:sz w:val="24"/>
          <w:szCs w:val="20"/>
        </w:rPr>
      </w:pPr>
    </w:p>
    <w:p w14:paraId="7CBC83E1">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241F0DB4">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08FF65F1">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66518F4F">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791A0A84">
      <w:pPr>
        <w:spacing w:line="360" w:lineRule="auto"/>
        <w:jc w:val="center"/>
        <w:rPr>
          <w:rFonts w:hint="eastAsia" w:ascii="仿宋_GB2312" w:hAnsi="仿宋_GB2312" w:eastAsia="仿宋_GB2312" w:cs="仿宋_GB2312"/>
          <w:color w:val="auto"/>
          <w:sz w:val="24"/>
        </w:rPr>
      </w:pPr>
    </w:p>
    <w:p w14:paraId="7AF12BD5">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64202EBB">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209E77EB">
      <w:pPr>
        <w:spacing w:line="360" w:lineRule="auto"/>
        <w:jc w:val="center"/>
        <w:rPr>
          <w:rFonts w:hint="eastAsia" w:ascii="仿宋_GB2312" w:hAnsi="仿宋_GB2312" w:eastAsia="仿宋_GB2312" w:cs="仿宋_GB2312"/>
          <w:b/>
          <w:bCs/>
          <w:color w:val="auto"/>
          <w:sz w:val="30"/>
          <w:szCs w:val="30"/>
        </w:rPr>
      </w:pPr>
    </w:p>
    <w:p w14:paraId="07246E6B">
      <w:pPr>
        <w:spacing w:line="360" w:lineRule="auto"/>
        <w:jc w:val="center"/>
        <w:rPr>
          <w:rFonts w:hint="eastAsia" w:ascii="仿宋_GB2312" w:hAnsi="仿宋_GB2312" w:eastAsia="仿宋_GB2312" w:cs="仿宋_GB2312"/>
          <w:b/>
          <w:bCs/>
          <w:color w:val="auto"/>
          <w:sz w:val="30"/>
          <w:szCs w:val="30"/>
        </w:rPr>
      </w:pPr>
    </w:p>
    <w:p w14:paraId="7DFE78F6">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十八、</w:t>
      </w:r>
      <w:r>
        <w:rPr>
          <w:rFonts w:hint="eastAsia" w:ascii="仿宋_GB2312" w:hAnsi="仿宋_GB2312" w:eastAsia="仿宋_GB2312" w:cs="仿宋_GB2312"/>
          <w:b/>
          <w:bCs/>
          <w:color w:val="auto"/>
          <w:sz w:val="32"/>
          <w:szCs w:val="32"/>
        </w:rPr>
        <w:t>甲醛等</w:t>
      </w:r>
      <w:r>
        <w:rPr>
          <w:rFonts w:hint="eastAsia" w:ascii="仿宋_GB2312" w:hAnsi="仿宋_GB2312" w:eastAsia="仿宋_GB2312" w:cs="仿宋_GB2312"/>
          <w:b/>
          <w:bCs/>
          <w:color w:val="auto"/>
          <w:sz w:val="32"/>
          <w:szCs w:val="32"/>
          <w:lang w:eastAsia="zh-CN"/>
        </w:rPr>
        <w:t>性能</w:t>
      </w:r>
      <w:r>
        <w:rPr>
          <w:rFonts w:hint="eastAsia" w:ascii="仿宋_GB2312" w:hAnsi="仿宋_GB2312" w:eastAsia="仿宋_GB2312" w:cs="仿宋_GB2312"/>
          <w:b/>
          <w:bCs/>
          <w:color w:val="auto"/>
          <w:sz w:val="32"/>
          <w:szCs w:val="32"/>
        </w:rPr>
        <w:t>指标参数响应承诺书</w:t>
      </w:r>
    </w:p>
    <w:p w14:paraId="416C420C">
      <w:pPr>
        <w:pStyle w:val="3"/>
        <w:keepNext w:val="0"/>
        <w:keepLines w:val="0"/>
        <w:pageBreakBefore w:val="0"/>
        <w:kinsoku/>
        <w:overflowPunct/>
        <w:topLinePunct w:val="0"/>
        <w:autoSpaceDE/>
        <w:autoSpaceDN/>
        <w:bidi w:val="0"/>
        <w:snapToGrid w:val="0"/>
        <w:spacing w:line="312" w:lineRule="auto"/>
        <w:ind w:left="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绍兴市镜湖健康产业开发有限公司：</w:t>
      </w:r>
    </w:p>
    <w:p w14:paraId="026B3079">
      <w:pPr>
        <w:pStyle w:val="3"/>
        <w:keepNext w:val="0"/>
        <w:keepLines w:val="0"/>
        <w:pageBreakBefore w:val="0"/>
        <w:kinsoku/>
        <w:overflowPunct/>
        <w:topLinePunct w:val="0"/>
        <w:autoSpaceDE/>
        <w:autoSpaceDN/>
        <w:bidi w:val="0"/>
        <w:snapToGrid w:val="0"/>
        <w:spacing w:line="312" w:lineRule="auto"/>
        <w:ind w:left="0"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本公司提交的针对</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招标文件技术要求的相关性能能满足或优于招标文件要求，提供资料真实有效。并承诺如下：</w:t>
      </w:r>
    </w:p>
    <w:p w14:paraId="0BF50797">
      <w:pPr>
        <w:keepNext w:val="0"/>
        <w:keepLines w:val="0"/>
        <w:pageBreakBefore w:val="0"/>
        <w:kinsoku/>
        <w:overflowPunct/>
        <w:topLinePunct w:val="0"/>
        <w:autoSpaceDE/>
        <w:autoSpaceDN/>
        <w:bidi w:val="0"/>
        <w:snapToGrid w:val="0"/>
        <w:spacing w:line="312"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我司承诺：</w:t>
      </w:r>
    </w:p>
    <w:p w14:paraId="43AC5E14">
      <w:pPr>
        <w:keepNext w:val="0"/>
        <w:keepLines w:val="0"/>
        <w:pageBreakBefore w:val="0"/>
        <w:numPr>
          <w:ilvl w:val="0"/>
          <w:numId w:val="9"/>
        </w:numPr>
        <w:kinsoku/>
        <w:overflowPunct/>
        <w:topLinePunct w:val="0"/>
        <w:autoSpaceDE/>
        <w:autoSpaceDN/>
        <w:bidi w:val="0"/>
        <w:snapToGrid w:val="0"/>
        <w:spacing w:line="312"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涉及木质类板材产品甲醛释放量≤0.025mg/m³；挥发性有机化合物中，苯、甲苯、二甲苯的检测结果未检测出；总挥发性有机化合物（TVOC）≤10 ug/m³</w:t>
      </w:r>
      <w:r>
        <w:rPr>
          <w:rFonts w:hint="eastAsia" w:ascii="仿宋_GB2312" w:hAnsi="仿宋_GB2312" w:eastAsia="仿宋_GB2312" w:cs="仿宋_GB2312"/>
          <w:color w:val="auto"/>
          <w:sz w:val="21"/>
          <w:szCs w:val="21"/>
          <w:highlight w:val="none"/>
          <w:lang w:eastAsia="zh-CN"/>
        </w:rPr>
        <w:t>；</w:t>
      </w:r>
    </w:p>
    <w:p w14:paraId="5094637E">
      <w:pPr>
        <w:keepNext w:val="0"/>
        <w:keepLines w:val="0"/>
        <w:pageBreakBefore w:val="0"/>
        <w:numPr>
          <w:ilvl w:val="0"/>
          <w:numId w:val="9"/>
        </w:numPr>
        <w:kinsoku/>
        <w:overflowPunct/>
        <w:topLinePunct w:val="0"/>
        <w:autoSpaceDE/>
        <w:autoSpaceDN/>
        <w:bidi w:val="0"/>
        <w:snapToGrid w:val="0"/>
        <w:spacing w:line="312" w:lineRule="auto"/>
        <w:ind w:left="0" w:leftChars="0" w:firstLine="420"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涉及油漆工艺产品：油漆甲醛含量≤10mg/kg，挥发性有机化合物VOC含量≤10g/L（HJ 2537-2014）</w:t>
      </w:r>
      <w:r>
        <w:rPr>
          <w:rFonts w:hint="eastAsia" w:ascii="仿宋_GB2312" w:hAnsi="仿宋_GB2312" w:eastAsia="仿宋_GB2312" w:cs="仿宋_GB2312"/>
          <w:color w:val="auto"/>
          <w:sz w:val="21"/>
          <w:szCs w:val="21"/>
          <w:highlight w:val="none"/>
          <w:lang w:eastAsia="zh-CN"/>
        </w:rPr>
        <w:t>；</w:t>
      </w:r>
    </w:p>
    <w:p w14:paraId="0E62B635">
      <w:pPr>
        <w:keepNext w:val="0"/>
        <w:keepLines w:val="0"/>
        <w:pageBreakBefore w:val="0"/>
        <w:numPr>
          <w:ilvl w:val="0"/>
          <w:numId w:val="9"/>
        </w:numPr>
        <w:kinsoku/>
        <w:overflowPunct/>
        <w:topLinePunct w:val="0"/>
        <w:autoSpaceDE/>
        <w:autoSpaceDN/>
        <w:bidi w:val="0"/>
        <w:snapToGrid w:val="0"/>
        <w:spacing w:line="312" w:lineRule="auto"/>
        <w:ind w:left="0" w:leftChars="0" w:firstLine="420"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涉及的</w:t>
      </w:r>
      <w:r>
        <w:rPr>
          <w:rFonts w:hint="eastAsia" w:ascii="仿宋_GB2312" w:hAnsi="仿宋_GB2312" w:eastAsia="仿宋_GB2312" w:cs="仿宋_GB2312"/>
          <w:color w:val="auto"/>
          <w:sz w:val="21"/>
          <w:szCs w:val="21"/>
          <w:highlight w:val="none"/>
        </w:rPr>
        <w:t>基材：喷粉中纤板，符合GB/T11718-2021《中密度纤维板》、GB/T39600-2021</w:t>
      </w:r>
      <w:r>
        <w:rPr>
          <w:rFonts w:hint="eastAsia" w:ascii="仿宋_GB2312" w:hAnsi="仿宋_GB2312" w:eastAsia="仿宋_GB2312" w:cs="仿宋_GB2312"/>
          <w:color w:val="auto"/>
          <w:sz w:val="21"/>
          <w:szCs w:val="21"/>
          <w:highlight w:val="none"/>
          <w:lang w:eastAsia="zh-CN"/>
        </w:rPr>
        <w:t>《人造板及其制品甲醛释放量分级》、QB/T4371-2012《家具抗菌性能的评价》、QB 8624-2012《建筑材料及制品燃烧性能分别》检测标准，</w:t>
      </w:r>
      <w:r>
        <w:rPr>
          <w:rFonts w:hint="eastAsia" w:ascii="仿宋_GB2312" w:hAnsi="仿宋_GB2312" w:eastAsia="仿宋_GB2312" w:cs="仿宋_GB2312"/>
          <w:color w:val="auto"/>
          <w:sz w:val="21"/>
          <w:szCs w:val="21"/>
          <w:highlight w:val="none"/>
        </w:rPr>
        <w:t>醛释放量≤0.025mg/m³</w:t>
      </w:r>
      <w:r>
        <w:rPr>
          <w:rFonts w:hint="eastAsia" w:ascii="仿宋_GB2312" w:hAnsi="仿宋_GB2312" w:eastAsia="仿宋_GB2312" w:cs="仿宋_GB2312"/>
          <w:color w:val="auto"/>
          <w:sz w:val="21"/>
          <w:szCs w:val="21"/>
          <w:highlight w:val="none"/>
          <w:lang w:eastAsia="zh-CN"/>
        </w:rPr>
        <w:t>；</w:t>
      </w:r>
    </w:p>
    <w:p w14:paraId="6DC69390">
      <w:pPr>
        <w:keepNext w:val="0"/>
        <w:keepLines w:val="0"/>
        <w:pageBreakBefore w:val="0"/>
        <w:numPr>
          <w:ilvl w:val="0"/>
          <w:numId w:val="9"/>
        </w:numPr>
        <w:kinsoku/>
        <w:overflowPunct/>
        <w:topLinePunct w:val="0"/>
        <w:autoSpaceDE/>
        <w:autoSpaceDN/>
        <w:bidi w:val="0"/>
        <w:snapToGrid w:val="0"/>
        <w:spacing w:line="312" w:lineRule="auto"/>
        <w:ind w:left="0" w:leftChars="0" w:firstLine="420"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涉及的饰面与封边：甲醛释放量未检出；</w:t>
      </w:r>
    </w:p>
    <w:p w14:paraId="47EAEA4D">
      <w:pPr>
        <w:keepNext w:val="0"/>
        <w:keepLines w:val="0"/>
        <w:pageBreakBefore w:val="0"/>
        <w:numPr>
          <w:ilvl w:val="0"/>
          <w:numId w:val="9"/>
        </w:numPr>
        <w:kinsoku/>
        <w:overflowPunct/>
        <w:topLinePunct w:val="0"/>
        <w:autoSpaceDE/>
        <w:autoSpaceDN/>
        <w:bidi w:val="0"/>
        <w:snapToGrid w:val="0"/>
        <w:spacing w:line="312" w:lineRule="auto"/>
        <w:ind w:left="0" w:leftChars="0" w:firstLine="420"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涉及的PU皮：抗菌性能（大肠杆菌、金黄色葡萄球菌、肺炎克雷伯氏菌、白色念珠菌）达到24h试验后抗菌率＞99.99%；</w:t>
      </w:r>
    </w:p>
    <w:p w14:paraId="691B2A01">
      <w:pPr>
        <w:keepNext w:val="0"/>
        <w:keepLines w:val="0"/>
        <w:pageBreakBefore w:val="0"/>
        <w:numPr>
          <w:ilvl w:val="0"/>
          <w:numId w:val="9"/>
        </w:numPr>
        <w:kinsoku/>
        <w:overflowPunct/>
        <w:topLinePunct w:val="0"/>
        <w:autoSpaceDE/>
        <w:autoSpaceDN/>
        <w:bidi w:val="0"/>
        <w:snapToGrid w:val="0"/>
        <w:spacing w:line="312" w:lineRule="auto"/>
        <w:ind w:left="0" w:leftChars="0" w:firstLine="420"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涉及的海绵：密度≥30kg/m³（QB/T 2080-2018）；采用高回弹软质聚氨酯泡沫塑料，使用二氧化碳作为发泡剂。</w:t>
      </w:r>
    </w:p>
    <w:p w14:paraId="0F1FD916">
      <w:pPr>
        <w:keepNext w:val="0"/>
        <w:keepLines w:val="0"/>
        <w:pageBreakBefore w:val="0"/>
        <w:numPr>
          <w:ilvl w:val="0"/>
          <w:numId w:val="9"/>
        </w:numPr>
        <w:kinsoku/>
        <w:overflowPunct/>
        <w:topLinePunct w:val="0"/>
        <w:autoSpaceDE/>
        <w:autoSpaceDN/>
        <w:bidi w:val="0"/>
        <w:snapToGrid w:val="0"/>
        <w:spacing w:line="312" w:lineRule="auto"/>
        <w:ind w:left="0" w:leftChars="0"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eastAsia="zh-CN"/>
        </w:rPr>
        <w:t>涉及的钢板：</w:t>
      </w:r>
      <w:r>
        <w:rPr>
          <w:rFonts w:hint="eastAsia" w:ascii="仿宋_GB2312" w:hAnsi="仿宋_GB2312" w:eastAsia="仿宋_GB2312" w:cs="仿宋_GB2312"/>
          <w:color w:val="auto"/>
          <w:sz w:val="21"/>
          <w:szCs w:val="21"/>
          <w:highlight w:val="none"/>
        </w:rPr>
        <w:t>抗菌性</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对金黄色葡萄球菌抗菌率达到99%，对大肠杆菌抗菌率达到99%；对金黄色葡萄球菌及大肠杆菌具有较好的抗菌效果。</w:t>
      </w:r>
    </w:p>
    <w:p w14:paraId="69250324">
      <w:pPr>
        <w:keepNext w:val="0"/>
        <w:keepLines w:val="0"/>
        <w:pageBreakBefore w:val="0"/>
        <w:kinsoku/>
        <w:overflowPunct/>
        <w:topLinePunct w:val="0"/>
        <w:autoSpaceDE/>
        <w:autoSpaceDN/>
        <w:bidi w:val="0"/>
        <w:snapToGrid w:val="0"/>
        <w:spacing w:line="312" w:lineRule="auto"/>
        <w:ind w:firstLine="420"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8</w:t>
      </w:r>
      <w:r>
        <w:rPr>
          <w:rFonts w:hint="eastAsia" w:ascii="仿宋_GB2312" w:hAnsi="仿宋_GB2312" w:eastAsia="仿宋_GB2312" w:cs="仿宋_GB2312"/>
          <w:color w:val="auto"/>
          <w:sz w:val="21"/>
          <w:szCs w:val="21"/>
          <w:highlight w:val="none"/>
          <w:lang w:eastAsia="zh-CN"/>
        </w:rPr>
        <w:t>）涉及的钢板等</w:t>
      </w:r>
      <w:r>
        <w:rPr>
          <w:rFonts w:hint="eastAsia" w:ascii="仿宋_GB2312" w:hAnsi="仿宋_GB2312" w:eastAsia="仿宋_GB2312" w:cs="仿宋_GB2312"/>
          <w:color w:val="auto"/>
          <w:sz w:val="21"/>
          <w:szCs w:val="21"/>
          <w:highlight w:val="none"/>
        </w:rPr>
        <w:t>电镀金属</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金属喷涂层硬度≥2H(GB/T 3325-2017)；重金属含量(mg/kg):可溶性铅≤90，可溶性镉≤50，可溶性铬≤25，可溶性汞≤25(GB 18584-2001）</w:t>
      </w:r>
      <w:r>
        <w:rPr>
          <w:rFonts w:hint="eastAsia" w:ascii="仿宋_GB2312" w:hAnsi="仿宋_GB2312" w:eastAsia="仿宋_GB2312" w:cs="仿宋_GB2312"/>
          <w:color w:val="auto"/>
          <w:sz w:val="21"/>
          <w:szCs w:val="21"/>
          <w:highlight w:val="none"/>
          <w:lang w:eastAsia="zh-CN"/>
        </w:rPr>
        <w:t>；</w:t>
      </w:r>
    </w:p>
    <w:p w14:paraId="7F2BAB39">
      <w:pPr>
        <w:keepNext w:val="0"/>
        <w:keepLines w:val="0"/>
        <w:pageBreakBefore w:val="0"/>
        <w:kinsoku/>
        <w:overflowPunct/>
        <w:topLinePunct w:val="0"/>
        <w:autoSpaceDE/>
        <w:autoSpaceDN/>
        <w:bidi w:val="0"/>
        <w:snapToGrid w:val="0"/>
        <w:spacing w:line="312"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9</w:t>
      </w:r>
      <w:r>
        <w:rPr>
          <w:rFonts w:hint="eastAsia" w:ascii="仿宋_GB2312" w:hAnsi="仿宋_GB2312" w:eastAsia="仿宋_GB2312" w:cs="仿宋_GB2312"/>
          <w:color w:val="auto"/>
          <w:sz w:val="21"/>
          <w:szCs w:val="21"/>
          <w:highlight w:val="none"/>
          <w:lang w:eastAsia="zh-CN"/>
        </w:rPr>
        <w:t>）涉及的金属家具</w:t>
      </w:r>
      <w:r>
        <w:rPr>
          <w:rFonts w:hint="eastAsia" w:ascii="仿宋_GB2312" w:hAnsi="仿宋_GB2312" w:eastAsia="仿宋_GB2312" w:cs="仿宋_GB2312"/>
          <w:color w:val="auto"/>
          <w:sz w:val="21"/>
          <w:szCs w:val="21"/>
          <w:highlight w:val="none"/>
        </w:rPr>
        <w:t>成品：各项技术指标符合GB/T 3325-2017《金属家具通用技术条件》规定的要求，其中甲醛释放量≤0.124mg/m³，表面涂层铬含量≤25mg/kg，镉含量≤50mg/kg，铅含量≤90mg/kg。</w:t>
      </w:r>
    </w:p>
    <w:p w14:paraId="1F8F7C31">
      <w:pPr>
        <w:keepNext w:val="0"/>
        <w:keepLines w:val="0"/>
        <w:pageBreakBefore w:val="0"/>
        <w:kinsoku/>
        <w:overflowPunct/>
        <w:topLinePunct w:val="0"/>
        <w:autoSpaceDE/>
        <w:autoSpaceDN/>
        <w:bidi w:val="0"/>
        <w:snapToGrid w:val="0"/>
        <w:spacing w:line="312" w:lineRule="auto"/>
        <w:ind w:firstLine="420"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10</w:t>
      </w:r>
      <w:r>
        <w:rPr>
          <w:rFonts w:hint="eastAsia" w:ascii="仿宋_GB2312" w:hAnsi="仿宋_GB2312" w:eastAsia="仿宋_GB2312" w:cs="仿宋_GB2312"/>
          <w:color w:val="auto"/>
          <w:sz w:val="21"/>
          <w:szCs w:val="21"/>
          <w:highlight w:val="none"/>
          <w:lang w:eastAsia="zh-CN"/>
        </w:rPr>
        <w:t>）涉及的窗帘：</w:t>
      </w:r>
      <w:r>
        <w:rPr>
          <w:rFonts w:hint="eastAsia" w:ascii="仿宋_GB2312" w:hAnsi="仿宋_GB2312" w:eastAsia="仿宋_GB2312" w:cs="仿宋_GB2312"/>
          <w:color w:val="auto"/>
          <w:sz w:val="21"/>
          <w:szCs w:val="21"/>
          <w:highlight w:val="none"/>
        </w:rPr>
        <w:t xml:space="preserve">甲醛含量：≤300 mg/kg； </w:t>
      </w:r>
    </w:p>
    <w:p w14:paraId="40C1E880">
      <w:pPr>
        <w:keepNext w:val="0"/>
        <w:keepLines w:val="0"/>
        <w:pageBreakBefore w:val="0"/>
        <w:kinsoku/>
        <w:overflowPunct/>
        <w:topLinePunct w:val="0"/>
        <w:autoSpaceDE/>
        <w:autoSpaceDN/>
        <w:bidi w:val="0"/>
        <w:snapToGrid w:val="0"/>
        <w:spacing w:line="312"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并承诺在项目合同签订后15天内，且材料货物供货前至少提前15天向采购人提供相关检测报告及证明文件。</w:t>
      </w:r>
    </w:p>
    <w:p w14:paraId="388783D5">
      <w:pPr>
        <w:keepNext w:val="0"/>
        <w:keepLines w:val="0"/>
        <w:pageBreakBefore w:val="0"/>
        <w:kinsoku/>
        <w:overflowPunct/>
        <w:topLinePunct w:val="0"/>
        <w:autoSpaceDE/>
        <w:autoSpaceDN/>
        <w:bidi w:val="0"/>
        <w:snapToGrid w:val="0"/>
        <w:spacing w:line="312"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采购人对我司所投产品及材料设备参数有异议的，有权委托第三方检测机构进行检测，检测费用由我司承担，此费用已包含在投标报价中。检测结果如与承诺中内容不符，我司承担由此发生的一切损失和费用，并承担相应的法律责任。</w:t>
      </w:r>
    </w:p>
    <w:p w14:paraId="4FC869CC">
      <w:pPr>
        <w:pStyle w:val="3"/>
        <w:keepNext w:val="0"/>
        <w:keepLines w:val="0"/>
        <w:pageBreakBefore w:val="0"/>
        <w:kinsoku/>
        <w:overflowPunct/>
        <w:topLinePunct w:val="0"/>
        <w:autoSpaceDE/>
        <w:autoSpaceDN/>
        <w:bidi w:val="0"/>
        <w:snapToGrid w:val="0"/>
        <w:spacing w:line="312" w:lineRule="auto"/>
        <w:ind w:left="0"/>
        <w:rPr>
          <w:rFonts w:hint="eastAsia" w:ascii="仿宋_GB2312" w:hAnsi="仿宋_GB2312" w:eastAsia="仿宋_GB2312" w:cs="仿宋_GB2312"/>
          <w:color w:val="auto"/>
          <w:sz w:val="21"/>
          <w:szCs w:val="21"/>
          <w:highlight w:val="none"/>
        </w:rPr>
      </w:pPr>
    </w:p>
    <w:p w14:paraId="44BDF12B">
      <w:pPr>
        <w:pStyle w:val="3"/>
        <w:keepNext w:val="0"/>
        <w:keepLines w:val="0"/>
        <w:pageBreakBefore w:val="0"/>
        <w:kinsoku/>
        <w:overflowPunct/>
        <w:topLinePunct w:val="0"/>
        <w:autoSpaceDE/>
        <w:autoSpaceDN/>
        <w:bidi w:val="0"/>
        <w:snapToGrid w:val="0"/>
        <w:spacing w:line="312" w:lineRule="auto"/>
        <w:ind w:left="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投标人：（</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sz w:val="21"/>
          <w:szCs w:val="21"/>
          <w:highlight w:val="none"/>
        </w:rPr>
        <w:t>）</w:t>
      </w:r>
    </w:p>
    <w:p w14:paraId="0BB7EA1F">
      <w:pPr>
        <w:pStyle w:val="3"/>
        <w:keepNext w:val="0"/>
        <w:keepLines w:val="0"/>
        <w:pageBreakBefore w:val="0"/>
        <w:kinsoku/>
        <w:overflowPunct/>
        <w:topLinePunct w:val="0"/>
        <w:autoSpaceDE/>
        <w:autoSpaceDN/>
        <w:bidi w:val="0"/>
        <w:snapToGrid w:val="0"/>
        <w:spacing w:line="312" w:lineRule="auto"/>
        <w:ind w:left="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 xml:space="preserve">法定代表人：（签字或盖章 ） </w:t>
      </w:r>
    </w:p>
    <w:p w14:paraId="110437FD">
      <w:pPr>
        <w:pStyle w:val="3"/>
        <w:keepNext w:val="0"/>
        <w:keepLines w:val="0"/>
        <w:pageBreakBefore w:val="0"/>
        <w:kinsoku/>
        <w:overflowPunct/>
        <w:topLinePunct w:val="0"/>
        <w:autoSpaceDE/>
        <w:autoSpaceDN/>
        <w:bidi w:val="0"/>
        <w:snapToGrid w:val="0"/>
        <w:spacing w:line="312" w:lineRule="auto"/>
        <w:ind w:left="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日  期：    年    月    日</w:t>
      </w:r>
    </w:p>
    <w:p w14:paraId="241E27A6">
      <w:pPr>
        <w:pStyle w:val="2"/>
        <w:rPr>
          <w:rFonts w:hint="eastAsia" w:ascii="仿宋_GB2312" w:hAnsi="仿宋_GB2312" w:eastAsia="仿宋_GB2312" w:cs="仿宋_GB2312"/>
          <w:color w:val="auto"/>
          <w:highlight w:val="none"/>
        </w:rPr>
      </w:pPr>
    </w:p>
    <w:p w14:paraId="3AAA7BF9">
      <w:pPr>
        <w:spacing w:line="360" w:lineRule="auto"/>
        <w:jc w:val="center"/>
        <w:rPr>
          <w:rFonts w:hint="eastAsia" w:ascii="仿宋_GB2312" w:hAnsi="仿宋_GB2312" w:eastAsia="仿宋_GB2312" w:cs="仿宋_GB2312"/>
          <w:b/>
          <w:bCs/>
          <w:color w:val="auto"/>
          <w:sz w:val="24"/>
        </w:rPr>
      </w:pPr>
    </w:p>
    <w:p w14:paraId="0C07095D">
      <w:pPr>
        <w:spacing w:line="360" w:lineRule="auto"/>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w:t>
      </w:r>
      <w:r>
        <w:rPr>
          <w:rFonts w:hint="eastAsia" w:ascii="仿宋_GB2312" w:hAnsi="仿宋_GB2312" w:eastAsia="仿宋_GB2312" w:cs="仿宋_GB2312"/>
          <w:b/>
          <w:bCs/>
          <w:color w:val="auto"/>
          <w:sz w:val="32"/>
          <w:szCs w:val="32"/>
          <w:lang w:eastAsia="zh-CN"/>
        </w:rPr>
        <w:t>九</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14:paraId="20C309F5">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6B385C1D">
      <w:pPr>
        <w:spacing w:line="360" w:lineRule="auto"/>
        <w:rPr>
          <w:rFonts w:hint="eastAsia" w:ascii="仿宋_GB2312" w:hAnsi="仿宋_GB2312" w:eastAsia="仿宋_GB2312" w:cs="仿宋_GB2312"/>
          <w:color w:val="auto"/>
          <w:sz w:val="24"/>
        </w:rPr>
      </w:pPr>
    </w:p>
    <w:p w14:paraId="42935586">
      <w:pPr>
        <w:pStyle w:val="2"/>
        <w:rPr>
          <w:rFonts w:hint="eastAsia" w:ascii="仿宋_GB2312" w:hAnsi="仿宋_GB2312" w:eastAsia="仿宋_GB2312" w:cs="仿宋_GB2312"/>
          <w:color w:val="auto"/>
        </w:rPr>
      </w:pPr>
    </w:p>
    <w:p w14:paraId="3F0C0712">
      <w:pPr>
        <w:spacing w:line="336" w:lineRule="auto"/>
        <w:ind w:firstLine="3600" w:firstLineChars="15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投标人名称（电子签名）：                          </w:t>
      </w:r>
    </w:p>
    <w:p w14:paraId="7592C73C">
      <w:pPr>
        <w:spacing w:line="336"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31D39AE6">
      <w:pPr>
        <w:pStyle w:val="3"/>
        <w:rPr>
          <w:rFonts w:hint="eastAsia" w:ascii="仿宋_GB2312" w:hAnsi="仿宋_GB2312" w:eastAsia="仿宋_GB2312" w:cs="仿宋_GB2312"/>
          <w:color w:val="auto"/>
        </w:rPr>
        <w:sectPr>
          <w:footerReference r:id="rId8" w:type="first"/>
          <w:headerReference r:id="rId6" w:type="default"/>
          <w:footerReference r:id="rId7" w:type="default"/>
          <w:pgSz w:w="11905" w:h="16838"/>
          <w:pgMar w:top="1814" w:right="1474" w:bottom="1814" w:left="1474" w:header="851" w:footer="850" w:gutter="0"/>
          <w:cols w:space="0" w:num="1"/>
          <w:titlePg/>
          <w:rtlGutter w:val="0"/>
          <w:docGrid w:linePitch="312" w:charSpace="0"/>
        </w:sectPr>
      </w:pPr>
    </w:p>
    <w:p w14:paraId="38536DD7">
      <w:pPr>
        <w:spacing w:line="360" w:lineRule="auto"/>
        <w:jc w:val="center"/>
        <w:outlineLvl w:val="0"/>
        <w:rPr>
          <w:rFonts w:hint="eastAsia"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报价文件部分</w:t>
      </w:r>
    </w:p>
    <w:p w14:paraId="61E514D1">
      <w:pPr>
        <w:spacing w:line="360" w:lineRule="auto"/>
        <w:jc w:val="center"/>
        <w:outlineLvl w:val="0"/>
        <w:rPr>
          <w:rFonts w:hint="eastAsia"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14:paraId="23209C8E">
      <w:pPr>
        <w:spacing w:line="360" w:lineRule="auto"/>
        <w:jc w:val="center"/>
        <w:outlineLvl w:val="0"/>
        <w:rPr>
          <w:rFonts w:hint="eastAsia" w:ascii="仿宋_GB2312" w:hAnsi="仿宋_GB2312" w:eastAsia="仿宋_GB2312" w:cs="仿宋_GB2312"/>
          <w:b/>
          <w:color w:val="auto"/>
          <w:kern w:val="0"/>
          <w:sz w:val="36"/>
          <w:szCs w:val="36"/>
        </w:rPr>
      </w:pPr>
    </w:p>
    <w:p w14:paraId="09613DEF">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（1）开标一览表（报价表）………………………………………………………（页码）</w:t>
      </w:r>
    </w:p>
    <w:p w14:paraId="6F0D2462">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（2）中小企业声明函………………………………………………………………（页码）</w:t>
      </w:r>
    </w:p>
    <w:p w14:paraId="46DBECAF">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（3）残疾人福利性单位声明函……………………………………………………（页码）</w:t>
      </w:r>
    </w:p>
    <w:p w14:paraId="524B8603">
      <w:pPr>
        <w:snapToGrid w:val="0"/>
        <w:spacing w:line="360" w:lineRule="auto"/>
        <w:ind w:right="480"/>
        <w:jc w:val="center"/>
        <w:rPr>
          <w:rFonts w:hint="eastAsia" w:ascii="仿宋_GB2312" w:hAnsi="仿宋_GB2312" w:eastAsia="仿宋_GB2312" w:cs="仿宋_GB2312"/>
          <w:b/>
          <w:color w:val="auto"/>
          <w:kern w:val="0"/>
          <w:sz w:val="32"/>
          <w:szCs w:val="32"/>
        </w:rPr>
      </w:pPr>
    </w:p>
    <w:p w14:paraId="48D6F2DC">
      <w:pPr>
        <w:snapToGrid w:val="0"/>
        <w:spacing w:line="360" w:lineRule="auto"/>
        <w:ind w:right="480"/>
        <w:jc w:val="center"/>
        <w:rPr>
          <w:rFonts w:hint="eastAsia" w:ascii="仿宋_GB2312" w:hAnsi="仿宋_GB2312" w:eastAsia="仿宋_GB2312" w:cs="仿宋_GB2312"/>
          <w:b/>
          <w:color w:val="auto"/>
          <w:kern w:val="0"/>
          <w:sz w:val="32"/>
          <w:szCs w:val="32"/>
        </w:rPr>
      </w:pPr>
    </w:p>
    <w:p w14:paraId="26E4910B">
      <w:pPr>
        <w:snapToGrid w:val="0"/>
        <w:spacing w:line="360" w:lineRule="auto"/>
        <w:ind w:right="480"/>
        <w:jc w:val="center"/>
        <w:rPr>
          <w:rFonts w:hint="eastAsia" w:ascii="仿宋_GB2312" w:hAnsi="仿宋_GB2312" w:eastAsia="仿宋_GB2312" w:cs="仿宋_GB2312"/>
          <w:b/>
          <w:color w:val="auto"/>
          <w:kern w:val="0"/>
          <w:sz w:val="32"/>
          <w:szCs w:val="32"/>
        </w:rPr>
      </w:pPr>
    </w:p>
    <w:p w14:paraId="372BB74C">
      <w:pPr>
        <w:snapToGrid w:val="0"/>
        <w:spacing w:line="360" w:lineRule="auto"/>
        <w:ind w:right="480"/>
        <w:jc w:val="center"/>
        <w:rPr>
          <w:rFonts w:hint="eastAsia" w:ascii="仿宋_GB2312" w:hAnsi="仿宋_GB2312" w:eastAsia="仿宋_GB2312" w:cs="仿宋_GB2312"/>
          <w:b/>
          <w:color w:val="auto"/>
          <w:kern w:val="0"/>
          <w:sz w:val="32"/>
          <w:szCs w:val="32"/>
        </w:rPr>
      </w:pPr>
    </w:p>
    <w:p w14:paraId="03818247">
      <w:pPr>
        <w:snapToGrid w:val="0"/>
        <w:spacing w:line="360" w:lineRule="auto"/>
        <w:ind w:right="480"/>
        <w:jc w:val="center"/>
        <w:rPr>
          <w:rFonts w:hint="eastAsia" w:ascii="仿宋_GB2312" w:hAnsi="仿宋_GB2312" w:eastAsia="仿宋_GB2312" w:cs="仿宋_GB2312"/>
          <w:b/>
          <w:color w:val="auto"/>
          <w:kern w:val="0"/>
          <w:sz w:val="32"/>
          <w:szCs w:val="32"/>
        </w:rPr>
      </w:pPr>
    </w:p>
    <w:p w14:paraId="506B462B">
      <w:pPr>
        <w:snapToGrid w:val="0"/>
        <w:spacing w:line="360" w:lineRule="auto"/>
        <w:ind w:right="480"/>
        <w:jc w:val="center"/>
        <w:rPr>
          <w:rFonts w:hint="eastAsia" w:ascii="仿宋_GB2312" w:hAnsi="仿宋_GB2312" w:eastAsia="仿宋_GB2312" w:cs="仿宋_GB2312"/>
          <w:b/>
          <w:color w:val="auto"/>
          <w:kern w:val="0"/>
          <w:sz w:val="32"/>
          <w:szCs w:val="32"/>
        </w:rPr>
      </w:pPr>
    </w:p>
    <w:p w14:paraId="0F25B4D1">
      <w:pPr>
        <w:snapToGrid w:val="0"/>
        <w:spacing w:line="360" w:lineRule="auto"/>
        <w:ind w:right="480"/>
        <w:jc w:val="center"/>
        <w:rPr>
          <w:rFonts w:hint="eastAsia" w:ascii="仿宋_GB2312" w:hAnsi="仿宋_GB2312" w:eastAsia="仿宋_GB2312" w:cs="仿宋_GB2312"/>
          <w:b/>
          <w:color w:val="auto"/>
          <w:kern w:val="0"/>
          <w:sz w:val="32"/>
          <w:szCs w:val="32"/>
        </w:rPr>
      </w:pPr>
    </w:p>
    <w:p w14:paraId="0248236D">
      <w:pPr>
        <w:snapToGrid w:val="0"/>
        <w:spacing w:line="360" w:lineRule="auto"/>
        <w:ind w:right="480"/>
        <w:jc w:val="center"/>
        <w:rPr>
          <w:rFonts w:hint="eastAsia" w:ascii="仿宋_GB2312" w:hAnsi="仿宋_GB2312" w:eastAsia="仿宋_GB2312" w:cs="仿宋_GB2312"/>
          <w:b/>
          <w:color w:val="auto"/>
          <w:kern w:val="0"/>
          <w:sz w:val="32"/>
          <w:szCs w:val="32"/>
        </w:rPr>
      </w:pPr>
    </w:p>
    <w:p w14:paraId="3E3BD301">
      <w:pPr>
        <w:snapToGrid w:val="0"/>
        <w:spacing w:line="360" w:lineRule="auto"/>
        <w:ind w:right="480"/>
        <w:jc w:val="center"/>
        <w:rPr>
          <w:rFonts w:hint="eastAsia" w:ascii="仿宋_GB2312" w:hAnsi="仿宋_GB2312" w:eastAsia="仿宋_GB2312" w:cs="仿宋_GB2312"/>
          <w:b/>
          <w:color w:val="auto"/>
          <w:kern w:val="0"/>
          <w:sz w:val="32"/>
          <w:szCs w:val="32"/>
        </w:rPr>
      </w:pPr>
    </w:p>
    <w:p w14:paraId="05F6EFD3">
      <w:pPr>
        <w:snapToGrid w:val="0"/>
        <w:spacing w:line="360" w:lineRule="auto"/>
        <w:ind w:right="480"/>
        <w:jc w:val="center"/>
        <w:rPr>
          <w:rFonts w:hint="eastAsia" w:ascii="仿宋_GB2312" w:hAnsi="仿宋_GB2312" w:eastAsia="仿宋_GB2312" w:cs="仿宋_GB2312"/>
          <w:b/>
          <w:color w:val="auto"/>
          <w:kern w:val="0"/>
          <w:sz w:val="32"/>
          <w:szCs w:val="32"/>
        </w:rPr>
      </w:pPr>
    </w:p>
    <w:p w14:paraId="1A5185AA">
      <w:pPr>
        <w:snapToGrid w:val="0"/>
        <w:spacing w:line="360" w:lineRule="auto"/>
        <w:ind w:right="480"/>
        <w:jc w:val="center"/>
        <w:rPr>
          <w:rFonts w:hint="eastAsia" w:ascii="仿宋_GB2312" w:hAnsi="仿宋_GB2312" w:eastAsia="仿宋_GB2312" w:cs="仿宋_GB2312"/>
          <w:b/>
          <w:color w:val="auto"/>
          <w:kern w:val="0"/>
          <w:sz w:val="32"/>
          <w:szCs w:val="32"/>
        </w:rPr>
      </w:pPr>
    </w:p>
    <w:p w14:paraId="5CE12B92">
      <w:pPr>
        <w:snapToGrid w:val="0"/>
        <w:spacing w:line="360" w:lineRule="auto"/>
        <w:ind w:right="480"/>
        <w:jc w:val="center"/>
        <w:rPr>
          <w:rFonts w:hint="eastAsia" w:ascii="仿宋_GB2312" w:hAnsi="仿宋_GB2312" w:eastAsia="仿宋_GB2312" w:cs="仿宋_GB2312"/>
          <w:b/>
          <w:color w:val="auto"/>
          <w:kern w:val="0"/>
          <w:sz w:val="32"/>
          <w:szCs w:val="32"/>
        </w:rPr>
      </w:pPr>
    </w:p>
    <w:p w14:paraId="371190F6">
      <w:pPr>
        <w:snapToGrid w:val="0"/>
        <w:spacing w:line="360" w:lineRule="auto"/>
        <w:ind w:right="480"/>
        <w:rPr>
          <w:rFonts w:hint="eastAsia" w:ascii="仿宋_GB2312" w:hAnsi="仿宋_GB2312" w:eastAsia="仿宋_GB2312" w:cs="仿宋_GB2312"/>
          <w:b/>
          <w:color w:val="auto"/>
          <w:kern w:val="0"/>
          <w:sz w:val="32"/>
          <w:szCs w:val="32"/>
        </w:rPr>
      </w:pPr>
    </w:p>
    <w:p w14:paraId="1AF98651">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color w:val="auto"/>
          <w:kern w:val="2"/>
          <w:sz w:val="32"/>
          <w:szCs w:val="32"/>
        </w:rPr>
        <w:sectPr>
          <w:footerReference r:id="rId10" w:type="first"/>
          <w:footerReference r:id="rId9" w:type="default"/>
          <w:pgSz w:w="11905" w:h="16838"/>
          <w:pgMar w:top="1814" w:right="1474" w:bottom="1814" w:left="1474" w:header="851" w:footer="850" w:gutter="0"/>
          <w:cols w:space="0" w:num="1"/>
          <w:titlePg/>
          <w:rtlGutter w:val="0"/>
          <w:docGrid w:linePitch="312" w:charSpace="0"/>
        </w:sectPr>
      </w:pPr>
    </w:p>
    <w:p w14:paraId="53D75E1E">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一、开标一览表（报价表）</w:t>
      </w:r>
    </w:p>
    <w:p w14:paraId="427BFD26">
      <w:pPr>
        <w:snapToGrid w:val="0"/>
        <w:spacing w:line="360" w:lineRule="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（采购人）、（采购代理机构）</w:t>
      </w:r>
      <w:r>
        <w:rPr>
          <w:rFonts w:hint="eastAsia" w:ascii="仿宋_GB2312" w:hAnsi="仿宋_GB2312" w:eastAsia="仿宋_GB2312" w:cs="仿宋_GB2312"/>
          <w:color w:val="auto"/>
          <w:kern w:val="0"/>
          <w:sz w:val="24"/>
          <w:lang w:val="zh-CN"/>
        </w:rPr>
        <w:t>：</w:t>
      </w:r>
    </w:p>
    <w:p w14:paraId="56CFE630">
      <w:pPr>
        <w:spacing w:line="360" w:lineRule="auto"/>
        <w:ind w:firstLine="480" w:firstLineChars="200"/>
        <w:jc w:val="left"/>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项目（招标编号:</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）的实施</w:t>
      </w:r>
      <w:r>
        <w:rPr>
          <w:rFonts w:hint="eastAsia" w:ascii="仿宋_GB2312" w:hAnsi="仿宋_GB2312" w:eastAsia="仿宋_GB2312" w:cs="仿宋_GB2312"/>
          <w:color w:val="auto"/>
          <w:kern w:val="0"/>
          <w:sz w:val="24"/>
          <w:lang w:val="zh-CN"/>
        </w:rPr>
        <w:t>。</w:t>
      </w:r>
    </w:p>
    <w:p w14:paraId="7F666A87">
      <w:pPr>
        <w:spacing w:line="360" w:lineRule="auto"/>
        <w:jc w:val="center"/>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b/>
          <w:color w:val="auto"/>
          <w:kern w:val="0"/>
          <w:sz w:val="24"/>
          <w:lang w:val="zh-CN"/>
        </w:rPr>
        <w:t>开标一览表（报价表）(单位均为人民币元)</w:t>
      </w:r>
    </w:p>
    <w:tbl>
      <w:tblPr>
        <w:tblStyle w:val="6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73"/>
        <w:gridCol w:w="1142"/>
        <w:gridCol w:w="1947"/>
        <w:gridCol w:w="607"/>
        <w:gridCol w:w="964"/>
        <w:gridCol w:w="1230"/>
        <w:gridCol w:w="1949"/>
      </w:tblGrid>
      <w:tr w14:paraId="3D26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83" w:type="pct"/>
            <w:vAlign w:val="center"/>
          </w:tcPr>
          <w:p w14:paraId="088054C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486" w:type="pct"/>
            <w:vAlign w:val="center"/>
          </w:tcPr>
          <w:p w14:paraId="31B9FC0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名称</w:t>
            </w:r>
          </w:p>
        </w:tc>
        <w:tc>
          <w:tcPr>
            <w:tcW w:w="632" w:type="pct"/>
          </w:tcPr>
          <w:p w14:paraId="23702114">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b/>
                <w:color w:val="auto"/>
                <w:sz w:val="24"/>
              </w:rPr>
            </w:pPr>
          </w:p>
          <w:p w14:paraId="2CAC709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品牌（如果有）</w:t>
            </w:r>
          </w:p>
        </w:tc>
        <w:tc>
          <w:tcPr>
            <w:tcW w:w="1070" w:type="pct"/>
            <w:vAlign w:val="center"/>
          </w:tcPr>
          <w:p w14:paraId="7BBD544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规格型号</w:t>
            </w:r>
          </w:p>
        </w:tc>
        <w:tc>
          <w:tcPr>
            <w:tcW w:w="340" w:type="pct"/>
            <w:vAlign w:val="center"/>
          </w:tcPr>
          <w:p w14:paraId="246851A1">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535" w:type="pct"/>
            <w:vAlign w:val="center"/>
          </w:tcPr>
          <w:p w14:paraId="06F55EB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单价</w:t>
            </w:r>
          </w:p>
        </w:tc>
        <w:tc>
          <w:tcPr>
            <w:tcW w:w="680" w:type="pct"/>
            <w:vAlign w:val="center"/>
          </w:tcPr>
          <w:p w14:paraId="4D7A7C03">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合计</w:t>
            </w:r>
          </w:p>
        </w:tc>
        <w:tc>
          <w:tcPr>
            <w:tcW w:w="1070" w:type="pct"/>
            <w:vAlign w:val="center"/>
          </w:tcPr>
          <w:p w14:paraId="0377D365">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b/>
                <w:color w:val="auto"/>
                <w:sz w:val="24"/>
              </w:rPr>
            </w:pPr>
          </w:p>
          <w:p w14:paraId="739A0F6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备注（如果有）</w:t>
            </w:r>
          </w:p>
          <w:p w14:paraId="1F8EE891">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b/>
                <w:color w:val="auto"/>
                <w:sz w:val="24"/>
              </w:rPr>
            </w:pPr>
          </w:p>
        </w:tc>
      </w:tr>
      <w:tr w14:paraId="6CA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83" w:type="pct"/>
            <w:vAlign w:val="center"/>
          </w:tcPr>
          <w:p w14:paraId="4E55526B">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486" w:type="pct"/>
            <w:vAlign w:val="center"/>
          </w:tcPr>
          <w:p w14:paraId="16EA36E6">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XX</w:t>
            </w:r>
          </w:p>
        </w:tc>
        <w:tc>
          <w:tcPr>
            <w:tcW w:w="632" w:type="pct"/>
            <w:vAlign w:val="center"/>
          </w:tcPr>
          <w:p w14:paraId="0C07702F">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1651BD7B">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340" w:type="pct"/>
            <w:vAlign w:val="center"/>
          </w:tcPr>
          <w:p w14:paraId="487F0396">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535" w:type="pct"/>
            <w:vAlign w:val="center"/>
          </w:tcPr>
          <w:p w14:paraId="1C7A7A99">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680" w:type="pct"/>
            <w:vAlign w:val="center"/>
          </w:tcPr>
          <w:p w14:paraId="50E2BB2A">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18E51C16">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r>
      <w:tr w14:paraId="300A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6AC7DC66">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486" w:type="pct"/>
            <w:vAlign w:val="center"/>
          </w:tcPr>
          <w:p w14:paraId="669BBB8B">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XX</w:t>
            </w:r>
          </w:p>
        </w:tc>
        <w:tc>
          <w:tcPr>
            <w:tcW w:w="632" w:type="pct"/>
            <w:vAlign w:val="center"/>
          </w:tcPr>
          <w:p w14:paraId="6979371D">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5708601E">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340" w:type="pct"/>
            <w:vAlign w:val="center"/>
          </w:tcPr>
          <w:p w14:paraId="4A7C68A5">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535" w:type="pct"/>
            <w:vAlign w:val="center"/>
          </w:tcPr>
          <w:p w14:paraId="39A6E803">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680" w:type="pct"/>
            <w:vAlign w:val="center"/>
          </w:tcPr>
          <w:p w14:paraId="33E5577F">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5D1B0C26">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r>
      <w:tr w14:paraId="3384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429DF91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486" w:type="pct"/>
            <w:vAlign w:val="center"/>
          </w:tcPr>
          <w:p w14:paraId="04C7FA66">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632" w:type="pct"/>
            <w:vAlign w:val="center"/>
          </w:tcPr>
          <w:p w14:paraId="58E6A7F9">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32FC0038">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340" w:type="pct"/>
            <w:vAlign w:val="center"/>
          </w:tcPr>
          <w:p w14:paraId="32D361C3">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535" w:type="pct"/>
            <w:vAlign w:val="center"/>
          </w:tcPr>
          <w:p w14:paraId="3AC40C8A">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680" w:type="pct"/>
            <w:vAlign w:val="center"/>
          </w:tcPr>
          <w:p w14:paraId="2FFC14F5">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09528C28">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r>
      <w:tr w14:paraId="501F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31C43D3A">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486" w:type="pct"/>
            <w:vAlign w:val="center"/>
          </w:tcPr>
          <w:p w14:paraId="0647800C">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632" w:type="pct"/>
            <w:vAlign w:val="center"/>
          </w:tcPr>
          <w:p w14:paraId="09DC0EAC">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1B957085">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340" w:type="pct"/>
            <w:vAlign w:val="center"/>
          </w:tcPr>
          <w:p w14:paraId="091961A8">
            <w:pPr>
              <w:keepNext/>
              <w:keepLines/>
              <w:suppressLineNumbers w:val="0"/>
              <w:tabs>
                <w:tab w:val="left" w:pos="432"/>
              </w:tabs>
              <w:snapToGrid w:val="0"/>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535" w:type="pct"/>
            <w:vAlign w:val="center"/>
          </w:tcPr>
          <w:p w14:paraId="7827906D">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680" w:type="pct"/>
            <w:vAlign w:val="center"/>
          </w:tcPr>
          <w:p w14:paraId="0663DA2D">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c>
          <w:tcPr>
            <w:tcW w:w="1070" w:type="pct"/>
            <w:vAlign w:val="center"/>
          </w:tcPr>
          <w:p w14:paraId="6D9E6C8F">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r>
      <w:tr w14:paraId="428B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72" w:type="pct"/>
            <w:gridSpan w:val="4"/>
            <w:vAlign w:val="center"/>
          </w:tcPr>
          <w:p w14:paraId="292FEB27">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投标报价（小写）</w:t>
            </w:r>
          </w:p>
        </w:tc>
        <w:tc>
          <w:tcPr>
            <w:tcW w:w="2627" w:type="pct"/>
            <w:gridSpan w:val="4"/>
            <w:vAlign w:val="center"/>
          </w:tcPr>
          <w:p w14:paraId="5FF21089">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r>
      <w:tr w14:paraId="6DE2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372" w:type="pct"/>
            <w:gridSpan w:val="4"/>
            <w:vAlign w:val="center"/>
          </w:tcPr>
          <w:p w14:paraId="123074D7">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投标报价（大写）</w:t>
            </w:r>
          </w:p>
        </w:tc>
        <w:tc>
          <w:tcPr>
            <w:tcW w:w="2627" w:type="pct"/>
            <w:gridSpan w:val="4"/>
            <w:vAlign w:val="center"/>
          </w:tcPr>
          <w:p w14:paraId="6D98823F">
            <w:pPr>
              <w:keepNext/>
              <w:keepLines/>
              <w:suppressLineNumbers w:val="0"/>
              <w:tabs>
                <w:tab w:val="left" w:pos="432"/>
              </w:tabs>
              <w:spacing w:before="0" w:beforeAutospacing="0" w:after="0" w:afterAutospacing="0" w:line="360" w:lineRule="auto"/>
              <w:ind w:left="0" w:right="0" w:hanging="432"/>
              <w:jc w:val="center"/>
              <w:outlineLvl w:val="0"/>
              <w:rPr>
                <w:rFonts w:hint="eastAsia" w:ascii="仿宋_GB2312" w:hAnsi="仿宋_GB2312" w:eastAsia="仿宋_GB2312" w:cs="仿宋_GB2312"/>
                <w:color w:val="auto"/>
                <w:sz w:val="24"/>
              </w:rPr>
            </w:pPr>
          </w:p>
        </w:tc>
      </w:tr>
    </w:tbl>
    <w:p w14:paraId="7CC35728">
      <w:pPr>
        <w:keepNext w:val="0"/>
        <w:keepLines w:val="0"/>
        <w:pageBreakBefore w:val="0"/>
        <w:widowControl w:val="0"/>
        <w:kinsoku/>
        <w:wordWrap/>
        <w:overflowPunct/>
        <w:topLinePunct w:val="0"/>
        <w:autoSpaceDE/>
        <w:autoSpaceDN/>
        <w:bidi w:val="0"/>
        <w:adjustRightInd/>
        <w:snapToGrid w:val="0"/>
        <w:spacing w:line="288" w:lineRule="auto"/>
        <w:ind w:firstLine="482" w:firstLineChars="200"/>
        <w:textAlignment w:val="auto"/>
        <w:rPr>
          <w:rFonts w:hint="eastAsia" w:ascii="仿宋_GB2312" w:hAnsi="仿宋_GB2312" w:eastAsia="仿宋_GB2312" w:cs="仿宋_GB2312"/>
          <w:b/>
          <w:color w:val="auto"/>
          <w:kern w:val="0"/>
          <w:sz w:val="24"/>
          <w:lang w:val="zh-CN"/>
        </w:rPr>
      </w:pPr>
      <w:r>
        <w:rPr>
          <w:rFonts w:hint="eastAsia" w:ascii="仿宋_GB2312" w:hAnsi="仿宋_GB2312" w:eastAsia="仿宋_GB2312" w:cs="仿宋_GB2312"/>
          <w:b/>
          <w:color w:val="auto"/>
          <w:kern w:val="0"/>
          <w:sz w:val="24"/>
          <w:lang w:val="zh-CN"/>
        </w:rPr>
        <w:t>注：</w:t>
      </w:r>
    </w:p>
    <w:p w14:paraId="622DF660">
      <w:pPr>
        <w:keepNext w:val="0"/>
        <w:keepLines w:val="0"/>
        <w:pageBreakBefore w:val="0"/>
        <w:widowControl w:val="0"/>
        <w:kinsoku/>
        <w:wordWrap/>
        <w:overflowPunct/>
        <w:topLinePunct w:val="0"/>
        <w:autoSpaceDE/>
        <w:autoSpaceDN/>
        <w:bidi w:val="0"/>
        <w:adjustRightInd/>
        <w:snapToGrid w:val="0"/>
        <w:spacing w:line="288" w:lineRule="auto"/>
        <w:ind w:left="-2" w:leftChars="-1" w:firstLine="480" w:firstLineChars="200"/>
        <w:textAlignment w:val="auto"/>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1、投标人需按本表格式填写</w:t>
      </w:r>
      <w:r>
        <w:rPr>
          <w:rFonts w:hint="eastAsia" w:ascii="仿宋_GB2312" w:hAnsi="仿宋_GB2312" w:eastAsia="仿宋_GB2312" w:cs="仿宋_GB2312"/>
          <w:b/>
          <w:color w:val="auto"/>
          <w:kern w:val="0"/>
          <w:sz w:val="24"/>
          <w:lang w:val="zh-CN"/>
        </w:rPr>
        <w:t>，</w:t>
      </w:r>
      <w:r>
        <w:rPr>
          <w:rFonts w:hint="eastAsia" w:ascii="仿宋_GB2312" w:hAnsi="仿宋_GB2312" w:eastAsia="仿宋_GB2312" w:cs="仿宋_GB2312"/>
          <w:b/>
          <w:color w:val="auto"/>
          <w:kern w:val="0"/>
          <w:sz w:val="24"/>
        </w:rPr>
        <w:t>否则视为</w:t>
      </w:r>
      <w:r>
        <w:rPr>
          <w:rFonts w:hint="eastAsia" w:ascii="仿宋_GB2312" w:hAnsi="仿宋_GB2312" w:eastAsia="仿宋_GB2312" w:cs="仿宋_GB2312"/>
          <w:b/>
          <w:color w:val="auto"/>
          <w:sz w:val="24"/>
        </w:rPr>
        <w:t>投标文件含有采购人不能接受的附加条件，投标无效</w:t>
      </w:r>
      <w:r>
        <w:rPr>
          <w:rFonts w:hint="eastAsia" w:ascii="仿宋_GB2312" w:hAnsi="仿宋_GB2312" w:eastAsia="仿宋_GB2312" w:cs="仿宋_GB2312"/>
          <w:color w:val="auto"/>
          <w:kern w:val="0"/>
          <w:sz w:val="24"/>
          <w:lang w:val="zh-CN"/>
        </w:rPr>
        <w:t>。</w:t>
      </w:r>
    </w:p>
    <w:p w14:paraId="36EF3656">
      <w:pPr>
        <w:keepNext w:val="0"/>
        <w:keepLines w:val="0"/>
        <w:pageBreakBefore w:val="0"/>
        <w:widowControl w:val="0"/>
        <w:kinsoku/>
        <w:wordWrap/>
        <w:overflowPunct/>
        <w:topLinePunct w:val="0"/>
        <w:autoSpaceDE/>
        <w:autoSpaceDN/>
        <w:bidi w:val="0"/>
        <w:adjustRightInd/>
        <w:snapToGrid w:val="0"/>
        <w:spacing w:line="288" w:lineRule="auto"/>
        <w:ind w:firstLine="480" w:firstLineChars="200"/>
        <w:textAlignment w:val="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2、有关本项目实施所涉及的一切费用均计入报价。</w:t>
      </w:r>
      <w:r>
        <w:rPr>
          <w:rFonts w:hint="eastAsia" w:ascii="仿宋_GB2312" w:hAnsi="仿宋_GB2312" w:eastAsia="仿宋_GB2312" w:cs="仿宋_GB2312"/>
          <w:b/>
          <w:color w:val="auto"/>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b/>
          <w:color w:val="auto"/>
          <w:kern w:val="0"/>
          <w:sz w:val="24"/>
          <w:lang w:val="zh-CN"/>
        </w:rPr>
        <w:t>不得出现“0元”“免费赠送”等形式的无偿报价，</w:t>
      </w:r>
      <w:r>
        <w:rPr>
          <w:rFonts w:hint="eastAsia" w:ascii="仿宋_GB2312" w:hAnsi="仿宋_GB2312" w:eastAsia="仿宋_GB2312" w:cs="仿宋_GB2312"/>
          <w:b/>
          <w:color w:val="auto"/>
          <w:kern w:val="0"/>
          <w:sz w:val="24"/>
        </w:rPr>
        <w:t>否则视为</w:t>
      </w:r>
      <w:r>
        <w:rPr>
          <w:rFonts w:hint="eastAsia" w:ascii="仿宋_GB2312" w:hAnsi="仿宋_GB2312" w:eastAsia="仿宋_GB2312" w:cs="仿宋_GB2312"/>
          <w:b/>
          <w:color w:val="auto"/>
          <w:sz w:val="24"/>
        </w:rPr>
        <w:t>投标文件含有采购人不能接受的附加条件，投标无效</w:t>
      </w:r>
      <w:r>
        <w:rPr>
          <w:rFonts w:hint="eastAsia" w:ascii="仿宋_GB2312" w:hAnsi="仿宋_GB2312" w:eastAsia="仿宋_GB2312" w:cs="仿宋_GB2312"/>
          <w:b/>
          <w:color w:val="auto"/>
          <w:kern w:val="0"/>
          <w:sz w:val="24"/>
          <w:lang w:val="zh-CN"/>
        </w:rPr>
        <w:t>；采购内容未包含在《开标一览表（报价表）》名称栏中，投标人不能作出合理解释的，</w:t>
      </w:r>
      <w:r>
        <w:rPr>
          <w:rFonts w:hint="eastAsia" w:ascii="仿宋_GB2312" w:hAnsi="仿宋_GB2312" w:eastAsia="仿宋_GB2312" w:cs="仿宋_GB2312"/>
          <w:b/>
          <w:color w:val="auto"/>
          <w:kern w:val="0"/>
          <w:sz w:val="24"/>
        </w:rPr>
        <w:t>视为</w:t>
      </w:r>
      <w:r>
        <w:rPr>
          <w:rFonts w:hint="eastAsia" w:ascii="仿宋_GB2312" w:hAnsi="仿宋_GB2312" w:eastAsia="仿宋_GB2312" w:cs="仿宋_GB2312"/>
          <w:b/>
          <w:color w:val="auto"/>
          <w:sz w:val="24"/>
        </w:rPr>
        <w:t>投标文件含有采购人不能接受的附加条件的，投标无效。</w:t>
      </w:r>
    </w:p>
    <w:p w14:paraId="0A2629C2">
      <w:pPr>
        <w:keepNext w:val="0"/>
        <w:keepLines w:val="0"/>
        <w:pageBreakBefore w:val="0"/>
        <w:widowControl w:val="0"/>
        <w:kinsoku/>
        <w:wordWrap/>
        <w:overflowPunct/>
        <w:topLinePunct w:val="0"/>
        <w:autoSpaceDE/>
        <w:autoSpaceDN/>
        <w:bidi w:val="0"/>
        <w:adjustRightInd/>
        <w:snapToGrid w:val="0"/>
        <w:spacing w:line="288" w:lineRule="auto"/>
        <w:ind w:firstLine="480" w:firstLineChars="200"/>
        <w:jc w:val="left"/>
        <w:textAlignment w:val="auto"/>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3、特别提示：采购代理机构将对项目名称和项目编号，中标供应商名称、地址和中标金额，主要中标标的名称、品牌（如果有）、规格型号、数量、单价等予以公示。</w:t>
      </w:r>
    </w:p>
    <w:p w14:paraId="20BE27C7">
      <w:pPr>
        <w:keepNext w:val="0"/>
        <w:keepLines w:val="0"/>
        <w:pageBreakBefore w:val="0"/>
        <w:widowControl w:val="0"/>
        <w:kinsoku/>
        <w:wordWrap/>
        <w:overflowPunct/>
        <w:topLinePunct w:val="0"/>
        <w:autoSpaceDE/>
        <w:autoSpaceDN/>
        <w:bidi w:val="0"/>
        <w:adjustRightInd/>
        <w:snapToGrid w:val="0"/>
        <w:spacing w:line="288" w:lineRule="auto"/>
        <w:ind w:firstLine="480" w:firstLineChars="200"/>
        <w:jc w:val="left"/>
        <w:textAlignment w:val="auto"/>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szCs w:val="22"/>
          <w:lang w:val="zh-CN"/>
        </w:rPr>
        <w:t>4、</w:t>
      </w:r>
      <w:r>
        <w:rPr>
          <w:rFonts w:hint="eastAsia" w:ascii="仿宋_GB2312" w:hAnsi="仿宋_GB2312" w:eastAsia="仿宋_GB2312" w:cs="仿宋_GB2312"/>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4C52889">
      <w:pPr>
        <w:pStyle w:val="221"/>
        <w:keepNext w:val="0"/>
        <w:tabs>
          <w:tab w:val="clear" w:pos="720"/>
        </w:tabs>
        <w:snapToGrid w:val="0"/>
        <w:spacing w:before="120" w:after="120"/>
        <w:ind w:firstLine="641"/>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rPr>
        <w:t>二、</w:t>
      </w:r>
      <w:r>
        <w:rPr>
          <w:rFonts w:hint="eastAsia" w:ascii="仿宋_GB2312" w:hAnsi="仿宋_GB2312" w:eastAsia="仿宋_GB2312" w:cs="仿宋_GB2312"/>
          <w:color w:val="auto"/>
          <w:sz w:val="32"/>
          <w:szCs w:val="32"/>
        </w:rPr>
        <w:t>中小企业声明函</w:t>
      </w:r>
      <w:bookmarkStart w:id="163" w:name="_Hlk101259491"/>
      <w:r>
        <w:rPr>
          <w:rFonts w:hint="eastAsia" w:ascii="仿宋_GB2312" w:hAnsi="仿宋_GB2312" w:eastAsia="仿宋_GB2312" w:cs="仿宋_GB2312"/>
          <w:color w:val="auto"/>
          <w:sz w:val="32"/>
          <w:szCs w:val="32"/>
        </w:rPr>
        <w:t>（如果有）</w:t>
      </w:r>
      <w:bookmarkEnd w:id="163"/>
    </w:p>
    <w:p w14:paraId="54737009">
      <w:pPr>
        <w:widowControl/>
        <w:spacing w:line="360" w:lineRule="auto"/>
        <w:ind w:firstLine="120" w:firstLineChars="5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7827E37D">
      <w:pPr>
        <w:pStyle w:val="2"/>
        <w:rPr>
          <w:rFonts w:hint="eastAsia" w:ascii="仿宋_GB2312" w:hAnsi="仿宋_GB2312" w:eastAsia="仿宋_GB2312" w:cs="仿宋_GB2312"/>
          <w:b/>
          <w:color w:val="auto"/>
        </w:rPr>
      </w:pPr>
    </w:p>
    <w:p w14:paraId="42E17EA6">
      <w:pPr>
        <w:pStyle w:val="3"/>
        <w:rPr>
          <w:rFonts w:hint="eastAsia" w:ascii="仿宋_GB2312" w:hAnsi="仿宋_GB2312" w:eastAsia="仿宋_GB2312" w:cs="仿宋_GB2312"/>
          <w:b/>
          <w:color w:val="auto"/>
          <w:sz w:val="24"/>
        </w:rPr>
      </w:pPr>
    </w:p>
    <w:p w14:paraId="3840E701">
      <w:pPr>
        <w:rPr>
          <w:rFonts w:hint="eastAsia" w:ascii="仿宋_GB2312" w:hAnsi="仿宋_GB2312" w:eastAsia="仿宋_GB2312" w:cs="仿宋_GB2312"/>
          <w:b/>
          <w:color w:val="auto"/>
          <w:sz w:val="24"/>
        </w:rPr>
      </w:pPr>
    </w:p>
    <w:p w14:paraId="52EFCCC7">
      <w:pPr>
        <w:pStyle w:val="2"/>
        <w:rPr>
          <w:rFonts w:hint="eastAsia" w:ascii="仿宋_GB2312" w:hAnsi="仿宋_GB2312" w:eastAsia="仿宋_GB2312" w:cs="仿宋_GB2312"/>
          <w:b/>
          <w:color w:val="auto"/>
        </w:rPr>
      </w:pPr>
    </w:p>
    <w:p w14:paraId="43920B05">
      <w:pPr>
        <w:pStyle w:val="3"/>
        <w:rPr>
          <w:rFonts w:hint="eastAsia" w:ascii="仿宋_GB2312" w:hAnsi="仿宋_GB2312" w:eastAsia="仿宋_GB2312" w:cs="仿宋_GB2312"/>
          <w:color w:val="auto"/>
        </w:rPr>
      </w:pPr>
    </w:p>
    <w:p w14:paraId="5D16F885">
      <w:pPr>
        <w:pStyle w:val="3"/>
        <w:rPr>
          <w:rFonts w:hint="eastAsia" w:ascii="仿宋_GB2312" w:hAnsi="仿宋_GB2312" w:eastAsia="仿宋_GB2312" w:cs="仿宋_GB2312"/>
          <w:color w:val="auto"/>
        </w:rPr>
      </w:pPr>
    </w:p>
    <w:p w14:paraId="75E7DC6B">
      <w:pPr>
        <w:widowControl/>
        <w:spacing w:line="360" w:lineRule="auto"/>
        <w:ind w:firstLine="161" w:firstLineChars="50"/>
        <w:jc w:val="center"/>
        <w:rPr>
          <w:rFonts w:hint="eastAsia" w:ascii="仿宋_GB2312" w:hAnsi="仿宋_GB2312" w:eastAsia="仿宋_GB2312" w:cs="仿宋_GB2312"/>
          <w:b/>
          <w:color w:val="auto"/>
          <w:sz w:val="24"/>
        </w:rPr>
      </w:pPr>
      <w:r>
        <w:rPr>
          <w:rFonts w:hint="eastAsia" w:ascii="仿宋_GB2312" w:hAnsi="仿宋_GB2312" w:eastAsia="仿宋_GB2312" w:cs="仿宋_GB2312"/>
          <w:b/>
          <w:bCs/>
          <w:color w:val="auto"/>
          <w:sz w:val="32"/>
          <w:szCs w:val="32"/>
        </w:rPr>
        <w:t>三、残疾人福利性单位声明函（如果有）</w:t>
      </w:r>
    </w:p>
    <w:p w14:paraId="032859CF">
      <w:pPr>
        <w:widowControl/>
        <w:autoSpaceDE w:val="0"/>
        <w:autoSpaceDN w:val="0"/>
        <w:spacing w:line="360" w:lineRule="auto"/>
        <w:ind w:firstLine="120" w:firstLineChars="50"/>
        <w:jc w:val="left"/>
        <w:rPr>
          <w:rFonts w:hint="eastAsia" w:ascii="仿宋_GB2312" w:hAnsi="仿宋_GB2312" w:eastAsia="仿宋_GB2312" w:cs="仿宋_GB2312"/>
          <w:b/>
          <w:color w:val="auto"/>
          <w:sz w:val="24"/>
        </w:rPr>
      </w:pPr>
      <w:r>
        <w:rPr>
          <w:rFonts w:hint="eastAsia" w:ascii="仿宋_GB2312" w:hAnsi="仿宋_GB2312" w:eastAsia="仿宋_GB2312" w:cs="仿宋_GB2312"/>
          <w:b/>
          <w:bCs/>
          <w:snapToGrid w:val="0"/>
          <w:color w:val="auto"/>
          <w:sz w:val="24"/>
          <w:szCs w:val="21"/>
          <w:lang w:val="zh-CN"/>
        </w:rPr>
        <w:t>[符合条件的残疾人福利性单位，提供残疾人福利性单位声明函(附件</w:t>
      </w:r>
      <w:r>
        <w:rPr>
          <w:rFonts w:hint="eastAsia" w:ascii="仿宋_GB2312" w:hAnsi="仿宋_GB2312" w:eastAsia="仿宋_GB2312" w:cs="仿宋_GB2312"/>
          <w:b/>
          <w:bCs/>
          <w:snapToGrid w:val="0"/>
          <w:color w:val="auto"/>
          <w:sz w:val="24"/>
          <w:szCs w:val="21"/>
        </w:rPr>
        <w:t>6</w:t>
      </w:r>
      <w:r>
        <w:rPr>
          <w:rFonts w:hint="eastAsia" w:ascii="仿宋_GB2312" w:hAnsi="仿宋_GB2312" w:eastAsia="仿宋_GB2312" w:cs="仿宋_GB2312"/>
          <w:b/>
          <w:bCs/>
          <w:snapToGrid w:val="0"/>
          <w:color w:val="auto"/>
          <w:sz w:val="24"/>
          <w:szCs w:val="21"/>
          <w:lang w:val="zh-CN"/>
        </w:rPr>
        <w:t>)，否则不需要提供。]</w:t>
      </w:r>
    </w:p>
    <w:p w14:paraId="15917AE8">
      <w:pPr>
        <w:pStyle w:val="2"/>
        <w:widowControl/>
        <w:spacing w:line="360" w:lineRule="auto"/>
        <w:ind w:firstLine="120" w:firstLineChars="50"/>
        <w:rPr>
          <w:rFonts w:hint="eastAsia" w:ascii="仿宋_GB2312" w:hAnsi="仿宋_GB2312" w:eastAsia="仿宋_GB2312" w:cs="仿宋_GB2312"/>
          <w:b/>
          <w:color w:val="auto"/>
        </w:rPr>
      </w:pPr>
    </w:p>
    <w:p w14:paraId="179FDE01">
      <w:pPr>
        <w:pStyle w:val="3"/>
        <w:spacing w:line="360" w:lineRule="auto"/>
        <w:ind w:left="0" w:firstLine="120" w:firstLineChars="50"/>
        <w:jc w:val="left"/>
        <w:rPr>
          <w:rFonts w:hint="eastAsia" w:ascii="仿宋_GB2312" w:hAnsi="仿宋_GB2312" w:eastAsia="仿宋_GB2312" w:cs="仿宋_GB2312"/>
          <w:b/>
          <w:color w:val="auto"/>
          <w:sz w:val="24"/>
        </w:rPr>
      </w:pPr>
    </w:p>
    <w:p w14:paraId="64F736A0">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b w:val="0"/>
          <w:color w:val="auto"/>
          <w:sz w:val="32"/>
          <w:szCs w:val="32"/>
        </w:rPr>
      </w:pPr>
    </w:p>
    <w:p w14:paraId="5B5E2B05">
      <w:pPr>
        <w:spacing w:line="360" w:lineRule="auto"/>
        <w:ind w:right="420" w:firstLine="3614" w:firstLineChars="1000"/>
        <w:rPr>
          <w:rFonts w:hint="eastAsia" w:ascii="仿宋_GB2312" w:hAnsi="仿宋_GB2312" w:eastAsia="仿宋_GB2312" w:cs="仿宋_GB2312"/>
          <w:b/>
          <w:color w:val="auto"/>
          <w:kern w:val="0"/>
          <w:sz w:val="36"/>
          <w:szCs w:val="36"/>
        </w:rPr>
      </w:pPr>
    </w:p>
    <w:p w14:paraId="5E91C5B0">
      <w:pPr>
        <w:spacing w:line="360" w:lineRule="auto"/>
        <w:ind w:right="420" w:firstLine="3614" w:firstLineChars="1000"/>
        <w:rPr>
          <w:rFonts w:hint="eastAsia" w:ascii="仿宋_GB2312" w:hAnsi="仿宋_GB2312" w:eastAsia="仿宋_GB2312" w:cs="仿宋_GB2312"/>
          <w:b/>
          <w:color w:val="auto"/>
          <w:kern w:val="0"/>
          <w:sz w:val="36"/>
          <w:szCs w:val="36"/>
        </w:rPr>
      </w:pPr>
    </w:p>
    <w:p w14:paraId="6AB39DE8">
      <w:pPr>
        <w:spacing w:line="360" w:lineRule="auto"/>
        <w:ind w:right="420" w:firstLine="3614" w:firstLineChars="1000"/>
        <w:rPr>
          <w:rFonts w:hint="eastAsia" w:ascii="仿宋_GB2312" w:hAnsi="仿宋_GB2312" w:eastAsia="仿宋_GB2312" w:cs="仿宋_GB2312"/>
          <w:b/>
          <w:color w:val="auto"/>
          <w:kern w:val="0"/>
          <w:sz w:val="36"/>
          <w:szCs w:val="36"/>
        </w:rPr>
      </w:pPr>
    </w:p>
    <w:p w14:paraId="7BC45B41">
      <w:pPr>
        <w:spacing w:line="360" w:lineRule="auto"/>
        <w:ind w:right="420" w:firstLine="3614" w:firstLineChars="1000"/>
        <w:rPr>
          <w:rFonts w:hint="eastAsia" w:ascii="仿宋_GB2312" w:hAnsi="仿宋_GB2312" w:eastAsia="仿宋_GB2312" w:cs="仿宋_GB2312"/>
          <w:b/>
          <w:color w:val="auto"/>
          <w:kern w:val="0"/>
          <w:sz w:val="36"/>
          <w:szCs w:val="36"/>
        </w:rPr>
      </w:pPr>
    </w:p>
    <w:p w14:paraId="5659F878">
      <w:pPr>
        <w:spacing w:line="360" w:lineRule="auto"/>
        <w:ind w:right="420" w:firstLine="3614" w:firstLineChars="1000"/>
        <w:rPr>
          <w:rFonts w:hint="eastAsia" w:ascii="仿宋_GB2312" w:hAnsi="仿宋_GB2312" w:eastAsia="仿宋_GB2312" w:cs="仿宋_GB2312"/>
          <w:b/>
          <w:color w:val="auto"/>
          <w:kern w:val="0"/>
          <w:sz w:val="36"/>
          <w:szCs w:val="36"/>
        </w:rPr>
      </w:pPr>
    </w:p>
    <w:p w14:paraId="52317B29">
      <w:pPr>
        <w:spacing w:line="360" w:lineRule="auto"/>
        <w:ind w:right="420" w:firstLine="3614" w:firstLineChars="1000"/>
        <w:rPr>
          <w:rFonts w:hint="eastAsia" w:ascii="仿宋_GB2312" w:hAnsi="仿宋_GB2312" w:eastAsia="仿宋_GB2312" w:cs="仿宋_GB2312"/>
          <w:b/>
          <w:color w:val="auto"/>
          <w:kern w:val="0"/>
          <w:sz w:val="36"/>
          <w:szCs w:val="36"/>
        </w:rPr>
      </w:pPr>
    </w:p>
    <w:p w14:paraId="0447ECEA">
      <w:pPr>
        <w:pStyle w:val="4"/>
        <w:keepNext w:val="0"/>
        <w:keepLines w:val="0"/>
        <w:pageBreakBefore/>
        <w:widowControl/>
        <w:numPr>
          <w:ilvl w:val="0"/>
          <w:numId w:val="0"/>
        </w:numPr>
        <w:spacing w:before="100" w:beforeAutospacing="1" w:after="100" w:afterAutospacing="1" w:line="360" w:lineRule="auto"/>
        <w:ind w:left="4382"/>
        <w:rPr>
          <w:rFonts w:hint="eastAsia" w:ascii="仿宋_GB2312" w:hAnsi="仿宋_GB2312" w:eastAsia="仿宋_GB2312" w:cs="仿宋_GB2312"/>
          <w:color w:val="auto"/>
        </w:rPr>
      </w:pPr>
      <w:bookmarkStart w:id="164" w:name="_Toc465665161"/>
      <w:r>
        <w:rPr>
          <w:rFonts w:hint="eastAsia" w:ascii="仿宋_GB2312" w:hAnsi="仿宋_GB2312" w:eastAsia="仿宋_GB2312" w:cs="仿宋_GB2312"/>
          <w:color w:val="auto"/>
        </w:rPr>
        <w:t>附件</w:t>
      </w:r>
      <w:bookmarkEnd w:id="164"/>
    </w:p>
    <w:p w14:paraId="5AB2BD9F">
      <w:pPr>
        <w:spacing w:line="360" w:lineRule="auto"/>
        <w:jc w:val="left"/>
        <w:rPr>
          <w:rFonts w:hint="eastAsia" w:ascii="仿宋_GB2312" w:hAnsi="仿宋_GB2312" w:eastAsia="仿宋_GB2312" w:cs="仿宋_GB2312"/>
          <w:b/>
          <w:color w:val="auto"/>
          <w:spacing w:val="6"/>
          <w:sz w:val="32"/>
          <w:szCs w:val="32"/>
        </w:rPr>
      </w:pPr>
      <w:r>
        <w:rPr>
          <w:rFonts w:hint="eastAsia" w:ascii="仿宋_GB2312" w:hAnsi="仿宋_GB2312" w:eastAsia="仿宋_GB2312" w:cs="仿宋_GB2312"/>
          <w:b/>
          <w:color w:val="auto"/>
          <w:spacing w:val="6"/>
          <w:sz w:val="32"/>
          <w:szCs w:val="32"/>
        </w:rPr>
        <w:t>附件1：质疑函范本及制作说明</w:t>
      </w:r>
    </w:p>
    <w:p w14:paraId="10693F3A">
      <w:pPr>
        <w:spacing w:line="360" w:lineRule="auto"/>
        <w:jc w:val="center"/>
        <w:rPr>
          <w:rFonts w:hint="eastAsia" w:ascii="仿宋_GB2312" w:hAnsi="仿宋_GB2312" w:eastAsia="仿宋_GB2312" w:cs="仿宋_GB2312"/>
          <w:b/>
          <w:color w:val="auto"/>
          <w:spacing w:val="6"/>
          <w:sz w:val="32"/>
          <w:szCs w:val="32"/>
        </w:rPr>
      </w:pPr>
      <w:r>
        <w:rPr>
          <w:rFonts w:hint="eastAsia" w:ascii="仿宋_GB2312" w:hAnsi="仿宋_GB2312" w:eastAsia="仿宋_GB2312" w:cs="仿宋_GB2312"/>
          <w:b/>
          <w:color w:val="auto"/>
          <w:spacing w:val="6"/>
          <w:sz w:val="32"/>
          <w:szCs w:val="32"/>
        </w:rPr>
        <w:t>质疑函范本</w:t>
      </w:r>
    </w:p>
    <w:p w14:paraId="3DBD590D">
      <w:pPr>
        <w:snapToGrid w:val="0"/>
        <w:spacing w:before="240" w:beforeLines="100" w:line="360" w:lineRule="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一、质疑供应商基本信息</w:t>
      </w:r>
    </w:p>
    <w:p w14:paraId="675716AA">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质疑供应商：</w:t>
      </w:r>
    </w:p>
    <w:p w14:paraId="3946B172">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地址：                 邮编：</w:t>
      </w:r>
    </w:p>
    <w:p w14:paraId="7DFDE7C9">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联系人：               联系电话：</w:t>
      </w:r>
    </w:p>
    <w:p w14:paraId="1E64FEB5">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授权代表：</w:t>
      </w:r>
    </w:p>
    <w:p w14:paraId="741DB7C9">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p w14:paraId="367FDA1E">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地址：                邮编：</w:t>
      </w:r>
    </w:p>
    <w:p w14:paraId="7554E66B">
      <w:pPr>
        <w:snapToGrid w:val="0"/>
        <w:spacing w:line="360" w:lineRule="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二、质疑项目基本情况</w:t>
      </w:r>
    </w:p>
    <w:p w14:paraId="18292027">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质疑项目的名称：</w:t>
      </w:r>
    </w:p>
    <w:p w14:paraId="713D013B">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质疑项目的编号：               包号：</w:t>
      </w:r>
    </w:p>
    <w:p w14:paraId="21F8B06E">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采购人名称：</w:t>
      </w:r>
    </w:p>
    <w:p w14:paraId="3350AA15">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采购文件获取日期：</w:t>
      </w:r>
    </w:p>
    <w:p w14:paraId="3EB8232D">
      <w:pPr>
        <w:snapToGrid w:val="0"/>
        <w:spacing w:line="360" w:lineRule="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三、质疑事项具体内容</w:t>
      </w:r>
    </w:p>
    <w:p w14:paraId="7C5FF481">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质疑事项1：</w:t>
      </w:r>
    </w:p>
    <w:p w14:paraId="3C21DA8B">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事实依据：</w:t>
      </w:r>
    </w:p>
    <w:p w14:paraId="0B21AAB7">
      <w:pPr>
        <w:snapToGrid w:val="0"/>
        <w:spacing w:line="360" w:lineRule="auto"/>
        <w:rPr>
          <w:rFonts w:hint="eastAsia" w:ascii="仿宋_GB2312" w:hAnsi="仿宋_GB2312" w:eastAsia="仿宋_GB2312" w:cs="仿宋_GB2312"/>
          <w:color w:val="auto"/>
          <w:sz w:val="24"/>
        </w:rPr>
      </w:pPr>
    </w:p>
    <w:p w14:paraId="34832A3F">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法律依据：</w:t>
      </w:r>
    </w:p>
    <w:p w14:paraId="691BA39D">
      <w:pPr>
        <w:snapToGrid w:val="0"/>
        <w:spacing w:line="360" w:lineRule="auto"/>
        <w:rPr>
          <w:rFonts w:hint="eastAsia" w:ascii="仿宋_GB2312" w:hAnsi="仿宋_GB2312" w:eastAsia="仿宋_GB2312" w:cs="仿宋_GB2312"/>
          <w:color w:val="auto"/>
          <w:sz w:val="24"/>
          <w:u w:val="dotted"/>
        </w:rPr>
      </w:pPr>
    </w:p>
    <w:p w14:paraId="1093A8A5">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质疑事项2</w:t>
      </w:r>
    </w:p>
    <w:p w14:paraId="7EF4ACF6">
      <w:pPr>
        <w:snapToGrid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p w14:paraId="1E726E4A">
      <w:pPr>
        <w:snapToGrid w:val="0"/>
        <w:spacing w:line="360" w:lineRule="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四、与质疑事项相关的质疑请求</w:t>
      </w:r>
    </w:p>
    <w:p w14:paraId="305531D7">
      <w:pPr>
        <w:snapToGrid w:val="0"/>
        <w:spacing w:line="360" w:lineRule="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请求：</w:t>
      </w:r>
    </w:p>
    <w:p w14:paraId="5997E7B8">
      <w:pPr>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签字(签章)：                   公章：                      </w:t>
      </w:r>
    </w:p>
    <w:p w14:paraId="7A81D534">
      <w:pPr>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日期：    </w:t>
      </w:r>
    </w:p>
    <w:p w14:paraId="1B8F6195">
      <w:pPr>
        <w:spacing w:line="360" w:lineRule="auto"/>
        <w:jc w:val="center"/>
        <w:rPr>
          <w:rFonts w:hint="eastAsia" w:ascii="仿宋_GB2312" w:hAnsi="仿宋_GB2312" w:eastAsia="仿宋_GB2312" w:cs="仿宋_GB2312"/>
          <w:b/>
          <w:bCs/>
          <w:color w:val="auto"/>
          <w:sz w:val="24"/>
        </w:rPr>
      </w:pPr>
    </w:p>
    <w:p w14:paraId="4291B6A1">
      <w:pPr>
        <w:spacing w:line="360" w:lineRule="auto"/>
        <w:rPr>
          <w:rFonts w:hint="eastAsia" w:ascii="仿宋_GB2312" w:hAnsi="仿宋_GB2312" w:eastAsia="仿宋_GB2312" w:cs="仿宋_GB2312"/>
          <w:b/>
          <w:color w:val="auto"/>
          <w:sz w:val="24"/>
        </w:rPr>
      </w:pPr>
    </w:p>
    <w:p w14:paraId="1DD47E41">
      <w:pPr>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质疑函制作说明：</w:t>
      </w:r>
    </w:p>
    <w:p w14:paraId="616CFF4D">
      <w:pPr>
        <w:widowControl/>
        <w:spacing w:line="360" w:lineRule="auto"/>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1.供应商提出质疑时，应提交质疑函和必要的证明材料。</w:t>
      </w:r>
    </w:p>
    <w:p w14:paraId="72CA6027">
      <w:pPr>
        <w:widowControl/>
        <w:spacing w:line="360" w:lineRule="auto"/>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rPr>
        <w:t>供应商签署的授权委托书。授权委托书应载明代理人的姓名或者名称、代理事项、具体权限、期限和相关事项。</w:t>
      </w:r>
    </w:p>
    <w:p w14:paraId="196E0B86">
      <w:pPr>
        <w:widowControl/>
        <w:spacing w:line="360" w:lineRule="auto"/>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3.质疑供应商若对项目的某一分包进行质疑，质疑函中应列明具体分包号。</w:t>
      </w:r>
    </w:p>
    <w:p w14:paraId="1154AF08">
      <w:pPr>
        <w:widowControl/>
        <w:spacing w:line="360" w:lineRule="auto"/>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4.质疑函的质疑事项应具体、明确，并有必要的事实依据和法律依据。</w:t>
      </w:r>
    </w:p>
    <w:p w14:paraId="54B6DFBF">
      <w:pPr>
        <w:widowControl/>
        <w:spacing w:line="360" w:lineRule="auto"/>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5.质疑函的质疑请求应与质疑事项相关。</w:t>
      </w:r>
    </w:p>
    <w:p w14:paraId="38C3B135">
      <w:pPr>
        <w:widowControl/>
        <w:spacing w:line="360" w:lineRule="auto"/>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6.质疑供应商为自然人的，质疑函应由本人签字；质疑供应商为法人或者其他组织的，质疑函应由法定代表人、主要负责人，或者其授权代表签字或者盖章，并加盖公章。</w:t>
      </w:r>
    </w:p>
    <w:p w14:paraId="7A5A3ABD">
      <w:pPr>
        <w:widowControl/>
        <w:spacing w:line="360" w:lineRule="auto"/>
        <w:ind w:firstLine="600" w:firstLineChars="200"/>
        <w:jc w:val="left"/>
        <w:rPr>
          <w:rFonts w:hint="eastAsia" w:ascii="仿宋_GB2312" w:hAnsi="仿宋_GB2312" w:eastAsia="仿宋_GB2312" w:cs="仿宋_GB2312"/>
          <w:color w:val="auto"/>
          <w:sz w:val="30"/>
          <w:szCs w:val="30"/>
        </w:rPr>
      </w:pPr>
    </w:p>
    <w:p w14:paraId="766462AF">
      <w:pPr>
        <w:spacing w:line="360" w:lineRule="auto"/>
        <w:jc w:val="center"/>
        <w:rPr>
          <w:rFonts w:hint="eastAsia" w:ascii="仿宋_GB2312" w:hAnsi="仿宋_GB2312" w:eastAsia="仿宋_GB2312" w:cs="仿宋_GB2312"/>
          <w:b/>
          <w:color w:val="auto"/>
          <w:spacing w:val="6"/>
          <w:sz w:val="32"/>
          <w:szCs w:val="32"/>
        </w:rPr>
      </w:pPr>
    </w:p>
    <w:p w14:paraId="22845DDC">
      <w:pPr>
        <w:spacing w:line="360" w:lineRule="auto"/>
        <w:jc w:val="center"/>
        <w:rPr>
          <w:rFonts w:hint="eastAsia" w:ascii="仿宋_GB2312" w:hAnsi="仿宋_GB2312" w:eastAsia="仿宋_GB2312" w:cs="仿宋_GB2312"/>
          <w:b/>
          <w:color w:val="auto"/>
          <w:spacing w:val="6"/>
          <w:sz w:val="32"/>
          <w:szCs w:val="32"/>
        </w:rPr>
      </w:pPr>
    </w:p>
    <w:p w14:paraId="0F07542F">
      <w:pPr>
        <w:spacing w:line="360" w:lineRule="auto"/>
        <w:jc w:val="left"/>
        <w:rPr>
          <w:rFonts w:hint="eastAsia" w:ascii="仿宋_GB2312" w:hAnsi="仿宋_GB2312" w:eastAsia="仿宋_GB2312" w:cs="仿宋_GB2312"/>
          <w:b/>
          <w:color w:val="auto"/>
          <w:spacing w:val="6"/>
          <w:sz w:val="32"/>
          <w:szCs w:val="32"/>
        </w:rPr>
      </w:pPr>
    </w:p>
    <w:p w14:paraId="3C445693">
      <w:pPr>
        <w:spacing w:line="360" w:lineRule="auto"/>
        <w:jc w:val="left"/>
        <w:rPr>
          <w:rFonts w:hint="eastAsia" w:ascii="仿宋_GB2312" w:hAnsi="仿宋_GB2312" w:eastAsia="仿宋_GB2312" w:cs="仿宋_GB2312"/>
          <w:b/>
          <w:color w:val="auto"/>
          <w:spacing w:val="6"/>
          <w:sz w:val="32"/>
          <w:szCs w:val="32"/>
        </w:rPr>
      </w:pPr>
    </w:p>
    <w:p w14:paraId="7D08DB0D">
      <w:pPr>
        <w:spacing w:line="360" w:lineRule="auto"/>
        <w:jc w:val="left"/>
        <w:rPr>
          <w:rFonts w:hint="eastAsia" w:ascii="仿宋_GB2312" w:hAnsi="仿宋_GB2312" w:eastAsia="仿宋_GB2312" w:cs="仿宋_GB2312"/>
          <w:b/>
          <w:color w:val="auto"/>
          <w:spacing w:val="6"/>
          <w:sz w:val="32"/>
          <w:szCs w:val="32"/>
        </w:rPr>
      </w:pPr>
    </w:p>
    <w:p w14:paraId="4E8E078D">
      <w:pPr>
        <w:spacing w:line="360" w:lineRule="auto"/>
        <w:jc w:val="left"/>
        <w:rPr>
          <w:rFonts w:hint="eastAsia" w:ascii="仿宋_GB2312" w:hAnsi="仿宋_GB2312" w:eastAsia="仿宋_GB2312" w:cs="仿宋_GB2312"/>
          <w:b/>
          <w:color w:val="auto"/>
          <w:spacing w:val="6"/>
          <w:sz w:val="32"/>
          <w:szCs w:val="32"/>
        </w:rPr>
      </w:pPr>
    </w:p>
    <w:p w14:paraId="67EA113A">
      <w:pPr>
        <w:spacing w:line="360" w:lineRule="auto"/>
        <w:jc w:val="left"/>
        <w:rPr>
          <w:rFonts w:hint="eastAsia" w:ascii="仿宋_GB2312" w:hAnsi="仿宋_GB2312" w:eastAsia="仿宋_GB2312" w:cs="仿宋_GB2312"/>
          <w:b/>
          <w:color w:val="auto"/>
          <w:spacing w:val="6"/>
          <w:sz w:val="32"/>
          <w:szCs w:val="32"/>
        </w:rPr>
      </w:pPr>
    </w:p>
    <w:p w14:paraId="7F25A61B">
      <w:pPr>
        <w:spacing w:line="360" w:lineRule="auto"/>
        <w:jc w:val="left"/>
        <w:rPr>
          <w:rFonts w:hint="eastAsia" w:ascii="仿宋_GB2312" w:hAnsi="仿宋_GB2312" w:eastAsia="仿宋_GB2312" w:cs="仿宋_GB2312"/>
          <w:b/>
          <w:color w:val="auto"/>
          <w:spacing w:val="6"/>
          <w:sz w:val="32"/>
          <w:szCs w:val="32"/>
        </w:rPr>
      </w:pPr>
    </w:p>
    <w:p w14:paraId="25C5875D">
      <w:pPr>
        <w:spacing w:line="360" w:lineRule="auto"/>
        <w:jc w:val="left"/>
        <w:rPr>
          <w:rFonts w:hint="eastAsia" w:ascii="仿宋_GB2312" w:hAnsi="仿宋_GB2312" w:eastAsia="仿宋_GB2312" w:cs="仿宋_GB2312"/>
          <w:b/>
          <w:color w:val="auto"/>
          <w:spacing w:val="6"/>
          <w:sz w:val="32"/>
          <w:szCs w:val="32"/>
        </w:rPr>
      </w:pPr>
    </w:p>
    <w:p w14:paraId="155E9198">
      <w:pPr>
        <w:pageBreakBefore/>
        <w:spacing w:line="360" w:lineRule="auto"/>
        <w:jc w:val="left"/>
        <w:rPr>
          <w:rFonts w:hint="eastAsia" w:ascii="仿宋_GB2312" w:hAnsi="仿宋_GB2312" w:eastAsia="仿宋_GB2312" w:cs="仿宋_GB2312"/>
          <w:b/>
          <w:color w:val="auto"/>
          <w:spacing w:val="6"/>
          <w:sz w:val="32"/>
          <w:szCs w:val="32"/>
        </w:rPr>
      </w:pPr>
      <w:r>
        <w:rPr>
          <w:rFonts w:hint="eastAsia" w:ascii="仿宋_GB2312" w:hAnsi="仿宋_GB2312" w:eastAsia="仿宋_GB2312" w:cs="仿宋_GB2312"/>
          <w:b/>
          <w:color w:val="auto"/>
          <w:spacing w:val="6"/>
          <w:sz w:val="32"/>
          <w:szCs w:val="32"/>
        </w:rPr>
        <w:t>附件2：投诉书范本及制作说明</w:t>
      </w:r>
    </w:p>
    <w:p w14:paraId="4128E5D3">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仿宋_GB2312" w:hAnsi="仿宋_GB2312" w:eastAsia="仿宋_GB2312" w:cs="仿宋_GB2312"/>
          <w:b/>
          <w:color w:val="auto"/>
          <w:sz w:val="24"/>
        </w:rPr>
      </w:pPr>
    </w:p>
    <w:p w14:paraId="721D2CF7">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仿宋_GB2312" w:hAnsi="仿宋_GB2312" w:eastAsia="仿宋_GB2312" w:cs="仿宋_GB2312"/>
          <w:b/>
          <w:color w:val="auto"/>
          <w:spacing w:val="6"/>
          <w:sz w:val="32"/>
          <w:szCs w:val="32"/>
        </w:rPr>
      </w:pPr>
      <w:r>
        <w:rPr>
          <w:rFonts w:hint="eastAsia" w:ascii="仿宋_GB2312" w:hAnsi="仿宋_GB2312" w:eastAsia="仿宋_GB2312" w:cs="仿宋_GB2312"/>
          <w:b/>
          <w:color w:val="auto"/>
          <w:spacing w:val="6"/>
          <w:sz w:val="32"/>
          <w:szCs w:val="32"/>
        </w:rPr>
        <w:t>投诉书范本</w:t>
      </w:r>
    </w:p>
    <w:p w14:paraId="7690ACF4">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一、投诉相关主体基本情况</w:t>
      </w:r>
    </w:p>
    <w:p w14:paraId="33DA6889">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投诉人：</w:t>
      </w:r>
    </w:p>
    <w:p w14:paraId="5F8098B9">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地     址：               邮编：</w:t>
      </w:r>
    </w:p>
    <w:p w14:paraId="7ABEF15E">
      <w:pPr>
        <w:keepNext w:val="0"/>
        <w:keepLines w:val="0"/>
        <w:pageBreakBefore w:val="0"/>
        <w:tabs>
          <w:tab w:val="left" w:pos="6510"/>
        </w:tabs>
        <w:kinsoku/>
        <w:wordWrap/>
        <w:overflowPunct/>
        <w:topLinePunct w:val="0"/>
        <w:autoSpaceDE/>
        <w:autoSpaceDN/>
        <w:bidi w:val="0"/>
        <w:adjustRightInd/>
        <w:snapToGrid/>
        <w:spacing w:line="348" w:lineRule="auto"/>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法定代表人/主要负责人：</w:t>
      </w:r>
    </w:p>
    <w:p w14:paraId="3001D886">
      <w:pPr>
        <w:keepNext w:val="0"/>
        <w:keepLines w:val="0"/>
        <w:pageBreakBefore w:val="0"/>
        <w:tabs>
          <w:tab w:val="left" w:pos="6510"/>
        </w:tabs>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联系电话：</w:t>
      </w:r>
    </w:p>
    <w:p w14:paraId="111BD79B">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授权代表：               联系电话</w:t>
      </w:r>
      <w:r>
        <w:rPr>
          <w:rFonts w:hint="eastAsia" w:ascii="仿宋_GB2312" w:hAnsi="仿宋_GB2312" w:eastAsia="仿宋_GB2312" w:cs="仿宋_GB2312"/>
          <w:color w:val="auto"/>
          <w:sz w:val="24"/>
          <w:u w:val="dotted"/>
        </w:rPr>
        <w:t xml:space="preserve">：                  </w:t>
      </w:r>
    </w:p>
    <w:p w14:paraId="5BF35956">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地     址：               邮编：</w:t>
      </w:r>
    </w:p>
    <w:p w14:paraId="7CC94333">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被投诉人1：</w:t>
      </w:r>
    </w:p>
    <w:p w14:paraId="024307DE">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地     址：               邮编：</w:t>
      </w:r>
    </w:p>
    <w:p w14:paraId="72A0615C">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联系人：               联系电话：</w:t>
      </w:r>
    </w:p>
    <w:p w14:paraId="47B3E19E">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被投诉人2</w:t>
      </w:r>
    </w:p>
    <w:p w14:paraId="54A04A5D">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w:t>
      </w:r>
    </w:p>
    <w:p w14:paraId="52903CA2">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相关供应商：</w:t>
      </w:r>
    </w:p>
    <w:p w14:paraId="4DC3B325">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地     址：               邮编：</w:t>
      </w:r>
    </w:p>
    <w:p w14:paraId="67607B70">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联系人：               联系电话：</w:t>
      </w:r>
    </w:p>
    <w:p w14:paraId="05E528DB">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二、投诉项目基本情况</w:t>
      </w:r>
    </w:p>
    <w:p w14:paraId="117D7F3D">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采购项目名称：</w:t>
      </w:r>
    </w:p>
    <w:p w14:paraId="19937EB5">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采购项目编号：               包号：</w:t>
      </w:r>
    </w:p>
    <w:p w14:paraId="5558667B">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采购人名称：</w:t>
      </w:r>
    </w:p>
    <w:p w14:paraId="48824847">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代理机构名称：</w:t>
      </w:r>
    </w:p>
    <w:p w14:paraId="34197D69">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采购文件公告:</w:t>
      </w:r>
      <w:r>
        <w:rPr>
          <w:rFonts w:hint="eastAsia" w:ascii="仿宋_GB2312" w:hAnsi="仿宋_GB2312" w:eastAsia="仿宋_GB2312" w:cs="仿宋_GB2312"/>
          <w:color w:val="auto"/>
          <w:sz w:val="24"/>
          <w:u w:val="dotted"/>
        </w:rPr>
        <w:t xml:space="preserve">是/否 </w:t>
      </w:r>
      <w:r>
        <w:rPr>
          <w:rFonts w:hint="eastAsia" w:ascii="仿宋_GB2312" w:hAnsi="仿宋_GB2312" w:eastAsia="仿宋_GB2312" w:cs="仿宋_GB2312"/>
          <w:color w:val="auto"/>
          <w:sz w:val="24"/>
        </w:rPr>
        <w:t xml:space="preserve">               公告期限：</w:t>
      </w:r>
    </w:p>
    <w:p w14:paraId="50334859">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采购结果公告:</w:t>
      </w:r>
      <w:r>
        <w:rPr>
          <w:rFonts w:hint="eastAsia" w:ascii="仿宋_GB2312" w:hAnsi="仿宋_GB2312" w:eastAsia="仿宋_GB2312" w:cs="仿宋_GB2312"/>
          <w:color w:val="auto"/>
          <w:sz w:val="24"/>
          <w:u w:val="dotted"/>
        </w:rPr>
        <w:t xml:space="preserve">是/否 </w:t>
      </w:r>
      <w:r>
        <w:rPr>
          <w:rFonts w:hint="eastAsia" w:ascii="仿宋_GB2312" w:hAnsi="仿宋_GB2312" w:eastAsia="仿宋_GB2312" w:cs="仿宋_GB2312"/>
          <w:color w:val="auto"/>
          <w:sz w:val="24"/>
        </w:rPr>
        <w:t xml:space="preserve">               公告期限：</w:t>
      </w:r>
    </w:p>
    <w:p w14:paraId="39E33E2E">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三、质疑基本情况</w:t>
      </w:r>
    </w:p>
    <w:p w14:paraId="3D677C35">
      <w:pPr>
        <w:keepNext w:val="0"/>
        <w:keepLines w:val="0"/>
        <w:pageBreakBefore w:val="0"/>
        <w:kinsoku/>
        <w:wordWrap/>
        <w:overflowPunct/>
        <w:topLinePunct w:val="0"/>
        <w:autoSpaceDE/>
        <w:autoSpaceDN/>
        <w:bidi w:val="0"/>
        <w:adjustRightInd/>
        <w:snapToGrid/>
        <w:spacing w:line="348" w:lineRule="auto"/>
        <w:ind w:firstLine="480" w:firstLineChars="200"/>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投诉人于    年   月   日,向</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提出质疑，质疑事项为：</w:t>
      </w:r>
    </w:p>
    <w:p w14:paraId="0ACF6ABD">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p>
    <w:p w14:paraId="32813EED">
      <w:pPr>
        <w:keepNext w:val="0"/>
        <w:keepLines w:val="0"/>
        <w:pageBreakBefore w:val="0"/>
        <w:kinsoku/>
        <w:wordWrap/>
        <w:overflowPunct/>
        <w:topLinePunct w:val="0"/>
        <w:autoSpaceDE/>
        <w:autoSpaceDN/>
        <w:bidi w:val="0"/>
        <w:adjustRightInd/>
        <w:snapToGrid/>
        <w:spacing w:line="348" w:lineRule="auto"/>
        <w:ind w:firstLine="360" w:firstLineChars="15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u w:val="dotted"/>
        </w:rPr>
        <w:t>采购人/代理机构</w:t>
      </w:r>
      <w:r>
        <w:rPr>
          <w:rFonts w:hint="eastAsia" w:ascii="仿宋_GB2312" w:hAnsi="仿宋_GB2312" w:eastAsia="仿宋_GB2312" w:cs="仿宋_GB2312"/>
          <w:color w:val="auto"/>
          <w:sz w:val="24"/>
        </w:rPr>
        <w:t>于  年   月   日,就质疑事项作出了答复/没有在法定期限内作出答复。</w:t>
      </w:r>
    </w:p>
    <w:p w14:paraId="223212CF">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四、投诉事项具体内容</w:t>
      </w:r>
    </w:p>
    <w:p w14:paraId="48A21323">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投诉事项 1：</w:t>
      </w:r>
    </w:p>
    <w:p w14:paraId="1EA03433">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事实依据：</w:t>
      </w:r>
    </w:p>
    <w:p w14:paraId="4E165BC7">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p>
    <w:p w14:paraId="25C2D496">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r>
        <w:rPr>
          <w:rFonts w:hint="eastAsia" w:ascii="仿宋_GB2312" w:hAnsi="仿宋_GB2312" w:eastAsia="仿宋_GB2312" w:cs="仿宋_GB2312"/>
          <w:color w:val="auto"/>
          <w:sz w:val="24"/>
        </w:rPr>
        <w:t>法律依据：</w:t>
      </w:r>
    </w:p>
    <w:p w14:paraId="63AFFFD5">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p>
    <w:p w14:paraId="51541294">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投诉事项2</w:t>
      </w:r>
    </w:p>
    <w:p w14:paraId="328DD75C">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dotted"/>
        </w:rPr>
      </w:pPr>
      <w:r>
        <w:rPr>
          <w:rFonts w:hint="eastAsia" w:ascii="仿宋_GB2312" w:hAnsi="仿宋_GB2312" w:eastAsia="仿宋_GB2312" w:cs="仿宋_GB2312"/>
          <w:color w:val="auto"/>
          <w:sz w:val="24"/>
        </w:rPr>
        <w:t>……</w:t>
      </w:r>
    </w:p>
    <w:p w14:paraId="7CDBBCEB">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五、与投诉事项相关的投诉请求</w:t>
      </w:r>
    </w:p>
    <w:p w14:paraId="512C5779">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请求：</w:t>
      </w:r>
    </w:p>
    <w:p w14:paraId="525807B2">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u w:val="single"/>
        </w:rPr>
      </w:pPr>
    </w:p>
    <w:p w14:paraId="75AF0949">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签字(签章)：                   公章：                      </w:t>
      </w:r>
    </w:p>
    <w:p w14:paraId="41315BA0">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日期：    </w:t>
      </w:r>
    </w:p>
    <w:p w14:paraId="52B3B1D5">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b/>
          <w:color w:val="auto"/>
          <w:sz w:val="24"/>
        </w:rPr>
      </w:pPr>
    </w:p>
    <w:p w14:paraId="2563926E">
      <w:pPr>
        <w:keepNext w:val="0"/>
        <w:keepLines w:val="0"/>
        <w:pageBreakBefore w:val="0"/>
        <w:kinsoku/>
        <w:wordWrap/>
        <w:overflowPunct/>
        <w:topLinePunct w:val="0"/>
        <w:autoSpaceDE/>
        <w:autoSpaceDN/>
        <w:bidi w:val="0"/>
        <w:adjustRightInd/>
        <w:snapToGrid/>
        <w:spacing w:line="348" w:lineRule="auto"/>
        <w:textAlignment w:val="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投诉书制作说明：</w:t>
      </w:r>
    </w:p>
    <w:p w14:paraId="67484C2E">
      <w:pPr>
        <w:keepNext w:val="0"/>
        <w:keepLines w:val="0"/>
        <w:pageBreakBefore w:val="0"/>
        <w:widowControl/>
        <w:kinsoku/>
        <w:wordWrap/>
        <w:overflowPunct/>
        <w:topLinePunct w:val="0"/>
        <w:autoSpaceDE/>
        <w:autoSpaceDN/>
        <w:bidi w:val="0"/>
        <w:adjustRightInd/>
        <w:snapToGrid/>
        <w:spacing w:line="348" w:lineRule="auto"/>
        <w:ind w:firstLine="480" w:firstLineChars="200"/>
        <w:textAlignment w:val="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1.投诉人提起投诉时，应当提交投诉书和必要的证明材料，并按照被投诉人和与投诉事项有关的供应商数量提供投诉书副本。</w:t>
      </w:r>
    </w:p>
    <w:p w14:paraId="2D9CAB1C">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rPr>
        <w:t>投诉人签署的授权委托书。授权委托书应当载明代理人的姓名或者名称、代理事项、具体权限、期限和相关事项。</w:t>
      </w:r>
    </w:p>
    <w:p w14:paraId="19D41E02">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3.投诉人若对项目的某一分包进行投诉，投诉书应列明具体分包号。</w:t>
      </w:r>
    </w:p>
    <w:p w14:paraId="0509FC4B">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4.投诉书应简要列明质疑事项，质疑函、质疑答复等作为附件材料提供。</w:t>
      </w:r>
    </w:p>
    <w:p w14:paraId="67C6D0B5">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5.投诉书的投诉事项应具体、明确，并有必要的事实依据和法律依据。</w:t>
      </w:r>
    </w:p>
    <w:p w14:paraId="3545912D">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6.投诉书的投诉请求应与投诉事项相关。</w:t>
      </w:r>
    </w:p>
    <w:p w14:paraId="220EA5AF">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7.投诉人为自然人的，投诉书应当由本人签字；投诉人为法人或者其他组织的，投诉书应当由法定代表人、主要负责人，或者其授权代表签字或者盖章，并加盖公章。</w:t>
      </w:r>
    </w:p>
    <w:p w14:paraId="5B98BC8B">
      <w:pPr>
        <w:pageBreakBefore/>
        <w:spacing w:line="360" w:lineRule="auto"/>
        <w:jc w:val="center"/>
        <w:rPr>
          <w:rFonts w:hint="eastAsia" w:ascii="仿宋_GB2312" w:hAnsi="仿宋_GB2312" w:eastAsia="仿宋_GB2312" w:cs="仿宋_GB2312"/>
          <w:b/>
          <w:color w:val="auto"/>
          <w:spacing w:val="6"/>
          <w:sz w:val="32"/>
          <w:szCs w:val="32"/>
        </w:rPr>
      </w:pPr>
      <w:r>
        <w:rPr>
          <w:rFonts w:hint="eastAsia" w:ascii="仿宋_GB2312" w:hAnsi="仿宋_GB2312" w:eastAsia="仿宋_GB2312" w:cs="仿宋_GB2312"/>
          <w:b/>
          <w:color w:val="auto"/>
          <w:spacing w:val="6"/>
          <w:sz w:val="32"/>
          <w:szCs w:val="32"/>
        </w:rPr>
        <w:t>附件3：业务专用章使用说明函</w:t>
      </w:r>
    </w:p>
    <w:p w14:paraId="6B87EC95">
      <w:pPr>
        <w:spacing w:line="360" w:lineRule="auto"/>
        <w:rPr>
          <w:rFonts w:hint="eastAsia" w:ascii="仿宋_GB2312" w:hAnsi="仿宋_GB2312" w:eastAsia="仿宋_GB2312" w:cs="仿宋_GB2312"/>
          <w:color w:val="auto"/>
          <w:sz w:val="24"/>
          <w:u w:val="single"/>
        </w:rPr>
      </w:pPr>
    </w:p>
    <w:p w14:paraId="299D4AE3">
      <w:pPr>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u w:val="single"/>
        </w:rPr>
        <w:t>（采购人）、（采购代理机构）：</w:t>
      </w:r>
    </w:p>
    <w:p w14:paraId="5BD093E1">
      <w:pPr>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val="zh-CN"/>
        </w:rPr>
        <w:t>我方</w:t>
      </w:r>
      <w:r>
        <w:rPr>
          <w:rFonts w:hint="eastAsia" w:ascii="仿宋_GB2312" w:hAnsi="仿宋_GB2312" w:eastAsia="仿宋_GB2312" w:cs="仿宋_GB2312"/>
          <w:color w:val="auto"/>
          <w:sz w:val="24"/>
        </w:rPr>
        <w:t>(投标人全称)是中华人民共和国依法登记注册的合法企业，</w:t>
      </w:r>
      <w:r>
        <w:rPr>
          <w:rFonts w:hint="eastAsia" w:ascii="仿宋_GB2312" w:hAnsi="仿宋_GB2312" w:eastAsia="仿宋_GB2312" w:cs="仿宋_GB2312"/>
          <w:bCs/>
          <w:color w:val="auto"/>
          <w:sz w:val="24"/>
        </w:rPr>
        <w:t>在参加</w:t>
      </w:r>
      <w:r>
        <w:rPr>
          <w:rFonts w:hint="eastAsia" w:ascii="仿宋_GB2312" w:hAnsi="仿宋_GB2312" w:eastAsia="仿宋_GB2312" w:cs="仿宋_GB2312"/>
          <w:color w:val="auto"/>
          <w:sz w:val="24"/>
        </w:rPr>
        <w:t>你方组织的</w:t>
      </w:r>
      <w:r>
        <w:rPr>
          <w:rFonts w:hint="eastAsia" w:ascii="仿宋_GB2312" w:hAnsi="仿宋_GB2312" w:eastAsia="仿宋_GB2312" w:cs="仿宋_GB2312"/>
          <w:color w:val="auto"/>
          <w:sz w:val="24"/>
          <w:u w:val="single"/>
        </w:rPr>
        <w:t>（项目名称）</w:t>
      </w:r>
      <w:r>
        <w:rPr>
          <w:rFonts w:hint="eastAsia" w:ascii="仿宋_GB2312" w:hAnsi="仿宋_GB2312" w:eastAsia="仿宋_GB2312" w:cs="仿宋_GB2312"/>
          <w:color w:val="auto"/>
          <w:sz w:val="24"/>
          <w:u w:val="single"/>
          <w:lang w:val="en-US" w:eastAsia="zh-CN"/>
        </w:rPr>
        <w:t xml:space="preserve">      </w:t>
      </w:r>
      <w:r>
        <w:rPr>
          <w:rFonts w:hint="eastAsia" w:ascii="仿宋_GB2312" w:hAnsi="仿宋_GB2312" w:eastAsia="仿宋_GB2312" w:cs="仿宋_GB2312"/>
          <w:color w:val="auto"/>
          <w:sz w:val="24"/>
        </w:rPr>
        <w:t>【招标编号：</w:t>
      </w:r>
      <w:r>
        <w:rPr>
          <w:rFonts w:hint="eastAsia" w:ascii="仿宋_GB2312" w:hAnsi="仿宋_GB2312" w:eastAsia="仿宋_GB2312" w:cs="仿宋_GB2312"/>
          <w:color w:val="auto"/>
          <w:sz w:val="24"/>
          <w:u w:val="single"/>
        </w:rPr>
        <w:t>（采购编号）</w:t>
      </w:r>
      <w:r>
        <w:rPr>
          <w:rFonts w:hint="eastAsia" w:ascii="仿宋_GB2312" w:hAnsi="仿宋_GB2312" w:eastAsia="仿宋_GB2312" w:cs="仿宋_GB2312"/>
          <w:color w:val="auto"/>
          <w:sz w:val="24"/>
          <w:u w:val="single"/>
          <w:lang w:val="en-US" w:eastAsia="zh-CN"/>
        </w:rPr>
        <w:t xml:space="preserve">     </w:t>
      </w:r>
      <w:r>
        <w:rPr>
          <w:rFonts w:hint="eastAsia" w:ascii="仿宋_GB2312" w:hAnsi="仿宋_GB2312" w:eastAsia="仿宋_GB2312" w:cs="仿宋_GB2312"/>
          <w:color w:val="auto"/>
          <w:sz w:val="24"/>
        </w:rPr>
        <w:t>】</w:t>
      </w:r>
      <w:r>
        <w:rPr>
          <w:rFonts w:hint="eastAsia" w:ascii="仿宋_GB2312" w:hAnsi="仿宋_GB2312" w:eastAsia="仿宋_GB2312" w:cs="仿宋_GB2312"/>
          <w:bCs/>
          <w:color w:val="auto"/>
          <w:sz w:val="24"/>
        </w:rPr>
        <w:t>投标活动中作如下说明：</w:t>
      </w:r>
      <w:r>
        <w:rPr>
          <w:rFonts w:hint="eastAsia" w:ascii="仿宋_GB2312" w:hAnsi="仿宋_GB2312" w:eastAsia="仿宋_GB2312" w:cs="仿宋_GB2312"/>
          <w:color w:val="auto"/>
          <w:sz w:val="24"/>
        </w:rPr>
        <w:t xml:space="preserve">我方所使用的“XX专用章”与法定名称章具有同等的法律效力，对使用“XX专用章”的行为予以完全承认，并愿意承担相应责任。   </w:t>
      </w:r>
    </w:p>
    <w:p w14:paraId="6DAE8C28">
      <w:pPr>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特此说明。</w:t>
      </w:r>
    </w:p>
    <w:p w14:paraId="65F8D0B9">
      <w:pPr>
        <w:spacing w:line="360" w:lineRule="auto"/>
        <w:ind w:firstLine="494"/>
        <w:rPr>
          <w:rFonts w:hint="eastAsia" w:ascii="仿宋_GB2312" w:hAnsi="仿宋_GB2312" w:eastAsia="仿宋_GB2312" w:cs="仿宋_GB2312"/>
          <w:color w:val="auto"/>
          <w:sz w:val="24"/>
        </w:rPr>
      </w:pPr>
    </w:p>
    <w:p w14:paraId="48E2F2BD">
      <w:pPr>
        <w:spacing w:line="360" w:lineRule="auto"/>
        <w:ind w:firstLine="494"/>
        <w:rPr>
          <w:rFonts w:hint="eastAsia" w:ascii="仿宋_GB2312" w:hAnsi="仿宋_GB2312" w:eastAsia="仿宋_GB2312" w:cs="仿宋_GB2312"/>
          <w:color w:val="auto"/>
          <w:sz w:val="24"/>
        </w:rPr>
      </w:pPr>
    </w:p>
    <w:p w14:paraId="6F2AB1DE">
      <w:pPr>
        <w:spacing w:line="360" w:lineRule="auto"/>
        <w:ind w:firstLine="494"/>
        <w:rPr>
          <w:rFonts w:hint="eastAsia" w:ascii="仿宋_GB2312" w:hAnsi="仿宋_GB2312" w:eastAsia="仿宋_GB2312" w:cs="仿宋_GB2312"/>
          <w:color w:val="auto"/>
          <w:sz w:val="24"/>
        </w:rPr>
      </w:pPr>
    </w:p>
    <w:p w14:paraId="1F112F1A">
      <w:pPr>
        <w:spacing w:line="360" w:lineRule="auto"/>
        <w:ind w:right="480" w:firstLine="4080" w:firstLineChars="17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投标单位（法定名称章）：</w:t>
      </w:r>
    </w:p>
    <w:p w14:paraId="6E073EC8">
      <w:pPr>
        <w:ind w:right="1440" w:firstLine="49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日期：       年     月     日</w:t>
      </w:r>
    </w:p>
    <w:p w14:paraId="0F39AB8B">
      <w:pPr>
        <w:pStyle w:val="2"/>
        <w:rPr>
          <w:rFonts w:hint="eastAsia" w:ascii="仿宋_GB2312" w:hAnsi="仿宋_GB2312" w:eastAsia="仿宋_GB2312" w:cs="仿宋_GB2312"/>
          <w:color w:val="auto"/>
        </w:rPr>
      </w:pPr>
    </w:p>
    <w:p w14:paraId="07865B95">
      <w:pPr>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rPr>
        <w:t>附：</w:t>
      </w:r>
    </w:p>
    <w:p w14:paraId="4F1F433B">
      <w:pPr>
        <w:spacing w:line="360" w:lineRule="auto"/>
        <w:rPr>
          <w:rFonts w:hint="eastAsia" w:ascii="仿宋_GB2312" w:hAnsi="仿宋_GB2312" w:eastAsia="仿宋_GB2312" w:cs="仿宋_GB2312"/>
          <w:bCs/>
          <w:color w:val="auto"/>
          <w:sz w:val="24"/>
        </w:rPr>
      </w:pPr>
      <w:r>
        <w:rPr>
          <w:rFonts w:hint="eastAsia" w:ascii="仿宋_GB2312" w:hAnsi="仿宋_GB2312" w:eastAsia="仿宋_GB2312" w:cs="仿宋_GB2312"/>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rPr>
        <w:t>投标单位法定名称章（印模）                投标单位“XX专用章”（印模）</w:t>
      </w:r>
    </w:p>
    <w:p w14:paraId="1513AF8C">
      <w:pPr>
        <w:autoSpaceDE w:val="0"/>
        <w:autoSpaceDN w:val="0"/>
        <w:jc w:val="center"/>
        <w:rPr>
          <w:rFonts w:hint="eastAsia" w:ascii="仿宋_GB2312" w:hAnsi="仿宋_GB2312" w:eastAsia="仿宋_GB2312" w:cs="仿宋_GB2312"/>
          <w:b/>
          <w:color w:val="auto"/>
          <w:spacing w:val="6"/>
          <w:sz w:val="32"/>
          <w:szCs w:val="32"/>
        </w:rPr>
      </w:pPr>
    </w:p>
    <w:p w14:paraId="78A8DE89">
      <w:pPr>
        <w:autoSpaceDE w:val="0"/>
        <w:autoSpaceDN w:val="0"/>
        <w:jc w:val="center"/>
        <w:rPr>
          <w:rFonts w:hint="eastAsia" w:ascii="仿宋_GB2312" w:hAnsi="仿宋_GB2312" w:eastAsia="仿宋_GB2312" w:cs="仿宋_GB2312"/>
          <w:b/>
          <w:color w:val="auto"/>
          <w:spacing w:val="6"/>
          <w:sz w:val="32"/>
          <w:szCs w:val="32"/>
        </w:rPr>
      </w:pPr>
    </w:p>
    <w:p w14:paraId="5E82B662">
      <w:pPr>
        <w:autoSpaceDE w:val="0"/>
        <w:autoSpaceDN w:val="0"/>
        <w:jc w:val="center"/>
        <w:rPr>
          <w:rFonts w:hint="eastAsia" w:ascii="仿宋_GB2312" w:hAnsi="仿宋_GB2312" w:eastAsia="仿宋_GB2312" w:cs="仿宋_GB2312"/>
          <w:b/>
          <w:color w:val="auto"/>
          <w:spacing w:val="6"/>
          <w:sz w:val="32"/>
          <w:szCs w:val="32"/>
        </w:rPr>
      </w:pPr>
    </w:p>
    <w:p w14:paraId="053E82AE">
      <w:pPr>
        <w:autoSpaceDE w:val="0"/>
        <w:autoSpaceDN w:val="0"/>
        <w:jc w:val="center"/>
        <w:rPr>
          <w:rFonts w:hint="eastAsia" w:ascii="仿宋_GB2312" w:hAnsi="仿宋_GB2312" w:eastAsia="仿宋_GB2312" w:cs="仿宋_GB2312"/>
          <w:b/>
          <w:color w:val="auto"/>
          <w:spacing w:val="6"/>
          <w:sz w:val="32"/>
          <w:szCs w:val="32"/>
        </w:rPr>
      </w:pPr>
    </w:p>
    <w:p w14:paraId="2F994613">
      <w:pPr>
        <w:autoSpaceDE w:val="0"/>
        <w:autoSpaceDN w:val="0"/>
        <w:jc w:val="center"/>
        <w:rPr>
          <w:rFonts w:hint="eastAsia" w:ascii="仿宋_GB2312" w:hAnsi="仿宋_GB2312" w:eastAsia="仿宋_GB2312" w:cs="仿宋_GB2312"/>
          <w:b/>
          <w:color w:val="auto"/>
          <w:spacing w:val="6"/>
          <w:sz w:val="32"/>
          <w:szCs w:val="32"/>
        </w:rPr>
      </w:pPr>
    </w:p>
    <w:p w14:paraId="6DB36FD1">
      <w:pPr>
        <w:autoSpaceDE w:val="0"/>
        <w:autoSpaceDN w:val="0"/>
        <w:jc w:val="center"/>
        <w:rPr>
          <w:rFonts w:hint="eastAsia" w:ascii="仿宋_GB2312" w:hAnsi="仿宋_GB2312" w:eastAsia="仿宋_GB2312" w:cs="仿宋_GB2312"/>
          <w:b/>
          <w:color w:val="auto"/>
          <w:spacing w:val="6"/>
          <w:sz w:val="32"/>
          <w:szCs w:val="32"/>
        </w:rPr>
      </w:pPr>
    </w:p>
    <w:p w14:paraId="32972878">
      <w:pPr>
        <w:autoSpaceDE w:val="0"/>
        <w:autoSpaceDN w:val="0"/>
        <w:jc w:val="center"/>
        <w:rPr>
          <w:rFonts w:hint="eastAsia" w:ascii="仿宋_GB2312" w:hAnsi="仿宋_GB2312" w:eastAsia="仿宋_GB2312" w:cs="仿宋_GB2312"/>
          <w:b/>
          <w:color w:val="auto"/>
          <w:spacing w:val="6"/>
          <w:sz w:val="32"/>
          <w:szCs w:val="32"/>
        </w:rPr>
      </w:pPr>
    </w:p>
    <w:p w14:paraId="67469B1B">
      <w:pPr>
        <w:autoSpaceDE w:val="0"/>
        <w:autoSpaceDN w:val="0"/>
        <w:jc w:val="center"/>
        <w:rPr>
          <w:rFonts w:hint="eastAsia" w:ascii="仿宋_GB2312" w:hAnsi="仿宋_GB2312" w:eastAsia="仿宋_GB2312" w:cs="仿宋_GB2312"/>
          <w:b/>
          <w:color w:val="auto"/>
          <w:spacing w:val="6"/>
          <w:sz w:val="32"/>
          <w:szCs w:val="32"/>
        </w:rPr>
      </w:pPr>
    </w:p>
    <w:p w14:paraId="2D86D134">
      <w:pPr>
        <w:autoSpaceDE w:val="0"/>
        <w:autoSpaceDN w:val="0"/>
        <w:jc w:val="center"/>
        <w:rPr>
          <w:rFonts w:hint="eastAsia" w:ascii="仿宋_GB2312" w:hAnsi="仿宋_GB2312" w:eastAsia="仿宋_GB2312" w:cs="仿宋_GB2312"/>
          <w:b/>
          <w:color w:val="auto"/>
          <w:spacing w:val="6"/>
          <w:sz w:val="32"/>
          <w:szCs w:val="32"/>
        </w:rPr>
      </w:pPr>
    </w:p>
    <w:p w14:paraId="5EB7321B">
      <w:pPr>
        <w:autoSpaceDE w:val="0"/>
        <w:autoSpaceDN w:val="0"/>
        <w:jc w:val="center"/>
        <w:rPr>
          <w:rFonts w:hint="eastAsia" w:ascii="仿宋_GB2312" w:hAnsi="仿宋_GB2312" w:eastAsia="仿宋_GB2312" w:cs="仿宋_GB2312"/>
          <w:b/>
          <w:color w:val="auto"/>
          <w:spacing w:val="6"/>
          <w:sz w:val="32"/>
          <w:szCs w:val="32"/>
        </w:rPr>
      </w:pPr>
    </w:p>
    <w:p w14:paraId="6ADB04EA">
      <w:pPr>
        <w:autoSpaceDE w:val="0"/>
        <w:autoSpaceDN w:val="0"/>
        <w:jc w:val="center"/>
        <w:rPr>
          <w:rFonts w:hint="eastAsia" w:ascii="仿宋_GB2312" w:hAnsi="仿宋_GB2312" w:eastAsia="仿宋_GB2312" w:cs="仿宋_GB2312"/>
          <w:b/>
          <w:color w:val="auto"/>
          <w:spacing w:val="6"/>
          <w:sz w:val="32"/>
          <w:szCs w:val="32"/>
        </w:rPr>
      </w:pPr>
    </w:p>
    <w:p w14:paraId="37656BED">
      <w:pPr>
        <w:autoSpaceDE w:val="0"/>
        <w:autoSpaceDN w:val="0"/>
        <w:jc w:val="center"/>
        <w:rPr>
          <w:rFonts w:hint="eastAsia" w:ascii="仿宋_GB2312" w:hAnsi="仿宋_GB2312" w:eastAsia="仿宋_GB2312" w:cs="仿宋_GB2312"/>
          <w:b/>
          <w:color w:val="auto"/>
          <w:spacing w:val="6"/>
          <w:sz w:val="32"/>
          <w:szCs w:val="32"/>
        </w:rPr>
      </w:pPr>
    </w:p>
    <w:p w14:paraId="334E5F9F">
      <w:pPr>
        <w:autoSpaceDE w:val="0"/>
        <w:autoSpaceDN w:val="0"/>
        <w:jc w:val="center"/>
        <w:rPr>
          <w:rFonts w:hint="eastAsia" w:ascii="仿宋_GB2312" w:hAnsi="仿宋_GB2312" w:eastAsia="仿宋_GB2312" w:cs="仿宋_GB2312"/>
          <w:b/>
          <w:color w:val="auto"/>
          <w:spacing w:val="6"/>
          <w:sz w:val="32"/>
          <w:szCs w:val="32"/>
        </w:rPr>
      </w:pPr>
    </w:p>
    <w:p w14:paraId="074B20F1">
      <w:pPr>
        <w:autoSpaceDE w:val="0"/>
        <w:autoSpaceDN w:val="0"/>
        <w:jc w:val="center"/>
        <w:rPr>
          <w:rFonts w:hint="eastAsia" w:ascii="仿宋_GB2312" w:hAnsi="仿宋_GB2312" w:eastAsia="仿宋_GB2312" w:cs="仿宋_GB2312"/>
          <w:b/>
          <w:color w:val="auto"/>
          <w:spacing w:val="6"/>
          <w:sz w:val="32"/>
          <w:szCs w:val="32"/>
        </w:rPr>
      </w:pPr>
    </w:p>
    <w:p w14:paraId="38F1C572">
      <w:pPr>
        <w:autoSpaceDE w:val="0"/>
        <w:autoSpaceDN w:val="0"/>
        <w:adjustRightInd w:val="0"/>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附件4：联合协议</w:t>
      </w:r>
    </w:p>
    <w:p w14:paraId="1E81CBA1">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（以联合体形式投标的，提供联合协议；本项目不接受联合体投标或者投标人不以联合体形式投标的，则不需要提供）</w:t>
      </w:r>
    </w:p>
    <w:p w14:paraId="056BE716">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（联合体所有成员名称）</w:t>
      </w:r>
      <w:r>
        <w:rPr>
          <w:rFonts w:hint="eastAsia" w:ascii="仿宋_GB2312" w:hAnsi="仿宋" w:eastAsia="仿宋_GB2312" w:cs="仿宋"/>
          <w:color w:val="auto"/>
          <w:kern w:val="0"/>
          <w:sz w:val="24"/>
        </w:rPr>
        <w:t>自愿</w:t>
      </w:r>
      <w:r>
        <w:rPr>
          <w:rFonts w:hint="eastAsia" w:ascii="仿宋_GB2312" w:hAnsi="仿宋" w:eastAsia="仿宋_GB2312" w:cs="仿宋"/>
          <w:color w:val="auto"/>
          <w:kern w:val="0"/>
          <w:sz w:val="24"/>
          <w:lang w:val="zh-CN"/>
        </w:rPr>
        <w:t>组成一个联合体，以一个投标人的身份</w:t>
      </w:r>
      <w:r>
        <w:rPr>
          <w:rFonts w:hint="eastAsia" w:ascii="仿宋_GB2312" w:hAnsi="仿宋" w:eastAsia="仿宋_GB2312" w:cs="仿宋"/>
          <w:color w:val="auto"/>
          <w:kern w:val="0"/>
          <w:sz w:val="24"/>
        </w:rPr>
        <w:t>参加</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u w:val="single"/>
          <w:lang w:val="en-US" w:eastAsia="zh-CN"/>
        </w:rPr>
        <w:t xml:space="preserve">      </w:t>
      </w:r>
      <w:r>
        <w:rPr>
          <w:rFonts w:hint="eastAsia" w:ascii="仿宋_GB2312" w:hAnsi="仿宋" w:eastAsia="仿宋_GB2312" w:cs="仿宋"/>
          <w:color w:val="auto"/>
          <w:sz w:val="24"/>
        </w:rPr>
        <w:t>【招标编号：</w:t>
      </w:r>
      <w:r>
        <w:rPr>
          <w:rFonts w:hint="eastAsia" w:ascii="仿宋_GB2312" w:hAnsi="仿宋" w:eastAsia="仿宋_GB2312" w:cs="仿宋"/>
          <w:color w:val="auto"/>
          <w:sz w:val="24"/>
          <w:u w:val="single"/>
        </w:rPr>
        <w:t>（采购编号）</w:t>
      </w:r>
      <w:r>
        <w:rPr>
          <w:rFonts w:hint="eastAsia" w:ascii="仿宋_GB2312" w:hAnsi="仿宋" w:eastAsia="仿宋_GB2312" w:cs="仿宋"/>
          <w:color w:val="auto"/>
          <w:sz w:val="24"/>
          <w:u w:val="single"/>
          <w:lang w:val="en-US" w:eastAsia="zh-CN"/>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 xml:space="preserve">投标。 </w:t>
      </w:r>
    </w:p>
    <w:p w14:paraId="2E061C25">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一、各方一致决定，</w:t>
      </w:r>
      <w:r>
        <w:rPr>
          <w:rFonts w:hint="eastAsia" w:ascii="仿宋_GB2312" w:hAnsi="仿宋" w:eastAsia="仿宋_GB2312" w:cs="仿宋"/>
          <w:color w:val="auto"/>
          <w:kern w:val="0"/>
          <w:sz w:val="24"/>
          <w:u w:val="single"/>
        </w:rPr>
        <w:t>（某联合体成员名称）</w:t>
      </w:r>
      <w:r>
        <w:rPr>
          <w:rFonts w:hint="eastAsia" w:ascii="仿宋_GB2312" w:hAnsi="仿宋" w:eastAsia="仿宋_GB2312" w:cs="仿宋"/>
          <w:color w:val="auto"/>
          <w:kern w:val="0"/>
          <w:sz w:val="24"/>
        </w:rPr>
        <w:t>为联合体</w:t>
      </w:r>
      <w:r>
        <w:rPr>
          <w:rFonts w:hint="eastAsia" w:ascii="仿宋_GB2312" w:hAnsi="仿宋" w:eastAsia="仿宋_GB2312" w:cs="仿宋"/>
          <w:color w:val="auto"/>
          <w:kern w:val="0"/>
          <w:sz w:val="24"/>
          <w:lang w:val="zh-CN"/>
        </w:rPr>
        <w:t>牵头人</w:t>
      </w:r>
      <w:r>
        <w:rPr>
          <w:rFonts w:hint="eastAsia" w:ascii="仿宋_GB2312" w:hAnsi="仿宋" w:eastAsia="仿宋_GB2312" w:cs="仿宋"/>
          <w:color w:val="auto"/>
          <w:sz w:val="24"/>
        </w:rPr>
        <w:t>，代表所有联合体成员负责投标和合同实施阶段的主办、协调工作</w:t>
      </w:r>
      <w:r>
        <w:rPr>
          <w:rFonts w:hint="eastAsia" w:ascii="仿宋_GB2312" w:hAnsi="仿宋" w:eastAsia="仿宋_GB2312" w:cs="仿宋"/>
          <w:color w:val="auto"/>
          <w:kern w:val="0"/>
          <w:sz w:val="24"/>
          <w:lang w:val="zh-CN"/>
        </w:rPr>
        <w:t>。</w:t>
      </w:r>
    </w:p>
    <w:p w14:paraId="4799A64C">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w:t>
      </w:r>
      <w:r>
        <w:rPr>
          <w:rFonts w:hint="eastAsia" w:ascii="仿宋_GB2312" w:hAnsi="仿宋" w:eastAsia="仿宋_GB2312" w:cs="仿宋"/>
          <w:color w:val="auto"/>
          <w:sz w:val="24"/>
        </w:rPr>
        <w:t>所有联合体成员各方签署授权书，授权书载明的</w:t>
      </w:r>
      <w:r>
        <w:rPr>
          <w:rFonts w:hint="eastAsia" w:ascii="仿宋_GB2312" w:hAnsi="仿宋" w:eastAsia="仿宋_GB2312" w:cs="仿宋"/>
          <w:color w:val="auto"/>
          <w:kern w:val="0"/>
          <w:sz w:val="24"/>
          <w:lang w:val="zh-CN"/>
        </w:rPr>
        <w:t>授权代表根据招标文件规定及投标内容而对采购人、采购代理机构所作的任何合法承诺，包括书面澄清及相应等均对联合投标各方产生约束力。</w:t>
      </w:r>
    </w:p>
    <w:p w14:paraId="09CAB0FB">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三、本次联合投标中，分工如下：</w:t>
      </w:r>
    </w:p>
    <w:p w14:paraId="6D542A91">
      <w:pPr>
        <w:snapToGrid w:val="0"/>
        <w:spacing w:line="360" w:lineRule="auto"/>
        <w:ind w:firstLine="576"/>
        <w:rPr>
          <w:rFonts w:ascii="仿宋_GB2312" w:hAnsi="仿宋" w:eastAsia="仿宋_GB2312" w:cs="仿宋"/>
          <w:color w:val="auto"/>
          <w:kern w:val="0"/>
          <w:sz w:val="24"/>
          <w:lang w:val="zh-CN"/>
        </w:rPr>
      </w:pPr>
      <w:bookmarkStart w:id="165" w:name="_Hlk101134295"/>
      <w:r>
        <w:rPr>
          <w:rFonts w:hint="eastAsia" w:ascii="仿宋_GB2312" w:hAnsi="仿宋" w:eastAsia="仿宋_GB2312" w:cs="仿宋"/>
          <w:color w:val="auto"/>
          <w:kern w:val="0"/>
          <w:sz w:val="24"/>
          <w:u w:val="single"/>
        </w:rPr>
        <w:t>（联合体成员1）</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14:paraId="156953E3">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（联合体成员2）</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14:paraId="477B9735">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w:t>
      </w:r>
    </w:p>
    <w:bookmarkEnd w:id="165"/>
    <w:p w14:paraId="43BB3E4E">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四、联合体成员中小企业合同份额。</w:t>
      </w:r>
    </w:p>
    <w:p w14:paraId="7B6BFB02">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lang w:val="zh-CN"/>
        </w:rPr>
        <w:t>1、</w:t>
      </w:r>
      <w:r>
        <w:rPr>
          <w:rFonts w:hint="eastAsia" w:ascii="仿宋_GB2312" w:hAnsi="仿宋" w:eastAsia="仿宋_GB2312" w:cs="仿宋"/>
          <w:color w:val="auto"/>
          <w:kern w:val="0"/>
          <w:sz w:val="24"/>
          <w:u w:val="single"/>
        </w:rPr>
        <w:t>（联合体成员X,……）</w:t>
      </w:r>
      <w:r>
        <w:rPr>
          <w:rFonts w:hint="eastAsia" w:ascii="仿宋_GB2312" w:hAnsi="仿宋" w:eastAsia="仿宋_GB2312" w:cs="仿宋"/>
          <w:color w:val="auto"/>
          <w:kern w:val="0"/>
          <w:sz w:val="24"/>
        </w:rPr>
        <w:t>提供的全部货物由小微企业制造，其合同份额占到合同总金额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14:paraId="232FE652">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sz w:val="24"/>
        </w:rPr>
        <w:t>2、中小企业合同金额达到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lang w:val="zh-CN"/>
        </w:rPr>
        <w:t>）</w:t>
      </w:r>
    </w:p>
    <w:p w14:paraId="6AA2FBF3">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五、如果中标，</w:t>
      </w:r>
      <w:r>
        <w:rPr>
          <w:rFonts w:hint="eastAsia" w:ascii="仿宋_GB2312" w:hAnsi="仿宋" w:eastAsia="仿宋_GB2312" w:cs="仿宋"/>
          <w:color w:val="auto"/>
          <w:sz w:val="24"/>
        </w:rPr>
        <w:t>联合体各成员方共同与采购人签订合同，并就采购合同约定的事项对采购人承担连带责任。</w:t>
      </w:r>
    </w:p>
    <w:p w14:paraId="6DEBE99C">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六、有关本次联合投标的其他事宜：</w:t>
      </w:r>
    </w:p>
    <w:p w14:paraId="58296AE6">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1、联合体各方不再单独参加或者与其他供应商另外组成联合体参加同一合同项下的采购活动。</w:t>
      </w:r>
    </w:p>
    <w:p w14:paraId="695891C9">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2、联合体中有同类资质的各方按照联合体分工承担相同工作的，按照资质等级较低的供应商确定资质等级。</w:t>
      </w:r>
    </w:p>
    <w:p w14:paraId="23537F31">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3、本协议提交采购人、采购代理机构后，联合体各方不得以任何形式对上述内容进行修改或撤销。</w:t>
      </w:r>
    </w:p>
    <w:p w14:paraId="58D8E970">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14:paraId="706BF3E4">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14:paraId="6CB370D4">
      <w:pPr>
        <w:snapToGrid w:val="0"/>
        <w:spacing w:line="360" w:lineRule="auto"/>
        <w:ind w:right="960"/>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w:t>
      </w:r>
    </w:p>
    <w:p w14:paraId="3ABE92F5">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日期：  年  月   日</w:t>
      </w:r>
    </w:p>
    <w:p w14:paraId="25996FAA">
      <w:pPr>
        <w:keepNext w:val="0"/>
        <w:keepLines w:val="0"/>
        <w:pageBreakBefore w:val="0"/>
        <w:kinsoku/>
        <w:wordWrap/>
        <w:overflowPunct/>
        <w:topLinePunct w:val="0"/>
        <w:autoSpaceDE/>
        <w:autoSpaceDN/>
        <w:bidi w:val="0"/>
        <w:adjustRightInd/>
        <w:spacing w:line="240" w:lineRule="auto"/>
        <w:ind w:right="42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注：按本格式和要求提供。</w:t>
      </w:r>
    </w:p>
    <w:p w14:paraId="282985E2">
      <w:pPr>
        <w:autoSpaceDE w:val="0"/>
        <w:autoSpaceDN w:val="0"/>
        <w:jc w:val="center"/>
        <w:rPr>
          <w:rFonts w:hint="eastAsia" w:ascii="仿宋_GB2312" w:hAnsi="仿宋_GB2312" w:eastAsia="仿宋_GB2312" w:cs="仿宋_GB2312"/>
          <w:b/>
          <w:color w:val="auto"/>
          <w:spacing w:val="6"/>
          <w:sz w:val="32"/>
          <w:szCs w:val="32"/>
        </w:rPr>
      </w:pPr>
    </w:p>
    <w:p w14:paraId="77AC4CDD">
      <w:pPr>
        <w:autoSpaceDE w:val="0"/>
        <w:autoSpaceDN w:val="0"/>
        <w:jc w:val="center"/>
        <w:rPr>
          <w:rFonts w:hint="eastAsia" w:ascii="仿宋_GB2312" w:hAnsi="仿宋_GB2312" w:eastAsia="仿宋_GB2312" w:cs="仿宋_GB2312"/>
          <w:b/>
          <w:color w:val="auto"/>
          <w:spacing w:val="6"/>
          <w:sz w:val="32"/>
          <w:szCs w:val="32"/>
        </w:rPr>
      </w:pPr>
    </w:p>
    <w:p w14:paraId="1804B436">
      <w:pPr>
        <w:autoSpaceDE w:val="0"/>
        <w:autoSpaceDN w:val="0"/>
        <w:jc w:val="center"/>
        <w:rPr>
          <w:rFonts w:hint="eastAsia" w:ascii="仿宋_GB2312" w:hAnsi="仿宋_GB2312" w:eastAsia="仿宋_GB2312" w:cs="仿宋_GB2312"/>
          <w:b/>
          <w:color w:val="auto"/>
          <w:spacing w:val="6"/>
          <w:sz w:val="32"/>
          <w:szCs w:val="32"/>
        </w:rPr>
      </w:pPr>
    </w:p>
    <w:p w14:paraId="3F877A88">
      <w:pPr>
        <w:pageBreakBefore/>
        <w:snapToGrid w:val="0"/>
        <w:spacing w:line="360" w:lineRule="auto"/>
        <w:jc w:val="center"/>
        <w:outlineLvl w:val="0"/>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附件5：分包意向协议</w:t>
      </w:r>
    </w:p>
    <w:p w14:paraId="5CC0A16A">
      <w:pPr>
        <w:widowControl/>
        <w:spacing w:line="360" w:lineRule="auto"/>
        <w:ind w:firstLine="120" w:firstLineChars="50"/>
        <w:jc w:val="left"/>
        <w:rPr>
          <w:rFonts w:ascii="仿宋_GB2312" w:hAnsi="仿宋" w:eastAsia="仿宋_GB2312" w:cs="仿宋"/>
          <w:color w:val="auto"/>
          <w:sz w:val="24"/>
        </w:rPr>
      </w:pPr>
      <w:r>
        <w:rPr>
          <w:rFonts w:hint="eastAsia" w:ascii="仿宋_GB2312" w:hAnsi="仿宋" w:eastAsia="仿宋_GB2312" w:cs="仿宋"/>
          <w:color w:val="auto"/>
          <w:sz w:val="24"/>
        </w:rPr>
        <w:t>（</w:t>
      </w:r>
      <w:r>
        <w:rPr>
          <w:rFonts w:hint="eastAsia" w:ascii="仿宋_GB2312" w:hAnsi="仿宋" w:eastAsia="仿宋_GB2312" w:cs="仿宋"/>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rPr>
        <w:t>）</w:t>
      </w:r>
    </w:p>
    <w:p w14:paraId="51ECA283">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若成为</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u w:val="single"/>
          <w:lang w:val="en-US" w:eastAsia="zh-CN"/>
        </w:rPr>
        <w:t xml:space="preserve">       </w:t>
      </w:r>
      <w:r>
        <w:rPr>
          <w:rFonts w:hint="eastAsia" w:ascii="仿宋_GB2312" w:hAnsi="仿宋" w:eastAsia="仿宋_GB2312" w:cs="仿宋"/>
          <w:color w:val="auto"/>
          <w:sz w:val="24"/>
        </w:rPr>
        <w:t>【招标编号：</w:t>
      </w:r>
      <w:r>
        <w:rPr>
          <w:rFonts w:hint="eastAsia" w:ascii="仿宋_GB2312" w:hAnsi="仿宋" w:eastAsia="仿宋_GB2312" w:cs="仿宋"/>
          <w:color w:val="auto"/>
          <w:sz w:val="24"/>
          <w:u w:val="single"/>
        </w:rPr>
        <w:t>（采购编号）</w:t>
      </w:r>
      <w:r>
        <w:rPr>
          <w:rFonts w:hint="eastAsia" w:ascii="仿宋_GB2312" w:hAnsi="仿宋" w:eastAsia="仿宋_GB2312" w:cs="仿宋"/>
          <w:color w:val="auto"/>
          <w:sz w:val="24"/>
          <w:u w:val="single"/>
          <w:lang w:val="en-US" w:eastAsia="zh-CN"/>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的中标供应商，将依法采取分包方式履行合同。</w:t>
      </w: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rPr>
        <w:t>与</w:t>
      </w:r>
      <w:r>
        <w:rPr>
          <w:rFonts w:hint="eastAsia" w:ascii="仿宋_GB2312" w:hAnsi="仿宋" w:eastAsia="仿宋_GB2312" w:cs="仿宋"/>
          <w:color w:val="auto"/>
          <w:kern w:val="0"/>
          <w:sz w:val="24"/>
          <w:u w:val="single"/>
        </w:rPr>
        <w:t>（所有分包供应商名称）</w:t>
      </w:r>
      <w:r>
        <w:rPr>
          <w:rFonts w:hint="eastAsia" w:ascii="仿宋_GB2312" w:hAnsi="仿宋" w:eastAsia="仿宋_GB2312" w:cs="仿宋"/>
          <w:color w:val="auto"/>
          <w:kern w:val="0"/>
          <w:sz w:val="24"/>
        </w:rPr>
        <w:t>达成分包意向协议</w:t>
      </w:r>
      <w:r>
        <w:rPr>
          <w:rFonts w:hint="eastAsia" w:ascii="仿宋_GB2312" w:hAnsi="仿宋" w:eastAsia="仿宋_GB2312" w:cs="仿宋"/>
          <w:color w:val="auto"/>
          <w:kern w:val="0"/>
          <w:sz w:val="24"/>
          <w:lang w:val="zh-CN"/>
        </w:rPr>
        <w:t xml:space="preserve">。 </w:t>
      </w:r>
    </w:p>
    <w:p w14:paraId="6B3885D4">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一、分包标的及数量</w:t>
      </w:r>
    </w:p>
    <w:p w14:paraId="7A3D9BF6">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将</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u w:val="single"/>
        </w:rPr>
        <w:t xml:space="preserve">  XX工作内容   </w:t>
      </w:r>
      <w:r>
        <w:rPr>
          <w:rFonts w:hint="eastAsia" w:ascii="仿宋_GB2312" w:hAnsi="仿宋" w:eastAsia="仿宋_GB2312" w:cs="仿宋"/>
          <w:color w:val="auto"/>
          <w:sz w:val="24"/>
        </w:rPr>
        <w:t>分包给</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具备承</w:t>
      </w:r>
      <w:r>
        <w:rPr>
          <w:rFonts w:hint="eastAsia" w:ascii="仿宋_GB2312" w:hAnsi="仿宋" w:eastAsia="仿宋_GB2312" w:cs="仿宋"/>
          <w:color w:val="auto"/>
          <w:kern w:val="0"/>
          <w:sz w:val="24"/>
        </w:rPr>
        <w:t>担</w:t>
      </w:r>
      <w:r>
        <w:rPr>
          <w:rFonts w:hint="eastAsia" w:ascii="仿宋_GB2312" w:hAnsi="仿宋" w:eastAsia="仿宋_GB2312" w:cs="仿宋"/>
          <w:color w:val="auto"/>
          <w:kern w:val="0"/>
          <w:sz w:val="24"/>
          <w:u w:val="single"/>
          <w:lang w:val="zh-CN"/>
        </w:rPr>
        <w:t>XX工作内容</w:t>
      </w:r>
      <w:r>
        <w:rPr>
          <w:rFonts w:hint="eastAsia" w:ascii="仿宋_GB2312" w:hAnsi="仿宋" w:eastAsia="仿宋_GB2312" w:cs="仿宋"/>
          <w:color w:val="auto"/>
          <w:kern w:val="0"/>
          <w:sz w:val="24"/>
          <w:lang w:val="zh-CN"/>
        </w:rPr>
        <w:t>相应资质条件且不得再次分包；</w:t>
      </w:r>
    </w:p>
    <w:p w14:paraId="4EC3B5F2">
      <w:pPr>
        <w:snapToGrid w:val="0"/>
        <w:spacing w:line="360" w:lineRule="auto"/>
        <w:ind w:firstLine="576"/>
        <w:jc w:val="left"/>
        <w:rPr>
          <w:rFonts w:cs="仿宋"/>
          <w:color w:val="auto"/>
          <w:kern w:val="0"/>
          <w:sz w:val="24"/>
        </w:rPr>
      </w:pPr>
      <w:r>
        <w:rPr>
          <w:rFonts w:hint="eastAsia" w:cs="仿宋"/>
          <w:color w:val="auto"/>
          <w:kern w:val="0"/>
          <w:sz w:val="24"/>
        </w:rPr>
        <w:t>……</w:t>
      </w:r>
    </w:p>
    <w:p w14:paraId="14455083">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二、分包供应商中小企业合同份额</w:t>
      </w:r>
    </w:p>
    <w:p w14:paraId="675A210A">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rPr>
        <w:t>1、</w:t>
      </w:r>
      <w:r>
        <w:rPr>
          <w:rFonts w:hint="eastAsia" w:ascii="仿宋_GB2312" w:hAnsi="仿宋" w:eastAsia="仿宋_GB2312" w:cs="仿宋"/>
          <w:color w:val="auto"/>
          <w:kern w:val="0"/>
          <w:sz w:val="24"/>
          <w:u w:val="single"/>
        </w:rPr>
        <w:t>（分包供应商X,……）提供的货物全部由小微企业制造，</w:t>
      </w:r>
      <w:r>
        <w:rPr>
          <w:rFonts w:hint="eastAsia" w:ascii="仿宋_GB2312" w:hAnsi="仿宋" w:eastAsia="仿宋_GB2312" w:cs="仿宋"/>
          <w:color w:val="auto"/>
          <w:kern w:val="0"/>
          <w:sz w:val="24"/>
        </w:rPr>
        <w:t>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14:paraId="47A95218">
      <w:pPr>
        <w:spacing w:line="360" w:lineRule="auto"/>
        <w:ind w:firstLine="480" w:firstLineChars="200"/>
        <w:rPr>
          <w:rFonts w:ascii="仿宋_GB2312" w:hAnsi="仿宋" w:eastAsia="仿宋_GB2312" w:cs="仿宋"/>
          <w:b/>
          <w:bCs/>
          <w:color w:val="auto"/>
          <w:kern w:val="0"/>
          <w:sz w:val="24"/>
          <w:lang w:val="zh-CN"/>
        </w:rPr>
      </w:pPr>
      <w:r>
        <w:rPr>
          <w:rFonts w:hint="eastAsia" w:ascii="仿宋_GB2312" w:hAnsi="仿宋" w:eastAsia="仿宋_GB2312" w:cs="仿宋"/>
          <w:color w:val="auto"/>
          <w:sz w:val="24"/>
        </w:rPr>
        <w:t>2、</w:t>
      </w:r>
      <w:bookmarkStart w:id="166" w:name="_Hlk101133173"/>
      <w:r>
        <w:rPr>
          <w:rFonts w:hint="eastAsia" w:ascii="仿宋_GB2312" w:hAnsi="仿宋" w:eastAsia="仿宋_GB2312" w:cs="仿宋"/>
          <w:color w:val="auto"/>
          <w:sz w:val="24"/>
        </w:rPr>
        <w:t>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lang w:val="zh-CN"/>
        </w:rPr>
        <w:t>分包意向协议</w:t>
      </w:r>
      <w:r>
        <w:rPr>
          <w:rFonts w:hint="eastAsia" w:ascii="仿宋_GB2312" w:hAnsi="仿宋" w:eastAsia="仿宋_GB2312" w:cs="仿宋"/>
          <w:b/>
          <w:bCs/>
          <w:color w:val="auto"/>
          <w:sz w:val="24"/>
        </w:rPr>
        <w:t>中中小企业、小微企业合同金额应当达到的比例要求填写。</w:t>
      </w:r>
      <w:r>
        <w:rPr>
          <w:rFonts w:hint="eastAsia" w:ascii="仿宋_GB2312" w:hAnsi="仿宋" w:eastAsia="仿宋_GB2312" w:cs="仿宋"/>
          <w:b/>
          <w:bCs/>
          <w:color w:val="auto"/>
          <w:kern w:val="0"/>
          <w:sz w:val="24"/>
          <w:lang w:val="zh-CN"/>
        </w:rPr>
        <w:t>）</w:t>
      </w:r>
      <w:bookmarkEnd w:id="166"/>
    </w:p>
    <w:p w14:paraId="3CD0014F">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三、分包工作履行期限、地点、方式</w:t>
      </w:r>
    </w:p>
    <w:p w14:paraId="20B7EE18">
      <w:pPr>
        <w:snapToGrid w:val="0"/>
        <w:spacing w:line="360" w:lineRule="auto"/>
        <w:ind w:firstLine="576"/>
        <w:rPr>
          <w:rFonts w:ascii="仿宋_GB2312" w:hAnsi="仿宋" w:eastAsia="仿宋_GB2312" w:cs="仿宋"/>
          <w:color w:val="auto"/>
          <w:u w:val="single"/>
        </w:rPr>
      </w:pPr>
      <w:r>
        <w:rPr>
          <w:rFonts w:hint="eastAsia" w:ascii="仿宋_GB2312" w:hAnsi="仿宋" w:eastAsia="仿宋_GB2312" w:cs="仿宋"/>
          <w:color w:val="auto"/>
          <w:u w:val="single"/>
        </w:rPr>
        <w:t xml:space="preserve">                                                                                  </w:t>
      </w:r>
    </w:p>
    <w:p w14:paraId="43053F21">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四、质量</w:t>
      </w:r>
    </w:p>
    <w:p w14:paraId="7F6648B5">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14:paraId="0400FC8F">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五、价款或者报酬</w:t>
      </w:r>
    </w:p>
    <w:p w14:paraId="0354D1BF">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14:paraId="496B129F">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六、违约责任</w:t>
      </w:r>
    </w:p>
    <w:p w14:paraId="2F980F37">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14:paraId="7DD935BC">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七、争议解决的办法</w:t>
      </w:r>
    </w:p>
    <w:p w14:paraId="619478D8">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14:paraId="1C976BB3">
      <w:pPr>
        <w:snapToGrid w:val="0"/>
        <w:spacing w:line="360" w:lineRule="auto"/>
        <w:ind w:left="5758" w:leftChars="342" w:hanging="5040" w:hanging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投标人名称(电子签名)：</w:t>
      </w:r>
    </w:p>
    <w:p w14:paraId="12C7B292">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分包供应商名称(电子签名/公章)：</w:t>
      </w:r>
    </w:p>
    <w:p w14:paraId="5C22B2F8">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14:paraId="20B95A6D">
      <w:pPr>
        <w:spacing w:line="360" w:lineRule="auto"/>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14:paraId="5F6B1E3A">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14:paraId="5228D62E">
      <w:pPr>
        <w:autoSpaceDE w:val="0"/>
        <w:autoSpaceDN w:val="0"/>
        <w:jc w:val="center"/>
        <w:rPr>
          <w:rFonts w:hint="eastAsia" w:ascii="仿宋_GB2312" w:hAnsi="仿宋_GB2312" w:eastAsia="仿宋_GB2312" w:cs="仿宋_GB2312"/>
          <w:b/>
          <w:color w:val="auto"/>
          <w:spacing w:val="6"/>
          <w:sz w:val="32"/>
          <w:szCs w:val="32"/>
        </w:rPr>
      </w:pPr>
    </w:p>
    <w:p w14:paraId="1674DD1B">
      <w:pPr>
        <w:pageBreakBefore/>
        <w:spacing w:line="360" w:lineRule="auto"/>
        <w:jc w:val="center"/>
        <w:rPr>
          <w:rFonts w:hint="eastAsia" w:ascii="仿宋_GB2312" w:hAnsi="仿宋_GB2312" w:eastAsia="仿宋_GB2312" w:cs="仿宋_GB2312"/>
          <w:b/>
          <w:color w:val="auto"/>
          <w:spacing w:val="6"/>
          <w:sz w:val="32"/>
          <w:szCs w:val="32"/>
        </w:rPr>
      </w:pPr>
      <w:bookmarkStart w:id="167" w:name="OLE_LINK14"/>
      <w:bookmarkStart w:id="168" w:name="OLE_LINK13"/>
      <w:r>
        <w:rPr>
          <w:rFonts w:hint="eastAsia" w:ascii="仿宋_GB2312" w:hAnsi="仿宋_GB2312" w:eastAsia="仿宋_GB2312" w:cs="仿宋_GB2312"/>
          <w:b/>
          <w:color w:val="auto"/>
          <w:spacing w:val="6"/>
          <w:sz w:val="32"/>
          <w:szCs w:val="32"/>
        </w:rPr>
        <w:t>附件6：残疾人福利性单位声明函</w:t>
      </w:r>
    </w:p>
    <w:bookmarkEnd w:id="167"/>
    <w:bookmarkEnd w:id="168"/>
    <w:p w14:paraId="04DE1A28">
      <w:pPr>
        <w:spacing w:line="360" w:lineRule="auto"/>
        <w:rPr>
          <w:rFonts w:hint="eastAsia" w:ascii="仿宋_GB2312" w:hAnsi="仿宋_GB2312" w:eastAsia="仿宋_GB2312" w:cs="仿宋_GB2312"/>
          <w:b/>
          <w:color w:val="auto"/>
          <w:spacing w:val="6"/>
          <w:sz w:val="30"/>
          <w:szCs w:val="30"/>
        </w:rPr>
      </w:pPr>
    </w:p>
    <w:p w14:paraId="33A4E444">
      <w:pPr>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u w:val="single"/>
        </w:rPr>
        <w:t>（采购人）</w:t>
      </w:r>
      <w:r>
        <w:rPr>
          <w:rFonts w:hint="eastAsia" w:ascii="仿宋_GB2312" w:hAnsi="仿宋_GB2312" w:eastAsia="仿宋_GB2312" w:cs="仿宋_GB2312"/>
          <w:color w:val="auto"/>
          <w:sz w:val="24"/>
        </w:rPr>
        <w:t>_单位的_</w:t>
      </w:r>
      <w:r>
        <w:rPr>
          <w:rFonts w:hint="eastAsia" w:ascii="仿宋_GB2312" w:hAnsi="仿宋_GB2312" w:eastAsia="仿宋_GB2312" w:cs="仿宋_GB2312"/>
          <w:color w:val="auto"/>
          <w:sz w:val="24"/>
          <w:u w:val="single"/>
        </w:rPr>
        <w:t>（项目名称）</w:t>
      </w:r>
      <w:r>
        <w:rPr>
          <w:rFonts w:hint="eastAsia" w:ascii="仿宋_GB2312" w:hAnsi="仿宋_GB2312" w:eastAsia="仿宋_GB2312" w:cs="仿宋_GB2312"/>
          <w:color w:val="auto"/>
          <w:sz w:val="24"/>
        </w:rPr>
        <w:t>__项目采购活动提供本单位制造的货物（由本单位承担工程/提供服务），或者提供其他残疾人福利性单位制造的货物（不包括使用非残疾人福利性单位注册商标的货物）。</w:t>
      </w:r>
    </w:p>
    <w:p w14:paraId="7FF7E104">
      <w:pPr>
        <w:spacing w:line="360"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14:paraId="3EFF01FA">
      <w:pPr>
        <w:spacing w:line="360" w:lineRule="auto"/>
        <w:ind w:firstLine="480" w:firstLineChars="200"/>
        <w:rPr>
          <w:rFonts w:hint="eastAsia" w:ascii="仿宋_GB2312" w:hAnsi="仿宋_GB2312" w:eastAsia="仿宋_GB2312" w:cs="仿宋_GB2312"/>
          <w:color w:val="auto"/>
          <w:sz w:val="24"/>
        </w:rPr>
      </w:pPr>
    </w:p>
    <w:p w14:paraId="5879479D">
      <w:pPr>
        <w:spacing w:line="360" w:lineRule="auto"/>
        <w:ind w:firstLine="480" w:firstLineChars="200"/>
        <w:rPr>
          <w:rFonts w:hint="eastAsia" w:ascii="仿宋_GB2312" w:hAnsi="仿宋_GB2312" w:eastAsia="仿宋_GB2312" w:cs="仿宋_GB2312"/>
          <w:color w:val="auto"/>
          <w:sz w:val="24"/>
        </w:rPr>
      </w:pPr>
    </w:p>
    <w:p w14:paraId="1DAE0632">
      <w:pPr>
        <w:tabs>
          <w:tab w:val="left" w:pos="4860"/>
        </w:tabs>
        <w:spacing w:line="360" w:lineRule="auto"/>
        <w:ind w:right="1560"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val="zh-CN"/>
        </w:rPr>
        <w:t>投标人名称（电子签名）</w:t>
      </w:r>
      <w:r>
        <w:rPr>
          <w:rFonts w:hint="eastAsia" w:ascii="仿宋_GB2312" w:hAnsi="仿宋_GB2312" w:eastAsia="仿宋_GB2312" w:cs="仿宋_GB2312"/>
          <w:color w:val="auto"/>
          <w:sz w:val="24"/>
        </w:rPr>
        <w:t>：</w:t>
      </w:r>
    </w:p>
    <w:p w14:paraId="6DBEB095">
      <w:pPr>
        <w:tabs>
          <w:tab w:val="left" w:pos="4860"/>
        </w:tabs>
        <w:spacing w:line="360" w:lineRule="auto"/>
        <w:ind w:right="1560"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  期：</w:t>
      </w:r>
    </w:p>
    <w:p w14:paraId="76C4428F">
      <w:pPr>
        <w:autoSpaceDE w:val="0"/>
        <w:autoSpaceDN w:val="0"/>
        <w:jc w:val="center"/>
        <w:rPr>
          <w:rFonts w:hint="eastAsia" w:ascii="仿宋_GB2312" w:hAnsi="仿宋_GB2312" w:eastAsia="仿宋_GB2312" w:cs="仿宋_GB2312"/>
          <w:b/>
          <w:color w:val="auto"/>
          <w:spacing w:val="6"/>
          <w:sz w:val="32"/>
          <w:szCs w:val="32"/>
        </w:rPr>
      </w:pPr>
    </w:p>
    <w:p w14:paraId="021A71B9">
      <w:pPr>
        <w:autoSpaceDE w:val="0"/>
        <w:autoSpaceDN w:val="0"/>
        <w:jc w:val="center"/>
        <w:rPr>
          <w:rFonts w:hint="eastAsia" w:ascii="仿宋_GB2312" w:hAnsi="仿宋_GB2312" w:eastAsia="仿宋_GB2312" w:cs="仿宋_GB2312"/>
          <w:b/>
          <w:color w:val="auto"/>
          <w:spacing w:val="6"/>
          <w:sz w:val="32"/>
          <w:szCs w:val="32"/>
        </w:rPr>
      </w:pPr>
    </w:p>
    <w:p w14:paraId="37CE477A">
      <w:pPr>
        <w:autoSpaceDE w:val="0"/>
        <w:autoSpaceDN w:val="0"/>
        <w:jc w:val="center"/>
        <w:rPr>
          <w:rFonts w:hint="eastAsia" w:ascii="仿宋_GB2312" w:hAnsi="仿宋_GB2312" w:eastAsia="仿宋_GB2312" w:cs="仿宋_GB2312"/>
          <w:b/>
          <w:color w:val="auto"/>
          <w:spacing w:val="6"/>
          <w:sz w:val="32"/>
          <w:szCs w:val="32"/>
        </w:rPr>
      </w:pPr>
    </w:p>
    <w:p w14:paraId="54AEF55B">
      <w:pPr>
        <w:autoSpaceDE w:val="0"/>
        <w:autoSpaceDN w:val="0"/>
        <w:jc w:val="center"/>
        <w:rPr>
          <w:rFonts w:hint="eastAsia" w:ascii="仿宋_GB2312" w:hAnsi="仿宋_GB2312" w:eastAsia="仿宋_GB2312" w:cs="仿宋_GB2312"/>
          <w:b/>
          <w:color w:val="auto"/>
          <w:spacing w:val="6"/>
          <w:sz w:val="32"/>
          <w:szCs w:val="32"/>
        </w:rPr>
      </w:pPr>
    </w:p>
    <w:p w14:paraId="7DD16BAE">
      <w:pPr>
        <w:autoSpaceDE w:val="0"/>
        <w:autoSpaceDN w:val="0"/>
        <w:jc w:val="center"/>
        <w:rPr>
          <w:rFonts w:hint="eastAsia" w:ascii="仿宋_GB2312" w:hAnsi="仿宋_GB2312" w:eastAsia="仿宋_GB2312" w:cs="仿宋_GB2312"/>
          <w:b/>
          <w:color w:val="auto"/>
          <w:spacing w:val="6"/>
          <w:sz w:val="32"/>
          <w:szCs w:val="32"/>
        </w:rPr>
      </w:pPr>
    </w:p>
    <w:p w14:paraId="7076793F">
      <w:pPr>
        <w:autoSpaceDE w:val="0"/>
        <w:autoSpaceDN w:val="0"/>
        <w:jc w:val="center"/>
        <w:rPr>
          <w:rFonts w:hint="eastAsia" w:ascii="仿宋_GB2312" w:hAnsi="仿宋_GB2312" w:eastAsia="仿宋_GB2312" w:cs="仿宋_GB2312"/>
          <w:b/>
          <w:color w:val="auto"/>
          <w:spacing w:val="6"/>
          <w:sz w:val="32"/>
          <w:szCs w:val="32"/>
        </w:rPr>
      </w:pPr>
    </w:p>
    <w:p w14:paraId="43457431">
      <w:pPr>
        <w:autoSpaceDE w:val="0"/>
        <w:autoSpaceDN w:val="0"/>
        <w:jc w:val="center"/>
        <w:rPr>
          <w:rFonts w:hint="eastAsia" w:ascii="仿宋_GB2312" w:hAnsi="仿宋_GB2312" w:eastAsia="仿宋_GB2312" w:cs="仿宋_GB2312"/>
          <w:b/>
          <w:color w:val="auto"/>
          <w:spacing w:val="6"/>
          <w:sz w:val="32"/>
          <w:szCs w:val="32"/>
        </w:rPr>
      </w:pPr>
    </w:p>
    <w:p w14:paraId="780F2C1A">
      <w:pPr>
        <w:autoSpaceDE w:val="0"/>
        <w:autoSpaceDN w:val="0"/>
        <w:jc w:val="center"/>
        <w:rPr>
          <w:rFonts w:hint="eastAsia" w:ascii="仿宋_GB2312" w:hAnsi="仿宋_GB2312" w:eastAsia="仿宋_GB2312" w:cs="仿宋_GB2312"/>
          <w:b/>
          <w:color w:val="auto"/>
          <w:spacing w:val="6"/>
          <w:sz w:val="32"/>
          <w:szCs w:val="32"/>
        </w:rPr>
      </w:pPr>
    </w:p>
    <w:p w14:paraId="24A10816">
      <w:pPr>
        <w:autoSpaceDE w:val="0"/>
        <w:autoSpaceDN w:val="0"/>
        <w:jc w:val="center"/>
        <w:rPr>
          <w:rFonts w:hint="eastAsia" w:ascii="仿宋_GB2312" w:hAnsi="仿宋_GB2312" w:eastAsia="仿宋_GB2312" w:cs="仿宋_GB2312"/>
          <w:b/>
          <w:color w:val="auto"/>
          <w:spacing w:val="6"/>
          <w:sz w:val="32"/>
          <w:szCs w:val="32"/>
        </w:rPr>
      </w:pPr>
    </w:p>
    <w:p w14:paraId="25E1A9FB">
      <w:pPr>
        <w:autoSpaceDE w:val="0"/>
        <w:autoSpaceDN w:val="0"/>
        <w:jc w:val="center"/>
        <w:rPr>
          <w:rFonts w:hint="eastAsia" w:ascii="仿宋_GB2312" w:hAnsi="仿宋_GB2312" w:eastAsia="仿宋_GB2312" w:cs="仿宋_GB2312"/>
          <w:b/>
          <w:color w:val="auto"/>
          <w:spacing w:val="6"/>
          <w:sz w:val="32"/>
          <w:szCs w:val="32"/>
        </w:rPr>
      </w:pPr>
    </w:p>
    <w:p w14:paraId="2A7D2C82">
      <w:pPr>
        <w:autoSpaceDE w:val="0"/>
        <w:autoSpaceDN w:val="0"/>
        <w:jc w:val="center"/>
        <w:rPr>
          <w:rFonts w:hint="eastAsia" w:ascii="仿宋_GB2312" w:hAnsi="仿宋_GB2312" w:eastAsia="仿宋_GB2312" w:cs="仿宋_GB2312"/>
          <w:b/>
          <w:color w:val="auto"/>
          <w:spacing w:val="6"/>
          <w:sz w:val="32"/>
          <w:szCs w:val="32"/>
        </w:rPr>
      </w:pPr>
    </w:p>
    <w:p w14:paraId="2580A086">
      <w:pPr>
        <w:autoSpaceDE w:val="0"/>
        <w:autoSpaceDN w:val="0"/>
        <w:jc w:val="center"/>
        <w:rPr>
          <w:rFonts w:hint="eastAsia" w:ascii="仿宋_GB2312" w:hAnsi="仿宋_GB2312" w:eastAsia="仿宋_GB2312" w:cs="仿宋_GB2312"/>
          <w:b/>
          <w:color w:val="auto"/>
          <w:spacing w:val="6"/>
          <w:sz w:val="32"/>
          <w:szCs w:val="32"/>
        </w:rPr>
      </w:pPr>
    </w:p>
    <w:p w14:paraId="4933C677">
      <w:pPr>
        <w:autoSpaceDE w:val="0"/>
        <w:autoSpaceDN w:val="0"/>
        <w:jc w:val="center"/>
        <w:rPr>
          <w:rFonts w:hint="eastAsia" w:ascii="仿宋_GB2312" w:hAnsi="仿宋_GB2312" w:eastAsia="仿宋_GB2312" w:cs="仿宋_GB2312"/>
          <w:b/>
          <w:color w:val="auto"/>
          <w:spacing w:val="6"/>
          <w:sz w:val="32"/>
          <w:szCs w:val="32"/>
        </w:rPr>
      </w:pPr>
    </w:p>
    <w:p w14:paraId="7527FEAB">
      <w:pPr>
        <w:autoSpaceDE w:val="0"/>
        <w:autoSpaceDN w:val="0"/>
        <w:jc w:val="center"/>
        <w:rPr>
          <w:rFonts w:hint="eastAsia" w:ascii="仿宋_GB2312" w:hAnsi="仿宋_GB2312" w:eastAsia="仿宋_GB2312" w:cs="仿宋_GB2312"/>
          <w:b/>
          <w:color w:val="auto"/>
          <w:spacing w:val="6"/>
          <w:sz w:val="32"/>
          <w:szCs w:val="32"/>
        </w:rPr>
      </w:pPr>
    </w:p>
    <w:p w14:paraId="40D901B2">
      <w:pPr>
        <w:pageBreakBefore/>
        <w:spacing w:line="360" w:lineRule="auto"/>
        <w:rPr>
          <w:rFonts w:hint="eastAsia" w:ascii="仿宋_GB2312" w:hAnsi="仿宋_GB2312" w:eastAsia="仿宋_GB2312" w:cs="仿宋_GB2312"/>
          <w:b/>
          <w:color w:val="auto"/>
          <w:spacing w:val="6"/>
          <w:sz w:val="32"/>
          <w:szCs w:val="32"/>
        </w:rPr>
      </w:pPr>
      <w:r>
        <w:rPr>
          <w:rFonts w:hint="eastAsia" w:ascii="仿宋_GB2312" w:hAnsi="仿宋_GB2312" w:eastAsia="仿宋_GB2312" w:cs="仿宋_GB2312"/>
          <w:b/>
          <w:color w:val="auto"/>
          <w:spacing w:val="6"/>
          <w:sz w:val="32"/>
          <w:szCs w:val="32"/>
        </w:rPr>
        <w:t>附件7：</w:t>
      </w:r>
      <w:r>
        <w:rPr>
          <w:rFonts w:hint="eastAsia" w:ascii="仿宋_GB2312" w:hAnsi="仿宋_GB2312" w:eastAsia="仿宋_GB2312" w:cs="仿宋_GB2312"/>
          <w:b/>
          <w:color w:val="auto"/>
          <w:kern w:val="0"/>
          <w:sz w:val="32"/>
          <w:szCs w:val="32"/>
        </w:rPr>
        <w:t>中小企业声明函</w:t>
      </w:r>
    </w:p>
    <w:p w14:paraId="2800A2F5">
      <w:pPr>
        <w:keepNext w:val="0"/>
        <w:keepLines w:val="0"/>
        <w:pageBreakBefore w:val="0"/>
        <w:widowControl w:val="0"/>
        <w:kinsoku/>
        <w:wordWrap/>
        <w:overflowPunct/>
        <w:topLinePunct w:val="0"/>
        <w:autoSpaceDE/>
        <w:autoSpaceDN/>
        <w:bidi w:val="0"/>
        <w:adjustRightInd/>
        <w:spacing w:line="300" w:lineRule="auto"/>
        <w:jc w:val="center"/>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中小企业声明函（货物）</w:t>
      </w:r>
    </w:p>
    <w:p w14:paraId="00F7D306">
      <w:pPr>
        <w:keepNext w:val="0"/>
        <w:keepLines w:val="0"/>
        <w:pageBreakBefore w:val="0"/>
        <w:widowControl w:val="0"/>
        <w:kinsoku/>
        <w:wordWrap/>
        <w:overflowPunct/>
        <w:topLinePunct w:val="0"/>
        <w:autoSpaceDE/>
        <w:autoSpaceDN/>
        <w:bidi w:val="0"/>
        <w:adjustRightInd/>
        <w:spacing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本公司（联合体）郑重声明，根据《政府采购促进中小企业发展管理办法》（财库﹝2020﹞46 号）的规定，本公司（联合体）参加</w:t>
      </w:r>
      <w:r>
        <w:rPr>
          <w:rFonts w:hint="eastAsia" w:ascii="仿宋_GB2312" w:hAnsi="仿宋_GB2312" w:eastAsia="仿宋_GB2312" w:cs="仿宋_GB2312"/>
          <w:color w:val="auto"/>
          <w:sz w:val="24"/>
          <w:u w:val="single"/>
        </w:rPr>
        <w:t>（采购人）</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项目</w:t>
      </w:r>
      <w:r>
        <w:rPr>
          <w:rFonts w:hint="eastAsia" w:ascii="仿宋_GB2312" w:hAnsi="仿宋_GB2312" w:eastAsia="仿宋_GB2312" w:cs="仿宋_GB2312"/>
          <w:color w:val="auto"/>
          <w:sz w:val="24"/>
        </w:rPr>
        <w:t>采购活动，提供的货物全部由符合政策要求的中小企业制造。相关企业（含联合体中的中小企业、签订分包意向协议的中小企业）的具体情况如下：</w:t>
      </w:r>
    </w:p>
    <w:p w14:paraId="0ED26251">
      <w:pPr>
        <w:keepNext w:val="0"/>
        <w:keepLines w:val="0"/>
        <w:pageBreakBefore w:val="0"/>
        <w:widowControl w:val="0"/>
        <w:kinsoku/>
        <w:wordWrap/>
        <w:overflowPunct/>
        <w:topLinePunct w:val="0"/>
        <w:autoSpaceDE/>
        <w:autoSpaceDN/>
        <w:bidi w:val="0"/>
        <w:adjustRightInd/>
        <w:spacing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行业；制造商为</w:t>
      </w:r>
      <w:r>
        <w:rPr>
          <w:rFonts w:hint="eastAsia" w:ascii="仿宋_GB2312" w:hAnsi="仿宋_GB2312" w:eastAsia="仿宋_GB2312" w:cs="仿宋_GB2312"/>
          <w:color w:val="auto"/>
          <w:sz w:val="24"/>
          <w:u w:val="single"/>
        </w:rPr>
        <w:t>（企业名称）</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（中型企业、小型企业、微型企业）</w:t>
      </w:r>
      <w:r>
        <w:rPr>
          <w:rFonts w:hint="eastAsia" w:ascii="仿宋_GB2312" w:hAnsi="仿宋_GB2312" w:eastAsia="仿宋_GB2312" w:cs="仿宋_GB2312"/>
          <w:color w:val="auto"/>
          <w:sz w:val="24"/>
        </w:rPr>
        <w:t>；</w:t>
      </w:r>
    </w:p>
    <w:p w14:paraId="071EF414">
      <w:pPr>
        <w:keepNext w:val="0"/>
        <w:keepLines w:val="0"/>
        <w:pageBreakBefore w:val="0"/>
        <w:widowControl w:val="0"/>
        <w:kinsoku/>
        <w:wordWrap/>
        <w:overflowPunct/>
        <w:topLinePunct w:val="0"/>
        <w:autoSpaceDE/>
        <w:autoSpaceDN/>
        <w:bidi w:val="0"/>
        <w:adjustRightInd/>
        <w:spacing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行业；制造商为</w:t>
      </w:r>
      <w:r>
        <w:rPr>
          <w:rFonts w:hint="eastAsia" w:ascii="仿宋_GB2312" w:hAnsi="仿宋_GB2312" w:eastAsia="仿宋_GB2312" w:cs="仿宋_GB2312"/>
          <w:color w:val="auto"/>
          <w:sz w:val="24"/>
          <w:u w:val="single"/>
        </w:rPr>
        <w:t>（企业名称）</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（中型企业、小型企业、微型企业）</w:t>
      </w:r>
      <w:r>
        <w:rPr>
          <w:rFonts w:hint="eastAsia" w:ascii="仿宋_GB2312" w:hAnsi="仿宋_GB2312" w:eastAsia="仿宋_GB2312" w:cs="仿宋_GB2312"/>
          <w:color w:val="auto"/>
          <w:sz w:val="24"/>
        </w:rPr>
        <w:t>；</w:t>
      </w:r>
    </w:p>
    <w:p w14:paraId="7630DF6C">
      <w:pPr>
        <w:keepNext w:val="0"/>
        <w:keepLines w:val="0"/>
        <w:pageBreakBefore w:val="0"/>
        <w:widowControl w:val="0"/>
        <w:kinsoku/>
        <w:wordWrap/>
        <w:overflowPunct/>
        <w:topLinePunct w:val="0"/>
        <w:autoSpaceDE/>
        <w:autoSpaceDN/>
        <w:bidi w:val="0"/>
        <w:adjustRightInd/>
        <w:spacing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p w14:paraId="0304CB68">
      <w:pPr>
        <w:keepNext w:val="0"/>
        <w:keepLines w:val="0"/>
        <w:pageBreakBefore w:val="0"/>
        <w:widowControl w:val="0"/>
        <w:kinsoku/>
        <w:wordWrap/>
        <w:overflowPunct/>
        <w:topLinePunct w:val="0"/>
        <w:autoSpaceDE/>
        <w:autoSpaceDN/>
        <w:bidi w:val="0"/>
        <w:adjustRightInd/>
        <w:spacing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14:paraId="316BCE93">
      <w:pPr>
        <w:keepNext w:val="0"/>
        <w:keepLines w:val="0"/>
        <w:pageBreakBefore w:val="0"/>
        <w:widowControl w:val="0"/>
        <w:kinsoku/>
        <w:wordWrap/>
        <w:overflowPunct/>
        <w:topLinePunct w:val="0"/>
        <w:autoSpaceDE/>
        <w:autoSpaceDN/>
        <w:bidi w:val="0"/>
        <w:adjustRightInd/>
        <w:spacing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14:paraId="6D48B514">
      <w:pPr>
        <w:keepNext w:val="0"/>
        <w:keepLines w:val="0"/>
        <w:pageBreakBefore w:val="0"/>
        <w:widowControl w:val="0"/>
        <w:kinsoku/>
        <w:wordWrap/>
        <w:overflowPunct/>
        <w:topLinePunct w:val="0"/>
        <w:autoSpaceDE/>
        <w:autoSpaceDN/>
        <w:bidi w:val="0"/>
        <w:adjustRightInd/>
        <w:snapToGrid w:val="0"/>
        <w:spacing w:line="300" w:lineRule="auto"/>
        <w:ind w:firstLine="5160" w:firstLineChars="2150"/>
        <w:textAlignment w:val="auto"/>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投标人名称(电子签名)：</w:t>
      </w:r>
    </w:p>
    <w:p w14:paraId="0B570F67">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hint="eastAsia"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：年</w:t>
      </w:r>
      <w:r>
        <w:rPr>
          <w:rFonts w:hint="eastAsia" w:ascii="仿宋_GB2312" w:hAnsi="仿宋_GB2312" w:eastAsia="仿宋_GB2312" w:cs="仿宋_GB2312"/>
          <w:color w:val="auto"/>
          <w:kern w:val="0"/>
          <w:sz w:val="24"/>
          <w:lang w:val="zh-CN"/>
        </w:rPr>
        <w:t>月日</w:t>
      </w:r>
    </w:p>
    <w:p w14:paraId="252155B6">
      <w:pPr>
        <w:keepNext w:val="0"/>
        <w:keepLines w:val="0"/>
        <w:pageBreakBefore w:val="0"/>
        <w:widowControl w:val="0"/>
        <w:kinsoku/>
        <w:wordWrap/>
        <w:overflowPunct/>
        <w:topLinePunct w:val="0"/>
        <w:autoSpaceDE/>
        <w:autoSpaceDN/>
        <w:bidi w:val="0"/>
        <w:adjustRightInd/>
        <w:spacing w:line="300" w:lineRule="auto"/>
        <w:jc w:val="left"/>
        <w:textAlignment w:val="auto"/>
        <w:rPr>
          <w:rFonts w:hint="eastAsia" w:ascii="仿宋_GB2312" w:hAnsi="仿宋_GB2312" w:eastAsia="仿宋_GB2312" w:cs="仿宋_GB2312"/>
          <w:color w:val="auto"/>
          <w:sz w:val="18"/>
          <w:szCs w:val="18"/>
        </w:rPr>
      </w:pPr>
    </w:p>
    <w:p w14:paraId="0128BE8D">
      <w:pPr>
        <w:keepNext w:val="0"/>
        <w:keepLines w:val="0"/>
        <w:pageBreakBefore w:val="0"/>
        <w:widowControl w:val="0"/>
        <w:kinsoku/>
        <w:wordWrap/>
        <w:overflowPunct/>
        <w:topLinePunct w:val="0"/>
        <w:autoSpaceDE/>
        <w:autoSpaceDN/>
        <w:bidi w:val="0"/>
        <w:adjustRightInd/>
        <w:spacing w:line="300" w:lineRule="auto"/>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从业人员、营业收入、资产总额填报上一年度数据，无上一年度数据的新成立企业可不填报。</w:t>
      </w:r>
    </w:p>
    <w:p w14:paraId="07018A59">
      <w:pPr>
        <w:keepNext w:val="0"/>
        <w:keepLines w:val="0"/>
        <w:pageBreakBefore w:val="0"/>
        <w:widowControl w:val="0"/>
        <w:kinsoku/>
        <w:wordWrap/>
        <w:overflowPunct/>
        <w:topLinePunct w:val="0"/>
        <w:autoSpaceDE/>
        <w:autoSpaceDN/>
        <w:bidi w:val="0"/>
        <w:adjustRightInd/>
        <w:snapToGrid/>
        <w:spacing w:line="288" w:lineRule="auto"/>
        <w:ind w:right="420"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w:t>
      </w:r>
    </w:p>
    <w:p w14:paraId="260C571C">
      <w:pPr>
        <w:keepNext w:val="0"/>
        <w:keepLines w:val="0"/>
        <w:pageBreakBefore w:val="0"/>
        <w:widowControl w:val="0"/>
        <w:kinsoku/>
        <w:wordWrap/>
        <w:overflowPunct/>
        <w:topLinePunct w:val="0"/>
        <w:autoSpaceDE/>
        <w:autoSpaceDN/>
        <w:bidi w:val="0"/>
        <w:adjustRightInd/>
        <w:snapToGrid/>
        <w:spacing w:line="288" w:lineRule="auto"/>
        <w:ind w:right="420"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16CC706">
      <w:pPr>
        <w:keepNext w:val="0"/>
        <w:keepLines w:val="0"/>
        <w:pageBreakBefore w:val="0"/>
        <w:widowControl w:val="0"/>
        <w:kinsoku/>
        <w:wordWrap/>
        <w:overflowPunct/>
        <w:topLinePunct w:val="0"/>
        <w:autoSpaceDE/>
        <w:autoSpaceDN/>
        <w:bidi w:val="0"/>
        <w:adjustRightInd/>
        <w:snapToGrid/>
        <w:spacing w:line="288" w:lineRule="auto"/>
        <w:ind w:right="420"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D1A2AE9">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中小企业声明函（服务）</w:t>
      </w:r>
    </w:p>
    <w:p w14:paraId="53D2F656">
      <w:pPr>
        <w:keepNext w:val="0"/>
        <w:keepLines w:val="0"/>
        <w:pageBreakBefore w:val="0"/>
        <w:widowControl w:val="0"/>
        <w:kinsoku/>
        <w:wordWrap/>
        <w:overflowPunct/>
        <w:topLinePunct w:val="0"/>
        <w:autoSpaceDE/>
        <w:autoSpaceDN/>
        <w:bidi w:val="0"/>
        <w:adjustRightInd/>
        <w:snapToGrid/>
        <w:spacing w:line="300" w:lineRule="auto"/>
        <w:ind w:firstLine="360" w:firstLineChars="15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u w:val="single"/>
        </w:rPr>
        <w:t xml:space="preserve">（采购人）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（项目名称） </w:t>
      </w:r>
      <w:r>
        <w:rPr>
          <w:rFonts w:hint="eastAsia" w:ascii="仿宋_GB2312" w:hAnsi="仿宋_GB2312" w:eastAsia="仿宋_GB2312" w:cs="仿宋_GB2312"/>
          <w:color w:val="auto"/>
          <w:sz w:val="24"/>
        </w:rPr>
        <w:t>采购活动，服务全部由符合政策要求的中小企业承接。相关企业（含联合体中的中小企业、签订分包意向协议的中小企业）的具体情况如下：</w:t>
      </w:r>
    </w:p>
    <w:p w14:paraId="29ABB25C">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 xml:space="preserve"> （采购文件中明确的所属行业）</w:t>
      </w:r>
      <w:r>
        <w:rPr>
          <w:rFonts w:hint="eastAsia" w:ascii="仿宋_GB2312" w:hAnsi="仿宋_GB2312" w:eastAsia="仿宋_GB2312" w:cs="仿宋_GB2312"/>
          <w:color w:val="auto"/>
          <w:sz w:val="24"/>
        </w:rPr>
        <w:t xml:space="preserve"> ；承建（承接）企业为 </w:t>
      </w:r>
      <w:r>
        <w:rPr>
          <w:rFonts w:hint="eastAsia" w:ascii="仿宋_GB2312" w:hAnsi="仿宋_GB2312" w:eastAsia="仿宋_GB2312" w:cs="仿宋_GB2312"/>
          <w:color w:val="auto"/>
          <w:sz w:val="24"/>
          <w:u w:val="single"/>
        </w:rPr>
        <w:t>（企业名称）</w:t>
      </w:r>
      <w:r>
        <w:rPr>
          <w:rFonts w:hint="eastAsia" w:ascii="仿宋_GB2312" w:hAnsi="仿宋_GB2312" w:eastAsia="仿宋_GB2312" w:cs="仿宋_GB2312"/>
          <w:color w:val="auto"/>
          <w:sz w:val="24"/>
        </w:rPr>
        <w:t xml:space="preserve"> ，从业人员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 </w:t>
      </w:r>
      <w:r>
        <w:rPr>
          <w:rFonts w:hint="eastAsia" w:ascii="仿宋_GB2312" w:hAnsi="仿宋_GB2312" w:eastAsia="仿宋_GB2312" w:cs="仿宋_GB2312"/>
          <w:color w:val="auto"/>
          <w:sz w:val="24"/>
        </w:rPr>
        <w:t>；</w:t>
      </w:r>
    </w:p>
    <w:p w14:paraId="268D27E8">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 xml:space="preserve">属于 </w:t>
      </w:r>
      <w:r>
        <w:rPr>
          <w:rFonts w:hint="eastAsia" w:ascii="仿宋_GB2312" w:hAnsi="仿宋_GB2312" w:eastAsia="仿宋_GB2312" w:cs="仿宋_GB2312"/>
          <w:color w:val="auto"/>
          <w:sz w:val="24"/>
          <w:u w:val="single"/>
        </w:rPr>
        <w:t xml:space="preserve">（采购文件中明确的所属行业） </w:t>
      </w:r>
      <w:r>
        <w:rPr>
          <w:rFonts w:hint="eastAsia" w:ascii="仿宋_GB2312" w:hAnsi="仿宋_GB2312" w:eastAsia="仿宋_GB2312" w:cs="仿宋_GB2312"/>
          <w:color w:val="auto"/>
          <w:sz w:val="24"/>
        </w:rPr>
        <w:t xml:space="preserve">；承建（承接）企业为 </w:t>
      </w:r>
      <w:r>
        <w:rPr>
          <w:rFonts w:hint="eastAsia" w:ascii="仿宋_GB2312" w:hAnsi="仿宋_GB2312" w:eastAsia="仿宋_GB2312" w:cs="仿宋_GB2312"/>
          <w:color w:val="auto"/>
          <w:sz w:val="24"/>
          <w:u w:val="single"/>
        </w:rPr>
        <w:t>（企业名称）</w:t>
      </w:r>
      <w:r>
        <w:rPr>
          <w:rFonts w:hint="eastAsia" w:ascii="仿宋_GB2312" w:hAnsi="仿宋_GB2312" w:eastAsia="仿宋_GB2312" w:cs="仿宋_GB2312"/>
          <w:color w:val="auto"/>
          <w:sz w:val="24"/>
        </w:rPr>
        <w:t xml:space="preserve"> ，从业人员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 </w:t>
      </w:r>
      <w:r>
        <w:rPr>
          <w:rFonts w:hint="eastAsia" w:ascii="仿宋_GB2312" w:hAnsi="仿宋_GB2312" w:eastAsia="仿宋_GB2312" w:cs="仿宋_GB2312"/>
          <w:color w:val="auto"/>
          <w:sz w:val="24"/>
        </w:rPr>
        <w:t>；</w:t>
      </w:r>
    </w:p>
    <w:p w14:paraId="0F3AB25F">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p w14:paraId="698D469E">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14:paraId="5E418DE7">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14:paraId="17BFCE35">
      <w:pPr>
        <w:keepNext w:val="0"/>
        <w:keepLines w:val="0"/>
        <w:pageBreakBefore w:val="0"/>
        <w:widowControl w:val="0"/>
        <w:kinsoku/>
        <w:wordWrap/>
        <w:overflowPunct/>
        <w:topLinePunct w:val="0"/>
        <w:autoSpaceDE/>
        <w:autoSpaceDN/>
        <w:bidi w:val="0"/>
        <w:adjustRightInd/>
        <w:snapToGrid/>
        <w:spacing w:line="300" w:lineRule="auto"/>
        <w:ind w:right="1760"/>
        <w:jc w:val="righ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投标人名称（电子签名）：</w:t>
      </w:r>
    </w:p>
    <w:p w14:paraId="1B44FA61">
      <w:pPr>
        <w:keepNext w:val="0"/>
        <w:keepLines w:val="0"/>
        <w:pageBreakBefore w:val="0"/>
        <w:widowControl w:val="0"/>
        <w:kinsoku/>
        <w:wordWrap/>
        <w:overflowPunct/>
        <w:topLinePunct w:val="0"/>
        <w:autoSpaceDE/>
        <w:autoSpaceDN/>
        <w:bidi w:val="0"/>
        <w:adjustRightInd/>
        <w:snapToGrid/>
        <w:spacing w:line="300" w:lineRule="auto"/>
        <w:ind w:right="1120" w:firstLine="4680" w:firstLineChars="195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日 期：</w:t>
      </w:r>
    </w:p>
    <w:p w14:paraId="2B83F77C">
      <w:pPr>
        <w:keepNext w:val="0"/>
        <w:keepLines w:val="0"/>
        <w:pageBreakBefore w:val="0"/>
        <w:widowControl w:val="0"/>
        <w:kinsoku/>
        <w:wordWrap/>
        <w:overflowPunct/>
        <w:topLinePunct w:val="0"/>
        <w:autoSpaceDE/>
        <w:autoSpaceDN/>
        <w:bidi w:val="0"/>
        <w:adjustRightInd/>
        <w:snapToGrid/>
        <w:spacing w:line="300" w:lineRule="auto"/>
        <w:ind w:firstLine="310" w:firstLineChars="147"/>
        <w:jc w:val="left"/>
        <w:textAlignment w:val="auto"/>
        <w:rPr>
          <w:rFonts w:hint="eastAsia" w:ascii="仿宋_GB2312" w:hAnsi="仿宋_GB2312" w:eastAsia="仿宋_GB2312" w:cs="仿宋_GB2312"/>
          <w:b/>
          <w:color w:val="auto"/>
          <w:szCs w:val="21"/>
        </w:rPr>
      </w:pPr>
    </w:p>
    <w:p w14:paraId="63FCB415">
      <w:pPr>
        <w:keepNext w:val="0"/>
        <w:keepLines w:val="0"/>
        <w:pageBreakBefore w:val="0"/>
        <w:widowControl w:val="0"/>
        <w:kinsoku/>
        <w:wordWrap/>
        <w:overflowPunct/>
        <w:topLinePunct w:val="0"/>
        <w:autoSpaceDE/>
        <w:autoSpaceDN/>
        <w:bidi w:val="0"/>
        <w:adjustRightInd/>
        <w:snapToGrid/>
        <w:spacing w:line="300" w:lineRule="auto"/>
        <w:ind w:firstLine="310" w:firstLineChars="147"/>
        <w:jc w:val="left"/>
        <w:textAlignment w:val="auto"/>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Cs w:val="21"/>
        </w:rPr>
        <w:t>从业人员、营业收入、资产总额填报上一年度数据，无上一年度数据的新成立企业可不填报。</w:t>
      </w:r>
    </w:p>
    <w:p w14:paraId="441263F8">
      <w:pPr>
        <w:keepNext w:val="0"/>
        <w:keepLines w:val="0"/>
        <w:pageBreakBefore w:val="0"/>
        <w:widowControl w:val="0"/>
        <w:kinsoku/>
        <w:wordWrap/>
        <w:overflowPunct/>
        <w:topLinePunct w:val="0"/>
        <w:autoSpaceDE/>
        <w:autoSpaceDN/>
        <w:bidi w:val="0"/>
        <w:adjustRightInd/>
        <w:snapToGrid/>
        <w:spacing w:line="300" w:lineRule="auto"/>
        <w:ind w:right="420"/>
        <w:textAlignment w:val="auto"/>
        <w:rPr>
          <w:rFonts w:hint="eastAsia" w:ascii="仿宋_GB2312" w:hAnsi="仿宋_GB2312" w:eastAsia="仿宋_GB2312" w:cs="仿宋_GB2312"/>
          <w:color w:val="auto"/>
          <w:sz w:val="24"/>
        </w:rPr>
      </w:pPr>
    </w:p>
    <w:p w14:paraId="1907E54B">
      <w:pPr>
        <w:keepNext w:val="0"/>
        <w:keepLines w:val="0"/>
        <w:pageBreakBefore w:val="0"/>
        <w:widowControl w:val="0"/>
        <w:kinsoku/>
        <w:wordWrap/>
        <w:overflowPunct/>
        <w:topLinePunct w:val="0"/>
        <w:autoSpaceDE/>
        <w:autoSpaceDN/>
        <w:bidi w:val="0"/>
        <w:adjustRightInd/>
        <w:snapToGrid/>
        <w:spacing w:line="300" w:lineRule="auto"/>
        <w:ind w:right="42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注：</w:t>
      </w:r>
    </w:p>
    <w:p w14:paraId="26466C82">
      <w:pPr>
        <w:keepNext w:val="0"/>
        <w:keepLines w:val="0"/>
        <w:pageBreakBefore w:val="0"/>
        <w:widowControl w:val="0"/>
        <w:kinsoku/>
        <w:wordWrap/>
        <w:overflowPunct/>
        <w:topLinePunct w:val="0"/>
        <w:autoSpaceDE/>
        <w:autoSpaceDN/>
        <w:bidi w:val="0"/>
        <w:adjustRightInd/>
        <w:snapToGrid/>
        <w:spacing w:line="300" w:lineRule="auto"/>
        <w:ind w:right="420"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F188017">
      <w:pPr>
        <w:keepNext w:val="0"/>
        <w:keepLines w:val="0"/>
        <w:pageBreakBefore w:val="0"/>
        <w:widowControl w:val="0"/>
        <w:kinsoku/>
        <w:wordWrap/>
        <w:overflowPunct/>
        <w:topLinePunct w:val="0"/>
        <w:autoSpaceDE/>
        <w:autoSpaceDN/>
        <w:bidi w:val="0"/>
        <w:adjustRightInd/>
        <w:snapToGrid/>
        <w:spacing w:line="300" w:lineRule="auto"/>
        <w:ind w:right="420" w:firstLine="720" w:firstLineChars="3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CA375A4">
      <w:pPr>
        <w:pageBreakBefore/>
        <w:shd w:val="clear" w:color="auto" w:fill="FFFFFF"/>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国家统计局关于印发《统计上大中小微型企业划分办法（2017）》的通知</w:t>
      </w:r>
    </w:p>
    <w:p w14:paraId="17F1D375">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各省、自治区、直辖市统计局，新疆生产建设兵团统计局，国务院各有关部门，国家统计局各调查总队：</w:t>
      </w:r>
    </w:p>
    <w:p w14:paraId="43FAF326">
      <w:pPr>
        <w:keepNext w:val="0"/>
        <w:keepLines w:val="0"/>
        <w:pageBreakBefore w:val="0"/>
        <w:widowControl/>
        <w:shd w:val="clear" w:color="auto" w:fill="FFFFFF"/>
        <w:kinsoku/>
        <w:wordWrap/>
        <w:overflowPunct/>
        <w:topLinePunct w:val="0"/>
        <w:autoSpaceDE/>
        <w:autoSpaceDN/>
        <w:bidi w:val="0"/>
        <w:adjustRightInd/>
        <w:snapToGrid/>
        <w:spacing w:line="420" w:lineRule="atLeast"/>
        <w:ind w:firstLine="420" w:firstLineChars="200"/>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4A26BDB">
      <w:pPr>
        <w:keepNext w:val="0"/>
        <w:keepLines w:val="0"/>
        <w:pageBreakBefore w:val="0"/>
        <w:widowControl/>
        <w:kinsoku/>
        <w:wordWrap/>
        <w:overflowPunct/>
        <w:topLinePunct w:val="0"/>
        <w:autoSpaceDE/>
        <w:autoSpaceDN/>
        <w:bidi w:val="0"/>
        <w:adjustRightInd/>
        <w:snapToGrid/>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附件：《统计上大中小微型企业划分办法（2017）》修订说明</w:t>
      </w:r>
    </w:p>
    <w:p w14:paraId="2C628F85">
      <w:pPr>
        <w:keepNext w:val="0"/>
        <w:keepLines w:val="0"/>
        <w:pageBreakBefore w:val="0"/>
        <w:widowControl/>
        <w:shd w:val="clear" w:color="auto" w:fill="FFFFFF"/>
        <w:kinsoku/>
        <w:wordWrap/>
        <w:overflowPunct/>
        <w:topLinePunct w:val="0"/>
        <w:autoSpaceDE/>
        <w:autoSpaceDN/>
        <w:bidi w:val="0"/>
        <w:adjustRightInd/>
        <w:snapToGrid/>
        <w:spacing w:line="420" w:lineRule="atLeast"/>
        <w:ind w:right="825"/>
        <w:jc w:val="righ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国家统计局  </w:t>
      </w:r>
    </w:p>
    <w:p w14:paraId="3BDB6FD5">
      <w:pPr>
        <w:keepNext w:val="0"/>
        <w:keepLines w:val="0"/>
        <w:pageBreakBefore w:val="0"/>
        <w:widowControl/>
        <w:shd w:val="clear" w:color="auto" w:fill="FFFFFF"/>
        <w:kinsoku/>
        <w:wordWrap/>
        <w:overflowPunct/>
        <w:topLinePunct w:val="0"/>
        <w:autoSpaceDE/>
        <w:autoSpaceDN/>
        <w:bidi w:val="0"/>
        <w:adjustRightInd/>
        <w:snapToGrid/>
        <w:spacing w:line="420" w:lineRule="atLeast"/>
        <w:ind w:right="825"/>
        <w:jc w:val="righ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2017年12月28日</w:t>
      </w:r>
    </w:p>
    <w:p w14:paraId="0A499D27">
      <w:pPr>
        <w:pStyle w:val="25"/>
        <w:keepNext w:val="0"/>
        <w:keepLines w:val="0"/>
        <w:pageBreakBefore w:val="0"/>
        <w:kinsoku/>
        <w:wordWrap/>
        <w:overflowPunct/>
        <w:topLinePunct w:val="0"/>
        <w:autoSpaceDE/>
        <w:autoSpaceDN/>
        <w:bidi w:val="0"/>
        <w:adjustRightInd/>
        <w:snapToGrid/>
        <w:spacing w:line="240" w:lineRule="auto"/>
        <w:rPr>
          <w:rFonts w:hint="eastAsia" w:ascii="仿宋_GB2312" w:hAnsi="仿宋_GB2312" w:eastAsia="仿宋_GB2312" w:cs="仿宋_GB2312"/>
          <w:color w:val="auto"/>
        </w:rPr>
      </w:pPr>
    </w:p>
    <w:p w14:paraId="2A3B0CE6">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统计上大中小微型企业划分办法（2017）</w:t>
      </w:r>
    </w:p>
    <w:p w14:paraId="4A099EBF">
      <w:pPr>
        <w:keepNext w:val="0"/>
        <w:keepLines w:val="0"/>
        <w:pageBreakBefore w:val="0"/>
        <w:widowControl/>
        <w:shd w:val="clear" w:color="auto" w:fill="FFFFFF"/>
        <w:kinsoku/>
        <w:wordWrap/>
        <w:overflowPunct/>
        <w:topLinePunct w:val="0"/>
        <w:autoSpaceDE/>
        <w:autoSpaceDN/>
        <w:bidi w:val="0"/>
        <w:adjustRightInd/>
        <w:snapToGrid/>
        <w:spacing w:line="44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69C116">
      <w:pPr>
        <w:keepNext w:val="0"/>
        <w:keepLines w:val="0"/>
        <w:pageBreakBefore w:val="0"/>
        <w:widowControl/>
        <w:shd w:val="clear" w:color="auto" w:fill="FFFFFF"/>
        <w:kinsoku/>
        <w:wordWrap/>
        <w:overflowPunct/>
        <w:topLinePunct w:val="0"/>
        <w:autoSpaceDE/>
        <w:autoSpaceDN/>
        <w:bidi w:val="0"/>
        <w:adjustRightInd/>
        <w:snapToGrid/>
        <w:spacing w:line="44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二、本办法适用对象为在中华人民共和国境内依法设立的各种组织形式的法人企业或单位。个体工商户参照本办法进行划分。</w:t>
      </w:r>
    </w:p>
    <w:p w14:paraId="52494FBC">
      <w:pPr>
        <w:keepNext w:val="0"/>
        <w:keepLines w:val="0"/>
        <w:pageBreakBefore w:val="0"/>
        <w:widowControl/>
        <w:shd w:val="clear" w:color="auto" w:fill="FFFFFF"/>
        <w:kinsoku/>
        <w:wordWrap/>
        <w:overflowPunct/>
        <w:topLinePunct w:val="0"/>
        <w:autoSpaceDE/>
        <w:autoSpaceDN/>
        <w:bidi w:val="0"/>
        <w:adjustRightInd/>
        <w:snapToGrid/>
        <w:spacing w:line="44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35D5B23">
      <w:pPr>
        <w:keepNext w:val="0"/>
        <w:keepLines w:val="0"/>
        <w:pageBreakBefore w:val="0"/>
        <w:widowControl/>
        <w:shd w:val="clear" w:color="auto" w:fill="FFFFFF"/>
        <w:kinsoku/>
        <w:wordWrap/>
        <w:overflowPunct/>
        <w:topLinePunct w:val="0"/>
        <w:autoSpaceDE/>
        <w:autoSpaceDN/>
        <w:bidi w:val="0"/>
        <w:adjustRightInd/>
        <w:snapToGrid/>
        <w:spacing w:line="44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56722E7F">
      <w:pPr>
        <w:keepNext w:val="0"/>
        <w:keepLines w:val="0"/>
        <w:pageBreakBefore w:val="0"/>
        <w:widowControl/>
        <w:shd w:val="clear" w:color="auto" w:fill="FFFFFF"/>
        <w:kinsoku/>
        <w:wordWrap/>
        <w:overflowPunct/>
        <w:topLinePunct w:val="0"/>
        <w:autoSpaceDE/>
        <w:autoSpaceDN/>
        <w:bidi w:val="0"/>
        <w:adjustRightInd/>
        <w:snapToGrid/>
        <w:spacing w:line="44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五、企业划分由政府综合统计部门根据统计年报每年确定一次，定报统计原则上不进行调整。</w:t>
      </w:r>
    </w:p>
    <w:p w14:paraId="2F1027D0">
      <w:pPr>
        <w:keepNext w:val="0"/>
        <w:keepLines w:val="0"/>
        <w:pageBreakBefore w:val="0"/>
        <w:widowControl/>
        <w:shd w:val="clear" w:color="auto" w:fill="FFFFFF"/>
        <w:kinsoku/>
        <w:wordWrap/>
        <w:overflowPunct/>
        <w:topLinePunct w:val="0"/>
        <w:autoSpaceDE/>
        <w:autoSpaceDN/>
        <w:bidi w:val="0"/>
        <w:adjustRightInd/>
        <w:snapToGrid/>
        <w:spacing w:line="44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六、本办法自印发之日起执行，国家统计局2011年印发的《统计上大中小微型企业划分办法》（国统字〔2011〕75号）同时废止。</w:t>
      </w:r>
    </w:p>
    <w:p w14:paraId="188EE9BE">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附表：统计上大中小微型企业划分标准</w:t>
      </w:r>
    </w:p>
    <w:p w14:paraId="4DCF96FA">
      <w:pPr>
        <w:keepNext w:val="0"/>
        <w:keepLines w:val="0"/>
        <w:pageBreakBefore w:val="0"/>
        <w:widowControl/>
        <w:kinsoku/>
        <w:wordWrap/>
        <w:overflowPunct/>
        <w:topLinePunct w:val="0"/>
        <w:autoSpaceDE/>
        <w:autoSpaceDN/>
        <w:bidi w:val="0"/>
        <w:adjustRightInd/>
        <w:snapToGrid/>
        <w:jc w:val="left"/>
        <w:rPr>
          <w:rFonts w:hint="eastAsia" w:ascii="仿宋_GB2312" w:hAnsi="仿宋_GB2312" w:eastAsia="仿宋_GB2312" w:cs="仿宋_GB2312"/>
          <w:color w:val="auto"/>
          <w:kern w:val="0"/>
          <w:sz w:val="24"/>
        </w:rPr>
      </w:pPr>
    </w:p>
    <w:p w14:paraId="3628C879">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统计上大中小微型企业划分标准</w:t>
      </w:r>
    </w:p>
    <w:tbl>
      <w:tblPr>
        <w:tblStyle w:val="6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29B4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1966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行业名称</w:t>
            </w:r>
          </w:p>
        </w:tc>
        <w:tc>
          <w:tcPr>
            <w:tcW w:w="1560" w:type="dxa"/>
            <w:tcMar>
              <w:top w:w="75" w:type="dxa"/>
              <w:left w:w="75" w:type="dxa"/>
              <w:bottom w:w="75" w:type="dxa"/>
              <w:right w:w="75" w:type="dxa"/>
            </w:tcMar>
            <w:vAlign w:val="bottom"/>
          </w:tcPr>
          <w:p w14:paraId="4475B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指标名称</w:t>
            </w:r>
          </w:p>
        </w:tc>
        <w:tc>
          <w:tcPr>
            <w:tcW w:w="671" w:type="dxa"/>
            <w:tcMar>
              <w:top w:w="75" w:type="dxa"/>
              <w:left w:w="75" w:type="dxa"/>
              <w:bottom w:w="75" w:type="dxa"/>
              <w:right w:w="75" w:type="dxa"/>
            </w:tcMar>
            <w:vAlign w:val="bottom"/>
          </w:tcPr>
          <w:p w14:paraId="04CE9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计量单位</w:t>
            </w:r>
          </w:p>
        </w:tc>
        <w:tc>
          <w:tcPr>
            <w:tcW w:w="1231" w:type="dxa"/>
            <w:tcMar>
              <w:top w:w="75" w:type="dxa"/>
              <w:left w:w="75" w:type="dxa"/>
              <w:bottom w:w="75" w:type="dxa"/>
              <w:right w:w="75" w:type="dxa"/>
            </w:tcMar>
            <w:vAlign w:val="bottom"/>
          </w:tcPr>
          <w:p w14:paraId="7C4E7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大型</w:t>
            </w:r>
          </w:p>
        </w:tc>
        <w:tc>
          <w:tcPr>
            <w:tcW w:w="1891" w:type="dxa"/>
            <w:tcMar>
              <w:top w:w="75" w:type="dxa"/>
              <w:left w:w="75" w:type="dxa"/>
              <w:bottom w:w="75" w:type="dxa"/>
              <w:right w:w="75" w:type="dxa"/>
            </w:tcMar>
            <w:vAlign w:val="bottom"/>
          </w:tcPr>
          <w:p w14:paraId="1C69E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中型</w:t>
            </w:r>
          </w:p>
        </w:tc>
        <w:tc>
          <w:tcPr>
            <w:tcW w:w="1730" w:type="dxa"/>
            <w:tcMar>
              <w:top w:w="75" w:type="dxa"/>
              <w:left w:w="75" w:type="dxa"/>
              <w:bottom w:w="75" w:type="dxa"/>
              <w:right w:w="75" w:type="dxa"/>
            </w:tcMar>
            <w:vAlign w:val="bottom"/>
          </w:tcPr>
          <w:p w14:paraId="6EB54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小型</w:t>
            </w:r>
          </w:p>
        </w:tc>
        <w:tc>
          <w:tcPr>
            <w:tcW w:w="1203" w:type="dxa"/>
            <w:tcMar>
              <w:top w:w="75" w:type="dxa"/>
              <w:left w:w="75" w:type="dxa"/>
              <w:bottom w:w="75" w:type="dxa"/>
              <w:right w:w="75" w:type="dxa"/>
            </w:tcMar>
            <w:vAlign w:val="bottom"/>
          </w:tcPr>
          <w:p w14:paraId="4FF72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微型</w:t>
            </w:r>
          </w:p>
        </w:tc>
      </w:tr>
      <w:tr w14:paraId="6181C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6BB1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农、林、牧、渔业</w:t>
            </w:r>
          </w:p>
        </w:tc>
        <w:tc>
          <w:tcPr>
            <w:tcW w:w="1560" w:type="dxa"/>
            <w:vAlign w:val="center"/>
          </w:tcPr>
          <w:p w14:paraId="31C8B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2592A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78C17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Y≥20000</w:t>
            </w:r>
          </w:p>
        </w:tc>
        <w:tc>
          <w:tcPr>
            <w:tcW w:w="1891" w:type="dxa"/>
            <w:vAlign w:val="center"/>
          </w:tcPr>
          <w:p w14:paraId="444B7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500≤Y＜20000</w:t>
            </w:r>
          </w:p>
        </w:tc>
        <w:tc>
          <w:tcPr>
            <w:tcW w:w="1730" w:type="dxa"/>
            <w:vAlign w:val="center"/>
          </w:tcPr>
          <w:p w14:paraId="1907A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50≤Y＜500</w:t>
            </w:r>
          </w:p>
        </w:tc>
        <w:tc>
          <w:tcPr>
            <w:tcW w:w="1203" w:type="dxa"/>
            <w:vAlign w:val="center"/>
          </w:tcPr>
          <w:p w14:paraId="37560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Y＜50</w:t>
            </w:r>
          </w:p>
        </w:tc>
      </w:tr>
      <w:tr w14:paraId="7EF32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26B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工业 *</w:t>
            </w:r>
          </w:p>
        </w:tc>
        <w:tc>
          <w:tcPr>
            <w:tcW w:w="1560" w:type="dxa"/>
            <w:vAlign w:val="center"/>
          </w:tcPr>
          <w:p w14:paraId="155DE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76546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52D0D8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X≥1000</w:t>
            </w:r>
          </w:p>
        </w:tc>
        <w:tc>
          <w:tcPr>
            <w:tcW w:w="1891" w:type="dxa"/>
            <w:vAlign w:val="center"/>
          </w:tcPr>
          <w:p w14:paraId="0AC63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300≤X＜1000</w:t>
            </w:r>
          </w:p>
        </w:tc>
        <w:tc>
          <w:tcPr>
            <w:tcW w:w="1730" w:type="dxa"/>
            <w:vAlign w:val="center"/>
          </w:tcPr>
          <w:p w14:paraId="32B87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20≤X＜300</w:t>
            </w:r>
          </w:p>
        </w:tc>
        <w:tc>
          <w:tcPr>
            <w:tcW w:w="1203" w:type="dxa"/>
            <w:vAlign w:val="center"/>
          </w:tcPr>
          <w:p w14:paraId="670DA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X＜20</w:t>
            </w:r>
          </w:p>
        </w:tc>
      </w:tr>
      <w:tr w14:paraId="554B3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31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41660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2D01C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4CFA4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Y≥40000</w:t>
            </w:r>
          </w:p>
        </w:tc>
        <w:tc>
          <w:tcPr>
            <w:tcW w:w="1891" w:type="dxa"/>
            <w:vAlign w:val="center"/>
          </w:tcPr>
          <w:p w14:paraId="35259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2000≤Y＜40000</w:t>
            </w:r>
          </w:p>
        </w:tc>
        <w:tc>
          <w:tcPr>
            <w:tcW w:w="1730" w:type="dxa"/>
            <w:vAlign w:val="center"/>
          </w:tcPr>
          <w:p w14:paraId="388ED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300≤Y＜2000</w:t>
            </w:r>
          </w:p>
        </w:tc>
        <w:tc>
          <w:tcPr>
            <w:tcW w:w="1203" w:type="dxa"/>
            <w:vAlign w:val="center"/>
          </w:tcPr>
          <w:p w14:paraId="45809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Y＜300</w:t>
            </w:r>
          </w:p>
        </w:tc>
      </w:tr>
      <w:tr w14:paraId="034A7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C61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建筑业</w:t>
            </w:r>
          </w:p>
        </w:tc>
        <w:tc>
          <w:tcPr>
            <w:tcW w:w="1560" w:type="dxa"/>
            <w:vAlign w:val="center"/>
          </w:tcPr>
          <w:p w14:paraId="195A6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3555C2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16B07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Y≥80000</w:t>
            </w:r>
          </w:p>
        </w:tc>
        <w:tc>
          <w:tcPr>
            <w:tcW w:w="1891" w:type="dxa"/>
            <w:vAlign w:val="center"/>
          </w:tcPr>
          <w:p w14:paraId="149AA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6000≤Y＜80000</w:t>
            </w:r>
          </w:p>
        </w:tc>
        <w:tc>
          <w:tcPr>
            <w:tcW w:w="1730" w:type="dxa"/>
            <w:vAlign w:val="center"/>
          </w:tcPr>
          <w:p w14:paraId="4380B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300≤Y＜6000</w:t>
            </w:r>
          </w:p>
        </w:tc>
        <w:tc>
          <w:tcPr>
            <w:tcW w:w="1203" w:type="dxa"/>
            <w:vAlign w:val="center"/>
          </w:tcPr>
          <w:p w14:paraId="16430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Y＜300</w:t>
            </w:r>
          </w:p>
        </w:tc>
      </w:tr>
      <w:tr w14:paraId="1F129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0BD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1E9ED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资产总额(Z)</w:t>
            </w:r>
          </w:p>
        </w:tc>
        <w:tc>
          <w:tcPr>
            <w:tcW w:w="671" w:type="dxa"/>
            <w:vAlign w:val="center"/>
          </w:tcPr>
          <w:p w14:paraId="7E2BF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1FE3E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Z≥80000</w:t>
            </w:r>
          </w:p>
        </w:tc>
        <w:tc>
          <w:tcPr>
            <w:tcW w:w="1891" w:type="dxa"/>
            <w:vAlign w:val="center"/>
          </w:tcPr>
          <w:p w14:paraId="4863B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5000≤Z＜80000</w:t>
            </w:r>
          </w:p>
        </w:tc>
        <w:tc>
          <w:tcPr>
            <w:tcW w:w="1730" w:type="dxa"/>
            <w:vAlign w:val="center"/>
          </w:tcPr>
          <w:p w14:paraId="0BA7C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300≤Z＜5000</w:t>
            </w:r>
          </w:p>
        </w:tc>
        <w:tc>
          <w:tcPr>
            <w:tcW w:w="1203" w:type="dxa"/>
            <w:vAlign w:val="center"/>
          </w:tcPr>
          <w:p w14:paraId="5CC9B0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Z＜300</w:t>
            </w:r>
          </w:p>
        </w:tc>
      </w:tr>
      <w:tr w14:paraId="16B1C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1C5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批发业</w:t>
            </w:r>
          </w:p>
        </w:tc>
        <w:tc>
          <w:tcPr>
            <w:tcW w:w="1560" w:type="dxa"/>
            <w:vAlign w:val="center"/>
          </w:tcPr>
          <w:p w14:paraId="0F065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671F6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7EECF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X≥200</w:t>
            </w:r>
          </w:p>
        </w:tc>
        <w:tc>
          <w:tcPr>
            <w:tcW w:w="1891" w:type="dxa"/>
            <w:vAlign w:val="center"/>
          </w:tcPr>
          <w:p w14:paraId="7E0F50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20≤X＜200</w:t>
            </w:r>
          </w:p>
        </w:tc>
        <w:tc>
          <w:tcPr>
            <w:tcW w:w="1730" w:type="dxa"/>
            <w:vAlign w:val="center"/>
          </w:tcPr>
          <w:p w14:paraId="2DFFE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5≤X＜20</w:t>
            </w:r>
          </w:p>
        </w:tc>
        <w:tc>
          <w:tcPr>
            <w:tcW w:w="1203" w:type="dxa"/>
            <w:vAlign w:val="center"/>
          </w:tcPr>
          <w:p w14:paraId="054D1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X＜5</w:t>
            </w:r>
          </w:p>
        </w:tc>
      </w:tr>
      <w:tr w14:paraId="02EF3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0E3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50232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026EC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5265E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Y≥40000</w:t>
            </w:r>
          </w:p>
        </w:tc>
        <w:tc>
          <w:tcPr>
            <w:tcW w:w="1891" w:type="dxa"/>
            <w:vAlign w:val="center"/>
          </w:tcPr>
          <w:p w14:paraId="093B6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5000≤Y＜40000</w:t>
            </w:r>
          </w:p>
        </w:tc>
        <w:tc>
          <w:tcPr>
            <w:tcW w:w="1730" w:type="dxa"/>
            <w:vAlign w:val="center"/>
          </w:tcPr>
          <w:p w14:paraId="4DF31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1000≤Y＜5000</w:t>
            </w:r>
          </w:p>
        </w:tc>
        <w:tc>
          <w:tcPr>
            <w:tcW w:w="1203" w:type="dxa"/>
            <w:vAlign w:val="center"/>
          </w:tcPr>
          <w:p w14:paraId="1932D2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Y＜1000</w:t>
            </w:r>
          </w:p>
        </w:tc>
      </w:tr>
      <w:tr w14:paraId="41923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9098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零售业</w:t>
            </w:r>
          </w:p>
        </w:tc>
        <w:tc>
          <w:tcPr>
            <w:tcW w:w="1560" w:type="dxa"/>
            <w:vAlign w:val="center"/>
          </w:tcPr>
          <w:p w14:paraId="7FC97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1E487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7C1F6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X≥300</w:t>
            </w:r>
          </w:p>
        </w:tc>
        <w:tc>
          <w:tcPr>
            <w:tcW w:w="1891" w:type="dxa"/>
            <w:vAlign w:val="center"/>
          </w:tcPr>
          <w:p w14:paraId="556A2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50≤X＜300</w:t>
            </w:r>
          </w:p>
        </w:tc>
        <w:tc>
          <w:tcPr>
            <w:tcW w:w="1730" w:type="dxa"/>
            <w:vAlign w:val="center"/>
          </w:tcPr>
          <w:p w14:paraId="6FB9E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10≤X＜50</w:t>
            </w:r>
          </w:p>
        </w:tc>
        <w:tc>
          <w:tcPr>
            <w:tcW w:w="1203" w:type="dxa"/>
            <w:vAlign w:val="center"/>
          </w:tcPr>
          <w:p w14:paraId="7C6A4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w:t>
            </w:r>
          </w:p>
        </w:tc>
      </w:tr>
      <w:tr w14:paraId="0EB9D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F25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55FE5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29774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7B447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Y≥20000</w:t>
            </w:r>
          </w:p>
        </w:tc>
        <w:tc>
          <w:tcPr>
            <w:tcW w:w="1891" w:type="dxa"/>
            <w:vAlign w:val="center"/>
          </w:tcPr>
          <w:p w14:paraId="5259B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500≤Y＜20000</w:t>
            </w:r>
          </w:p>
        </w:tc>
        <w:tc>
          <w:tcPr>
            <w:tcW w:w="1730" w:type="dxa"/>
            <w:vAlign w:val="center"/>
          </w:tcPr>
          <w:p w14:paraId="18209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100≤Y＜500</w:t>
            </w:r>
          </w:p>
        </w:tc>
        <w:tc>
          <w:tcPr>
            <w:tcW w:w="1203" w:type="dxa"/>
            <w:vAlign w:val="center"/>
          </w:tcPr>
          <w:p w14:paraId="65A00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w:t>
            </w:r>
          </w:p>
        </w:tc>
      </w:tr>
      <w:tr w14:paraId="3DE1F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8ED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交通运输业 *</w:t>
            </w:r>
          </w:p>
        </w:tc>
        <w:tc>
          <w:tcPr>
            <w:tcW w:w="1560" w:type="dxa"/>
            <w:vAlign w:val="center"/>
          </w:tcPr>
          <w:p w14:paraId="64C2F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0E47C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51A42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X≥1000</w:t>
            </w:r>
          </w:p>
        </w:tc>
        <w:tc>
          <w:tcPr>
            <w:tcW w:w="1891" w:type="dxa"/>
            <w:vAlign w:val="center"/>
          </w:tcPr>
          <w:p w14:paraId="1699F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300≤X＜1000</w:t>
            </w:r>
          </w:p>
        </w:tc>
        <w:tc>
          <w:tcPr>
            <w:tcW w:w="1730" w:type="dxa"/>
            <w:vAlign w:val="center"/>
          </w:tcPr>
          <w:p w14:paraId="143F8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20≤X＜300</w:t>
            </w:r>
          </w:p>
        </w:tc>
        <w:tc>
          <w:tcPr>
            <w:tcW w:w="1203" w:type="dxa"/>
            <w:vAlign w:val="center"/>
          </w:tcPr>
          <w:p w14:paraId="65802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X＜20</w:t>
            </w:r>
          </w:p>
        </w:tc>
      </w:tr>
      <w:tr w14:paraId="6EB09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D6C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38B43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268D4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3C16D1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Y≥30000</w:t>
            </w:r>
          </w:p>
        </w:tc>
        <w:tc>
          <w:tcPr>
            <w:tcW w:w="1891" w:type="dxa"/>
            <w:vAlign w:val="center"/>
          </w:tcPr>
          <w:p w14:paraId="253A13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3000≤Y＜30000</w:t>
            </w:r>
          </w:p>
        </w:tc>
        <w:tc>
          <w:tcPr>
            <w:tcW w:w="1730" w:type="dxa"/>
            <w:vAlign w:val="center"/>
          </w:tcPr>
          <w:p w14:paraId="758AE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200≤Y＜3000</w:t>
            </w:r>
          </w:p>
        </w:tc>
        <w:tc>
          <w:tcPr>
            <w:tcW w:w="1203" w:type="dxa"/>
            <w:vAlign w:val="center"/>
          </w:tcPr>
          <w:p w14:paraId="60610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Y＜200</w:t>
            </w:r>
          </w:p>
        </w:tc>
      </w:tr>
      <w:tr w14:paraId="6CB6A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B65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仓储业*</w:t>
            </w:r>
          </w:p>
        </w:tc>
        <w:tc>
          <w:tcPr>
            <w:tcW w:w="1560" w:type="dxa"/>
            <w:vAlign w:val="center"/>
          </w:tcPr>
          <w:p w14:paraId="7CC01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2E695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55E533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X≥200</w:t>
            </w:r>
          </w:p>
        </w:tc>
        <w:tc>
          <w:tcPr>
            <w:tcW w:w="1891" w:type="dxa"/>
            <w:vAlign w:val="center"/>
          </w:tcPr>
          <w:p w14:paraId="18EDF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100≤X＜200</w:t>
            </w:r>
          </w:p>
        </w:tc>
        <w:tc>
          <w:tcPr>
            <w:tcW w:w="1730" w:type="dxa"/>
            <w:vAlign w:val="center"/>
          </w:tcPr>
          <w:p w14:paraId="3D152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20≤X＜100</w:t>
            </w:r>
          </w:p>
        </w:tc>
        <w:tc>
          <w:tcPr>
            <w:tcW w:w="1203" w:type="dxa"/>
            <w:vAlign w:val="center"/>
          </w:tcPr>
          <w:p w14:paraId="1EF21E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X＜20</w:t>
            </w:r>
          </w:p>
        </w:tc>
      </w:tr>
      <w:tr w14:paraId="00554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0C6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7387A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18394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7065C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Y≥30000</w:t>
            </w:r>
          </w:p>
        </w:tc>
        <w:tc>
          <w:tcPr>
            <w:tcW w:w="1891" w:type="dxa"/>
            <w:vAlign w:val="center"/>
          </w:tcPr>
          <w:p w14:paraId="595F7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1000≤Y＜30000</w:t>
            </w:r>
          </w:p>
        </w:tc>
        <w:tc>
          <w:tcPr>
            <w:tcW w:w="1730" w:type="dxa"/>
            <w:vAlign w:val="center"/>
          </w:tcPr>
          <w:p w14:paraId="20DB8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100≤Y＜1000</w:t>
            </w:r>
          </w:p>
        </w:tc>
        <w:tc>
          <w:tcPr>
            <w:tcW w:w="1203" w:type="dxa"/>
            <w:vAlign w:val="center"/>
          </w:tcPr>
          <w:p w14:paraId="40D99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w:t>
            </w:r>
          </w:p>
        </w:tc>
      </w:tr>
      <w:tr w14:paraId="4A3BE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D8D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邮政业</w:t>
            </w:r>
          </w:p>
        </w:tc>
        <w:tc>
          <w:tcPr>
            <w:tcW w:w="1560" w:type="dxa"/>
            <w:vAlign w:val="center"/>
          </w:tcPr>
          <w:p w14:paraId="06EE5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164C6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3561C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X≥1000</w:t>
            </w:r>
          </w:p>
        </w:tc>
        <w:tc>
          <w:tcPr>
            <w:tcW w:w="1891" w:type="dxa"/>
            <w:vAlign w:val="center"/>
          </w:tcPr>
          <w:p w14:paraId="35FE5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300≤X＜1000</w:t>
            </w:r>
          </w:p>
        </w:tc>
        <w:tc>
          <w:tcPr>
            <w:tcW w:w="1730" w:type="dxa"/>
            <w:vAlign w:val="center"/>
          </w:tcPr>
          <w:p w14:paraId="0A4BC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20≤X＜300</w:t>
            </w:r>
          </w:p>
        </w:tc>
        <w:tc>
          <w:tcPr>
            <w:tcW w:w="1203" w:type="dxa"/>
            <w:vAlign w:val="center"/>
          </w:tcPr>
          <w:p w14:paraId="3B5DC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X＜20</w:t>
            </w:r>
          </w:p>
        </w:tc>
      </w:tr>
      <w:tr w14:paraId="0A52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3951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22536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043A7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43551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Y≥30000</w:t>
            </w:r>
          </w:p>
        </w:tc>
        <w:tc>
          <w:tcPr>
            <w:tcW w:w="1891" w:type="dxa"/>
            <w:vAlign w:val="center"/>
          </w:tcPr>
          <w:p w14:paraId="40F8D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2000≤Y＜30000</w:t>
            </w:r>
          </w:p>
        </w:tc>
        <w:tc>
          <w:tcPr>
            <w:tcW w:w="1730" w:type="dxa"/>
            <w:vAlign w:val="center"/>
          </w:tcPr>
          <w:p w14:paraId="493F9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100≤Y＜2000</w:t>
            </w:r>
          </w:p>
        </w:tc>
        <w:tc>
          <w:tcPr>
            <w:tcW w:w="1203" w:type="dxa"/>
            <w:vAlign w:val="center"/>
          </w:tcPr>
          <w:p w14:paraId="2B348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w:t>
            </w:r>
          </w:p>
        </w:tc>
      </w:tr>
      <w:tr w14:paraId="3178B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1B6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住宿业</w:t>
            </w:r>
          </w:p>
        </w:tc>
        <w:tc>
          <w:tcPr>
            <w:tcW w:w="1560" w:type="dxa"/>
            <w:vAlign w:val="center"/>
          </w:tcPr>
          <w:p w14:paraId="29DD0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6482B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4B4E6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X≥300</w:t>
            </w:r>
          </w:p>
        </w:tc>
        <w:tc>
          <w:tcPr>
            <w:tcW w:w="1891" w:type="dxa"/>
            <w:vAlign w:val="center"/>
          </w:tcPr>
          <w:p w14:paraId="2FE05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100≤X＜300</w:t>
            </w:r>
          </w:p>
        </w:tc>
        <w:tc>
          <w:tcPr>
            <w:tcW w:w="1730" w:type="dxa"/>
            <w:vAlign w:val="center"/>
          </w:tcPr>
          <w:p w14:paraId="36FB5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10≤X＜100</w:t>
            </w:r>
          </w:p>
        </w:tc>
        <w:tc>
          <w:tcPr>
            <w:tcW w:w="1203" w:type="dxa"/>
            <w:vAlign w:val="center"/>
          </w:tcPr>
          <w:p w14:paraId="71F6E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w:t>
            </w:r>
          </w:p>
        </w:tc>
      </w:tr>
      <w:tr w14:paraId="38F64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B32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38BA6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4F574E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5024A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Y≥10000</w:t>
            </w:r>
          </w:p>
        </w:tc>
        <w:tc>
          <w:tcPr>
            <w:tcW w:w="1891" w:type="dxa"/>
            <w:vAlign w:val="center"/>
          </w:tcPr>
          <w:p w14:paraId="73411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2000≤Y＜10000</w:t>
            </w:r>
          </w:p>
        </w:tc>
        <w:tc>
          <w:tcPr>
            <w:tcW w:w="1730" w:type="dxa"/>
            <w:vAlign w:val="center"/>
          </w:tcPr>
          <w:p w14:paraId="6DB4C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100≤Y＜2000</w:t>
            </w:r>
          </w:p>
        </w:tc>
        <w:tc>
          <w:tcPr>
            <w:tcW w:w="1203" w:type="dxa"/>
            <w:vAlign w:val="center"/>
          </w:tcPr>
          <w:p w14:paraId="05CB5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w:t>
            </w:r>
          </w:p>
        </w:tc>
      </w:tr>
      <w:tr w14:paraId="4983A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588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餐饮业</w:t>
            </w:r>
          </w:p>
        </w:tc>
        <w:tc>
          <w:tcPr>
            <w:tcW w:w="1560" w:type="dxa"/>
            <w:vAlign w:val="center"/>
          </w:tcPr>
          <w:p w14:paraId="64901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7D9B8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3205A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X≥300</w:t>
            </w:r>
          </w:p>
        </w:tc>
        <w:tc>
          <w:tcPr>
            <w:tcW w:w="1891" w:type="dxa"/>
            <w:vAlign w:val="center"/>
          </w:tcPr>
          <w:p w14:paraId="2FD41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100≤X＜300</w:t>
            </w:r>
          </w:p>
        </w:tc>
        <w:tc>
          <w:tcPr>
            <w:tcW w:w="1730" w:type="dxa"/>
            <w:vAlign w:val="center"/>
          </w:tcPr>
          <w:p w14:paraId="20AAA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10≤X＜100</w:t>
            </w:r>
          </w:p>
        </w:tc>
        <w:tc>
          <w:tcPr>
            <w:tcW w:w="1203" w:type="dxa"/>
            <w:vAlign w:val="center"/>
          </w:tcPr>
          <w:p w14:paraId="7B606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w:t>
            </w:r>
          </w:p>
        </w:tc>
      </w:tr>
      <w:tr w14:paraId="0B865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857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30AC5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7EBF3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1F91D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Y≥10000</w:t>
            </w:r>
          </w:p>
        </w:tc>
        <w:tc>
          <w:tcPr>
            <w:tcW w:w="1891" w:type="dxa"/>
            <w:vAlign w:val="center"/>
          </w:tcPr>
          <w:p w14:paraId="69A50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2000≤Y＜10000</w:t>
            </w:r>
          </w:p>
        </w:tc>
        <w:tc>
          <w:tcPr>
            <w:tcW w:w="1730" w:type="dxa"/>
            <w:vAlign w:val="center"/>
          </w:tcPr>
          <w:p w14:paraId="6925D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100≤Y＜2000</w:t>
            </w:r>
          </w:p>
        </w:tc>
        <w:tc>
          <w:tcPr>
            <w:tcW w:w="1203" w:type="dxa"/>
            <w:vAlign w:val="center"/>
          </w:tcPr>
          <w:p w14:paraId="04E0C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w:t>
            </w:r>
          </w:p>
        </w:tc>
      </w:tr>
      <w:tr w14:paraId="41318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D4E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信息传输业 *</w:t>
            </w:r>
          </w:p>
        </w:tc>
        <w:tc>
          <w:tcPr>
            <w:tcW w:w="1560" w:type="dxa"/>
            <w:vAlign w:val="center"/>
          </w:tcPr>
          <w:p w14:paraId="000B9D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2C364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6840F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X≥2000</w:t>
            </w:r>
          </w:p>
        </w:tc>
        <w:tc>
          <w:tcPr>
            <w:tcW w:w="1891" w:type="dxa"/>
            <w:vAlign w:val="center"/>
          </w:tcPr>
          <w:p w14:paraId="0A1AB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100≤X＜2000</w:t>
            </w:r>
          </w:p>
        </w:tc>
        <w:tc>
          <w:tcPr>
            <w:tcW w:w="1730" w:type="dxa"/>
            <w:vAlign w:val="center"/>
          </w:tcPr>
          <w:p w14:paraId="71611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10≤X＜100</w:t>
            </w:r>
          </w:p>
        </w:tc>
        <w:tc>
          <w:tcPr>
            <w:tcW w:w="1203" w:type="dxa"/>
            <w:vAlign w:val="center"/>
          </w:tcPr>
          <w:p w14:paraId="496E6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w:t>
            </w:r>
          </w:p>
        </w:tc>
      </w:tr>
      <w:tr w14:paraId="003A6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392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3C0D5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4590B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40CA5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Y≥100000</w:t>
            </w:r>
          </w:p>
        </w:tc>
        <w:tc>
          <w:tcPr>
            <w:tcW w:w="1891" w:type="dxa"/>
            <w:vAlign w:val="center"/>
          </w:tcPr>
          <w:p w14:paraId="6F479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1000≤Y＜100000</w:t>
            </w:r>
          </w:p>
        </w:tc>
        <w:tc>
          <w:tcPr>
            <w:tcW w:w="1730" w:type="dxa"/>
            <w:vAlign w:val="center"/>
          </w:tcPr>
          <w:p w14:paraId="4D6E0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100≤Y＜1000</w:t>
            </w:r>
          </w:p>
        </w:tc>
        <w:tc>
          <w:tcPr>
            <w:tcW w:w="1203" w:type="dxa"/>
            <w:vAlign w:val="center"/>
          </w:tcPr>
          <w:p w14:paraId="6A72A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w:t>
            </w:r>
          </w:p>
        </w:tc>
      </w:tr>
      <w:tr w14:paraId="5AED2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D09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软件和信息技术服务业</w:t>
            </w:r>
          </w:p>
        </w:tc>
        <w:tc>
          <w:tcPr>
            <w:tcW w:w="1560" w:type="dxa"/>
            <w:vAlign w:val="center"/>
          </w:tcPr>
          <w:p w14:paraId="72CF75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44BBC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5F667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X≥300</w:t>
            </w:r>
          </w:p>
        </w:tc>
        <w:tc>
          <w:tcPr>
            <w:tcW w:w="1891" w:type="dxa"/>
            <w:vAlign w:val="center"/>
          </w:tcPr>
          <w:p w14:paraId="41A22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100≤X＜300</w:t>
            </w:r>
          </w:p>
        </w:tc>
        <w:tc>
          <w:tcPr>
            <w:tcW w:w="1730" w:type="dxa"/>
            <w:vAlign w:val="center"/>
          </w:tcPr>
          <w:p w14:paraId="0A367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10≤X＜100</w:t>
            </w:r>
          </w:p>
        </w:tc>
        <w:tc>
          <w:tcPr>
            <w:tcW w:w="1203" w:type="dxa"/>
            <w:vAlign w:val="center"/>
          </w:tcPr>
          <w:p w14:paraId="33BF48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w:t>
            </w:r>
          </w:p>
        </w:tc>
      </w:tr>
      <w:tr w14:paraId="0966B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108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5DCFA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05E77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727EA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Y≥10000</w:t>
            </w:r>
          </w:p>
        </w:tc>
        <w:tc>
          <w:tcPr>
            <w:tcW w:w="1891" w:type="dxa"/>
            <w:vAlign w:val="center"/>
          </w:tcPr>
          <w:p w14:paraId="12BF7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1000≤Y＜10000</w:t>
            </w:r>
          </w:p>
        </w:tc>
        <w:tc>
          <w:tcPr>
            <w:tcW w:w="1730" w:type="dxa"/>
            <w:vAlign w:val="center"/>
          </w:tcPr>
          <w:p w14:paraId="41BF8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50≤Y＜1000</w:t>
            </w:r>
          </w:p>
        </w:tc>
        <w:tc>
          <w:tcPr>
            <w:tcW w:w="1203" w:type="dxa"/>
            <w:vAlign w:val="center"/>
          </w:tcPr>
          <w:p w14:paraId="45769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Y＜50</w:t>
            </w:r>
          </w:p>
        </w:tc>
      </w:tr>
      <w:tr w14:paraId="1D3E7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F7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房地产开发经营</w:t>
            </w:r>
          </w:p>
        </w:tc>
        <w:tc>
          <w:tcPr>
            <w:tcW w:w="1560" w:type="dxa"/>
            <w:vAlign w:val="center"/>
          </w:tcPr>
          <w:p w14:paraId="55ADE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132C4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0D224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Y≥200000</w:t>
            </w:r>
          </w:p>
        </w:tc>
        <w:tc>
          <w:tcPr>
            <w:tcW w:w="1891" w:type="dxa"/>
            <w:vAlign w:val="center"/>
          </w:tcPr>
          <w:p w14:paraId="0D453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1000≤Y＜200000</w:t>
            </w:r>
          </w:p>
        </w:tc>
        <w:tc>
          <w:tcPr>
            <w:tcW w:w="1730" w:type="dxa"/>
            <w:vAlign w:val="center"/>
          </w:tcPr>
          <w:p w14:paraId="28FEC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100≤Y＜1000</w:t>
            </w:r>
          </w:p>
        </w:tc>
        <w:tc>
          <w:tcPr>
            <w:tcW w:w="1203" w:type="dxa"/>
            <w:vAlign w:val="center"/>
          </w:tcPr>
          <w:p w14:paraId="14581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Y＜100</w:t>
            </w:r>
          </w:p>
        </w:tc>
      </w:tr>
      <w:tr w14:paraId="7B6B5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AE8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03882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资产总额(Z)</w:t>
            </w:r>
          </w:p>
        </w:tc>
        <w:tc>
          <w:tcPr>
            <w:tcW w:w="671" w:type="dxa"/>
            <w:vAlign w:val="center"/>
          </w:tcPr>
          <w:p w14:paraId="30745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40336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Z≥10000</w:t>
            </w:r>
          </w:p>
        </w:tc>
        <w:tc>
          <w:tcPr>
            <w:tcW w:w="1891" w:type="dxa"/>
            <w:vAlign w:val="center"/>
          </w:tcPr>
          <w:p w14:paraId="7664E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5000≤Z＜10000</w:t>
            </w:r>
          </w:p>
        </w:tc>
        <w:tc>
          <w:tcPr>
            <w:tcW w:w="1730" w:type="dxa"/>
            <w:vAlign w:val="center"/>
          </w:tcPr>
          <w:p w14:paraId="7A013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2000≤Z＜5000</w:t>
            </w:r>
          </w:p>
        </w:tc>
        <w:tc>
          <w:tcPr>
            <w:tcW w:w="1203" w:type="dxa"/>
            <w:vAlign w:val="center"/>
          </w:tcPr>
          <w:p w14:paraId="3932FB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Z＜2000</w:t>
            </w:r>
          </w:p>
        </w:tc>
      </w:tr>
      <w:tr w14:paraId="202D8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49A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物业管理</w:t>
            </w:r>
          </w:p>
        </w:tc>
        <w:tc>
          <w:tcPr>
            <w:tcW w:w="1560" w:type="dxa"/>
            <w:vAlign w:val="center"/>
          </w:tcPr>
          <w:p w14:paraId="62A61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30994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0C843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X≥1000</w:t>
            </w:r>
          </w:p>
        </w:tc>
        <w:tc>
          <w:tcPr>
            <w:tcW w:w="1891" w:type="dxa"/>
            <w:vAlign w:val="center"/>
          </w:tcPr>
          <w:p w14:paraId="0E391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300≤X＜1000</w:t>
            </w:r>
          </w:p>
        </w:tc>
        <w:tc>
          <w:tcPr>
            <w:tcW w:w="1730" w:type="dxa"/>
            <w:vAlign w:val="center"/>
          </w:tcPr>
          <w:p w14:paraId="688F6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100≤X＜300</w:t>
            </w:r>
          </w:p>
        </w:tc>
        <w:tc>
          <w:tcPr>
            <w:tcW w:w="1203" w:type="dxa"/>
            <w:vAlign w:val="center"/>
          </w:tcPr>
          <w:p w14:paraId="7A6BA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X＜100</w:t>
            </w:r>
          </w:p>
        </w:tc>
      </w:tr>
      <w:tr w14:paraId="59C22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75C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34588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营业收入(Y)</w:t>
            </w:r>
          </w:p>
        </w:tc>
        <w:tc>
          <w:tcPr>
            <w:tcW w:w="671" w:type="dxa"/>
            <w:vAlign w:val="center"/>
          </w:tcPr>
          <w:p w14:paraId="5A753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4755E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Y≥5000</w:t>
            </w:r>
          </w:p>
        </w:tc>
        <w:tc>
          <w:tcPr>
            <w:tcW w:w="1891" w:type="dxa"/>
            <w:vAlign w:val="center"/>
          </w:tcPr>
          <w:p w14:paraId="32F48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1000≤Y＜5000</w:t>
            </w:r>
          </w:p>
        </w:tc>
        <w:tc>
          <w:tcPr>
            <w:tcW w:w="1730" w:type="dxa"/>
            <w:vAlign w:val="center"/>
          </w:tcPr>
          <w:p w14:paraId="37B7B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500≤Y＜1000</w:t>
            </w:r>
          </w:p>
        </w:tc>
        <w:tc>
          <w:tcPr>
            <w:tcW w:w="1203" w:type="dxa"/>
            <w:vAlign w:val="center"/>
          </w:tcPr>
          <w:p w14:paraId="0B66C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Y＜500</w:t>
            </w:r>
          </w:p>
        </w:tc>
      </w:tr>
      <w:tr w14:paraId="07DD0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DA96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租赁和商务服务业</w:t>
            </w:r>
          </w:p>
        </w:tc>
        <w:tc>
          <w:tcPr>
            <w:tcW w:w="1560" w:type="dxa"/>
            <w:vAlign w:val="center"/>
          </w:tcPr>
          <w:p w14:paraId="4B717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39409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62CD8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X≥300</w:t>
            </w:r>
          </w:p>
        </w:tc>
        <w:tc>
          <w:tcPr>
            <w:tcW w:w="1891" w:type="dxa"/>
            <w:vAlign w:val="center"/>
          </w:tcPr>
          <w:p w14:paraId="22449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100≤X＜300</w:t>
            </w:r>
          </w:p>
        </w:tc>
        <w:tc>
          <w:tcPr>
            <w:tcW w:w="1730" w:type="dxa"/>
            <w:vAlign w:val="center"/>
          </w:tcPr>
          <w:p w14:paraId="2011A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10≤X＜100</w:t>
            </w:r>
          </w:p>
        </w:tc>
        <w:tc>
          <w:tcPr>
            <w:tcW w:w="1203" w:type="dxa"/>
            <w:vAlign w:val="center"/>
          </w:tcPr>
          <w:p w14:paraId="13DA9D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w:t>
            </w:r>
          </w:p>
        </w:tc>
      </w:tr>
      <w:tr w14:paraId="6FA7A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A7B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560" w:type="dxa"/>
            <w:vAlign w:val="center"/>
          </w:tcPr>
          <w:p w14:paraId="66423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资产总额(Z)</w:t>
            </w:r>
          </w:p>
        </w:tc>
        <w:tc>
          <w:tcPr>
            <w:tcW w:w="671" w:type="dxa"/>
            <w:vAlign w:val="center"/>
          </w:tcPr>
          <w:p w14:paraId="27C15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万元</w:t>
            </w:r>
          </w:p>
        </w:tc>
        <w:tc>
          <w:tcPr>
            <w:tcW w:w="1231" w:type="dxa"/>
            <w:vAlign w:val="center"/>
          </w:tcPr>
          <w:p w14:paraId="6CB91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Z≥120000</w:t>
            </w:r>
          </w:p>
        </w:tc>
        <w:tc>
          <w:tcPr>
            <w:tcW w:w="1891" w:type="dxa"/>
            <w:vAlign w:val="center"/>
          </w:tcPr>
          <w:p w14:paraId="65F06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8000≤Z＜120000</w:t>
            </w:r>
          </w:p>
        </w:tc>
        <w:tc>
          <w:tcPr>
            <w:tcW w:w="1730" w:type="dxa"/>
            <w:vAlign w:val="center"/>
          </w:tcPr>
          <w:p w14:paraId="3313A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100≤Z＜8000</w:t>
            </w:r>
          </w:p>
        </w:tc>
        <w:tc>
          <w:tcPr>
            <w:tcW w:w="1203" w:type="dxa"/>
            <w:vAlign w:val="center"/>
          </w:tcPr>
          <w:p w14:paraId="72CF9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Z＜100</w:t>
            </w:r>
          </w:p>
        </w:tc>
      </w:tr>
      <w:tr w14:paraId="7ADAF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2E64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其他未列明行业 *</w:t>
            </w:r>
          </w:p>
        </w:tc>
        <w:tc>
          <w:tcPr>
            <w:tcW w:w="1560" w:type="dxa"/>
            <w:vAlign w:val="center"/>
          </w:tcPr>
          <w:p w14:paraId="68BDD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从业人员(X)</w:t>
            </w:r>
          </w:p>
        </w:tc>
        <w:tc>
          <w:tcPr>
            <w:tcW w:w="671" w:type="dxa"/>
            <w:vAlign w:val="center"/>
          </w:tcPr>
          <w:p w14:paraId="7A42C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人</w:t>
            </w:r>
          </w:p>
        </w:tc>
        <w:tc>
          <w:tcPr>
            <w:tcW w:w="1231" w:type="dxa"/>
            <w:vAlign w:val="center"/>
          </w:tcPr>
          <w:p w14:paraId="0CE38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X≥300</w:t>
            </w:r>
          </w:p>
        </w:tc>
        <w:tc>
          <w:tcPr>
            <w:tcW w:w="1891" w:type="dxa"/>
            <w:vAlign w:val="center"/>
          </w:tcPr>
          <w:p w14:paraId="2CFA5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100≤X＜300</w:t>
            </w:r>
          </w:p>
        </w:tc>
        <w:tc>
          <w:tcPr>
            <w:tcW w:w="1730" w:type="dxa"/>
            <w:vAlign w:val="center"/>
          </w:tcPr>
          <w:p w14:paraId="132DC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10≤X＜100</w:t>
            </w:r>
          </w:p>
        </w:tc>
        <w:tc>
          <w:tcPr>
            <w:tcW w:w="1203" w:type="dxa"/>
            <w:vAlign w:val="center"/>
          </w:tcPr>
          <w:p w14:paraId="14F85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X＜10</w:t>
            </w:r>
          </w:p>
        </w:tc>
      </w:tr>
    </w:tbl>
    <w:p w14:paraId="7F2BE5CC">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说明： 　　</w:t>
      </w:r>
    </w:p>
    <w:p w14:paraId="22CEDBA6">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1.大型、中型和小型企业须同时满足所列指标的下限，否则下划一档；微型企业只须满足所列指标中的一项即可。 　　</w:t>
      </w:r>
    </w:p>
    <w:p w14:paraId="0AC84193">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ED049A">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3.企业划分指标以现行统计制度为准。</w:t>
      </w:r>
    </w:p>
    <w:p w14:paraId="150B5DE7">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（1）从业人员，是指期末从业人员数，没有期末从业人员数的，采用全年平均人员数代替。</w:t>
      </w:r>
    </w:p>
    <w:p w14:paraId="6FE42EDF">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2AB7F0">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（3）资产总额，采用资产总计代替。</w:t>
      </w:r>
    </w:p>
    <w:p w14:paraId="054F768E">
      <w:pPr>
        <w:keepNext w:val="0"/>
        <w:keepLines w:val="0"/>
        <w:pageBreakBefore w:val="0"/>
        <w:widowControl/>
        <w:kinsoku/>
        <w:wordWrap/>
        <w:overflowPunct/>
        <w:topLinePunct w:val="0"/>
        <w:autoSpaceDE/>
        <w:autoSpaceDN/>
        <w:bidi w:val="0"/>
        <w:adjustRightInd/>
        <w:snapToGrid/>
        <w:jc w:val="left"/>
        <w:rPr>
          <w:rFonts w:hint="eastAsia" w:ascii="仿宋_GB2312" w:hAnsi="仿宋_GB2312" w:eastAsia="仿宋_GB2312" w:cs="仿宋_GB2312"/>
          <w:color w:val="auto"/>
          <w:kern w:val="0"/>
          <w:sz w:val="24"/>
        </w:rPr>
      </w:pPr>
    </w:p>
    <w:p w14:paraId="694F638D">
      <w:pPr>
        <w:keepNext w:val="0"/>
        <w:keepLines w:val="0"/>
        <w:pageBreakBefore w:val="0"/>
        <w:widowControl/>
        <w:kinsoku/>
        <w:wordWrap/>
        <w:overflowPunct/>
        <w:topLinePunct w:val="0"/>
        <w:autoSpaceDE/>
        <w:autoSpaceDN/>
        <w:bidi w:val="0"/>
        <w:adjustRightInd/>
        <w:snapToGrid/>
        <w:jc w:val="left"/>
        <w:rPr>
          <w:rFonts w:hint="eastAsia" w:ascii="仿宋_GB2312" w:hAnsi="仿宋_GB2312" w:eastAsia="仿宋_GB2312" w:cs="仿宋_GB2312"/>
          <w:color w:val="auto"/>
          <w:kern w:val="0"/>
          <w:sz w:val="24"/>
        </w:rPr>
      </w:pPr>
    </w:p>
    <w:p w14:paraId="5273451B">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《统计上大中小微型企业划分办法（2017）》修订说明</w:t>
      </w:r>
    </w:p>
    <w:p w14:paraId="30E1DB42">
      <w:pPr>
        <w:keepNext w:val="0"/>
        <w:keepLines w:val="0"/>
        <w:pageBreakBefore w:val="0"/>
        <w:widowControl/>
        <w:shd w:val="clear" w:color="auto" w:fill="FFFFFF"/>
        <w:kinsoku/>
        <w:wordWrap/>
        <w:overflowPunct/>
        <w:topLinePunct w:val="0"/>
        <w:autoSpaceDE/>
        <w:autoSpaceDN/>
        <w:bidi w:val="0"/>
        <w:adjustRightInd/>
        <w:snapToGrid/>
        <w:spacing w:line="540" w:lineRule="atLeast"/>
        <w:jc w:val="left"/>
        <w:textAlignment w:val="baseline"/>
        <w:rPr>
          <w:rFonts w:hint="eastAsia" w:ascii="仿宋_GB2312" w:hAnsi="仿宋_GB2312" w:eastAsia="仿宋_GB2312" w:cs="仿宋_GB2312"/>
          <w:b/>
          <w:bCs/>
          <w:color w:val="auto"/>
          <w:kern w:val="0"/>
          <w:sz w:val="27"/>
          <w:szCs w:val="27"/>
        </w:rPr>
      </w:pPr>
      <w:r>
        <w:rPr>
          <w:rFonts w:hint="eastAsia" w:ascii="仿宋_GB2312" w:hAnsi="仿宋_GB2312" w:eastAsia="仿宋_GB2312" w:cs="仿宋_GB2312"/>
          <w:b/>
          <w:bCs/>
          <w:color w:val="auto"/>
          <w:kern w:val="0"/>
          <w:sz w:val="27"/>
          <w:szCs w:val="27"/>
        </w:rPr>
        <w:t>一、修订背景</w:t>
      </w:r>
    </w:p>
    <w:p w14:paraId="1CA9B8A0">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FD82B3C">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3E1C3B4">
      <w:pPr>
        <w:keepNext w:val="0"/>
        <w:keepLines w:val="0"/>
        <w:pageBreakBefore w:val="0"/>
        <w:widowControl/>
        <w:shd w:val="clear" w:color="auto" w:fill="FFFFFF"/>
        <w:kinsoku/>
        <w:wordWrap/>
        <w:overflowPunct/>
        <w:topLinePunct w:val="0"/>
        <w:autoSpaceDE/>
        <w:autoSpaceDN/>
        <w:bidi w:val="0"/>
        <w:adjustRightInd/>
        <w:snapToGrid/>
        <w:spacing w:line="540" w:lineRule="atLeast"/>
        <w:jc w:val="left"/>
        <w:textAlignment w:val="baseline"/>
        <w:rPr>
          <w:rFonts w:hint="eastAsia" w:ascii="仿宋_GB2312" w:hAnsi="仿宋_GB2312" w:eastAsia="仿宋_GB2312" w:cs="仿宋_GB2312"/>
          <w:b/>
          <w:bCs/>
          <w:color w:val="auto"/>
          <w:kern w:val="0"/>
          <w:sz w:val="27"/>
          <w:szCs w:val="27"/>
        </w:rPr>
      </w:pPr>
      <w:r>
        <w:rPr>
          <w:rFonts w:hint="eastAsia" w:ascii="仿宋_GB2312" w:hAnsi="仿宋_GB2312" w:eastAsia="仿宋_GB2312" w:cs="仿宋_GB2312"/>
          <w:b/>
          <w:bCs/>
          <w:color w:val="auto"/>
          <w:kern w:val="0"/>
          <w:sz w:val="27"/>
          <w:szCs w:val="27"/>
        </w:rPr>
        <w:t>二、修订主要内容</w:t>
      </w:r>
    </w:p>
    <w:p w14:paraId="53D995E5">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14BB43F">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将交通运输业中包括的“装卸搬运和运输代理业”修改为“多式联运和运输代理业、装卸搬运”。</w:t>
      </w:r>
    </w:p>
    <w:p w14:paraId="351490A5">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仓储业所包括的行业中类，根据《国民经济行业分类》（GB/T4754—2017）调整为“通用仓储，低温仓储，危险品仓储，谷物、棉花等农产品仓储，中药材仓储和其他仓储业”。</w:t>
      </w:r>
    </w:p>
    <w:p w14:paraId="2FB23A2B">
      <w:pPr>
        <w:keepNext w:val="0"/>
        <w:keepLines w:val="0"/>
        <w:pageBreakBefore w:val="0"/>
        <w:widowControl/>
        <w:kinsoku/>
        <w:wordWrap/>
        <w:overflowPunct/>
        <w:topLinePunct w:val="0"/>
        <w:autoSpaceDE/>
        <w:autoSpaceDN/>
        <w:bidi w:val="0"/>
        <w:adjustRightInd/>
        <w:snapToGrid/>
        <w:jc w:val="left"/>
        <w:rPr>
          <w:rFonts w:hint="eastAsia" w:ascii="仿宋_GB2312" w:hAnsi="仿宋_GB2312" w:eastAsia="仿宋_GB2312" w:cs="仿宋_GB2312"/>
          <w:color w:val="auto"/>
          <w:kern w:val="0"/>
          <w:sz w:val="18"/>
          <w:szCs w:val="18"/>
        </w:rPr>
      </w:pPr>
    </w:p>
    <w:p w14:paraId="5631869E">
      <w:pPr>
        <w:keepNext w:val="0"/>
        <w:keepLines w:val="0"/>
        <w:pageBreakBefore w:val="0"/>
        <w:widowControl/>
        <w:kinsoku/>
        <w:wordWrap/>
        <w:overflowPunct/>
        <w:topLinePunct w:val="0"/>
        <w:autoSpaceDE/>
        <w:autoSpaceDN/>
        <w:bidi w:val="0"/>
        <w:adjustRightInd/>
        <w:snapToGrid/>
        <w:jc w:val="left"/>
        <w:rPr>
          <w:rFonts w:hint="eastAsia" w:ascii="仿宋_GB2312" w:hAnsi="仿宋_GB2312" w:eastAsia="仿宋_GB2312" w:cs="仿宋_GB2312"/>
          <w:color w:val="auto"/>
          <w:kern w:val="0"/>
          <w:sz w:val="18"/>
          <w:szCs w:val="18"/>
        </w:rPr>
      </w:pPr>
    </w:p>
    <w:p w14:paraId="4CB00D22">
      <w:pPr>
        <w:keepNext w:val="0"/>
        <w:keepLines w:val="0"/>
        <w:pageBreakBefore w:val="0"/>
        <w:widowControl/>
        <w:kinsoku/>
        <w:wordWrap/>
        <w:overflowPunct/>
        <w:topLinePunct w:val="0"/>
        <w:autoSpaceDE/>
        <w:autoSpaceDN/>
        <w:bidi w:val="0"/>
        <w:adjustRightInd/>
        <w:snapToGrid/>
        <w:jc w:val="left"/>
        <w:rPr>
          <w:rFonts w:hint="eastAsia" w:ascii="仿宋_GB2312" w:hAnsi="仿宋_GB2312" w:eastAsia="仿宋_GB2312" w:cs="仿宋_GB2312"/>
          <w:color w:val="auto"/>
          <w:kern w:val="0"/>
          <w:sz w:val="18"/>
          <w:szCs w:val="18"/>
        </w:rPr>
      </w:pPr>
    </w:p>
    <w:p w14:paraId="695D9396">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中国人民银行中国银行业监督管理委员会</w:t>
      </w:r>
    </w:p>
    <w:p w14:paraId="359FBC4F">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中国证券监督管理委员会中国保险监督管理委员会</w:t>
      </w:r>
    </w:p>
    <w:p w14:paraId="16B1CB8F">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国家统计局关于印发《金融业企业划型标准规定》的通知</w:t>
      </w:r>
    </w:p>
    <w:p w14:paraId="408FD082">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4149A79">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40B10281">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附件：金融业企业划型标准规定</w:t>
      </w:r>
    </w:p>
    <w:p w14:paraId="5D2DF25F">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p>
    <w:p w14:paraId="0B46C74A">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金融业企业划型标准规定</w:t>
      </w:r>
    </w:p>
    <w:p w14:paraId="2738E314">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1F874B6">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二、 适用范围。本规定适用于从事《国民经济行业分类》(GB/T4754-2011)中J门类（金融业）活动的企业。</w:t>
      </w:r>
    </w:p>
    <w:p w14:paraId="69BFFF1E">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1398BC8">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四、划型标准指标。采用一个完整会计年度中四个季度末法人并表口径的资产总额（信托公司为信托资产）平均值作为划型指标，该指标以监管部门数据为准。</w:t>
      </w:r>
    </w:p>
    <w:p w14:paraId="7E68A95D">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五、指标标准值。依据指标标准值，将各类金融业企业划分为大、中、小、微四个规模类型，中型企业标准上限及以上的为大型企业。</w:t>
      </w:r>
    </w:p>
    <w:p w14:paraId="5466064A">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8FEF8D0">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CB081F5">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9F638D9">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554F8497">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FAE92EA">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761D12A8">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102EF68D">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23121D6">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0105773">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七、 标准值的评估和调整。金融业企业划型标准工作组毎五年对划型标准值受经济发展与通货膨胀等因素的响程度进行评估和调整。</w:t>
      </w:r>
    </w:p>
    <w:p w14:paraId="0DA8EF51">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八、 本规定的中型金融业企业标准上限即为大型金融业企业下限。国务院有关部门据此进行相关数据的统计分析，不得制定与本规定不一致的金融业企业划型标准。</w:t>
      </w:r>
    </w:p>
    <w:p w14:paraId="13A7AB14">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九、 融资担保公司参照本规定中“除贷款公司、小额贷款公司、典当行以外的其他金融机构”标准划型。</w:t>
      </w:r>
    </w:p>
    <w:p w14:paraId="42062791">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十、本规定由人民银行会同银监会，证监会、保监会和统计局负责解释。</w:t>
      </w:r>
    </w:p>
    <w:p w14:paraId="6420818E">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    十一、本规定自发布之日起实施。</w:t>
      </w:r>
    </w:p>
    <w:p w14:paraId="56DF35AB">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baseline"/>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附：金融业企业划型标准</w:t>
      </w:r>
    </w:p>
    <w:p w14:paraId="4953CA6D">
      <w:pPr>
        <w:keepNext w:val="0"/>
        <w:keepLines w:val="0"/>
        <w:pageBreakBefore w:val="0"/>
        <w:widowControl/>
        <w:shd w:val="clear" w:color="auto" w:fill="FFFFFF"/>
        <w:kinsoku/>
        <w:wordWrap/>
        <w:overflowPunct/>
        <w:topLinePunct w:val="0"/>
        <w:autoSpaceDE/>
        <w:autoSpaceDN/>
        <w:bidi w:val="0"/>
        <w:adjustRightInd/>
        <w:snapToGrid/>
        <w:spacing w:line="600" w:lineRule="atLeast"/>
        <w:jc w:val="center"/>
        <w:textAlignment w:val="baseline"/>
        <w:rPr>
          <w:rFonts w:hint="eastAsia" w:ascii="仿宋_GB2312" w:hAnsi="仿宋_GB2312" w:eastAsia="仿宋_GB2312" w:cs="仿宋_GB2312"/>
          <w:b/>
          <w:bCs/>
          <w:color w:val="auto"/>
          <w:kern w:val="0"/>
          <w:sz w:val="36"/>
          <w:szCs w:val="36"/>
        </w:rPr>
      </w:pPr>
      <w:r>
        <w:rPr>
          <w:rFonts w:hint="eastAsia" w:ascii="仿宋_GB2312" w:hAnsi="仿宋_GB2312" w:eastAsia="仿宋_GB2312" w:cs="仿宋_GB2312"/>
          <w:b/>
          <w:bCs/>
          <w:color w:val="auto"/>
          <w:kern w:val="0"/>
          <w:sz w:val="36"/>
          <w:szCs w:val="36"/>
        </w:rPr>
        <w:t>金融业企业划型标准</w:t>
      </w:r>
    </w:p>
    <w:tbl>
      <w:tblPr>
        <w:tblStyle w:val="6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5F6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A3AE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行业</w:t>
            </w:r>
          </w:p>
        </w:tc>
        <w:tc>
          <w:tcPr>
            <w:tcW w:w="2836" w:type="dxa"/>
            <w:tcMar>
              <w:top w:w="75" w:type="dxa"/>
              <w:left w:w="75" w:type="dxa"/>
              <w:bottom w:w="75" w:type="dxa"/>
              <w:right w:w="75" w:type="dxa"/>
            </w:tcMar>
            <w:vAlign w:val="bottom"/>
          </w:tcPr>
          <w:p w14:paraId="28DCE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类别</w:t>
            </w:r>
          </w:p>
        </w:tc>
        <w:tc>
          <w:tcPr>
            <w:tcW w:w="606" w:type="dxa"/>
            <w:tcMar>
              <w:top w:w="75" w:type="dxa"/>
              <w:left w:w="75" w:type="dxa"/>
              <w:bottom w:w="75" w:type="dxa"/>
              <w:right w:w="75" w:type="dxa"/>
            </w:tcMar>
            <w:vAlign w:val="bottom"/>
          </w:tcPr>
          <w:p w14:paraId="34A47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类型</w:t>
            </w:r>
          </w:p>
        </w:tc>
        <w:tc>
          <w:tcPr>
            <w:tcW w:w="3326" w:type="dxa"/>
            <w:tcMar>
              <w:top w:w="75" w:type="dxa"/>
              <w:left w:w="75" w:type="dxa"/>
              <w:bottom w:w="75" w:type="dxa"/>
              <w:right w:w="75" w:type="dxa"/>
            </w:tcMar>
            <w:vAlign w:val="bottom"/>
          </w:tcPr>
          <w:p w14:paraId="2703F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资产总额</w:t>
            </w:r>
          </w:p>
        </w:tc>
      </w:tr>
      <w:tr w14:paraId="018C9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824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货币金融服务</w:t>
            </w:r>
          </w:p>
        </w:tc>
        <w:tc>
          <w:tcPr>
            <w:tcW w:w="1025" w:type="dxa"/>
            <w:vMerge w:val="restart"/>
            <w:vAlign w:val="center"/>
          </w:tcPr>
          <w:p w14:paraId="56E6E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货币银行服务</w:t>
            </w:r>
          </w:p>
        </w:tc>
        <w:tc>
          <w:tcPr>
            <w:tcW w:w="2836" w:type="dxa"/>
            <w:vMerge w:val="restart"/>
            <w:vAlign w:val="center"/>
          </w:tcPr>
          <w:p w14:paraId="260AF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银行业存款类金融机构</w:t>
            </w:r>
          </w:p>
        </w:tc>
        <w:tc>
          <w:tcPr>
            <w:tcW w:w="606" w:type="dxa"/>
            <w:vAlign w:val="center"/>
          </w:tcPr>
          <w:p w14:paraId="492BF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4C16F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5000亿元（含）至40000亿元</w:t>
            </w:r>
          </w:p>
        </w:tc>
      </w:tr>
      <w:tr w14:paraId="11B89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FB5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0AAD9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5496C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32D1E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10318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50亿元（含）至5000亿元</w:t>
            </w:r>
          </w:p>
        </w:tc>
      </w:tr>
      <w:tr w14:paraId="20E7E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3EB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4909C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6A5AC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727AD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16173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50亿元以下</w:t>
            </w:r>
          </w:p>
        </w:tc>
      </w:tr>
      <w:tr w14:paraId="33F5A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04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restart"/>
            <w:vAlign w:val="center"/>
          </w:tcPr>
          <w:p w14:paraId="500F4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非货币银行服务</w:t>
            </w:r>
          </w:p>
        </w:tc>
        <w:tc>
          <w:tcPr>
            <w:tcW w:w="2836" w:type="dxa"/>
            <w:vMerge w:val="restart"/>
            <w:vAlign w:val="center"/>
          </w:tcPr>
          <w:p w14:paraId="664E61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银行业非存款类金融机构</w:t>
            </w:r>
          </w:p>
        </w:tc>
        <w:tc>
          <w:tcPr>
            <w:tcW w:w="606" w:type="dxa"/>
            <w:vAlign w:val="center"/>
          </w:tcPr>
          <w:p w14:paraId="79FD5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3A0E2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200亿元（含）至1000亿元</w:t>
            </w:r>
          </w:p>
        </w:tc>
      </w:tr>
      <w:tr w14:paraId="09046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C68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31899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01B73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615A0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5E9CD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50亿元（含）至200亿元</w:t>
            </w:r>
          </w:p>
        </w:tc>
      </w:tr>
      <w:tr w14:paraId="134B2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08F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17264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27E03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6BC1C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13C57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50亿元以下</w:t>
            </w:r>
          </w:p>
        </w:tc>
      </w:tr>
      <w:tr w14:paraId="486BA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50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6B784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restart"/>
            <w:vAlign w:val="center"/>
          </w:tcPr>
          <w:p w14:paraId="1F5B4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贷款公司、小额贷款公司及典当行</w:t>
            </w:r>
          </w:p>
        </w:tc>
        <w:tc>
          <w:tcPr>
            <w:tcW w:w="606" w:type="dxa"/>
            <w:vAlign w:val="center"/>
          </w:tcPr>
          <w:p w14:paraId="2F48F7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537F99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200亿元（含）至1000亿元</w:t>
            </w:r>
          </w:p>
        </w:tc>
      </w:tr>
      <w:tr w14:paraId="09094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7A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011589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5E318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1FC41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46C79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50亿元（含）至200亿元</w:t>
            </w:r>
          </w:p>
        </w:tc>
      </w:tr>
      <w:tr w14:paraId="54716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D05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5C1C4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79611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1D176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2C258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50亿元以下</w:t>
            </w:r>
          </w:p>
        </w:tc>
      </w:tr>
      <w:tr w14:paraId="70E97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54E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资本市场服务</w:t>
            </w:r>
          </w:p>
        </w:tc>
        <w:tc>
          <w:tcPr>
            <w:tcW w:w="2836" w:type="dxa"/>
            <w:vMerge w:val="restart"/>
            <w:vAlign w:val="center"/>
          </w:tcPr>
          <w:p w14:paraId="4C67D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证券业金融机构</w:t>
            </w:r>
          </w:p>
        </w:tc>
        <w:tc>
          <w:tcPr>
            <w:tcW w:w="606" w:type="dxa"/>
            <w:vAlign w:val="center"/>
          </w:tcPr>
          <w:p w14:paraId="01F47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5ED94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100亿元（含）至1000亿元</w:t>
            </w:r>
          </w:p>
        </w:tc>
      </w:tr>
      <w:tr w14:paraId="746B6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05F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6D5C7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38FAC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6047B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10亿元（含）至100亿元</w:t>
            </w:r>
          </w:p>
        </w:tc>
      </w:tr>
      <w:tr w14:paraId="76356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027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19E67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3A7B0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06EBB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10亿元以下</w:t>
            </w:r>
          </w:p>
        </w:tc>
      </w:tr>
      <w:tr w14:paraId="51097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9992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保险业</w:t>
            </w:r>
          </w:p>
        </w:tc>
        <w:tc>
          <w:tcPr>
            <w:tcW w:w="2836" w:type="dxa"/>
            <w:vMerge w:val="restart"/>
            <w:vAlign w:val="center"/>
          </w:tcPr>
          <w:p w14:paraId="7D233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保险业金融机构</w:t>
            </w:r>
          </w:p>
        </w:tc>
        <w:tc>
          <w:tcPr>
            <w:tcW w:w="606" w:type="dxa"/>
            <w:vAlign w:val="center"/>
          </w:tcPr>
          <w:p w14:paraId="3EB248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57149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400亿元（含）至5000亿元</w:t>
            </w:r>
          </w:p>
        </w:tc>
      </w:tr>
      <w:tr w14:paraId="16BA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74A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3C754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0E883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15747A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20亿元（含）至400亿元</w:t>
            </w:r>
          </w:p>
        </w:tc>
      </w:tr>
      <w:tr w14:paraId="06E38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408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3DBEC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2E970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57E73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20亿元以下</w:t>
            </w:r>
          </w:p>
        </w:tc>
      </w:tr>
      <w:tr w14:paraId="503EB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4EE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其他金融业</w:t>
            </w:r>
          </w:p>
        </w:tc>
        <w:tc>
          <w:tcPr>
            <w:tcW w:w="1025" w:type="dxa"/>
            <w:vMerge w:val="restart"/>
            <w:vAlign w:val="center"/>
          </w:tcPr>
          <w:p w14:paraId="428706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金融信托与管理服务</w:t>
            </w:r>
          </w:p>
        </w:tc>
        <w:tc>
          <w:tcPr>
            <w:tcW w:w="2836" w:type="dxa"/>
            <w:vMerge w:val="restart"/>
            <w:vAlign w:val="center"/>
          </w:tcPr>
          <w:p w14:paraId="17D48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信托公司</w:t>
            </w:r>
          </w:p>
        </w:tc>
        <w:tc>
          <w:tcPr>
            <w:tcW w:w="606" w:type="dxa"/>
            <w:vAlign w:val="center"/>
          </w:tcPr>
          <w:p w14:paraId="1BA2B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3874B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400亿元（含）至1000亿元</w:t>
            </w:r>
          </w:p>
        </w:tc>
      </w:tr>
      <w:tr w14:paraId="3E486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A7F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35E8A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3D63F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4918C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3C728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20亿元（含）至400亿元</w:t>
            </w:r>
          </w:p>
        </w:tc>
      </w:tr>
      <w:tr w14:paraId="4A667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47D3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2D1A7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3C239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550A2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65D1F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20亿元以下</w:t>
            </w:r>
          </w:p>
        </w:tc>
      </w:tr>
      <w:tr w14:paraId="3863B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2A9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restart"/>
            <w:vAlign w:val="center"/>
          </w:tcPr>
          <w:p w14:paraId="5C764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控股公司服务</w:t>
            </w:r>
          </w:p>
        </w:tc>
        <w:tc>
          <w:tcPr>
            <w:tcW w:w="2836" w:type="dxa"/>
            <w:vMerge w:val="restart"/>
            <w:vAlign w:val="center"/>
          </w:tcPr>
          <w:p w14:paraId="24DC9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金融控股公司</w:t>
            </w:r>
          </w:p>
        </w:tc>
        <w:tc>
          <w:tcPr>
            <w:tcW w:w="606" w:type="dxa"/>
            <w:vAlign w:val="center"/>
          </w:tcPr>
          <w:p w14:paraId="05D73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757C9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5000亿元（含）至40000亿元</w:t>
            </w:r>
          </w:p>
        </w:tc>
      </w:tr>
      <w:tr w14:paraId="3DE57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31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3BCF5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5FA07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2648B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0C148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50亿元（含）至5000亿元</w:t>
            </w:r>
          </w:p>
        </w:tc>
      </w:tr>
      <w:tr w14:paraId="57D86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A5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7C48E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11C14D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41E20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214FE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50亿元以下</w:t>
            </w:r>
          </w:p>
        </w:tc>
      </w:tr>
      <w:tr w14:paraId="1A62D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208B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restart"/>
            <w:vAlign w:val="center"/>
          </w:tcPr>
          <w:p w14:paraId="75BF5D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其他未包括的金融业</w:t>
            </w:r>
          </w:p>
        </w:tc>
        <w:tc>
          <w:tcPr>
            <w:tcW w:w="2836" w:type="dxa"/>
            <w:vMerge w:val="restart"/>
            <w:vAlign w:val="center"/>
          </w:tcPr>
          <w:p w14:paraId="6397B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除贷款公司、小额贷款公司及典当行以外的其他金融机构</w:t>
            </w:r>
          </w:p>
        </w:tc>
        <w:tc>
          <w:tcPr>
            <w:tcW w:w="606" w:type="dxa"/>
            <w:vAlign w:val="center"/>
          </w:tcPr>
          <w:p w14:paraId="6660B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中型</w:t>
            </w:r>
          </w:p>
        </w:tc>
        <w:tc>
          <w:tcPr>
            <w:tcW w:w="3326" w:type="dxa"/>
            <w:vAlign w:val="center"/>
          </w:tcPr>
          <w:p w14:paraId="0FDCF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200亿元（含）至1000亿元</w:t>
            </w:r>
          </w:p>
        </w:tc>
      </w:tr>
      <w:tr w14:paraId="1B7D4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0D9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350AB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4393A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6FF8A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小型</w:t>
            </w:r>
          </w:p>
        </w:tc>
        <w:tc>
          <w:tcPr>
            <w:tcW w:w="3326" w:type="dxa"/>
            <w:vAlign w:val="center"/>
          </w:tcPr>
          <w:p w14:paraId="5006F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50亿元（含）至200亿元</w:t>
            </w:r>
          </w:p>
        </w:tc>
      </w:tr>
      <w:tr w14:paraId="597B7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FB1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1025" w:type="dxa"/>
            <w:vMerge w:val="continue"/>
            <w:vAlign w:val="center"/>
          </w:tcPr>
          <w:p w14:paraId="34CE9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2836" w:type="dxa"/>
            <w:vMerge w:val="continue"/>
            <w:vAlign w:val="center"/>
          </w:tcPr>
          <w:p w14:paraId="643FD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p>
        </w:tc>
        <w:tc>
          <w:tcPr>
            <w:tcW w:w="606" w:type="dxa"/>
            <w:vAlign w:val="center"/>
          </w:tcPr>
          <w:p w14:paraId="2D6045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微型</w:t>
            </w:r>
          </w:p>
        </w:tc>
        <w:tc>
          <w:tcPr>
            <w:tcW w:w="3326" w:type="dxa"/>
            <w:vAlign w:val="center"/>
          </w:tcPr>
          <w:p w14:paraId="6D638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50亿元以下</w:t>
            </w:r>
          </w:p>
        </w:tc>
      </w:tr>
    </w:tbl>
    <w:p w14:paraId="29D50C1B">
      <w:pPr>
        <w:keepNext w:val="0"/>
        <w:keepLines w:val="0"/>
        <w:pageBreakBefore w:val="0"/>
        <w:kinsoku/>
        <w:wordWrap/>
        <w:overflowPunct/>
        <w:topLinePunct w:val="0"/>
        <w:autoSpaceDE/>
        <w:autoSpaceDN/>
        <w:bidi w:val="0"/>
        <w:adjustRightInd/>
        <w:snapToGrid/>
        <w:spacing w:line="360" w:lineRule="auto"/>
        <w:rPr>
          <w:rFonts w:hint="eastAsia" w:ascii="仿宋_GB2312" w:hAnsi="仿宋_GB2312" w:eastAsia="仿宋_GB2312" w:cs="仿宋_GB2312"/>
          <w:color w:val="auto"/>
          <w:sz w:val="24"/>
        </w:rPr>
      </w:pPr>
    </w:p>
    <w:sectPr>
      <w:footerReference r:id="rId11" w:type="default"/>
      <w:footerReference r:id="rId12" w:type="even"/>
      <w:pgSz w:w="11905" w:h="16838"/>
      <w:pgMar w:top="1814" w:right="1474" w:bottom="1814" w:left="1474" w:header="851" w:footer="850"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Arial Unicode MS"/>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altName w:val="Arial Unicode MS"/>
    <w:panose1 w:val="02010609060101010101"/>
    <w:charset w:val="86"/>
    <w:family w:val="modern"/>
    <w:pitch w:val="default"/>
    <w:sig w:usb0="00000000" w:usb1="00000000"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D9A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101</w:t>
    </w:r>
    <w:r>
      <w:rPr>
        <w:rFonts w:hint="eastAsia" w:ascii="仿宋_GB2312" w:eastAsia="仿宋_GB2312"/>
        <w:kern w:val="0"/>
      </w:rPr>
      <w:fldChar w:fldCharType="end"/>
    </w:r>
    <w:r>
      <w:rPr>
        <w:rFonts w:hint="eastAsia" w:ascii="仿宋_GB2312" w:eastAsia="仿宋_GB2312"/>
        <w:kern w:val="0"/>
      </w:rPr>
      <w:t xml:space="preserve"> 页</w:t>
    </w:r>
  </w:p>
  <w:p w14:paraId="5C7F6579">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9FE80">
    <w:pPr>
      <w:pStyle w:val="41"/>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8BF825">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Cb3s5twBAADAAwAADgAAAAAAAAAB&#10;ACAAAAAeAQAAZHJzL2Uyb0RvYy54bWxQSwUGAAAAAAYABgBZAQAAbAUAAAAA&#10;">
              <v:fill on="f" focussize="0,0"/>
              <v:stroke on="f"/>
              <v:imagedata o:title=""/>
              <o:lock v:ext="edit" aspectratio="f"/>
              <v:textbox inset="0mm,0mm,0mm,0mm" style="mso-fit-shape-to-text:t;">
                <w:txbxContent>
                  <w:p w14:paraId="4C8BF825">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10D7688D">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BBB1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285DA2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B737A">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83FE84">
                          <w:pPr>
                            <w:pStyle w:val="4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52m+mNwBAADAAwAADgAAAAAAAAAB&#10;ACAAAAAeAQAAZHJzL2Uyb0RvYy54bWxQSwUGAAAAAAYABgBZAQAAbAUAAAAA&#10;">
              <v:fill on="f" focussize="0,0"/>
              <v:stroke on="f"/>
              <v:imagedata o:title=""/>
              <o:lock v:ext="edit" aspectratio="f"/>
              <v:textbox inset="0mm,0mm,0mm,0mm" style="mso-fit-shape-to-text:t;">
                <w:txbxContent>
                  <w:p w14:paraId="4A83FE84">
                    <w:pPr>
                      <w:pStyle w:val="4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7F5530D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EC76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CDCEA5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8F164">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65A71E">
                          <w:pPr>
                            <w:pStyle w:val="4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6JuTRdwBAADAAwAADgAAAAAAAAAB&#10;ACAAAAAeAQAAZHJzL2Uyb0RvYy54bWxQSwUGAAAAAAYABgBZAQAAbAUAAAAA&#10;">
              <v:fill on="f" focussize="0,0"/>
              <v:stroke on="f"/>
              <v:imagedata o:title=""/>
              <o:lock v:ext="edit" aspectratio="f"/>
              <v:textbox inset="0mm,0mm,0mm,0mm" style="mso-fit-shape-to-text:t;">
                <w:txbxContent>
                  <w:p w14:paraId="6965A71E">
                    <w:pPr>
                      <w:pStyle w:val="4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204C7B08">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1867">
    <w:pPr>
      <w:pStyle w:val="41"/>
      <w:framePr w:wrap="around" w:vAnchor="text" w:hAnchor="margin" w:xAlign="center" w:y="1"/>
      <w:rPr>
        <w:rStyle w:val="76"/>
      </w:rPr>
    </w:pPr>
    <w:r>
      <w:rPr>
        <w:rStyle w:val="76"/>
      </w:rPr>
      <w:fldChar w:fldCharType="begin"/>
    </w:r>
    <w:r>
      <w:rPr>
        <w:rStyle w:val="76"/>
      </w:rPr>
      <w:instrText xml:space="preserve">PAGE  </w:instrText>
    </w:r>
    <w:r>
      <w:rPr>
        <w:rStyle w:val="76"/>
      </w:rPr>
      <w:fldChar w:fldCharType="end"/>
    </w:r>
  </w:p>
  <w:p w14:paraId="2E654DE8">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4A37E">
    <w:pPr>
      <w:pStyle w:val="43"/>
      <w:jc w:val="both"/>
      <w:rPr>
        <w:rFonts w:hint="default" w:eastAsia="仿宋_GB2312"/>
        <w:lang w:val="en-US" w:eastAsia="zh-CN"/>
      </w:rPr>
    </w:pPr>
    <w:r>
      <w:rPr>
        <w:rFonts w:hint="eastAsia" w:ascii="仿宋_GB2312" w:hAnsi="新宋体" w:eastAsia="仿宋_GB2312"/>
        <w:kern w:val="0"/>
        <w:sz w:val="21"/>
        <w:szCs w:val="21"/>
      </w:rPr>
      <w:t>浙江建诚工程管理咨询有限公司</w:t>
    </w:r>
    <w:r>
      <w:rPr>
        <w:rFonts w:hint="eastAsia" w:ascii="仿宋_GB2312" w:hAnsi="新宋体" w:eastAsia="仿宋_GB2312"/>
        <w:kern w:val="0"/>
        <w:sz w:val="21"/>
        <w:szCs w:val="21"/>
        <w:lang w:val="en-US" w:eastAsia="zh-CN"/>
      </w:rPr>
      <w:t xml:space="preserve">                       文件</w:t>
    </w:r>
    <w:r>
      <w:rPr>
        <w:rFonts w:hint="eastAsia" w:ascii="仿宋_GB2312" w:hAnsi="新宋体" w:eastAsia="仿宋_GB2312"/>
        <w:kern w:val="0"/>
        <w:sz w:val="21"/>
        <w:szCs w:val="21"/>
      </w:rPr>
      <w:t>编号</w:t>
    </w:r>
    <w:r>
      <w:rPr>
        <w:rFonts w:hint="eastAsia" w:ascii="仿宋_GB2312" w:hAnsi="新宋体" w:eastAsia="仿宋_GB2312"/>
        <w:kern w:val="0"/>
        <w:sz w:val="21"/>
        <w:szCs w:val="21"/>
        <w:lang w:eastAsia="zh-CN"/>
      </w:rPr>
      <w:t>：</w:t>
    </w:r>
    <w:r>
      <w:rPr>
        <w:rFonts w:ascii="仿宋_GB2312" w:hAnsi="新宋体" w:eastAsia="仿宋_GB2312"/>
        <w:kern w:val="0"/>
        <w:sz w:val="21"/>
        <w:szCs w:val="21"/>
      </w:rPr>
      <w:t>CGSHZJ-2024-N001074</w:t>
    </w:r>
    <w:r>
      <w:rPr>
        <w:rFonts w:hint="eastAsia" w:ascii="仿宋_GB2312" w:hAnsi="新宋体" w:eastAsia="仿宋_GB2312"/>
        <w:kern w:val="0"/>
        <w:sz w:val="21"/>
        <w:szCs w:val="21"/>
        <w:lang w:val="en-US" w:eastAsia="zh-CN"/>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84C44">
    <w:pPr>
      <w:pStyle w:val="43"/>
      <w:jc w:val="both"/>
      <w:rPr>
        <w:rFonts w:hint="default" w:eastAsia="仿宋_GB2312"/>
        <w:lang w:val="en-US" w:eastAsia="zh-CN"/>
      </w:rPr>
    </w:pPr>
    <w:r>
      <w:rPr>
        <w:rFonts w:hint="eastAsia" w:ascii="仿宋_GB2312" w:hAnsi="新宋体" w:eastAsia="仿宋_GB2312"/>
        <w:kern w:val="0"/>
        <w:sz w:val="21"/>
        <w:szCs w:val="21"/>
      </w:rPr>
      <w:t>浙江建诚工程管理咨询有限公司</w:t>
    </w:r>
    <w:r>
      <w:rPr>
        <w:rFonts w:hint="eastAsia" w:ascii="仿宋_GB2312" w:hAnsi="新宋体" w:eastAsia="仿宋_GB2312"/>
        <w:kern w:val="0"/>
        <w:sz w:val="21"/>
        <w:szCs w:val="21"/>
        <w:lang w:val="en-US" w:eastAsia="zh-CN"/>
      </w:rPr>
      <w:t xml:space="preserve">                       文件</w:t>
    </w:r>
    <w:r>
      <w:rPr>
        <w:rFonts w:hint="eastAsia" w:ascii="仿宋_GB2312" w:hAnsi="新宋体" w:eastAsia="仿宋_GB2312"/>
        <w:kern w:val="0"/>
        <w:sz w:val="21"/>
        <w:szCs w:val="21"/>
      </w:rPr>
      <w:t>编号</w:t>
    </w:r>
    <w:r>
      <w:rPr>
        <w:rFonts w:hint="eastAsia" w:ascii="仿宋_GB2312" w:hAnsi="新宋体" w:eastAsia="仿宋_GB2312"/>
        <w:kern w:val="0"/>
        <w:sz w:val="21"/>
        <w:szCs w:val="21"/>
        <w:lang w:eastAsia="zh-CN"/>
      </w:rPr>
      <w:t>：</w:t>
    </w:r>
    <w:r>
      <w:rPr>
        <w:rFonts w:ascii="仿宋_GB2312" w:hAnsi="新宋体" w:eastAsia="仿宋_GB2312"/>
        <w:kern w:val="0"/>
        <w:sz w:val="21"/>
        <w:szCs w:val="21"/>
      </w:rPr>
      <w:t>CGSHZJ-2024-N001074</w:t>
    </w:r>
    <w:r>
      <w:rPr>
        <w:rFonts w:hint="eastAsia" w:ascii="仿宋_GB2312" w:hAnsi="新宋体" w:eastAsia="仿宋_GB2312"/>
        <w:kern w:val="0"/>
        <w:sz w:val="21"/>
        <w:szCs w:val="21"/>
        <w:lang w:val="en-US" w:eastAsia="zh-CN"/>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05758">
    <w:pPr>
      <w:pStyle w:val="43"/>
      <w:jc w:val="both"/>
      <w:rPr>
        <w:rFonts w:hint="default" w:eastAsia="仿宋_GB2312"/>
        <w:lang w:val="en-US" w:eastAsia="zh-CN"/>
      </w:rPr>
    </w:pPr>
    <w:r>
      <w:rPr>
        <w:rFonts w:hint="eastAsia" w:ascii="仿宋_GB2312" w:hAnsi="新宋体" w:eastAsia="仿宋_GB2312"/>
        <w:kern w:val="0"/>
        <w:sz w:val="21"/>
        <w:szCs w:val="21"/>
      </w:rPr>
      <w:t>浙江建诚工程管理咨询有限公司</w:t>
    </w:r>
    <w:r>
      <w:rPr>
        <w:rFonts w:hint="eastAsia" w:ascii="仿宋_GB2312" w:hAnsi="新宋体" w:eastAsia="仿宋_GB2312"/>
        <w:kern w:val="0"/>
        <w:sz w:val="21"/>
        <w:szCs w:val="21"/>
        <w:lang w:val="en-US" w:eastAsia="zh-CN"/>
      </w:rPr>
      <w:t xml:space="preserve">                       文件</w:t>
    </w:r>
    <w:r>
      <w:rPr>
        <w:rFonts w:hint="eastAsia" w:ascii="仿宋_GB2312" w:hAnsi="新宋体" w:eastAsia="仿宋_GB2312"/>
        <w:kern w:val="0"/>
        <w:sz w:val="21"/>
        <w:szCs w:val="21"/>
      </w:rPr>
      <w:t>编号</w:t>
    </w:r>
    <w:r>
      <w:rPr>
        <w:rFonts w:hint="eastAsia" w:ascii="仿宋_GB2312" w:hAnsi="新宋体" w:eastAsia="仿宋_GB2312"/>
        <w:kern w:val="0"/>
        <w:sz w:val="21"/>
        <w:szCs w:val="21"/>
        <w:lang w:eastAsia="zh-CN"/>
      </w:rPr>
      <w:t>：</w:t>
    </w:r>
    <w:r>
      <w:rPr>
        <w:rFonts w:ascii="仿宋_GB2312" w:hAnsi="新宋体" w:eastAsia="仿宋_GB2312"/>
        <w:kern w:val="0"/>
        <w:sz w:val="21"/>
        <w:szCs w:val="21"/>
      </w:rPr>
      <w:t>CGSHZJ-2024-N001074</w:t>
    </w:r>
    <w:r>
      <w:rPr>
        <w:rFonts w:hint="eastAsia" w:ascii="仿宋_GB2312" w:hAnsi="新宋体" w:eastAsia="仿宋_GB2312"/>
        <w:kern w:val="0"/>
        <w:sz w:val="21"/>
        <w:szCs w:val="21"/>
        <w:lang w:val="en-US" w:eastAsia="zh-CN"/>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AF610A"/>
    <w:multiLevelType w:val="singleLevel"/>
    <w:tmpl w:val="C4AF610A"/>
    <w:lvl w:ilvl="0" w:tentative="0">
      <w:start w:val="6"/>
      <w:numFmt w:val="chineseCounting"/>
      <w:suff w:val="nothing"/>
      <w:lvlText w:val="%1、"/>
      <w:lvlJc w:val="left"/>
      <w:rPr>
        <w:rFonts w:hint="eastAsia"/>
      </w:rPr>
    </w:lvl>
  </w:abstractNum>
  <w:abstractNum w:abstractNumId="1">
    <w:nsid w:val="F992E6BF"/>
    <w:multiLevelType w:val="singleLevel"/>
    <w:tmpl w:val="F992E6BF"/>
    <w:lvl w:ilvl="0" w:tentative="0">
      <w:start w:val="1"/>
      <w:numFmt w:val="decimal"/>
      <w:suff w:val="nothing"/>
      <w:lvlText w:val="（%1）"/>
      <w:lvlJc w:val="left"/>
    </w:lvl>
  </w:abstractNum>
  <w:abstractNum w:abstractNumId="2">
    <w:nsid w:val="FFFFFF7C"/>
    <w:multiLevelType w:val="singleLevel"/>
    <w:tmpl w:val="FFFFFF7C"/>
    <w:lvl w:ilvl="0" w:tentative="0">
      <w:start w:val="1"/>
      <w:numFmt w:val="decimal"/>
      <w:pStyle w:val="50"/>
      <w:lvlText w:val="%1."/>
      <w:lvlJc w:val="left"/>
      <w:pPr>
        <w:tabs>
          <w:tab w:val="left" w:pos="2040"/>
        </w:tabs>
        <w:ind w:left="2040" w:leftChars="800" w:hanging="360" w:hangingChars="200"/>
      </w:pPr>
    </w:lvl>
  </w:abstractNum>
  <w:abstractNum w:abstractNumId="3">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7"/>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7D14F6D5"/>
    <w:multiLevelType w:val="singleLevel"/>
    <w:tmpl w:val="7D14F6D5"/>
    <w:lvl w:ilvl="0" w:tentative="0">
      <w:start w:val="5"/>
      <w:numFmt w:val="decimal"/>
      <w:lvlText w:val="%1."/>
      <w:lvlJc w:val="left"/>
      <w:pPr>
        <w:tabs>
          <w:tab w:val="left" w:pos="312"/>
        </w:tabs>
      </w:pPr>
    </w:lvl>
  </w:abstractNum>
  <w:num w:numId="1">
    <w:abstractNumId w:val="6"/>
  </w:num>
  <w:num w:numId="2">
    <w:abstractNumId w:val="4"/>
  </w:num>
  <w:num w:numId="3">
    <w:abstractNumId w:val="3"/>
  </w:num>
  <w:num w:numId="4">
    <w:abstractNumId w:val="7"/>
  </w:num>
  <w:num w:numId="5">
    <w:abstractNumId w:val="2"/>
  </w:num>
  <w:num w:numId="6">
    <w:abstractNumId w:val="8"/>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mNTc1ZWQ1MTkxNWI3ZjhmODkwYzUzNjJjMWJkZjIifQ=="/>
    <w:docVar w:name="KSO_WPS_MARK_KEY" w:val="e16e54b1-b90d-4300-a261-712344392279"/>
  </w:docVars>
  <w:rsids>
    <w:rsidRoot w:val="00417C8A"/>
    <w:rsid w:val="00002EF8"/>
    <w:rsid w:val="00003B69"/>
    <w:rsid w:val="00005125"/>
    <w:rsid w:val="0000551C"/>
    <w:rsid w:val="00010C9A"/>
    <w:rsid w:val="00010FC1"/>
    <w:rsid w:val="0001278F"/>
    <w:rsid w:val="00016A8E"/>
    <w:rsid w:val="0002045E"/>
    <w:rsid w:val="00021D87"/>
    <w:rsid w:val="0002203D"/>
    <w:rsid w:val="0002414E"/>
    <w:rsid w:val="0002468D"/>
    <w:rsid w:val="00025A9F"/>
    <w:rsid w:val="00026762"/>
    <w:rsid w:val="00031F75"/>
    <w:rsid w:val="000329A7"/>
    <w:rsid w:val="00033D7B"/>
    <w:rsid w:val="000402F5"/>
    <w:rsid w:val="00040A03"/>
    <w:rsid w:val="000415AE"/>
    <w:rsid w:val="00047118"/>
    <w:rsid w:val="00047D3B"/>
    <w:rsid w:val="0005026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6760"/>
    <w:rsid w:val="00067FB2"/>
    <w:rsid w:val="000702AD"/>
    <w:rsid w:val="0007066D"/>
    <w:rsid w:val="00074373"/>
    <w:rsid w:val="000751F9"/>
    <w:rsid w:val="00075850"/>
    <w:rsid w:val="0007656E"/>
    <w:rsid w:val="0007730D"/>
    <w:rsid w:val="000812D0"/>
    <w:rsid w:val="00082DC1"/>
    <w:rsid w:val="00083E93"/>
    <w:rsid w:val="00083EB1"/>
    <w:rsid w:val="00087605"/>
    <w:rsid w:val="00090D74"/>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C7BBD"/>
    <w:rsid w:val="000D0E6C"/>
    <w:rsid w:val="000D110F"/>
    <w:rsid w:val="000D122E"/>
    <w:rsid w:val="000D1267"/>
    <w:rsid w:val="000D15DE"/>
    <w:rsid w:val="000D1D59"/>
    <w:rsid w:val="000D4D0E"/>
    <w:rsid w:val="000D716C"/>
    <w:rsid w:val="000E0ADD"/>
    <w:rsid w:val="000E1C88"/>
    <w:rsid w:val="000E3723"/>
    <w:rsid w:val="000E4A4F"/>
    <w:rsid w:val="000E5C9B"/>
    <w:rsid w:val="000E6F8C"/>
    <w:rsid w:val="000E72A0"/>
    <w:rsid w:val="000F0D59"/>
    <w:rsid w:val="000F1332"/>
    <w:rsid w:val="000F201A"/>
    <w:rsid w:val="000F20B7"/>
    <w:rsid w:val="000F51A7"/>
    <w:rsid w:val="000F5EF4"/>
    <w:rsid w:val="000F704D"/>
    <w:rsid w:val="000F7FA8"/>
    <w:rsid w:val="001003B0"/>
    <w:rsid w:val="001023D9"/>
    <w:rsid w:val="00102484"/>
    <w:rsid w:val="00103B47"/>
    <w:rsid w:val="00104327"/>
    <w:rsid w:val="00104663"/>
    <w:rsid w:val="00104806"/>
    <w:rsid w:val="00104A07"/>
    <w:rsid w:val="0010763D"/>
    <w:rsid w:val="00111E93"/>
    <w:rsid w:val="00112B08"/>
    <w:rsid w:val="00114BF9"/>
    <w:rsid w:val="00114C81"/>
    <w:rsid w:val="00115363"/>
    <w:rsid w:val="00116372"/>
    <w:rsid w:val="00116EDA"/>
    <w:rsid w:val="0012018C"/>
    <w:rsid w:val="00120D86"/>
    <w:rsid w:val="00121C46"/>
    <w:rsid w:val="001259AD"/>
    <w:rsid w:val="00125D70"/>
    <w:rsid w:val="00126CDE"/>
    <w:rsid w:val="00132EE2"/>
    <w:rsid w:val="001345B3"/>
    <w:rsid w:val="0013527E"/>
    <w:rsid w:val="00137127"/>
    <w:rsid w:val="00137525"/>
    <w:rsid w:val="0014024E"/>
    <w:rsid w:val="0014242C"/>
    <w:rsid w:val="0014545F"/>
    <w:rsid w:val="00145D25"/>
    <w:rsid w:val="00154591"/>
    <w:rsid w:val="00154E3A"/>
    <w:rsid w:val="00156633"/>
    <w:rsid w:val="00157269"/>
    <w:rsid w:val="0015771E"/>
    <w:rsid w:val="00157914"/>
    <w:rsid w:val="00157FB7"/>
    <w:rsid w:val="0016037D"/>
    <w:rsid w:val="001606A2"/>
    <w:rsid w:val="00160B0A"/>
    <w:rsid w:val="00161F66"/>
    <w:rsid w:val="00162614"/>
    <w:rsid w:val="001628B5"/>
    <w:rsid w:val="0016296C"/>
    <w:rsid w:val="00162DD9"/>
    <w:rsid w:val="00162F13"/>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4E01"/>
    <w:rsid w:val="001D6ED7"/>
    <w:rsid w:val="001D76A1"/>
    <w:rsid w:val="001E3B20"/>
    <w:rsid w:val="001E4A9F"/>
    <w:rsid w:val="001F14C4"/>
    <w:rsid w:val="001F2767"/>
    <w:rsid w:val="001F429B"/>
    <w:rsid w:val="001F43C6"/>
    <w:rsid w:val="001F4C63"/>
    <w:rsid w:val="001F5188"/>
    <w:rsid w:val="001F661E"/>
    <w:rsid w:val="001F7E31"/>
    <w:rsid w:val="002007B7"/>
    <w:rsid w:val="00201062"/>
    <w:rsid w:val="0020236F"/>
    <w:rsid w:val="00204DA6"/>
    <w:rsid w:val="0020567D"/>
    <w:rsid w:val="002056F9"/>
    <w:rsid w:val="002062F2"/>
    <w:rsid w:val="0020786F"/>
    <w:rsid w:val="002102AD"/>
    <w:rsid w:val="00210450"/>
    <w:rsid w:val="002105F0"/>
    <w:rsid w:val="002119FC"/>
    <w:rsid w:val="002122F8"/>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5BB1"/>
    <w:rsid w:val="0023638E"/>
    <w:rsid w:val="00240411"/>
    <w:rsid w:val="0024224E"/>
    <w:rsid w:val="00242BEA"/>
    <w:rsid w:val="00243D9A"/>
    <w:rsid w:val="002442F3"/>
    <w:rsid w:val="00244766"/>
    <w:rsid w:val="00247AB8"/>
    <w:rsid w:val="002507C0"/>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38B8"/>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2A7"/>
    <w:rsid w:val="002B4A4B"/>
    <w:rsid w:val="002B5650"/>
    <w:rsid w:val="002B6B66"/>
    <w:rsid w:val="002B78AF"/>
    <w:rsid w:val="002C0C85"/>
    <w:rsid w:val="002C2C53"/>
    <w:rsid w:val="002C3804"/>
    <w:rsid w:val="002D03E4"/>
    <w:rsid w:val="002D290F"/>
    <w:rsid w:val="002D2F86"/>
    <w:rsid w:val="002D5386"/>
    <w:rsid w:val="002D6849"/>
    <w:rsid w:val="002D6DC6"/>
    <w:rsid w:val="002D7C56"/>
    <w:rsid w:val="002E2C11"/>
    <w:rsid w:val="002E34F4"/>
    <w:rsid w:val="002E35C4"/>
    <w:rsid w:val="002E4DCA"/>
    <w:rsid w:val="002E6CF6"/>
    <w:rsid w:val="002E7ADA"/>
    <w:rsid w:val="002F17CF"/>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3B36"/>
    <w:rsid w:val="00307917"/>
    <w:rsid w:val="00310479"/>
    <w:rsid w:val="00310AA4"/>
    <w:rsid w:val="00310D35"/>
    <w:rsid w:val="0031167A"/>
    <w:rsid w:val="00316329"/>
    <w:rsid w:val="003214B7"/>
    <w:rsid w:val="0032250A"/>
    <w:rsid w:val="00322583"/>
    <w:rsid w:val="00322E59"/>
    <w:rsid w:val="00323729"/>
    <w:rsid w:val="00323B52"/>
    <w:rsid w:val="00323E60"/>
    <w:rsid w:val="003250A1"/>
    <w:rsid w:val="0032527D"/>
    <w:rsid w:val="00325B14"/>
    <w:rsid w:val="0032789C"/>
    <w:rsid w:val="00327C7D"/>
    <w:rsid w:val="003302F0"/>
    <w:rsid w:val="0033043D"/>
    <w:rsid w:val="0033047A"/>
    <w:rsid w:val="00332DA4"/>
    <w:rsid w:val="00334BC7"/>
    <w:rsid w:val="00334D58"/>
    <w:rsid w:val="00334D83"/>
    <w:rsid w:val="003371DD"/>
    <w:rsid w:val="00337B61"/>
    <w:rsid w:val="003413F9"/>
    <w:rsid w:val="0034305B"/>
    <w:rsid w:val="00347CAD"/>
    <w:rsid w:val="00350E72"/>
    <w:rsid w:val="00351EEF"/>
    <w:rsid w:val="0035254A"/>
    <w:rsid w:val="0035327E"/>
    <w:rsid w:val="003565A0"/>
    <w:rsid w:val="003618CE"/>
    <w:rsid w:val="00365766"/>
    <w:rsid w:val="00365F56"/>
    <w:rsid w:val="003664A8"/>
    <w:rsid w:val="003670EB"/>
    <w:rsid w:val="00367EAB"/>
    <w:rsid w:val="0037368A"/>
    <w:rsid w:val="00375107"/>
    <w:rsid w:val="0037517D"/>
    <w:rsid w:val="00380CA3"/>
    <w:rsid w:val="003822F9"/>
    <w:rsid w:val="00384E3C"/>
    <w:rsid w:val="00385323"/>
    <w:rsid w:val="0039130B"/>
    <w:rsid w:val="00391E7C"/>
    <w:rsid w:val="003921A2"/>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E79"/>
    <w:rsid w:val="003E5FB8"/>
    <w:rsid w:val="003E6C02"/>
    <w:rsid w:val="003F1B2D"/>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6016"/>
    <w:rsid w:val="00417C8A"/>
    <w:rsid w:val="0042136D"/>
    <w:rsid w:val="00424835"/>
    <w:rsid w:val="00424C70"/>
    <w:rsid w:val="0042557D"/>
    <w:rsid w:val="00426003"/>
    <w:rsid w:val="00426CA3"/>
    <w:rsid w:val="00427B10"/>
    <w:rsid w:val="004330F1"/>
    <w:rsid w:val="004350B7"/>
    <w:rsid w:val="004357E0"/>
    <w:rsid w:val="0043766D"/>
    <w:rsid w:val="00441896"/>
    <w:rsid w:val="00442935"/>
    <w:rsid w:val="0044422F"/>
    <w:rsid w:val="004443C5"/>
    <w:rsid w:val="00445C1C"/>
    <w:rsid w:val="00447789"/>
    <w:rsid w:val="0045111C"/>
    <w:rsid w:val="004513F6"/>
    <w:rsid w:val="00451D55"/>
    <w:rsid w:val="00457231"/>
    <w:rsid w:val="0045738B"/>
    <w:rsid w:val="00457A12"/>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0694"/>
    <w:rsid w:val="004832BC"/>
    <w:rsid w:val="00484FE8"/>
    <w:rsid w:val="00485BE8"/>
    <w:rsid w:val="00485E04"/>
    <w:rsid w:val="00486B01"/>
    <w:rsid w:val="00487465"/>
    <w:rsid w:val="004915FC"/>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11B"/>
    <w:rsid w:val="004E05D9"/>
    <w:rsid w:val="004E0E2C"/>
    <w:rsid w:val="004E1AB8"/>
    <w:rsid w:val="004E2D4B"/>
    <w:rsid w:val="004E4899"/>
    <w:rsid w:val="004E7CD7"/>
    <w:rsid w:val="004F3734"/>
    <w:rsid w:val="004F69CA"/>
    <w:rsid w:val="004F6CAF"/>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395F"/>
    <w:rsid w:val="00544130"/>
    <w:rsid w:val="005459FE"/>
    <w:rsid w:val="00545F40"/>
    <w:rsid w:val="00553FE7"/>
    <w:rsid w:val="0055544C"/>
    <w:rsid w:val="00555780"/>
    <w:rsid w:val="00556840"/>
    <w:rsid w:val="00557737"/>
    <w:rsid w:val="0056065C"/>
    <w:rsid w:val="00565C1E"/>
    <w:rsid w:val="00565EF8"/>
    <w:rsid w:val="00566FBC"/>
    <w:rsid w:val="0057066B"/>
    <w:rsid w:val="00570DFC"/>
    <w:rsid w:val="00572BAD"/>
    <w:rsid w:val="00573677"/>
    <w:rsid w:val="005738F4"/>
    <w:rsid w:val="00573BCB"/>
    <w:rsid w:val="0057484B"/>
    <w:rsid w:val="00576529"/>
    <w:rsid w:val="00576EFE"/>
    <w:rsid w:val="005770CA"/>
    <w:rsid w:val="00581DB2"/>
    <w:rsid w:val="005826EA"/>
    <w:rsid w:val="00582F11"/>
    <w:rsid w:val="00585233"/>
    <w:rsid w:val="0058680D"/>
    <w:rsid w:val="00586C3A"/>
    <w:rsid w:val="005879E7"/>
    <w:rsid w:val="00590A70"/>
    <w:rsid w:val="00591190"/>
    <w:rsid w:val="00591584"/>
    <w:rsid w:val="00594CDD"/>
    <w:rsid w:val="00595AB2"/>
    <w:rsid w:val="005A3003"/>
    <w:rsid w:val="005A32FB"/>
    <w:rsid w:val="005A3E6E"/>
    <w:rsid w:val="005A5257"/>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2BBB"/>
    <w:rsid w:val="005F4834"/>
    <w:rsid w:val="005F510E"/>
    <w:rsid w:val="005F5691"/>
    <w:rsid w:val="005F5C27"/>
    <w:rsid w:val="005F78A5"/>
    <w:rsid w:val="0060052A"/>
    <w:rsid w:val="00601F1E"/>
    <w:rsid w:val="006029F2"/>
    <w:rsid w:val="00604458"/>
    <w:rsid w:val="00604DCA"/>
    <w:rsid w:val="00605CCE"/>
    <w:rsid w:val="00606ED5"/>
    <w:rsid w:val="006070BD"/>
    <w:rsid w:val="006073C6"/>
    <w:rsid w:val="00607E60"/>
    <w:rsid w:val="006107F3"/>
    <w:rsid w:val="006120C0"/>
    <w:rsid w:val="00615698"/>
    <w:rsid w:val="00615BAF"/>
    <w:rsid w:val="006173BF"/>
    <w:rsid w:val="00617775"/>
    <w:rsid w:val="00620CFA"/>
    <w:rsid w:val="00621927"/>
    <w:rsid w:val="00622201"/>
    <w:rsid w:val="006225C8"/>
    <w:rsid w:val="006225CB"/>
    <w:rsid w:val="00624516"/>
    <w:rsid w:val="006257E9"/>
    <w:rsid w:val="00625BC2"/>
    <w:rsid w:val="0062625D"/>
    <w:rsid w:val="006264DB"/>
    <w:rsid w:val="00630ADC"/>
    <w:rsid w:val="00630CF7"/>
    <w:rsid w:val="006343D9"/>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66C76"/>
    <w:rsid w:val="00671A32"/>
    <w:rsid w:val="00672AC8"/>
    <w:rsid w:val="00673C9C"/>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1CC"/>
    <w:rsid w:val="006A69A8"/>
    <w:rsid w:val="006B183A"/>
    <w:rsid w:val="006B1A97"/>
    <w:rsid w:val="006B3AAF"/>
    <w:rsid w:val="006B4F54"/>
    <w:rsid w:val="006B6B67"/>
    <w:rsid w:val="006B73AD"/>
    <w:rsid w:val="006C002F"/>
    <w:rsid w:val="006C02F5"/>
    <w:rsid w:val="006C3223"/>
    <w:rsid w:val="006C5FEF"/>
    <w:rsid w:val="006C7EB3"/>
    <w:rsid w:val="006D106F"/>
    <w:rsid w:val="006D5227"/>
    <w:rsid w:val="006D629D"/>
    <w:rsid w:val="006E0428"/>
    <w:rsid w:val="006E16EB"/>
    <w:rsid w:val="006E51D3"/>
    <w:rsid w:val="006E5909"/>
    <w:rsid w:val="006E64A5"/>
    <w:rsid w:val="006E6C77"/>
    <w:rsid w:val="006E772C"/>
    <w:rsid w:val="006E797A"/>
    <w:rsid w:val="006F0A0C"/>
    <w:rsid w:val="006F1914"/>
    <w:rsid w:val="006F1D8D"/>
    <w:rsid w:val="006F2510"/>
    <w:rsid w:val="006F38C9"/>
    <w:rsid w:val="006F3A0F"/>
    <w:rsid w:val="006F7367"/>
    <w:rsid w:val="00700256"/>
    <w:rsid w:val="007014C0"/>
    <w:rsid w:val="00702458"/>
    <w:rsid w:val="00703636"/>
    <w:rsid w:val="007040B6"/>
    <w:rsid w:val="007047D8"/>
    <w:rsid w:val="00707395"/>
    <w:rsid w:val="007122EB"/>
    <w:rsid w:val="00714DD3"/>
    <w:rsid w:val="007156C0"/>
    <w:rsid w:val="00715B09"/>
    <w:rsid w:val="0072144E"/>
    <w:rsid w:val="00721BF4"/>
    <w:rsid w:val="007266EE"/>
    <w:rsid w:val="00727382"/>
    <w:rsid w:val="0072764B"/>
    <w:rsid w:val="00727936"/>
    <w:rsid w:val="00727E2C"/>
    <w:rsid w:val="00727F6F"/>
    <w:rsid w:val="007327FF"/>
    <w:rsid w:val="0073323F"/>
    <w:rsid w:val="007402C2"/>
    <w:rsid w:val="007402D5"/>
    <w:rsid w:val="00740EED"/>
    <w:rsid w:val="00741976"/>
    <w:rsid w:val="00741F19"/>
    <w:rsid w:val="007435B2"/>
    <w:rsid w:val="00743C5C"/>
    <w:rsid w:val="0075094E"/>
    <w:rsid w:val="00751DF3"/>
    <w:rsid w:val="0075238C"/>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1D4F"/>
    <w:rsid w:val="007923E8"/>
    <w:rsid w:val="0079412B"/>
    <w:rsid w:val="00794F1B"/>
    <w:rsid w:val="00795DDC"/>
    <w:rsid w:val="007A06F3"/>
    <w:rsid w:val="007A160C"/>
    <w:rsid w:val="007A179B"/>
    <w:rsid w:val="007A3241"/>
    <w:rsid w:val="007A4FF4"/>
    <w:rsid w:val="007A5361"/>
    <w:rsid w:val="007A6CC8"/>
    <w:rsid w:val="007B0001"/>
    <w:rsid w:val="007B1348"/>
    <w:rsid w:val="007B3695"/>
    <w:rsid w:val="007B4734"/>
    <w:rsid w:val="007B58B1"/>
    <w:rsid w:val="007B5ADD"/>
    <w:rsid w:val="007B6A7E"/>
    <w:rsid w:val="007B7257"/>
    <w:rsid w:val="007C2503"/>
    <w:rsid w:val="007C2B7A"/>
    <w:rsid w:val="007C4BF9"/>
    <w:rsid w:val="007C4D57"/>
    <w:rsid w:val="007C4DD1"/>
    <w:rsid w:val="007C5716"/>
    <w:rsid w:val="007C7BB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2B62"/>
    <w:rsid w:val="00834788"/>
    <w:rsid w:val="00840AB3"/>
    <w:rsid w:val="008424CD"/>
    <w:rsid w:val="00842C80"/>
    <w:rsid w:val="00844F41"/>
    <w:rsid w:val="008457C1"/>
    <w:rsid w:val="0084613D"/>
    <w:rsid w:val="00850E6B"/>
    <w:rsid w:val="00852E88"/>
    <w:rsid w:val="0085509F"/>
    <w:rsid w:val="008557E8"/>
    <w:rsid w:val="00863478"/>
    <w:rsid w:val="00863945"/>
    <w:rsid w:val="00864E3D"/>
    <w:rsid w:val="008669B8"/>
    <w:rsid w:val="00875064"/>
    <w:rsid w:val="00877F0F"/>
    <w:rsid w:val="008800C8"/>
    <w:rsid w:val="0088067B"/>
    <w:rsid w:val="0088347A"/>
    <w:rsid w:val="00885797"/>
    <w:rsid w:val="00886234"/>
    <w:rsid w:val="008863D4"/>
    <w:rsid w:val="00886634"/>
    <w:rsid w:val="00887B85"/>
    <w:rsid w:val="00890B37"/>
    <w:rsid w:val="00890DCD"/>
    <w:rsid w:val="008922BE"/>
    <w:rsid w:val="00896670"/>
    <w:rsid w:val="00896BE8"/>
    <w:rsid w:val="00896ED5"/>
    <w:rsid w:val="008A037C"/>
    <w:rsid w:val="008A0860"/>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6B14"/>
    <w:rsid w:val="008C764A"/>
    <w:rsid w:val="008D18D9"/>
    <w:rsid w:val="008D4AB1"/>
    <w:rsid w:val="008D7471"/>
    <w:rsid w:val="008D7B31"/>
    <w:rsid w:val="008D7C64"/>
    <w:rsid w:val="008E19EE"/>
    <w:rsid w:val="008E1A0D"/>
    <w:rsid w:val="008E2B80"/>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0BD7"/>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783"/>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A762C"/>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6CAA"/>
    <w:rsid w:val="009D744F"/>
    <w:rsid w:val="009D7ACA"/>
    <w:rsid w:val="009E0132"/>
    <w:rsid w:val="009E0414"/>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449"/>
    <w:rsid w:val="00A15C91"/>
    <w:rsid w:val="00A200B6"/>
    <w:rsid w:val="00A2031E"/>
    <w:rsid w:val="00A20F2A"/>
    <w:rsid w:val="00A216B1"/>
    <w:rsid w:val="00A22975"/>
    <w:rsid w:val="00A22F25"/>
    <w:rsid w:val="00A23624"/>
    <w:rsid w:val="00A23D3B"/>
    <w:rsid w:val="00A26379"/>
    <w:rsid w:val="00A270A3"/>
    <w:rsid w:val="00A27EE2"/>
    <w:rsid w:val="00A30D6F"/>
    <w:rsid w:val="00A35629"/>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4B23"/>
    <w:rsid w:val="00A66E24"/>
    <w:rsid w:val="00A67420"/>
    <w:rsid w:val="00A70E74"/>
    <w:rsid w:val="00A7154B"/>
    <w:rsid w:val="00A746F5"/>
    <w:rsid w:val="00A7634A"/>
    <w:rsid w:val="00A76F1B"/>
    <w:rsid w:val="00A773A7"/>
    <w:rsid w:val="00A773DA"/>
    <w:rsid w:val="00A77619"/>
    <w:rsid w:val="00A8134F"/>
    <w:rsid w:val="00A81702"/>
    <w:rsid w:val="00A8199E"/>
    <w:rsid w:val="00A84F5C"/>
    <w:rsid w:val="00A84FC6"/>
    <w:rsid w:val="00A86340"/>
    <w:rsid w:val="00A864EB"/>
    <w:rsid w:val="00A87009"/>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3B52"/>
    <w:rsid w:val="00AB44CD"/>
    <w:rsid w:val="00AB44F1"/>
    <w:rsid w:val="00AB454D"/>
    <w:rsid w:val="00AB4CB6"/>
    <w:rsid w:val="00AB6FFF"/>
    <w:rsid w:val="00AC1694"/>
    <w:rsid w:val="00AC2B19"/>
    <w:rsid w:val="00AC3A1C"/>
    <w:rsid w:val="00AC3D35"/>
    <w:rsid w:val="00AC4A89"/>
    <w:rsid w:val="00AC6CEC"/>
    <w:rsid w:val="00AC7411"/>
    <w:rsid w:val="00AD0DBF"/>
    <w:rsid w:val="00AD474A"/>
    <w:rsid w:val="00AD6ACB"/>
    <w:rsid w:val="00AE05FC"/>
    <w:rsid w:val="00AE1B40"/>
    <w:rsid w:val="00AE2ED6"/>
    <w:rsid w:val="00AF039F"/>
    <w:rsid w:val="00AF199C"/>
    <w:rsid w:val="00AF4A99"/>
    <w:rsid w:val="00AF6325"/>
    <w:rsid w:val="00AF7A6A"/>
    <w:rsid w:val="00B00F7A"/>
    <w:rsid w:val="00B012D5"/>
    <w:rsid w:val="00B014C1"/>
    <w:rsid w:val="00B01665"/>
    <w:rsid w:val="00B0332B"/>
    <w:rsid w:val="00B03BEE"/>
    <w:rsid w:val="00B077EB"/>
    <w:rsid w:val="00B11F7D"/>
    <w:rsid w:val="00B1230F"/>
    <w:rsid w:val="00B127DA"/>
    <w:rsid w:val="00B12ECD"/>
    <w:rsid w:val="00B134C6"/>
    <w:rsid w:val="00B14C0B"/>
    <w:rsid w:val="00B1582E"/>
    <w:rsid w:val="00B2031D"/>
    <w:rsid w:val="00B213DD"/>
    <w:rsid w:val="00B2146D"/>
    <w:rsid w:val="00B243CC"/>
    <w:rsid w:val="00B257CC"/>
    <w:rsid w:val="00B25D56"/>
    <w:rsid w:val="00B26E26"/>
    <w:rsid w:val="00B27632"/>
    <w:rsid w:val="00B27C21"/>
    <w:rsid w:val="00B31EAF"/>
    <w:rsid w:val="00B3313A"/>
    <w:rsid w:val="00B34302"/>
    <w:rsid w:val="00B35D47"/>
    <w:rsid w:val="00B36043"/>
    <w:rsid w:val="00B37734"/>
    <w:rsid w:val="00B37BCC"/>
    <w:rsid w:val="00B41870"/>
    <w:rsid w:val="00B47039"/>
    <w:rsid w:val="00B47E7B"/>
    <w:rsid w:val="00B51441"/>
    <w:rsid w:val="00B54A07"/>
    <w:rsid w:val="00B55791"/>
    <w:rsid w:val="00B559FF"/>
    <w:rsid w:val="00B63318"/>
    <w:rsid w:val="00B64CEB"/>
    <w:rsid w:val="00B665B5"/>
    <w:rsid w:val="00B66DC1"/>
    <w:rsid w:val="00B67101"/>
    <w:rsid w:val="00B706D0"/>
    <w:rsid w:val="00B73A67"/>
    <w:rsid w:val="00B76B6C"/>
    <w:rsid w:val="00B76F48"/>
    <w:rsid w:val="00B8043F"/>
    <w:rsid w:val="00B810F4"/>
    <w:rsid w:val="00B82D43"/>
    <w:rsid w:val="00B8308E"/>
    <w:rsid w:val="00B85012"/>
    <w:rsid w:val="00B86504"/>
    <w:rsid w:val="00B867E7"/>
    <w:rsid w:val="00B86823"/>
    <w:rsid w:val="00B91124"/>
    <w:rsid w:val="00B9180C"/>
    <w:rsid w:val="00B9298C"/>
    <w:rsid w:val="00B92993"/>
    <w:rsid w:val="00B929F6"/>
    <w:rsid w:val="00B94480"/>
    <w:rsid w:val="00B97B7B"/>
    <w:rsid w:val="00B97BD6"/>
    <w:rsid w:val="00BA18A9"/>
    <w:rsid w:val="00BA2C2D"/>
    <w:rsid w:val="00BA4F14"/>
    <w:rsid w:val="00BA4FA3"/>
    <w:rsid w:val="00BB14F8"/>
    <w:rsid w:val="00BB1D3E"/>
    <w:rsid w:val="00BB20A2"/>
    <w:rsid w:val="00BB5269"/>
    <w:rsid w:val="00BB6DC8"/>
    <w:rsid w:val="00BC02D7"/>
    <w:rsid w:val="00BC058F"/>
    <w:rsid w:val="00BC1C13"/>
    <w:rsid w:val="00BC1D01"/>
    <w:rsid w:val="00BC1E6A"/>
    <w:rsid w:val="00BC3D6F"/>
    <w:rsid w:val="00BC500A"/>
    <w:rsid w:val="00BC57B1"/>
    <w:rsid w:val="00BC61AC"/>
    <w:rsid w:val="00BD0EBD"/>
    <w:rsid w:val="00BD20CF"/>
    <w:rsid w:val="00BD3984"/>
    <w:rsid w:val="00BD3B87"/>
    <w:rsid w:val="00BD4A3C"/>
    <w:rsid w:val="00BD4C35"/>
    <w:rsid w:val="00BE49F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B84"/>
    <w:rsid w:val="00C20DC8"/>
    <w:rsid w:val="00C22C8E"/>
    <w:rsid w:val="00C23661"/>
    <w:rsid w:val="00C23F8D"/>
    <w:rsid w:val="00C2561D"/>
    <w:rsid w:val="00C300F2"/>
    <w:rsid w:val="00C31EB2"/>
    <w:rsid w:val="00C320DF"/>
    <w:rsid w:val="00C329C3"/>
    <w:rsid w:val="00C331E2"/>
    <w:rsid w:val="00C33D04"/>
    <w:rsid w:val="00C34C64"/>
    <w:rsid w:val="00C35B77"/>
    <w:rsid w:val="00C35D54"/>
    <w:rsid w:val="00C408A4"/>
    <w:rsid w:val="00C4126C"/>
    <w:rsid w:val="00C41EC0"/>
    <w:rsid w:val="00C42C0C"/>
    <w:rsid w:val="00C42C40"/>
    <w:rsid w:val="00C433A8"/>
    <w:rsid w:val="00C43E79"/>
    <w:rsid w:val="00C45D96"/>
    <w:rsid w:val="00C550E1"/>
    <w:rsid w:val="00C55889"/>
    <w:rsid w:val="00C55E95"/>
    <w:rsid w:val="00C608B3"/>
    <w:rsid w:val="00C60F12"/>
    <w:rsid w:val="00C62563"/>
    <w:rsid w:val="00C6395F"/>
    <w:rsid w:val="00C642F8"/>
    <w:rsid w:val="00C649BC"/>
    <w:rsid w:val="00C66128"/>
    <w:rsid w:val="00C66BD5"/>
    <w:rsid w:val="00C66EE6"/>
    <w:rsid w:val="00C66FCB"/>
    <w:rsid w:val="00C670AB"/>
    <w:rsid w:val="00C71414"/>
    <w:rsid w:val="00C71D3E"/>
    <w:rsid w:val="00C721C3"/>
    <w:rsid w:val="00C72FFE"/>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06CA"/>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D699D"/>
    <w:rsid w:val="00CE2BA4"/>
    <w:rsid w:val="00CE3AD7"/>
    <w:rsid w:val="00CE4EFC"/>
    <w:rsid w:val="00CE50F5"/>
    <w:rsid w:val="00CF270C"/>
    <w:rsid w:val="00CF272B"/>
    <w:rsid w:val="00CF33C3"/>
    <w:rsid w:val="00CF33D2"/>
    <w:rsid w:val="00CF3AC6"/>
    <w:rsid w:val="00CF438E"/>
    <w:rsid w:val="00CF7F2A"/>
    <w:rsid w:val="00CF7F8F"/>
    <w:rsid w:val="00D019ED"/>
    <w:rsid w:val="00D0225D"/>
    <w:rsid w:val="00D026F7"/>
    <w:rsid w:val="00D03B6A"/>
    <w:rsid w:val="00D05597"/>
    <w:rsid w:val="00D05806"/>
    <w:rsid w:val="00D05BBB"/>
    <w:rsid w:val="00D13142"/>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2341"/>
    <w:rsid w:val="00D434C3"/>
    <w:rsid w:val="00D44839"/>
    <w:rsid w:val="00D47043"/>
    <w:rsid w:val="00D47915"/>
    <w:rsid w:val="00D5093A"/>
    <w:rsid w:val="00D51479"/>
    <w:rsid w:val="00D55FFA"/>
    <w:rsid w:val="00D625F8"/>
    <w:rsid w:val="00D626F2"/>
    <w:rsid w:val="00D63D29"/>
    <w:rsid w:val="00D6440B"/>
    <w:rsid w:val="00D649AA"/>
    <w:rsid w:val="00D73693"/>
    <w:rsid w:val="00D74A49"/>
    <w:rsid w:val="00D74BEC"/>
    <w:rsid w:val="00D75A07"/>
    <w:rsid w:val="00D80A4D"/>
    <w:rsid w:val="00D83294"/>
    <w:rsid w:val="00D832F2"/>
    <w:rsid w:val="00D83A4D"/>
    <w:rsid w:val="00D840D8"/>
    <w:rsid w:val="00D85827"/>
    <w:rsid w:val="00D91398"/>
    <w:rsid w:val="00D92EA4"/>
    <w:rsid w:val="00D93A13"/>
    <w:rsid w:val="00D93A6F"/>
    <w:rsid w:val="00D949A2"/>
    <w:rsid w:val="00D94B21"/>
    <w:rsid w:val="00DA0B33"/>
    <w:rsid w:val="00DA1912"/>
    <w:rsid w:val="00DA1B47"/>
    <w:rsid w:val="00DA1E41"/>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3B2"/>
    <w:rsid w:val="00E1304F"/>
    <w:rsid w:val="00E13BC1"/>
    <w:rsid w:val="00E1419F"/>
    <w:rsid w:val="00E1468A"/>
    <w:rsid w:val="00E14F28"/>
    <w:rsid w:val="00E17315"/>
    <w:rsid w:val="00E17D79"/>
    <w:rsid w:val="00E20872"/>
    <w:rsid w:val="00E20A02"/>
    <w:rsid w:val="00E22C17"/>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D7A"/>
    <w:rsid w:val="00E622B2"/>
    <w:rsid w:val="00E633B5"/>
    <w:rsid w:val="00E644CD"/>
    <w:rsid w:val="00E65A9B"/>
    <w:rsid w:val="00E70A78"/>
    <w:rsid w:val="00E715C6"/>
    <w:rsid w:val="00E720E4"/>
    <w:rsid w:val="00E7370C"/>
    <w:rsid w:val="00E76C25"/>
    <w:rsid w:val="00E76ED0"/>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A749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460"/>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4CD3"/>
    <w:rsid w:val="00F95111"/>
    <w:rsid w:val="00F95B52"/>
    <w:rsid w:val="00F97C8E"/>
    <w:rsid w:val="00F97E58"/>
    <w:rsid w:val="00FA0AAD"/>
    <w:rsid w:val="00FA1DC1"/>
    <w:rsid w:val="00FA4F73"/>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7C0A54"/>
    <w:rsid w:val="02ED18A8"/>
    <w:rsid w:val="03973080"/>
    <w:rsid w:val="039A7DB8"/>
    <w:rsid w:val="03A92378"/>
    <w:rsid w:val="03AB20F0"/>
    <w:rsid w:val="04D27862"/>
    <w:rsid w:val="04F42B3F"/>
    <w:rsid w:val="04FC088E"/>
    <w:rsid w:val="055E37EA"/>
    <w:rsid w:val="05D134BB"/>
    <w:rsid w:val="06347AD6"/>
    <w:rsid w:val="06D118A6"/>
    <w:rsid w:val="07C4253A"/>
    <w:rsid w:val="07F66B30"/>
    <w:rsid w:val="08684398"/>
    <w:rsid w:val="08E47F7A"/>
    <w:rsid w:val="09B13F4A"/>
    <w:rsid w:val="09F37C3C"/>
    <w:rsid w:val="0AD21D2B"/>
    <w:rsid w:val="0B6126F3"/>
    <w:rsid w:val="0BB66081"/>
    <w:rsid w:val="0CC872A8"/>
    <w:rsid w:val="0CCC0614"/>
    <w:rsid w:val="0CDF7698"/>
    <w:rsid w:val="0E2376AA"/>
    <w:rsid w:val="0E5B778C"/>
    <w:rsid w:val="0EC73CBB"/>
    <w:rsid w:val="0F1E2070"/>
    <w:rsid w:val="101822F4"/>
    <w:rsid w:val="10E13271"/>
    <w:rsid w:val="12673BDD"/>
    <w:rsid w:val="12E77EAF"/>
    <w:rsid w:val="132A7240"/>
    <w:rsid w:val="13CD449C"/>
    <w:rsid w:val="13CF782D"/>
    <w:rsid w:val="143C4CC3"/>
    <w:rsid w:val="14BA2B3F"/>
    <w:rsid w:val="14BF12FC"/>
    <w:rsid w:val="14FB4CF0"/>
    <w:rsid w:val="156A779B"/>
    <w:rsid w:val="16610A3D"/>
    <w:rsid w:val="16FD2A66"/>
    <w:rsid w:val="171A4BA4"/>
    <w:rsid w:val="17524819"/>
    <w:rsid w:val="17C0774A"/>
    <w:rsid w:val="18A30710"/>
    <w:rsid w:val="192D43FA"/>
    <w:rsid w:val="193A32DB"/>
    <w:rsid w:val="19751AD1"/>
    <w:rsid w:val="19A84266"/>
    <w:rsid w:val="1AAE3E8D"/>
    <w:rsid w:val="1B6F54BE"/>
    <w:rsid w:val="1BC22ACE"/>
    <w:rsid w:val="1C1B6A4E"/>
    <w:rsid w:val="1C630679"/>
    <w:rsid w:val="1CA6482C"/>
    <w:rsid w:val="1D2E539D"/>
    <w:rsid w:val="1D543A6B"/>
    <w:rsid w:val="1D9A03BE"/>
    <w:rsid w:val="1E5054EE"/>
    <w:rsid w:val="1E7A5314"/>
    <w:rsid w:val="1E923C06"/>
    <w:rsid w:val="1EBA040C"/>
    <w:rsid w:val="1F783D50"/>
    <w:rsid w:val="1FDE2C12"/>
    <w:rsid w:val="20343288"/>
    <w:rsid w:val="205C0BE6"/>
    <w:rsid w:val="20DC375B"/>
    <w:rsid w:val="20E96F35"/>
    <w:rsid w:val="218A3D29"/>
    <w:rsid w:val="21C30966"/>
    <w:rsid w:val="237B7289"/>
    <w:rsid w:val="237F5946"/>
    <w:rsid w:val="23AD2E0D"/>
    <w:rsid w:val="24160A64"/>
    <w:rsid w:val="244D0366"/>
    <w:rsid w:val="248C3D41"/>
    <w:rsid w:val="24BE55D5"/>
    <w:rsid w:val="250A361A"/>
    <w:rsid w:val="25EF1B90"/>
    <w:rsid w:val="266A1B61"/>
    <w:rsid w:val="26AF0A36"/>
    <w:rsid w:val="27CF28C5"/>
    <w:rsid w:val="281403AA"/>
    <w:rsid w:val="28C05D8B"/>
    <w:rsid w:val="2B0648B2"/>
    <w:rsid w:val="2B710F04"/>
    <w:rsid w:val="2B7A20E1"/>
    <w:rsid w:val="2BCE6AC7"/>
    <w:rsid w:val="2C2356D5"/>
    <w:rsid w:val="2C7857BE"/>
    <w:rsid w:val="2CBB4031"/>
    <w:rsid w:val="2CBD087C"/>
    <w:rsid w:val="2EBC13E0"/>
    <w:rsid w:val="2F344436"/>
    <w:rsid w:val="302C4B3A"/>
    <w:rsid w:val="3055677B"/>
    <w:rsid w:val="30B85366"/>
    <w:rsid w:val="30E9688F"/>
    <w:rsid w:val="32356A21"/>
    <w:rsid w:val="32616EAD"/>
    <w:rsid w:val="326775CE"/>
    <w:rsid w:val="32734499"/>
    <w:rsid w:val="331F385F"/>
    <w:rsid w:val="332903AD"/>
    <w:rsid w:val="3414178D"/>
    <w:rsid w:val="34242317"/>
    <w:rsid w:val="347A3CD0"/>
    <w:rsid w:val="34C71A6F"/>
    <w:rsid w:val="35D421F1"/>
    <w:rsid w:val="37F12C1A"/>
    <w:rsid w:val="38176E9C"/>
    <w:rsid w:val="386073E2"/>
    <w:rsid w:val="38D86FBA"/>
    <w:rsid w:val="38E10FE0"/>
    <w:rsid w:val="390037A2"/>
    <w:rsid w:val="39A8144C"/>
    <w:rsid w:val="3A7D74DB"/>
    <w:rsid w:val="3B697D24"/>
    <w:rsid w:val="3BEF62E9"/>
    <w:rsid w:val="3C26660B"/>
    <w:rsid w:val="3C592EDE"/>
    <w:rsid w:val="3C763710"/>
    <w:rsid w:val="3D9C65DF"/>
    <w:rsid w:val="3DBF5AF1"/>
    <w:rsid w:val="3E1744A2"/>
    <w:rsid w:val="3E3C2779"/>
    <w:rsid w:val="3F2006FA"/>
    <w:rsid w:val="3F316E34"/>
    <w:rsid w:val="3F5B5BD6"/>
    <w:rsid w:val="3FAC3885"/>
    <w:rsid w:val="40997158"/>
    <w:rsid w:val="41744D2D"/>
    <w:rsid w:val="41842351"/>
    <w:rsid w:val="41E14F94"/>
    <w:rsid w:val="43476AC0"/>
    <w:rsid w:val="43931164"/>
    <w:rsid w:val="43B20013"/>
    <w:rsid w:val="44353810"/>
    <w:rsid w:val="44E26B4A"/>
    <w:rsid w:val="459375CB"/>
    <w:rsid w:val="47290726"/>
    <w:rsid w:val="47733541"/>
    <w:rsid w:val="47E67918"/>
    <w:rsid w:val="48237E23"/>
    <w:rsid w:val="483A3A68"/>
    <w:rsid w:val="48CB3536"/>
    <w:rsid w:val="48F30A4A"/>
    <w:rsid w:val="49D60C93"/>
    <w:rsid w:val="4A0862E1"/>
    <w:rsid w:val="4A3A63AD"/>
    <w:rsid w:val="4B174348"/>
    <w:rsid w:val="4B606C0F"/>
    <w:rsid w:val="4B7A4A62"/>
    <w:rsid w:val="4C011499"/>
    <w:rsid w:val="4C145A66"/>
    <w:rsid w:val="4C84023F"/>
    <w:rsid w:val="4C9F22E1"/>
    <w:rsid w:val="4E8228FD"/>
    <w:rsid w:val="4E902CC6"/>
    <w:rsid w:val="4ED701A0"/>
    <w:rsid w:val="4F485FCA"/>
    <w:rsid w:val="4FA05C8A"/>
    <w:rsid w:val="507206F5"/>
    <w:rsid w:val="508E2325"/>
    <w:rsid w:val="512C581F"/>
    <w:rsid w:val="51973F37"/>
    <w:rsid w:val="519C075F"/>
    <w:rsid w:val="52324A13"/>
    <w:rsid w:val="5268457B"/>
    <w:rsid w:val="53176BBE"/>
    <w:rsid w:val="538D2B0D"/>
    <w:rsid w:val="542B616D"/>
    <w:rsid w:val="55A13923"/>
    <w:rsid w:val="55E150CB"/>
    <w:rsid w:val="55F92AE1"/>
    <w:rsid w:val="568A1872"/>
    <w:rsid w:val="569C2904"/>
    <w:rsid w:val="56E12039"/>
    <w:rsid w:val="577F7DC9"/>
    <w:rsid w:val="57B55B96"/>
    <w:rsid w:val="57DE7234"/>
    <w:rsid w:val="57EB3CC4"/>
    <w:rsid w:val="581B26E1"/>
    <w:rsid w:val="58443516"/>
    <w:rsid w:val="586B4733"/>
    <w:rsid w:val="58926708"/>
    <w:rsid w:val="58EA122E"/>
    <w:rsid w:val="590D7851"/>
    <w:rsid w:val="5942035A"/>
    <w:rsid w:val="5B784BE0"/>
    <w:rsid w:val="5BC326E1"/>
    <w:rsid w:val="5C36717A"/>
    <w:rsid w:val="5C7F34EE"/>
    <w:rsid w:val="5CA02A22"/>
    <w:rsid w:val="5D4A0441"/>
    <w:rsid w:val="5D937524"/>
    <w:rsid w:val="5E001FA1"/>
    <w:rsid w:val="5E705D15"/>
    <w:rsid w:val="5EEC728B"/>
    <w:rsid w:val="5F7E0F45"/>
    <w:rsid w:val="60126884"/>
    <w:rsid w:val="60430294"/>
    <w:rsid w:val="60DD06DF"/>
    <w:rsid w:val="61932B55"/>
    <w:rsid w:val="620D7D01"/>
    <w:rsid w:val="63196CDE"/>
    <w:rsid w:val="632353B0"/>
    <w:rsid w:val="63E16B9C"/>
    <w:rsid w:val="63EF1AF0"/>
    <w:rsid w:val="6446771C"/>
    <w:rsid w:val="654E2CA6"/>
    <w:rsid w:val="65B25CA0"/>
    <w:rsid w:val="65B63AFA"/>
    <w:rsid w:val="65EE2DCE"/>
    <w:rsid w:val="65FC0B4C"/>
    <w:rsid w:val="66B04EF4"/>
    <w:rsid w:val="677A34E3"/>
    <w:rsid w:val="68637E6E"/>
    <w:rsid w:val="688D6550"/>
    <w:rsid w:val="69A56BA1"/>
    <w:rsid w:val="69B965BF"/>
    <w:rsid w:val="69EA0E25"/>
    <w:rsid w:val="6A2B5E35"/>
    <w:rsid w:val="6AE6492D"/>
    <w:rsid w:val="6B6D5621"/>
    <w:rsid w:val="6D4D2E0E"/>
    <w:rsid w:val="6E0173E3"/>
    <w:rsid w:val="6E532996"/>
    <w:rsid w:val="6E5A6A2E"/>
    <w:rsid w:val="6EA10013"/>
    <w:rsid w:val="6F4B4A6F"/>
    <w:rsid w:val="719A0F60"/>
    <w:rsid w:val="72E87C49"/>
    <w:rsid w:val="73A75A52"/>
    <w:rsid w:val="74320E3B"/>
    <w:rsid w:val="75273C7A"/>
    <w:rsid w:val="75A3293F"/>
    <w:rsid w:val="75C74A55"/>
    <w:rsid w:val="763A3561"/>
    <w:rsid w:val="766F48A1"/>
    <w:rsid w:val="77653C10"/>
    <w:rsid w:val="77A8749D"/>
    <w:rsid w:val="78DD7A73"/>
    <w:rsid w:val="7A346240"/>
    <w:rsid w:val="7A5A6A45"/>
    <w:rsid w:val="7A7D0C95"/>
    <w:rsid w:val="7B4103A5"/>
    <w:rsid w:val="7BC039EC"/>
    <w:rsid w:val="7C102E52"/>
    <w:rsid w:val="7C23788B"/>
    <w:rsid w:val="7DFBB8BB"/>
    <w:rsid w:val="7E0E3E42"/>
    <w:rsid w:val="7E102221"/>
    <w:rsid w:val="7E617EB7"/>
    <w:rsid w:val="7ED06FBD"/>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8"/>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8"/>
    <w:link w:val="90"/>
    <w:qFormat/>
    <w:uiPriority w:val="0"/>
    <w:pPr>
      <w:keepNext/>
      <w:widowControl/>
      <w:numPr>
        <w:ilvl w:val="0"/>
        <w:numId w:val="4"/>
      </w:numPr>
      <w:jc w:val="left"/>
      <w:outlineLvl w:val="4"/>
    </w:pPr>
    <w:rPr>
      <w:kern w:val="0"/>
      <w:sz w:val="24"/>
      <w:szCs w:val="20"/>
    </w:rPr>
  </w:style>
  <w:style w:type="paragraph" w:styleId="10">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3">
    <w:name w:val="Default Paragraph Font"/>
    <w:semiHidden/>
    <w:unhideWhenUsed/>
    <w:qFormat/>
    <w:uiPriority w:val="1"/>
  </w:style>
  <w:style w:type="table" w:default="1" w:styleId="6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next w:val="3"/>
    <w:link w:val="3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8">
    <w:name w:val="Normal Indent"/>
    <w:basedOn w:val="1"/>
    <w:next w:val="1"/>
    <w:link w:val="85"/>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1"/>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50"/>
    <w:qFormat/>
    <w:uiPriority w:val="0"/>
    <w:pPr>
      <w:shd w:val="clear" w:color="auto" w:fill="000080"/>
    </w:pPr>
  </w:style>
  <w:style w:type="paragraph" w:styleId="21">
    <w:name w:val="annotation text"/>
    <w:basedOn w:val="1"/>
    <w:link w:val="103"/>
    <w:qFormat/>
    <w:uiPriority w:val="99"/>
    <w:pPr>
      <w:jc w:val="left"/>
    </w:pPr>
  </w:style>
  <w:style w:type="paragraph" w:styleId="22">
    <w:name w:val="Salutation"/>
    <w:basedOn w:val="1"/>
    <w:next w:val="1"/>
    <w:link w:val="318"/>
    <w:qFormat/>
    <w:uiPriority w:val="0"/>
    <w:pPr>
      <w:adjustRightInd w:val="0"/>
    </w:pPr>
    <w:rPr>
      <w:rFonts w:ascii="仿宋_GB2312" w:eastAsia="仿宋_GB2312"/>
      <w:sz w:val="28"/>
      <w:szCs w:val="20"/>
    </w:rPr>
  </w:style>
  <w:style w:type="paragraph" w:styleId="23">
    <w:name w:val="Body Text 3"/>
    <w:basedOn w:val="1"/>
    <w:link w:val="319"/>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next w:val="1"/>
    <w:link w:val="116"/>
    <w:qFormat/>
    <w:uiPriority w:val="0"/>
    <w:pPr>
      <w:spacing w:line="360" w:lineRule="auto"/>
    </w:pPr>
    <w:rPr>
      <w:rFonts w:eastAsia="仿宋_GB2312"/>
      <w:sz w:val="28"/>
    </w:rPr>
  </w:style>
  <w:style w:type="paragraph" w:styleId="26">
    <w:name w:val="Body Text Indent"/>
    <w:basedOn w:val="1"/>
    <w:link w:val="97"/>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20"/>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5"/>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8"/>
    <w:qFormat/>
    <w:uiPriority w:val="0"/>
    <w:rPr>
      <w:rFonts w:ascii="楷体_GB2312" w:eastAsia="楷体_GB2312"/>
      <w:b/>
      <w:sz w:val="28"/>
      <w:szCs w:val="20"/>
    </w:rPr>
  </w:style>
  <w:style w:type="paragraph" w:styleId="38">
    <w:name w:val="Body Text Indent 2"/>
    <w:basedOn w:val="1"/>
    <w:link w:val="112"/>
    <w:qFormat/>
    <w:uiPriority w:val="0"/>
    <w:pPr>
      <w:spacing w:after="120" w:line="480" w:lineRule="auto"/>
      <w:ind w:left="420" w:leftChars="200"/>
    </w:pPr>
  </w:style>
  <w:style w:type="paragraph" w:styleId="39">
    <w:name w:val="endnote text"/>
    <w:basedOn w:val="1"/>
    <w:link w:val="321"/>
    <w:qFormat/>
    <w:uiPriority w:val="0"/>
    <w:pPr>
      <w:adjustRightInd w:val="0"/>
    </w:pPr>
    <w:rPr>
      <w:lang w:val="zh-CN"/>
    </w:rPr>
  </w:style>
  <w:style w:type="paragraph" w:styleId="40">
    <w:name w:val="Balloon Text"/>
    <w:basedOn w:val="1"/>
    <w:link w:val="229"/>
    <w:qFormat/>
    <w:uiPriority w:val="0"/>
    <w:rPr>
      <w:sz w:val="18"/>
      <w:szCs w:val="18"/>
    </w:rPr>
  </w:style>
  <w:style w:type="paragraph" w:styleId="41">
    <w:name w:val="footer"/>
    <w:basedOn w:val="1"/>
    <w:link w:val="100"/>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22"/>
    <w:qFormat/>
    <w:uiPriority w:val="0"/>
    <w:pPr>
      <w:adjustRightInd w:val="0"/>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tabs>
        <w:tab w:val="right" w:leader="dot" w:pos="8314"/>
      </w:tabs>
      <w:ind w:firstLine="588" w:firstLineChars="245"/>
    </w:pPr>
  </w:style>
  <w:style w:type="paragraph" w:styleId="47">
    <w:name w:val="index heading"/>
    <w:basedOn w:val="1"/>
    <w:next w:val="48"/>
    <w:qFormat/>
    <w:uiPriority w:val="0"/>
    <w:pPr>
      <w:ind w:firstLine="200" w:firstLineChars="200"/>
    </w:pPr>
  </w:style>
  <w:style w:type="paragraph" w:styleId="48">
    <w:name w:val="index 1"/>
    <w:basedOn w:val="1"/>
    <w:next w:val="1"/>
    <w:qFormat/>
    <w:uiPriority w:val="0"/>
    <w:pPr>
      <w:spacing w:line="320" w:lineRule="exact"/>
    </w:pPr>
    <w:rPr>
      <w:b/>
      <w:snapToGrid w:val="0"/>
      <w:color w:val="FF6600"/>
      <w:kern w:val="0"/>
      <w:sz w:val="18"/>
      <w:szCs w:val="21"/>
    </w:rPr>
  </w:style>
  <w:style w:type="paragraph" w:styleId="49">
    <w:name w:val="Subtitle"/>
    <w:basedOn w:val="1"/>
    <w:next w:val="1"/>
    <w:link w:val="323"/>
    <w:qFormat/>
    <w:uiPriority w:val="0"/>
    <w:pPr>
      <w:adjustRightInd w:val="0"/>
      <w:snapToGrid w:val="0"/>
      <w:spacing w:before="240" w:after="480"/>
      <w:jc w:val="center"/>
    </w:pPr>
    <w:rPr>
      <w:rFonts w:ascii="Arial" w:hAnsi="Arial" w:eastAsia="隶书"/>
      <w:b/>
      <w:bCs/>
      <w:kern w:val="28"/>
      <w:sz w:val="44"/>
      <w:szCs w:val="32"/>
    </w:rPr>
  </w:style>
  <w:style w:type="paragraph" w:styleId="50">
    <w:name w:val="List Number 5"/>
    <w:basedOn w:val="1"/>
    <w:unhideWhenUsed/>
    <w:qFormat/>
    <w:uiPriority w:val="0"/>
    <w:pPr>
      <w:numPr>
        <w:ilvl w:val="0"/>
        <w:numId w:val="5"/>
      </w:numPr>
      <w:contextualSpacing/>
    </w:pPr>
  </w:style>
  <w:style w:type="paragraph" w:styleId="51">
    <w:name w:val="List"/>
    <w:basedOn w:val="1"/>
    <w:qFormat/>
    <w:uiPriority w:val="0"/>
    <w:pPr>
      <w:adjustRightInd w:val="0"/>
      <w:ind w:left="200" w:hanging="200" w:hangingChars="200"/>
    </w:pPr>
  </w:style>
  <w:style w:type="paragraph" w:styleId="52">
    <w:name w:val="footnote text"/>
    <w:basedOn w:val="8"/>
    <w:link w:val="324"/>
    <w:qFormat/>
    <w:uiPriority w:val="0"/>
    <w:pPr>
      <w:widowControl/>
      <w:spacing w:before="60" w:after="60" w:line="300" w:lineRule="exact"/>
      <w:ind w:firstLine="0" w:firstLineChars="0"/>
    </w:pPr>
    <w:rPr>
      <w:rFonts w:ascii="Calibri"/>
      <w:color w:val="0000FF"/>
      <w:kern w:val="0"/>
      <w:szCs w:val="20"/>
    </w:rPr>
  </w:style>
  <w:style w:type="paragraph" w:styleId="53">
    <w:name w:val="toc 6"/>
    <w:basedOn w:val="1"/>
    <w:next w:val="1"/>
    <w:qFormat/>
    <w:uiPriority w:val="0"/>
    <w:pPr>
      <w:adjustRightInd w:val="0"/>
      <w:ind w:left="2100" w:leftChars="1000"/>
    </w:pPr>
  </w:style>
  <w:style w:type="paragraph" w:styleId="54">
    <w:name w:val="List 5"/>
    <w:basedOn w:val="1"/>
    <w:qFormat/>
    <w:uiPriority w:val="0"/>
    <w:pPr>
      <w:ind w:left="100" w:leftChars="800" w:hanging="200" w:hangingChars="200"/>
    </w:pPr>
  </w:style>
  <w:style w:type="paragraph" w:styleId="55">
    <w:name w:val="Body Text Indent 3"/>
    <w:basedOn w:val="1"/>
    <w:link w:val="230"/>
    <w:qFormat/>
    <w:uiPriority w:val="0"/>
    <w:pPr>
      <w:spacing w:after="120"/>
      <w:ind w:left="420" w:leftChars="200"/>
    </w:pPr>
    <w:rPr>
      <w:sz w:val="16"/>
      <w:szCs w:val="16"/>
    </w:rPr>
  </w:style>
  <w:style w:type="paragraph" w:styleId="56">
    <w:name w:val="toc 2"/>
    <w:basedOn w:val="1"/>
    <w:next w:val="1"/>
    <w:qFormat/>
    <w:uiPriority w:val="0"/>
    <w:pPr>
      <w:ind w:left="420" w:leftChars="200"/>
    </w:pPr>
  </w:style>
  <w:style w:type="paragraph" w:styleId="57">
    <w:name w:val="toc 9"/>
    <w:basedOn w:val="1"/>
    <w:next w:val="1"/>
    <w:qFormat/>
    <w:uiPriority w:val="0"/>
    <w:pPr>
      <w:adjustRightInd w:val="0"/>
      <w:ind w:left="3360" w:leftChars="1600"/>
    </w:pPr>
  </w:style>
  <w:style w:type="paragraph" w:styleId="58">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59">
    <w:name w:val="List Continue 2"/>
    <w:basedOn w:val="1"/>
    <w:qFormat/>
    <w:uiPriority w:val="0"/>
    <w:pPr>
      <w:spacing w:after="120"/>
      <w:ind w:left="840" w:leftChars="400"/>
    </w:pPr>
  </w:style>
  <w:style w:type="paragraph" w:styleId="60">
    <w:name w:val="HTML Preformatted"/>
    <w:basedOn w:val="1"/>
    <w:link w:val="2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1">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2">
    <w:name w:val="Title"/>
    <w:basedOn w:val="1"/>
    <w:next w:val="1"/>
    <w:link w:val="205"/>
    <w:qFormat/>
    <w:uiPriority w:val="0"/>
    <w:pPr>
      <w:adjustRightInd w:val="0"/>
      <w:spacing w:before="240" w:after="60"/>
      <w:jc w:val="center"/>
      <w:outlineLvl w:val="0"/>
    </w:pPr>
    <w:rPr>
      <w:rFonts w:ascii="Calibri Light" w:hAnsi="Calibri Light"/>
      <w:b/>
      <w:bCs/>
      <w:sz w:val="32"/>
      <w:szCs w:val="32"/>
    </w:rPr>
  </w:style>
  <w:style w:type="paragraph" w:styleId="63">
    <w:name w:val="annotation subject"/>
    <w:basedOn w:val="21"/>
    <w:next w:val="21"/>
    <w:link w:val="232"/>
    <w:qFormat/>
    <w:uiPriority w:val="0"/>
    <w:pPr>
      <w:widowControl/>
      <w:spacing w:afterLines="50"/>
    </w:pPr>
    <w:rPr>
      <w:b/>
      <w:bCs/>
      <w:kern w:val="0"/>
      <w:sz w:val="24"/>
      <w:szCs w:val="20"/>
    </w:rPr>
  </w:style>
  <w:style w:type="paragraph" w:styleId="64">
    <w:name w:val="Body Text First Indent"/>
    <w:basedOn w:val="25"/>
    <w:next w:val="53"/>
    <w:link w:val="233"/>
    <w:qFormat/>
    <w:uiPriority w:val="0"/>
    <w:pPr>
      <w:spacing w:after="120" w:line="240" w:lineRule="auto"/>
      <w:ind w:firstLine="420" w:firstLineChars="100"/>
    </w:pPr>
    <w:rPr>
      <w:rFonts w:eastAsia="宋体"/>
      <w:sz w:val="21"/>
    </w:rPr>
  </w:style>
  <w:style w:type="paragraph" w:styleId="65">
    <w:name w:val="Body Text First Indent 2"/>
    <w:basedOn w:val="26"/>
    <w:link w:val="234"/>
    <w:qFormat/>
    <w:uiPriority w:val="0"/>
    <w:pPr>
      <w:ind w:firstLine="420" w:firstLineChars="200"/>
    </w:pPr>
  </w:style>
  <w:style w:type="table" w:styleId="67">
    <w:name w:val="Table Grid"/>
    <w:basedOn w:val="6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Theme"/>
    <w:basedOn w:val="6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Elegant"/>
    <w:basedOn w:val="6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qFormat/>
    <w:uiPriority w:val="0"/>
    <w:rPr>
      <w:b/>
      <w:bCs/>
    </w:rPr>
  </w:style>
  <w:style w:type="character" w:styleId="75">
    <w:name w:val="endnote reference"/>
    <w:qFormat/>
    <w:uiPriority w:val="0"/>
    <w:rPr>
      <w:vertAlign w:val="superscript"/>
    </w:rPr>
  </w:style>
  <w:style w:type="character" w:styleId="76">
    <w:name w:val="page number"/>
    <w:basedOn w:val="73"/>
    <w:qFormat/>
    <w:uiPriority w:val="0"/>
  </w:style>
  <w:style w:type="character" w:styleId="77">
    <w:name w:val="FollowedHyperlink"/>
    <w:qFormat/>
    <w:uiPriority w:val="99"/>
    <w:rPr>
      <w:color w:val="800080"/>
      <w:u w:val="single"/>
    </w:rPr>
  </w:style>
  <w:style w:type="character" w:styleId="78">
    <w:name w:val="Emphasis"/>
    <w:qFormat/>
    <w:uiPriority w:val="0"/>
    <w:rPr>
      <w:color w:val="CC0000"/>
    </w:rPr>
  </w:style>
  <w:style w:type="character" w:styleId="79">
    <w:name w:val="line number"/>
    <w:basedOn w:val="73"/>
    <w:qFormat/>
    <w:uiPriority w:val="0"/>
    <w:rPr>
      <w:rFonts w:ascii="Arial" w:hAnsi="Arial" w:eastAsia="黑体" w:cs="Arial"/>
      <w:snapToGrid w:val="0"/>
      <w:kern w:val="0"/>
      <w:szCs w:val="21"/>
    </w:rPr>
  </w:style>
  <w:style w:type="character" w:styleId="80">
    <w:name w:val="Hyperlink"/>
    <w:qFormat/>
    <w:uiPriority w:val="0"/>
    <w:rPr>
      <w:color w:val="0000FF"/>
      <w:u w:val="single"/>
    </w:rPr>
  </w:style>
  <w:style w:type="character" w:styleId="81">
    <w:name w:val="HTML Code"/>
    <w:qFormat/>
    <w:uiPriority w:val="0"/>
    <w:rPr>
      <w:rFonts w:ascii="黑体" w:hAnsi="Courier New" w:eastAsia="黑体" w:cs="楷体_GB2312"/>
      <w:sz w:val="20"/>
      <w:szCs w:val="20"/>
    </w:rPr>
  </w:style>
  <w:style w:type="character" w:styleId="82">
    <w:name w:val="annotation reference"/>
    <w:qFormat/>
    <w:uiPriority w:val="99"/>
    <w:rPr>
      <w:sz w:val="21"/>
      <w:szCs w:val="21"/>
    </w:rPr>
  </w:style>
  <w:style w:type="paragraph" w:customStyle="1" w:styleId="8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4">
    <w:name w:val="标题 1 Char"/>
    <w:link w:val="4"/>
    <w:qFormat/>
    <w:uiPriority w:val="0"/>
    <w:rPr>
      <w:rFonts w:eastAsia="仿宋_GB2312"/>
      <w:b/>
      <w:kern w:val="44"/>
      <w:sz w:val="44"/>
      <w:lang w:val="en-US" w:eastAsia="zh-CN" w:bidi="ar-SA"/>
    </w:rPr>
  </w:style>
  <w:style w:type="character" w:customStyle="1" w:styleId="85">
    <w:name w:val="正文缩进 Char"/>
    <w:link w:val="8"/>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Char"/>
    <w:link w:val="5"/>
    <w:qFormat/>
    <w:uiPriority w:val="0"/>
    <w:rPr>
      <w:rFonts w:ascii="Arial" w:hAnsi="Arial" w:eastAsia="黑体"/>
      <w:b/>
      <w:kern w:val="2"/>
      <w:sz w:val="32"/>
      <w:lang w:val="en-US" w:eastAsia="zh-CN" w:bidi="ar-SA"/>
    </w:rPr>
  </w:style>
  <w:style w:type="character" w:customStyle="1" w:styleId="88">
    <w:name w:val="标题 3 Char"/>
    <w:link w:val="6"/>
    <w:qFormat/>
    <w:uiPriority w:val="0"/>
    <w:rPr>
      <w:rFonts w:eastAsia="仿宋_GB2312"/>
      <w:b/>
      <w:kern w:val="2"/>
      <w:sz w:val="32"/>
      <w:lang w:val="en-US" w:eastAsia="zh-CN" w:bidi="ar-SA"/>
    </w:rPr>
  </w:style>
  <w:style w:type="character" w:customStyle="1" w:styleId="89">
    <w:name w:val="标题 4 Char1"/>
    <w:link w:val="7"/>
    <w:qFormat/>
    <w:uiPriority w:val="0"/>
    <w:rPr>
      <w:rFonts w:ascii="Arial" w:hAnsi="Arial" w:eastAsia="黑体"/>
      <w:b/>
      <w:kern w:val="2"/>
      <w:sz w:val="28"/>
      <w:lang w:val="en-US" w:eastAsia="zh-CN" w:bidi="ar-SA"/>
    </w:rPr>
  </w:style>
  <w:style w:type="character" w:customStyle="1" w:styleId="90">
    <w:name w:val="标题 5 Char1"/>
    <w:link w:val="9"/>
    <w:qFormat/>
    <w:uiPriority w:val="0"/>
    <w:rPr>
      <w:rFonts w:eastAsia="宋体"/>
      <w:sz w:val="24"/>
      <w:lang w:val="en-US" w:eastAsia="zh-CN" w:bidi="ar-SA"/>
    </w:rPr>
  </w:style>
  <w:style w:type="character" w:customStyle="1" w:styleId="91">
    <w:name w:val="标题 6 Char1"/>
    <w:link w:val="10"/>
    <w:qFormat/>
    <w:uiPriority w:val="0"/>
    <w:rPr>
      <w:rFonts w:ascii="宋体" w:hAnsi="Arial" w:eastAsia="宋体"/>
      <w:sz w:val="24"/>
      <w:lang w:val="en-US" w:eastAsia="zh-CN" w:bidi="ar-SA"/>
    </w:rPr>
  </w:style>
  <w:style w:type="character" w:customStyle="1" w:styleId="92">
    <w:name w:val="标题 7 Char1"/>
    <w:link w:val="11"/>
    <w:qFormat/>
    <w:uiPriority w:val="0"/>
    <w:rPr>
      <w:rFonts w:ascii="宋体" w:hAnsi="Arial" w:eastAsia="宋体"/>
      <w:b/>
      <w:sz w:val="24"/>
      <w:lang w:val="en-US" w:eastAsia="zh-CN" w:bidi="ar-SA"/>
    </w:rPr>
  </w:style>
  <w:style w:type="character" w:customStyle="1" w:styleId="93">
    <w:name w:val="标题 8 Char1"/>
    <w:link w:val="12"/>
    <w:qFormat/>
    <w:uiPriority w:val="0"/>
    <w:rPr>
      <w:rFonts w:ascii="Arial" w:hAnsi="Arial" w:eastAsia="黑体"/>
      <w:sz w:val="24"/>
      <w:lang w:val="en-US" w:eastAsia="zh-CN" w:bidi="ar-SA"/>
    </w:rPr>
  </w:style>
  <w:style w:type="character" w:customStyle="1" w:styleId="94">
    <w:name w:val="标题 9 Char1"/>
    <w:link w:val="13"/>
    <w:qFormat/>
    <w:uiPriority w:val="0"/>
    <w:rPr>
      <w:rFonts w:ascii="Arial" w:hAnsi="Arial" w:eastAsia="黑体"/>
      <w:sz w:val="24"/>
      <w:lang w:val="en-US" w:eastAsia="zh-CN" w:bidi="ar-SA"/>
    </w:rPr>
  </w:style>
  <w:style w:type="character" w:customStyle="1" w:styleId="95">
    <w:name w:val="纯文本 Char"/>
    <w:link w:val="34"/>
    <w:qFormat/>
    <w:uiPriority w:val="0"/>
    <w:rPr>
      <w:rFonts w:ascii="宋体" w:hAnsi="Courier New" w:eastAsia="宋体"/>
      <w:kern w:val="2"/>
      <w:sz w:val="21"/>
      <w:lang w:val="en-US" w:eastAsia="zh-CN" w:bidi="ar-SA"/>
    </w:rPr>
  </w:style>
  <w:style w:type="paragraph" w:customStyle="1" w:styleId="96">
    <w:name w:val="表正文"/>
    <w:basedOn w:val="1"/>
    <w:next w:val="34"/>
    <w:qFormat/>
    <w:uiPriority w:val="0"/>
    <w:rPr>
      <w:rFonts w:ascii="宋体" w:hAnsi="Courier New"/>
      <w:szCs w:val="20"/>
    </w:rPr>
  </w:style>
  <w:style w:type="character" w:customStyle="1" w:styleId="97">
    <w:name w:val="正文文本缩进 Char"/>
    <w:link w:val="26"/>
    <w:qFormat/>
    <w:uiPriority w:val="0"/>
    <w:rPr>
      <w:rFonts w:eastAsia="宋体"/>
      <w:kern w:val="2"/>
      <w:sz w:val="21"/>
      <w:szCs w:val="24"/>
      <w:lang w:val="en-US" w:eastAsia="zh-CN" w:bidi="ar-SA"/>
    </w:rPr>
  </w:style>
  <w:style w:type="character" w:customStyle="1" w:styleId="98">
    <w:name w:val="日期 Char2"/>
    <w:link w:val="37"/>
    <w:qFormat/>
    <w:uiPriority w:val="0"/>
    <w:rPr>
      <w:rFonts w:ascii="楷体_GB2312" w:eastAsia="楷体_GB2312"/>
      <w:b/>
      <w:kern w:val="2"/>
      <w:sz w:val="28"/>
      <w:lang w:val="en-US" w:eastAsia="zh-CN" w:bidi="ar-SA"/>
    </w:rPr>
  </w:style>
  <w:style w:type="character" w:customStyle="1" w:styleId="99">
    <w:name w:val="页眉 Char1"/>
    <w:link w:val="43"/>
    <w:qFormat/>
    <w:uiPriority w:val="0"/>
    <w:rPr>
      <w:rFonts w:eastAsia="宋体"/>
      <w:kern w:val="2"/>
      <w:sz w:val="18"/>
      <w:szCs w:val="18"/>
      <w:lang w:val="en-US" w:eastAsia="zh-CN" w:bidi="ar-SA"/>
    </w:rPr>
  </w:style>
  <w:style w:type="character" w:customStyle="1" w:styleId="100">
    <w:name w:val="页脚 Char"/>
    <w:link w:val="41"/>
    <w:qFormat/>
    <w:locked/>
    <w:uiPriority w:val="99"/>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Char1"/>
    <w:link w:val="21"/>
    <w:qFormat/>
    <w:uiPriority w:val="0"/>
    <w:rPr>
      <w:rFonts w:eastAsia="宋体"/>
      <w:kern w:val="2"/>
      <w:sz w:val="21"/>
      <w:szCs w:val="24"/>
      <w:lang w:val="en-US" w:eastAsia="zh-CN" w:bidi="ar-SA"/>
    </w:rPr>
  </w:style>
  <w:style w:type="character" w:customStyle="1" w:styleId="104">
    <w:name w:val="正文文本 2 Char1"/>
    <w:link w:val="58"/>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2">
    <w:name w:val="正文文本缩进 2 Char1"/>
    <w:link w:val="38"/>
    <w:qFormat/>
    <w:locked/>
    <w:uiPriority w:val="0"/>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Char1"/>
    <w:link w:val="25"/>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3"/>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3"/>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自定义正文"/>
    <w:basedOn w:val="1"/>
    <w:link w:val="145"/>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7">
    <w:name w:val="自定义表格文字"/>
    <w:basedOn w:val="1"/>
    <w:qFormat/>
    <w:uiPriority w:val="0"/>
    <w:pPr>
      <w:spacing w:before="60" w:after="60" w:line="320" w:lineRule="exact"/>
      <w:jc w:val="left"/>
    </w:pPr>
    <w:rPr>
      <w:rFonts w:ascii="宋体" w:eastAsia="楷体_GB2312"/>
    </w:rPr>
  </w:style>
  <w:style w:type="paragraph" w:customStyle="1" w:styleId="14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Char"/>
    <w:link w:val="20"/>
    <w:qFormat/>
    <w:uiPriority w:val="0"/>
    <w:rPr>
      <w:rFonts w:eastAsia="宋体"/>
      <w:kern w:val="2"/>
      <w:sz w:val="21"/>
      <w:szCs w:val="24"/>
      <w:lang w:val="en-US" w:eastAsia="zh-CN" w:bidi="ar-SA"/>
    </w:rPr>
  </w:style>
  <w:style w:type="character" w:customStyle="1" w:styleId="151">
    <w:name w:val="Char Char12"/>
    <w:qFormat/>
    <w:uiPriority w:val="0"/>
    <w:rPr>
      <w:rFonts w:ascii="宋体" w:hAnsi="Courier New" w:eastAsia="宋体"/>
      <w:kern w:val="2"/>
      <w:sz w:val="21"/>
      <w:lang w:val="en-US" w:eastAsia="zh-CN" w:bidi="ar-SA"/>
    </w:rPr>
  </w:style>
  <w:style w:type="character" w:customStyle="1" w:styleId="152">
    <w:name w:val="H4 Char"/>
    <w:qFormat/>
    <w:uiPriority w:val="0"/>
    <w:rPr>
      <w:rFonts w:ascii="宋体" w:hAnsi="宋体" w:eastAsia="黑体"/>
      <w:b/>
      <w:bCs/>
      <w:color w:val="000000"/>
      <w:spacing w:val="-4"/>
      <w:kern w:val="2"/>
      <w:sz w:val="24"/>
      <w:szCs w:val="30"/>
      <w:lang w:val="en-US" w:eastAsia="zh-CN" w:bidi="ar-SA"/>
    </w:rPr>
  </w:style>
  <w:style w:type="character" w:customStyle="1" w:styleId="153">
    <w:name w:val="H5 Char"/>
    <w:qFormat/>
    <w:uiPriority w:val="0"/>
    <w:rPr>
      <w:rFonts w:ascii="Arial" w:hAnsi="Arial" w:eastAsia="宋体"/>
      <w:sz w:val="24"/>
      <w:lang w:val="en-US" w:eastAsia="zh-CN" w:bidi="ar-SA"/>
    </w:rPr>
  </w:style>
  <w:style w:type="character" w:customStyle="1" w:styleId="154">
    <w:name w:val="Char Char8"/>
    <w:qFormat/>
    <w:uiPriority w:val="0"/>
    <w:rPr>
      <w:rFonts w:ascii="宋体" w:eastAsia="宋体"/>
      <w:kern w:val="2"/>
      <w:sz w:val="28"/>
      <w:lang w:val="en-US" w:eastAsia="zh-CN" w:bidi="ar-SA"/>
    </w:rPr>
  </w:style>
  <w:style w:type="character" w:customStyle="1" w:styleId="155">
    <w:name w:val="Char Char7"/>
    <w:qFormat/>
    <w:uiPriority w:val="0"/>
    <w:rPr>
      <w:rFonts w:eastAsia="仿宋_GB2312"/>
      <w:kern w:val="2"/>
      <w:sz w:val="24"/>
      <w:szCs w:val="24"/>
      <w:lang w:val="en-US" w:eastAsia="zh-CN" w:bidi="ar-SA"/>
    </w:rPr>
  </w:style>
  <w:style w:type="paragraph" w:customStyle="1" w:styleId="156">
    <w:name w:val="表内文字"/>
    <w:basedOn w:val="1"/>
    <w:qFormat/>
    <w:uiPriority w:val="0"/>
    <w:pPr>
      <w:jc w:val="center"/>
    </w:pPr>
    <w:rPr>
      <w:color w:val="FF0000"/>
      <w:kern w:val="0"/>
      <w:sz w:val="24"/>
    </w:rPr>
  </w:style>
  <w:style w:type="character" w:customStyle="1" w:styleId="157">
    <w:name w:val="Char Char3"/>
    <w:qFormat/>
    <w:uiPriority w:val="0"/>
    <w:rPr>
      <w:rFonts w:eastAsia="仿宋_GB2312"/>
      <w:kern w:val="2"/>
      <w:sz w:val="28"/>
      <w:szCs w:val="24"/>
      <w:lang w:val="en-US" w:eastAsia="zh-CN" w:bidi="ar-SA"/>
    </w:rPr>
  </w:style>
  <w:style w:type="paragraph" w:customStyle="1" w:styleId="15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qFormat/>
    <w:uiPriority w:val="0"/>
    <w:pPr>
      <w:tabs>
        <w:tab w:val="left" w:pos="840"/>
      </w:tabs>
      <w:spacing w:after="60"/>
      <w:ind w:left="840" w:hanging="420"/>
    </w:pPr>
    <w:rPr>
      <w:rFonts w:ascii="宋体"/>
      <w:spacing w:val="4"/>
      <w:szCs w:val="20"/>
    </w:rPr>
  </w:style>
  <w:style w:type="paragraph" w:customStyle="1" w:styleId="163">
    <w:name w:val="编10号"/>
    <w:basedOn w:val="1"/>
    <w:qFormat/>
    <w:uiPriority w:val="0"/>
    <w:pPr>
      <w:tabs>
        <w:tab w:val="left" w:pos="1620"/>
      </w:tabs>
      <w:ind w:left="1620" w:hanging="360"/>
    </w:pPr>
  </w:style>
  <w:style w:type="paragraph" w:customStyle="1" w:styleId="164">
    <w:name w:val="段"/>
    <w:basedOn w:val="1"/>
    <w:qFormat/>
    <w:uiPriority w:val="0"/>
    <w:pPr>
      <w:ind w:firstLine="425"/>
    </w:pPr>
    <w:rPr>
      <w:rFonts w:ascii="宋体"/>
      <w:szCs w:val="20"/>
    </w:rPr>
  </w:style>
  <w:style w:type="paragraph" w:customStyle="1" w:styleId="165">
    <w:name w:val="Char Char Char Char"/>
    <w:basedOn w:val="1"/>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qFormat/>
    <w:uiPriority w:val="0"/>
    <w:rPr>
      <w:rFonts w:hint="eastAsia" w:ascii="宋体" w:hAnsi="宋体" w:eastAsia="宋体"/>
      <w:sz w:val="18"/>
      <w:szCs w:val="18"/>
    </w:rPr>
  </w:style>
  <w:style w:type="paragraph" w:customStyle="1" w:styleId="168">
    <w:name w:val="Char1 Char Char Char Char Char Char"/>
    <w:basedOn w:val="1"/>
    <w:qFormat/>
    <w:uiPriority w:val="0"/>
    <w:rPr>
      <w:rFonts w:ascii="Tahoma" w:hAnsi="Tahoma"/>
      <w:sz w:val="24"/>
      <w:szCs w:val="20"/>
    </w:rPr>
  </w:style>
  <w:style w:type="paragraph" w:customStyle="1" w:styleId="169">
    <w:name w:val="Char Char2 Char Char Char Char"/>
    <w:basedOn w:val="20"/>
    <w:qFormat/>
    <w:uiPriority w:val="0"/>
    <w:rPr>
      <w:rFonts w:ascii="Tahoma" w:hAnsi="Tahoma"/>
      <w:sz w:val="24"/>
    </w:rPr>
  </w:style>
  <w:style w:type="paragraph" w:customStyle="1" w:styleId="170">
    <w:name w:val="Char Char Char"/>
    <w:basedOn w:val="20"/>
    <w:qFormat/>
    <w:uiPriority w:val="0"/>
    <w:rPr>
      <w:rFonts w:ascii="Tahoma" w:hAnsi="Tahoma"/>
      <w:sz w:val="24"/>
    </w:rPr>
  </w:style>
  <w:style w:type="paragraph" w:customStyle="1" w:styleId="171">
    <w:name w:val="正文缩进 New"/>
    <w:basedOn w:val="1"/>
    <w:qFormat/>
    <w:uiPriority w:val="0"/>
    <w:pPr>
      <w:ind w:firstLine="420" w:firstLineChars="200"/>
    </w:pPr>
    <w:rPr>
      <w:szCs w:val="20"/>
    </w:rPr>
  </w:style>
  <w:style w:type="paragraph" w:customStyle="1" w:styleId="17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qFormat/>
    <w:uiPriority w:val="0"/>
    <w:rPr>
      <w:sz w:val="20"/>
      <w:szCs w:val="20"/>
    </w:rPr>
  </w:style>
  <w:style w:type="character" w:customStyle="1" w:styleId="174">
    <w:name w:val="Char Char11"/>
    <w:qFormat/>
    <w:uiPriority w:val="0"/>
    <w:rPr>
      <w:b/>
      <w:kern w:val="44"/>
      <w:sz w:val="44"/>
    </w:rPr>
  </w:style>
  <w:style w:type="character" w:customStyle="1" w:styleId="175">
    <w:name w:val="Char Char10"/>
    <w:qFormat/>
    <w:uiPriority w:val="0"/>
    <w:rPr>
      <w:b/>
      <w:kern w:val="2"/>
      <w:sz w:val="28"/>
      <w:szCs w:val="28"/>
    </w:rPr>
  </w:style>
  <w:style w:type="character" w:customStyle="1" w:styleId="176">
    <w:name w:val="Char Char9"/>
    <w:qFormat/>
    <w:uiPriority w:val="0"/>
    <w:rPr>
      <w:b/>
      <w:kern w:val="2"/>
      <w:sz w:val="24"/>
      <w:szCs w:val="24"/>
    </w:rPr>
  </w:style>
  <w:style w:type="paragraph" w:customStyle="1" w:styleId="177">
    <w:name w:val="Char Char Char 字元 字元"/>
    <w:basedOn w:val="1"/>
    <w:qFormat/>
    <w:uiPriority w:val="0"/>
    <w:pPr>
      <w:spacing w:line="360" w:lineRule="auto"/>
      <w:ind w:firstLine="200" w:firstLineChars="200"/>
    </w:pPr>
    <w:rPr>
      <w:szCs w:val="20"/>
    </w:rPr>
  </w:style>
  <w:style w:type="paragraph" w:customStyle="1" w:styleId="17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qFormat/>
    <w:uiPriority w:val="0"/>
    <w:rPr>
      <w:b/>
      <w:bCs/>
      <w:color w:val="FF0000"/>
    </w:rPr>
  </w:style>
  <w:style w:type="character" w:customStyle="1" w:styleId="181">
    <w:name w:val="info"/>
    <w:basedOn w:val="73"/>
    <w:qFormat/>
    <w:uiPriority w:val="0"/>
  </w:style>
  <w:style w:type="paragraph" w:customStyle="1" w:styleId="182">
    <w:name w:val="样式 正文缩进 + 首行缩进:  2 字符"/>
    <w:basedOn w:val="8"/>
    <w:link w:val="183"/>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qFormat/>
    <w:locked/>
    <w:uiPriority w:val="0"/>
    <w:rPr>
      <w:rFonts w:ascii="宋体" w:hAnsi="宋体" w:eastAsia="宋体"/>
      <w:color w:val="000000"/>
      <w:sz w:val="24"/>
      <w:lang w:bidi="ar-SA"/>
    </w:rPr>
  </w:style>
  <w:style w:type="paragraph" w:customStyle="1" w:styleId="184">
    <w:name w:val="正文2"/>
    <w:basedOn w:val="1"/>
    <w:link w:val="185"/>
    <w:qFormat/>
    <w:uiPriority w:val="0"/>
    <w:pPr>
      <w:spacing w:before="156" w:line="360" w:lineRule="auto"/>
      <w:ind w:firstLine="510" w:firstLineChars="200"/>
    </w:pPr>
    <w:rPr>
      <w:sz w:val="24"/>
      <w:szCs w:val="20"/>
    </w:rPr>
  </w:style>
  <w:style w:type="character" w:customStyle="1" w:styleId="185">
    <w:name w:val="正文2 Char"/>
    <w:link w:val="184"/>
    <w:qFormat/>
    <w:uiPriority w:val="0"/>
    <w:rPr>
      <w:rFonts w:eastAsia="宋体"/>
      <w:kern w:val="2"/>
      <w:sz w:val="24"/>
      <w:lang w:val="en-US" w:eastAsia="zh-CN" w:bidi="ar-SA"/>
    </w:rPr>
  </w:style>
  <w:style w:type="paragraph" w:customStyle="1" w:styleId="186">
    <w:name w:val="p0"/>
    <w:basedOn w:val="1"/>
    <w:qFormat/>
    <w:uiPriority w:val="0"/>
    <w:pPr>
      <w:widowControl/>
    </w:pPr>
    <w:rPr>
      <w:kern w:val="0"/>
      <w:szCs w:val="21"/>
    </w:rPr>
  </w:style>
  <w:style w:type="character" w:customStyle="1" w:styleId="187">
    <w:name w:val="param-name"/>
    <w:basedOn w:val="73"/>
    <w:qFormat/>
    <w:uiPriority w:val="0"/>
  </w:style>
  <w:style w:type="character" w:customStyle="1" w:styleId="188">
    <w:name w:val="日期 Char"/>
    <w:qFormat/>
    <w:uiPriority w:val="0"/>
    <w:rPr>
      <w:rFonts w:ascii="楷体_GB2312" w:eastAsia="楷体_GB2312"/>
      <w:b/>
      <w:kern w:val="2"/>
      <w:sz w:val="28"/>
      <w:lang w:val="en-US" w:eastAsia="zh-CN" w:bidi="ar-SA"/>
    </w:rPr>
  </w:style>
  <w:style w:type="character" w:customStyle="1" w:styleId="189">
    <w:name w:val="标题 4 Char"/>
    <w:qFormat/>
    <w:uiPriority w:val="0"/>
    <w:rPr>
      <w:rFonts w:ascii="Arial" w:hAnsi="Arial" w:eastAsia="黑体"/>
      <w:b/>
      <w:kern w:val="2"/>
      <w:sz w:val="28"/>
      <w:lang w:val="en-US" w:eastAsia="zh-CN" w:bidi="ar-SA"/>
    </w:rPr>
  </w:style>
  <w:style w:type="character" w:customStyle="1" w:styleId="190">
    <w:name w:val="标题 6 Char"/>
    <w:qFormat/>
    <w:uiPriority w:val="0"/>
    <w:rPr>
      <w:rFonts w:ascii="宋体" w:hAnsi="Arial" w:eastAsia="宋体"/>
      <w:sz w:val="24"/>
      <w:lang w:val="en-US" w:eastAsia="zh-CN" w:bidi="ar-SA"/>
    </w:rPr>
  </w:style>
  <w:style w:type="character" w:customStyle="1" w:styleId="191">
    <w:name w:val="标题 8 Char"/>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qFormat/>
    <w:uiPriority w:val="0"/>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qFormat/>
    <w:uiPriority w:val="99"/>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7"/>
    <w:qFormat/>
    <w:uiPriority w:val="0"/>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Char"/>
    <w:link w:val="62"/>
    <w:qFormat/>
    <w:locked/>
    <w:uiPriority w:val="0"/>
    <w:rPr>
      <w:rFonts w:ascii="Calibri Light" w:hAnsi="Calibri Light" w:eastAsia="宋体"/>
      <w:b/>
      <w:bCs/>
      <w:kern w:val="2"/>
      <w:sz w:val="32"/>
      <w:szCs w:val="32"/>
      <w:lang w:val="en-US" w:eastAsia="zh-CN" w:bidi="ar-SA"/>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qFormat/>
    <w:uiPriority w:val="0"/>
    <w:rPr>
      <w:kern w:val="2"/>
      <w:sz w:val="24"/>
    </w:rPr>
  </w:style>
  <w:style w:type="character" w:customStyle="1" w:styleId="227">
    <w:name w:val="普通文字 Char Char3"/>
    <w:qFormat/>
    <w:uiPriority w:val="0"/>
    <w:rPr>
      <w:rFonts w:ascii="宋体" w:hAnsi="Courier New"/>
      <w:kern w:val="2"/>
      <w:sz w:val="24"/>
      <w:szCs w:val="24"/>
    </w:rPr>
  </w:style>
  <w:style w:type="character" w:customStyle="1" w:styleId="228">
    <w:name w:val="特点 Char2"/>
    <w:qFormat/>
    <w:uiPriority w:val="0"/>
    <w:rPr>
      <w:rFonts w:ascii="Times New Roman" w:hAnsi="Times New Roman" w:eastAsia="宋体" w:cs="Times New Roman"/>
      <w:szCs w:val="24"/>
    </w:rPr>
  </w:style>
  <w:style w:type="character" w:customStyle="1" w:styleId="229">
    <w:name w:val="批注框文本 Char"/>
    <w:basedOn w:val="73"/>
    <w:link w:val="40"/>
    <w:qFormat/>
    <w:uiPriority w:val="0"/>
    <w:rPr>
      <w:kern w:val="2"/>
      <w:sz w:val="18"/>
      <w:szCs w:val="18"/>
    </w:rPr>
  </w:style>
  <w:style w:type="character" w:customStyle="1" w:styleId="230">
    <w:name w:val="正文文本缩进 3 Char"/>
    <w:basedOn w:val="73"/>
    <w:link w:val="55"/>
    <w:qFormat/>
    <w:uiPriority w:val="0"/>
    <w:rPr>
      <w:kern w:val="2"/>
      <w:sz w:val="16"/>
      <w:szCs w:val="16"/>
    </w:rPr>
  </w:style>
  <w:style w:type="character" w:customStyle="1" w:styleId="231">
    <w:name w:val="HTML 预设格式 Char"/>
    <w:basedOn w:val="73"/>
    <w:link w:val="60"/>
    <w:qFormat/>
    <w:uiPriority w:val="0"/>
    <w:rPr>
      <w:rFonts w:ascii="黑体" w:hAnsi="Courier New" w:eastAsia="黑体" w:cs="Courier New"/>
    </w:rPr>
  </w:style>
  <w:style w:type="character" w:customStyle="1" w:styleId="232">
    <w:name w:val="批注主题 Char"/>
    <w:basedOn w:val="199"/>
    <w:link w:val="63"/>
    <w:qFormat/>
    <w:uiPriority w:val="0"/>
    <w:rPr>
      <w:rFonts w:eastAsia="宋体"/>
      <w:b/>
      <w:bCs/>
      <w:kern w:val="2"/>
      <w:sz w:val="24"/>
      <w:szCs w:val="24"/>
      <w:lang w:val="en-US" w:eastAsia="zh-CN" w:bidi="ar-SA"/>
    </w:rPr>
  </w:style>
  <w:style w:type="character" w:customStyle="1" w:styleId="233">
    <w:name w:val="正文首行缩进 Char"/>
    <w:basedOn w:val="194"/>
    <w:link w:val="64"/>
    <w:qFormat/>
    <w:uiPriority w:val="0"/>
    <w:rPr>
      <w:rFonts w:eastAsia="仿宋_GB2312"/>
      <w:kern w:val="2"/>
      <w:sz w:val="21"/>
      <w:szCs w:val="24"/>
      <w:lang w:val="en-US" w:eastAsia="zh-CN" w:bidi="ar-SA"/>
    </w:rPr>
  </w:style>
  <w:style w:type="character" w:customStyle="1" w:styleId="234">
    <w:name w:val="正文首行缩进 2 Char"/>
    <w:basedOn w:val="97"/>
    <w:link w:val="65"/>
    <w:qFormat/>
    <w:uiPriority w:val="0"/>
    <w:rPr>
      <w:rFonts w:eastAsia="宋体"/>
      <w:kern w:val="2"/>
      <w:sz w:val="21"/>
      <w:szCs w:val="24"/>
      <w:lang w:val="en-US" w:eastAsia="zh-CN" w:bidi="ar-SA"/>
    </w:rPr>
  </w:style>
  <w:style w:type="paragraph" w:customStyle="1" w:styleId="23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qFormat/>
    <w:uiPriority w:val="0"/>
    <w:rPr>
      <w:rFonts w:eastAsia="楷体_GB2312" w:cs="Lucida Sans"/>
      <w:kern w:val="2"/>
      <w:sz w:val="24"/>
      <w:szCs w:val="24"/>
    </w:rPr>
  </w:style>
  <w:style w:type="paragraph" w:customStyle="1" w:styleId="23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qFormat/>
    <w:uiPriority w:val="0"/>
    <w:rPr>
      <w:rFonts w:ascii="仿宋_GB2312" w:hAnsi="宋体" w:eastAsia="仿宋_GB2312"/>
      <w:sz w:val="31"/>
    </w:rPr>
  </w:style>
  <w:style w:type="paragraph" w:customStyle="1" w:styleId="24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qFormat/>
    <w:uiPriority w:val="0"/>
    <w:rPr>
      <w:bCs/>
      <w:kern w:val="44"/>
      <w:sz w:val="24"/>
      <w:szCs w:val="44"/>
    </w:rPr>
  </w:style>
  <w:style w:type="character" w:customStyle="1" w:styleId="284">
    <w:name w:val="Char Char1"/>
    <w:qFormat/>
    <w:uiPriority w:val="0"/>
    <w:rPr>
      <w:rFonts w:ascii="宋体" w:hAnsi="Courier New" w:eastAsia="宋体"/>
      <w:kern w:val="2"/>
      <w:sz w:val="21"/>
      <w:lang w:val="en-US" w:eastAsia="zh-CN" w:bidi="ar-SA"/>
    </w:rPr>
  </w:style>
  <w:style w:type="paragraph" w:customStyle="1" w:styleId="285">
    <w:name w:val="列出段落2"/>
    <w:basedOn w:val="1"/>
    <w:qFormat/>
    <w:uiPriority w:val="34"/>
    <w:pPr>
      <w:spacing w:line="440" w:lineRule="exact"/>
      <w:ind w:firstLine="420" w:firstLineChars="200"/>
    </w:pPr>
    <w:rPr>
      <w:rFonts w:eastAsia="仿宋_GB2312"/>
      <w:sz w:val="24"/>
    </w:rPr>
  </w:style>
  <w:style w:type="paragraph" w:customStyle="1" w:styleId="286">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qFormat/>
    <w:uiPriority w:val="0"/>
    <w:pPr>
      <w:ind w:firstLine="420" w:firstLineChars="200"/>
    </w:pPr>
    <w:rPr>
      <w:rFonts w:ascii="Calibri" w:hAnsi="Calibri"/>
      <w:szCs w:val="22"/>
    </w:rPr>
  </w:style>
  <w:style w:type="paragraph" w:customStyle="1" w:styleId="28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qFormat/>
    <w:uiPriority w:val="0"/>
    <w:rPr>
      <w:rFonts w:ascii="Tahoma" w:hAnsi="Tahoma"/>
      <w:sz w:val="24"/>
      <w:szCs w:val="20"/>
    </w:rPr>
  </w:style>
  <w:style w:type="paragraph" w:customStyle="1" w:styleId="29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3"/>
    <w:qFormat/>
    <w:uiPriority w:val="0"/>
    <w:rPr>
      <w:rFonts w:hint="eastAsia" w:ascii="宋体" w:hAnsi="宋体" w:eastAsia="宋体" w:cs="宋体"/>
      <w:color w:val="000000"/>
      <w:sz w:val="22"/>
      <w:szCs w:val="22"/>
      <w:u w:val="none"/>
    </w:rPr>
  </w:style>
  <w:style w:type="character" w:customStyle="1" w:styleId="297">
    <w:name w:val="font11"/>
    <w:basedOn w:val="73"/>
    <w:qFormat/>
    <w:uiPriority w:val="0"/>
    <w:rPr>
      <w:rFonts w:hint="eastAsia" w:ascii="宋体" w:hAnsi="宋体" w:eastAsia="宋体" w:cs="宋体"/>
      <w:color w:val="FF0000"/>
      <w:sz w:val="22"/>
      <w:szCs w:val="22"/>
      <w:u w:val="none"/>
    </w:rPr>
  </w:style>
  <w:style w:type="character" w:customStyle="1" w:styleId="298">
    <w:name w:val="font41"/>
    <w:basedOn w:val="73"/>
    <w:qFormat/>
    <w:uiPriority w:val="0"/>
    <w:rPr>
      <w:rFonts w:hint="default" w:ascii="等线" w:hAnsi="等线" w:eastAsia="等线" w:cs="等线"/>
      <w:color w:val="FF0000"/>
      <w:sz w:val="22"/>
      <w:szCs w:val="22"/>
      <w:u w:val="none"/>
    </w:rPr>
  </w:style>
  <w:style w:type="character" w:customStyle="1" w:styleId="299">
    <w:name w:val="font21"/>
    <w:basedOn w:val="73"/>
    <w:qFormat/>
    <w:uiPriority w:val="0"/>
    <w:rPr>
      <w:rFonts w:hint="default" w:ascii="等线" w:hAnsi="等线" w:eastAsia="等线" w:cs="等线"/>
      <w:color w:val="000000"/>
      <w:sz w:val="22"/>
      <w:szCs w:val="22"/>
      <w:u w:val="none"/>
    </w:rPr>
  </w:style>
  <w:style w:type="character" w:customStyle="1" w:styleId="300">
    <w:name w:val="font51"/>
    <w:basedOn w:val="73"/>
    <w:qFormat/>
    <w:uiPriority w:val="0"/>
    <w:rPr>
      <w:rFonts w:hint="default" w:ascii="等线" w:hAnsi="等线" w:eastAsia="等线" w:cs="等线"/>
      <w:color w:val="FF0000"/>
      <w:sz w:val="22"/>
      <w:szCs w:val="22"/>
      <w:u w:val="none"/>
    </w:rPr>
  </w:style>
  <w:style w:type="character" w:customStyle="1" w:styleId="301">
    <w:name w:val="font61"/>
    <w:basedOn w:val="73"/>
    <w:qFormat/>
    <w:uiPriority w:val="0"/>
    <w:rPr>
      <w:rFonts w:hint="default" w:ascii="等线" w:hAnsi="等线" w:eastAsia="等线" w:cs="等线"/>
      <w:color w:val="000000"/>
      <w:sz w:val="22"/>
      <w:szCs w:val="22"/>
      <w:u w:val="none"/>
    </w:rPr>
  </w:style>
  <w:style w:type="paragraph" w:customStyle="1" w:styleId="30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3"/>
    <w:unhideWhenUsed/>
    <w:qFormat/>
    <w:uiPriority w:val="99"/>
    <w:rPr>
      <w:color w:val="605E5C"/>
      <w:shd w:val="clear" w:color="auto" w:fill="E1DFDD"/>
    </w:rPr>
  </w:style>
  <w:style w:type="paragraph" w:customStyle="1" w:styleId="308">
    <w:name w:val="p15"/>
    <w:basedOn w:val="1"/>
    <w:qFormat/>
    <w:uiPriority w:val="0"/>
    <w:pPr>
      <w:widowControl/>
      <w:adjustRightInd w:val="0"/>
    </w:pPr>
    <w:rPr>
      <w:rFonts w:ascii="宋体" w:hAnsi="宋体" w:cs="宋体"/>
      <w:kern w:val="0"/>
      <w:sz w:val="20"/>
      <w:szCs w:val="20"/>
    </w:rPr>
  </w:style>
  <w:style w:type="character" w:customStyle="1" w:styleId="309">
    <w:name w:val="bookmark-item"/>
    <w:basedOn w:val="73"/>
    <w:qFormat/>
    <w:uiPriority w:val="0"/>
  </w:style>
  <w:style w:type="paragraph" w:customStyle="1" w:styleId="31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Char"/>
    <w:link w:val="18"/>
    <w:qFormat/>
    <w:uiPriority w:val="0"/>
    <w:rPr>
      <w:rFonts w:ascii="Calibri" w:hAnsi="Calibri"/>
      <w:kern w:val="2"/>
    </w:rPr>
  </w:style>
  <w:style w:type="paragraph" w:customStyle="1" w:styleId="312">
    <w:name w:val="索引 11"/>
    <w:basedOn w:val="1"/>
    <w:next w:val="1"/>
    <w:qFormat/>
    <w:uiPriority w:val="99"/>
    <w:pPr>
      <w:spacing w:line="360" w:lineRule="auto"/>
    </w:pPr>
    <w:rPr>
      <w:rFonts w:ascii="仿宋_GB2312" w:eastAsia="仿宋_GB2312"/>
      <w:sz w:val="24"/>
      <w:szCs w:val="20"/>
    </w:rPr>
  </w:style>
  <w:style w:type="paragraph" w:customStyle="1" w:styleId="313">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qFormat/>
    <w:locked/>
    <w:uiPriority w:val="99"/>
    <w:rPr>
      <w:kern w:val="2"/>
      <w:sz w:val="18"/>
      <w:szCs w:val="18"/>
    </w:rPr>
  </w:style>
  <w:style w:type="character" w:customStyle="1" w:styleId="316">
    <w:name w:val="页眉 Char2"/>
    <w:qFormat/>
    <w:uiPriority w:val="99"/>
    <w:rPr>
      <w:kern w:val="2"/>
      <w:sz w:val="18"/>
      <w:szCs w:val="18"/>
    </w:rPr>
  </w:style>
  <w:style w:type="character" w:customStyle="1" w:styleId="317">
    <w:name w:val="Default Char"/>
    <w:link w:val="2"/>
    <w:qFormat/>
    <w:uiPriority w:val="0"/>
    <w:rPr>
      <w:color w:val="000000"/>
      <w:sz w:val="24"/>
      <w:szCs w:val="24"/>
    </w:rPr>
  </w:style>
  <w:style w:type="character" w:customStyle="1" w:styleId="318">
    <w:name w:val="称呼 Char"/>
    <w:basedOn w:val="73"/>
    <w:link w:val="22"/>
    <w:qFormat/>
    <w:uiPriority w:val="0"/>
    <w:rPr>
      <w:rFonts w:ascii="仿宋_GB2312" w:eastAsia="仿宋_GB2312"/>
      <w:kern w:val="2"/>
      <w:sz w:val="28"/>
    </w:rPr>
  </w:style>
  <w:style w:type="character" w:customStyle="1" w:styleId="319">
    <w:name w:val="正文文本 3 Char"/>
    <w:basedOn w:val="73"/>
    <w:link w:val="23"/>
    <w:qFormat/>
    <w:uiPriority w:val="0"/>
    <w:rPr>
      <w:kern w:val="2"/>
      <w:sz w:val="21"/>
    </w:rPr>
  </w:style>
  <w:style w:type="character" w:customStyle="1" w:styleId="320">
    <w:name w:val="HTML 地址 Char"/>
    <w:basedOn w:val="73"/>
    <w:link w:val="31"/>
    <w:qFormat/>
    <w:uiPriority w:val="0"/>
    <w:rPr>
      <w:rFonts w:ascii="宋体" w:hAnsi="宋体"/>
      <w:i/>
      <w:iCs/>
      <w:sz w:val="24"/>
      <w:szCs w:val="24"/>
    </w:rPr>
  </w:style>
  <w:style w:type="character" w:customStyle="1" w:styleId="321">
    <w:name w:val="尾注文本 Char"/>
    <w:basedOn w:val="73"/>
    <w:link w:val="39"/>
    <w:qFormat/>
    <w:uiPriority w:val="0"/>
    <w:rPr>
      <w:kern w:val="2"/>
      <w:sz w:val="21"/>
      <w:szCs w:val="24"/>
      <w:lang w:val="zh-CN"/>
    </w:rPr>
  </w:style>
  <w:style w:type="character" w:customStyle="1" w:styleId="322">
    <w:name w:val="签名 Char"/>
    <w:basedOn w:val="73"/>
    <w:link w:val="44"/>
    <w:qFormat/>
    <w:uiPriority w:val="0"/>
    <w:rPr>
      <w:rFonts w:eastAsia="仿宋_GB2312"/>
      <w:sz w:val="24"/>
    </w:rPr>
  </w:style>
  <w:style w:type="character" w:customStyle="1" w:styleId="323">
    <w:name w:val="副标题 Char"/>
    <w:basedOn w:val="73"/>
    <w:link w:val="49"/>
    <w:qFormat/>
    <w:uiPriority w:val="0"/>
    <w:rPr>
      <w:rFonts w:ascii="Arial" w:hAnsi="Arial" w:eastAsia="隶书"/>
      <w:b/>
      <w:bCs/>
      <w:kern w:val="28"/>
      <w:sz w:val="44"/>
      <w:szCs w:val="32"/>
    </w:rPr>
  </w:style>
  <w:style w:type="character" w:customStyle="1" w:styleId="324">
    <w:name w:val="脚注文本 Char"/>
    <w:basedOn w:val="73"/>
    <w:link w:val="52"/>
    <w:qFormat/>
    <w:uiPriority w:val="0"/>
    <w:rPr>
      <w:rFonts w:ascii="Calibri"/>
      <w:color w:val="0000FF"/>
      <w:sz w:val="21"/>
    </w:rPr>
  </w:style>
  <w:style w:type="character" w:customStyle="1" w:styleId="325">
    <w:name w:val="表格非标题文字 Char"/>
    <w:link w:val="326"/>
    <w:qFormat/>
    <w:uiPriority w:val="0"/>
    <w:rPr>
      <w:rFonts w:ascii="Futura Bk" w:hAnsi="Futura Bk"/>
      <w:kern w:val="2"/>
      <w:sz w:val="18"/>
      <w:szCs w:val="21"/>
    </w:rPr>
  </w:style>
  <w:style w:type="paragraph" w:customStyle="1" w:styleId="326">
    <w:name w:val="表格非标题文字"/>
    <w:link w:val="32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7">
    <w:name w:val="*正文 Char"/>
    <w:link w:val="328"/>
    <w:qFormat/>
    <w:uiPriority w:val="0"/>
    <w:rPr>
      <w:rFonts w:ascii="宋体" w:hAnsi="宋体"/>
      <w:sz w:val="24"/>
    </w:rPr>
  </w:style>
  <w:style w:type="paragraph" w:customStyle="1" w:styleId="328">
    <w:name w:val="*正文"/>
    <w:basedOn w:val="1"/>
    <w:link w:val="327"/>
    <w:qFormat/>
    <w:uiPriority w:val="0"/>
    <w:pPr>
      <w:adjustRightInd w:val="0"/>
      <w:snapToGrid w:val="0"/>
      <w:spacing w:line="360" w:lineRule="auto"/>
      <w:ind w:firstLine="482"/>
      <w:jc w:val="left"/>
    </w:pPr>
    <w:rPr>
      <w:rFonts w:ascii="宋体" w:hAnsi="宋体"/>
      <w:kern w:val="0"/>
      <w:sz w:val="24"/>
      <w:szCs w:val="20"/>
    </w:rPr>
  </w:style>
  <w:style w:type="character" w:customStyle="1" w:styleId="329">
    <w:name w:val="Char Char71"/>
    <w:qFormat/>
    <w:uiPriority w:val="0"/>
    <w:rPr>
      <w:rFonts w:eastAsia="宋体"/>
      <w:kern w:val="2"/>
      <w:sz w:val="21"/>
      <w:szCs w:val="24"/>
      <w:lang w:val="en-US" w:eastAsia="zh-CN" w:bidi="ar-SA"/>
    </w:rPr>
  </w:style>
  <w:style w:type="character" w:customStyle="1" w:styleId="330">
    <w:name w:val="Char Char6"/>
    <w:qFormat/>
    <w:uiPriority w:val="0"/>
    <w:rPr>
      <w:rFonts w:eastAsia="宋体"/>
      <w:kern w:val="2"/>
      <w:sz w:val="21"/>
      <w:szCs w:val="24"/>
      <w:lang w:val="en-US" w:eastAsia="zh-CN" w:bidi="ar-SA"/>
    </w:rPr>
  </w:style>
  <w:style w:type="character" w:customStyle="1" w:styleId="331">
    <w:name w:val="正文首行缩进 Char1"/>
    <w:qFormat/>
    <w:uiPriority w:val="0"/>
    <w:rPr>
      <w:rFonts w:ascii="宋体" w:hAnsi="Times New Roman" w:eastAsia="宋体" w:cs="Times New Roman"/>
      <w:snapToGrid w:val="0"/>
      <w:kern w:val="2"/>
      <w:sz w:val="24"/>
      <w:szCs w:val="21"/>
      <w:lang w:val="zh-CN"/>
    </w:rPr>
  </w:style>
  <w:style w:type="character" w:customStyle="1" w:styleId="332">
    <w:name w:val="Char Char28"/>
    <w:qFormat/>
    <w:uiPriority w:val="6"/>
    <w:rPr>
      <w:rFonts w:ascii="仿宋_GB2312" w:hAnsi="仿宋_GB2312" w:eastAsia="仿宋_GB2312"/>
      <w:kern w:val="1"/>
      <w:sz w:val="28"/>
    </w:rPr>
  </w:style>
  <w:style w:type="character" w:customStyle="1" w:styleId="33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4">
    <w:name w:val="Heading 1 Char_a7bee19d-6ee1-4f59-9a95-63e8ae457081"/>
    <w:qFormat/>
    <w:uiPriority w:val="6"/>
    <w:rPr>
      <w:rFonts w:ascii="Times New Roman" w:hAnsi="Times New Roman" w:eastAsia="黑体" w:cs="Times New Roman"/>
      <w:b/>
      <w:kern w:val="0"/>
      <w:sz w:val="24"/>
      <w:szCs w:val="24"/>
    </w:rPr>
  </w:style>
  <w:style w:type="character" w:customStyle="1" w:styleId="335">
    <w:name w:val="U_正文 Char"/>
    <w:link w:val="336"/>
    <w:qFormat/>
    <w:uiPriority w:val="0"/>
    <w:rPr>
      <w:sz w:val="24"/>
      <w:szCs w:val="24"/>
    </w:rPr>
  </w:style>
  <w:style w:type="paragraph" w:customStyle="1" w:styleId="336">
    <w:name w:val="U_正文"/>
    <w:basedOn w:val="1"/>
    <w:link w:val="335"/>
    <w:qFormat/>
    <w:uiPriority w:val="0"/>
    <w:pPr>
      <w:spacing w:beforeLines="20" w:afterLines="20" w:line="300" w:lineRule="auto"/>
      <w:ind w:firstLine="200" w:firstLineChars="200"/>
    </w:pPr>
    <w:rPr>
      <w:kern w:val="0"/>
      <w:sz w:val="24"/>
    </w:rPr>
  </w:style>
  <w:style w:type="character" w:customStyle="1" w:styleId="337">
    <w:name w:val="HTML 地址 Char1"/>
    <w:qFormat/>
    <w:uiPriority w:val="0"/>
    <w:rPr>
      <w:rFonts w:ascii="Times New Roman" w:hAnsi="Times New Roman" w:eastAsia="宋体" w:cs="Times New Roman"/>
      <w:i/>
      <w:iCs/>
      <w:szCs w:val="24"/>
    </w:rPr>
  </w:style>
  <w:style w:type="character" w:customStyle="1" w:styleId="338">
    <w:name w:val="批注主题 Char1"/>
    <w:qFormat/>
    <w:uiPriority w:val="0"/>
    <w:rPr>
      <w:b/>
      <w:bCs/>
      <w:kern w:val="2"/>
      <w:sz w:val="21"/>
      <w:szCs w:val="24"/>
    </w:rPr>
  </w:style>
  <w:style w:type="character" w:customStyle="1" w:styleId="339">
    <w:name w:val="Char Char51"/>
    <w:qFormat/>
    <w:uiPriority w:val="0"/>
    <w:rPr>
      <w:rFonts w:ascii="宋体" w:hAnsi="Courier New" w:eastAsia="宋体"/>
      <w:kern w:val="2"/>
      <w:sz w:val="21"/>
      <w:lang w:val="en-US" w:eastAsia="zh-CN"/>
    </w:rPr>
  </w:style>
  <w:style w:type="character" w:customStyle="1" w:styleId="340">
    <w:name w:val="表正文 Char"/>
    <w:qFormat/>
    <w:uiPriority w:val="0"/>
    <w:rPr>
      <w:rFonts w:ascii="宋体" w:eastAsia="宋体"/>
      <w:snapToGrid w:val="0"/>
      <w:color w:val="000000"/>
      <w:kern w:val="28"/>
      <w:sz w:val="28"/>
      <w:lang w:val="en-US" w:eastAsia="zh-CN" w:bidi="ar-SA"/>
    </w:rPr>
  </w:style>
  <w:style w:type="character" w:customStyle="1" w:styleId="341">
    <w:name w:val="Char Char34"/>
    <w:qFormat/>
    <w:uiPriority w:val="6"/>
    <w:rPr>
      <w:b/>
      <w:kern w:val="1"/>
      <w:sz w:val="28"/>
      <w:szCs w:val="28"/>
    </w:rPr>
  </w:style>
  <w:style w:type="character" w:customStyle="1" w:styleId="342">
    <w:name w:val="哈哈正文 Char"/>
    <w:link w:val="343"/>
    <w:qFormat/>
    <w:uiPriority w:val="0"/>
    <w:rPr>
      <w:rFonts w:ascii="宋体" w:hAnsi="宋体"/>
      <w:kern w:val="2"/>
      <w:sz w:val="24"/>
    </w:rPr>
  </w:style>
  <w:style w:type="paragraph" w:customStyle="1" w:styleId="343">
    <w:name w:val="哈哈正文"/>
    <w:basedOn w:val="1"/>
    <w:link w:val="342"/>
    <w:qFormat/>
    <w:uiPriority w:val="0"/>
    <w:pPr>
      <w:spacing w:line="360" w:lineRule="auto"/>
      <w:ind w:firstLine="200" w:firstLineChars="200"/>
    </w:pPr>
    <w:rPr>
      <w:rFonts w:ascii="宋体" w:hAnsi="宋体"/>
      <w:sz w:val="24"/>
      <w:szCs w:val="20"/>
    </w:rPr>
  </w:style>
  <w:style w:type="character" w:customStyle="1" w:styleId="344">
    <w:name w:val="txt"/>
    <w:qFormat/>
    <w:uiPriority w:val="0"/>
    <w:rPr>
      <w:rFonts w:ascii="仿宋_GB2312" w:eastAsia="微软雅黑"/>
      <w:b/>
      <w:kern w:val="2"/>
      <w:sz w:val="32"/>
      <w:szCs w:val="32"/>
      <w:lang w:val="en-US" w:eastAsia="zh-CN" w:bidi="ar-SA"/>
    </w:rPr>
  </w:style>
  <w:style w:type="character" w:customStyle="1" w:styleId="345">
    <w:name w:val="二级标题 Char Char"/>
    <w:qFormat/>
    <w:uiPriority w:val="0"/>
    <w:rPr>
      <w:rFonts w:ascii="宋体" w:hAnsi="宋体" w:eastAsia="宋体"/>
      <w:b/>
      <w:snapToGrid w:val="0"/>
      <w:kern w:val="2"/>
      <w:sz w:val="24"/>
      <w:szCs w:val="24"/>
      <w:lang w:val="en-US" w:eastAsia="zh-CN" w:bidi="ar-SA"/>
    </w:rPr>
  </w:style>
  <w:style w:type="character" w:customStyle="1" w:styleId="346">
    <w:name w:val="Char Char32"/>
    <w:qFormat/>
    <w:uiPriority w:val="6"/>
    <w:rPr>
      <w:b/>
      <w:kern w:val="1"/>
      <w:sz w:val="24"/>
      <w:szCs w:val="24"/>
    </w:rPr>
  </w:style>
  <w:style w:type="character" w:customStyle="1" w:styleId="347">
    <w:name w:val="PI Char1"/>
    <w:qFormat/>
    <w:uiPriority w:val="0"/>
    <w:rPr>
      <w:rFonts w:ascii="宋体" w:hAnsi="宋体"/>
      <w:kern w:val="2"/>
      <w:sz w:val="24"/>
      <w:szCs w:val="24"/>
    </w:rPr>
  </w:style>
  <w:style w:type="character" w:customStyle="1" w:styleId="348">
    <w:name w:val="tw4winTerm"/>
    <w:qFormat/>
    <w:uiPriority w:val="0"/>
    <w:rPr>
      <w:color w:val="0000FF"/>
    </w:rPr>
  </w:style>
  <w:style w:type="character" w:customStyle="1" w:styleId="349">
    <w:name w:val="Footer Char_349d8ccd-87a8-4174-b318-483ee852d82b"/>
    <w:qFormat/>
    <w:uiPriority w:val="0"/>
    <w:rPr>
      <w:rFonts w:eastAsia="宋体"/>
      <w:kern w:val="2"/>
      <w:sz w:val="18"/>
      <w:lang w:val="en-US" w:eastAsia="zh-CN" w:bidi="ar-SA"/>
    </w:rPr>
  </w:style>
  <w:style w:type="character" w:customStyle="1" w:styleId="350">
    <w:name w:val="普通文字 Char Char1"/>
    <w:qFormat/>
    <w:uiPriority w:val="0"/>
    <w:rPr>
      <w:rFonts w:ascii="宋体" w:hAnsi="Courier New"/>
      <w:kern w:val="2"/>
      <w:sz w:val="21"/>
    </w:rPr>
  </w:style>
  <w:style w:type="character" w:customStyle="1" w:styleId="351">
    <w:name w:val="Char Char101"/>
    <w:qFormat/>
    <w:uiPriority w:val="6"/>
    <w:rPr>
      <w:rFonts w:ascii="宋体" w:hAnsi="宋体"/>
      <w:kern w:val="2"/>
      <w:sz w:val="21"/>
      <w:szCs w:val="24"/>
      <w:lang w:val="en-US" w:eastAsia="zh-CN"/>
    </w:rPr>
  </w:style>
  <w:style w:type="character" w:customStyle="1" w:styleId="352">
    <w:name w:val="链接"/>
    <w:qFormat/>
    <w:uiPriority w:val="0"/>
    <w:rPr>
      <w:color w:val="0000FF"/>
      <w:sz w:val="21"/>
      <w:szCs w:val="21"/>
      <w:u w:val="single"/>
    </w:rPr>
  </w:style>
  <w:style w:type="character" w:customStyle="1" w:styleId="353">
    <w:name w:val="h4 Char"/>
    <w:qFormat/>
    <w:uiPriority w:val="0"/>
    <w:rPr>
      <w:rFonts w:ascii="Arial" w:hAnsi="Arial" w:eastAsia="黑体"/>
      <w:b/>
      <w:bCs/>
      <w:kern w:val="2"/>
      <w:sz w:val="28"/>
      <w:szCs w:val="28"/>
      <w:lang w:val="zh-CN" w:eastAsia="zh-CN" w:bidi="ar-SA"/>
    </w:rPr>
  </w:style>
  <w:style w:type="character" w:customStyle="1" w:styleId="354">
    <w:name w:val="5正文 Char"/>
    <w:link w:val="355"/>
    <w:qFormat/>
    <w:uiPriority w:val="0"/>
    <w:rPr>
      <w:rFonts w:ascii="仿宋_GB2312" w:hAnsi="微软雅黑" w:eastAsia="仿宋_GB2312"/>
      <w:sz w:val="28"/>
      <w:szCs w:val="21"/>
    </w:rPr>
  </w:style>
  <w:style w:type="paragraph" w:customStyle="1" w:styleId="355">
    <w:name w:val="5正文"/>
    <w:basedOn w:val="1"/>
    <w:link w:val="354"/>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6">
    <w:name w:val="标题 3 字符"/>
    <w:qFormat/>
    <w:uiPriority w:val="9"/>
    <w:rPr>
      <w:b/>
      <w:bCs/>
      <w:kern w:val="2"/>
      <w:sz w:val="32"/>
      <w:szCs w:val="32"/>
    </w:rPr>
  </w:style>
  <w:style w:type="character" w:customStyle="1" w:styleId="357">
    <w:name w:val="样式6 Char"/>
    <w:qFormat/>
    <w:uiPriority w:val="0"/>
    <w:rPr>
      <w:rFonts w:ascii="仿宋_GB2312" w:hAnsi="宋体" w:eastAsia="仿宋_GB2312"/>
      <w:b/>
      <w:bCs/>
      <w:kern w:val="2"/>
      <w:sz w:val="24"/>
      <w:szCs w:val="24"/>
      <w:lang w:val="en-US" w:eastAsia="zh-CN" w:bidi="ar-SA"/>
    </w:rPr>
  </w:style>
  <w:style w:type="character" w:customStyle="1" w:styleId="358">
    <w:name w:val="Char Char14"/>
    <w:qFormat/>
    <w:uiPriority w:val="6"/>
    <w:rPr>
      <w:rFonts w:ascii="黑体" w:hAnsi="黑体" w:eastAsia="黑体"/>
    </w:rPr>
  </w:style>
  <w:style w:type="character" w:customStyle="1" w:styleId="359">
    <w:name w:val="Heading 2 Hidden Char"/>
    <w:qFormat/>
    <w:uiPriority w:val="0"/>
    <w:rPr>
      <w:rFonts w:ascii="仿宋_GB2312" w:eastAsia="仿宋_GB2312"/>
      <w:b/>
      <w:bCs/>
      <w:kern w:val="2"/>
      <w:sz w:val="24"/>
      <w:szCs w:val="24"/>
      <w:lang w:val="zh-CN" w:eastAsia="zh-CN" w:bidi="ar-SA"/>
    </w:rPr>
  </w:style>
  <w:style w:type="character" w:customStyle="1" w:styleId="360">
    <w:name w:val="表正文 Char1"/>
    <w:qFormat/>
    <w:uiPriority w:val="0"/>
    <w:rPr>
      <w:rFonts w:ascii="宋体" w:eastAsia="宋体"/>
      <w:snapToGrid w:val="0"/>
      <w:color w:val="000000"/>
      <w:kern w:val="28"/>
      <w:sz w:val="28"/>
    </w:rPr>
  </w:style>
  <w:style w:type="character" w:customStyle="1" w:styleId="361">
    <w:name w:val="blue1"/>
    <w:basedOn w:val="73"/>
    <w:qFormat/>
    <w:uiPriority w:val="0"/>
    <w:rPr>
      <w:rFonts w:ascii="Arial" w:hAnsi="Arial" w:eastAsia="黑体" w:cs="Arial"/>
      <w:snapToGrid w:val="0"/>
      <w:kern w:val="0"/>
      <w:szCs w:val="21"/>
    </w:rPr>
  </w:style>
  <w:style w:type="character" w:customStyle="1" w:styleId="362">
    <w:name w:val="标书1 Char"/>
    <w:qFormat/>
    <w:uiPriority w:val="0"/>
    <w:rPr>
      <w:rFonts w:eastAsia="宋体"/>
      <w:b/>
      <w:bCs/>
      <w:kern w:val="44"/>
      <w:sz w:val="44"/>
      <w:szCs w:val="44"/>
      <w:lang w:val="en-US" w:eastAsia="zh-CN" w:bidi="ar-SA"/>
    </w:rPr>
  </w:style>
  <w:style w:type="character" w:customStyle="1" w:styleId="363">
    <w:name w:val="样式5 Char"/>
    <w:qFormat/>
    <w:uiPriority w:val="0"/>
    <w:rPr>
      <w:rFonts w:ascii="仿宋_GB2312" w:hAnsi="仿宋" w:eastAsia="仿宋_GB2312"/>
      <w:kern w:val="2"/>
      <w:sz w:val="24"/>
      <w:szCs w:val="24"/>
    </w:rPr>
  </w:style>
  <w:style w:type="character" w:customStyle="1" w:styleId="364">
    <w:name w:val="样式4 Char"/>
    <w:qFormat/>
    <w:uiPriority w:val="0"/>
    <w:rPr>
      <w:rFonts w:ascii="仿宋_GB2312" w:hAnsi="仿宋" w:eastAsia="仿宋_GB2312"/>
      <w:b/>
      <w:kern w:val="2"/>
      <w:sz w:val="32"/>
      <w:szCs w:val="32"/>
      <w:lang w:bidi="ar-SA"/>
    </w:rPr>
  </w:style>
  <w:style w:type="character" w:customStyle="1" w:styleId="365">
    <w:name w:val="插图说明 Char"/>
    <w:qFormat/>
    <w:uiPriority w:val="0"/>
    <w:rPr>
      <w:rFonts w:eastAsia="黑体"/>
      <w:sz w:val="24"/>
      <w:lang w:val="en-US" w:eastAsia="zh-CN"/>
    </w:rPr>
  </w:style>
  <w:style w:type="character" w:customStyle="1" w:styleId="366">
    <w:name w:val="Char Char24"/>
    <w:qFormat/>
    <w:uiPriority w:val="6"/>
    <w:rPr>
      <w:kern w:val="1"/>
      <w:sz w:val="21"/>
    </w:rPr>
  </w:style>
  <w:style w:type="character" w:customStyle="1" w:styleId="367">
    <w:name w:val="普通文字 Char1 Char"/>
    <w:qFormat/>
    <w:uiPriority w:val="0"/>
    <w:rPr>
      <w:rFonts w:ascii="宋体" w:hAnsi="Courier New" w:eastAsia="宋体"/>
      <w:kern w:val="2"/>
      <w:sz w:val="21"/>
      <w:szCs w:val="24"/>
      <w:lang w:val="en-US" w:eastAsia="zh-CN" w:bidi="ar-SA"/>
    </w:rPr>
  </w:style>
  <w:style w:type="character" w:customStyle="1" w:styleId="368">
    <w:name w:val="h3 Char1"/>
    <w:qFormat/>
    <w:uiPriority w:val="0"/>
    <w:rPr>
      <w:rFonts w:eastAsia="宋体"/>
      <w:b/>
      <w:bCs/>
      <w:kern w:val="2"/>
      <w:sz w:val="32"/>
      <w:szCs w:val="32"/>
      <w:lang w:bidi="ar-SA"/>
    </w:rPr>
  </w:style>
  <w:style w:type="character" w:customStyle="1" w:styleId="369">
    <w:name w:val="标题 Char1"/>
    <w:qFormat/>
    <w:uiPriority w:val="0"/>
    <w:rPr>
      <w:rFonts w:ascii="Cambria" w:hAnsi="Cambria" w:eastAsia="宋体" w:cs="Times New Roman"/>
      <w:b/>
      <w:bCs/>
      <w:sz w:val="32"/>
      <w:szCs w:val="32"/>
      <w:lang w:bidi="ar-SA"/>
    </w:rPr>
  </w:style>
  <w:style w:type="character" w:customStyle="1" w:styleId="370">
    <w:name w:val="gf正文1 Char"/>
    <w:qFormat/>
    <w:uiPriority w:val="0"/>
    <w:rPr>
      <w:rFonts w:ascii="宋体" w:hAnsi="宋体" w:eastAsia="宋体" w:cs="宋体"/>
      <w:kern w:val="2"/>
      <w:sz w:val="24"/>
      <w:szCs w:val="24"/>
      <w:lang w:val="en-US" w:eastAsia="zh-CN" w:bidi="ar-SA"/>
    </w:rPr>
  </w:style>
  <w:style w:type="character" w:customStyle="1" w:styleId="371">
    <w:name w:val="正文文本缩进 Char1"/>
    <w:qFormat/>
    <w:uiPriority w:val="0"/>
    <w:rPr>
      <w:rFonts w:ascii="Calibri" w:hAnsi="Calibri"/>
      <w:sz w:val="28"/>
    </w:rPr>
  </w:style>
  <w:style w:type="character" w:customStyle="1" w:styleId="372">
    <w:name w:val="No Spacing Char"/>
    <w:link w:val="373"/>
    <w:qFormat/>
    <w:uiPriority w:val="1"/>
    <w:rPr>
      <w:sz w:val="22"/>
      <w:szCs w:val="22"/>
    </w:rPr>
  </w:style>
  <w:style w:type="paragraph" w:customStyle="1" w:styleId="373">
    <w:name w:val="无间隔1"/>
    <w:link w:val="372"/>
    <w:qFormat/>
    <w:uiPriority w:val="1"/>
    <w:rPr>
      <w:rFonts w:ascii="Times New Roman" w:hAnsi="Times New Roman" w:eastAsia="宋体" w:cs="Times New Roman"/>
      <w:sz w:val="22"/>
      <w:szCs w:val="22"/>
      <w:lang w:val="en-US" w:eastAsia="zh-CN" w:bidi="ar-SA"/>
    </w:rPr>
  </w:style>
  <w:style w:type="character" w:customStyle="1" w:styleId="374">
    <w:name w:val="样式7 Char"/>
    <w:qFormat/>
    <w:uiPriority w:val="0"/>
    <w:rPr>
      <w:rFonts w:ascii="仿宋_GB2312" w:hAnsi="仿宋" w:eastAsia="仿宋_GB2312"/>
      <w:b/>
      <w:kern w:val="2"/>
      <w:sz w:val="24"/>
      <w:szCs w:val="24"/>
    </w:rPr>
  </w:style>
  <w:style w:type="character" w:customStyle="1" w:styleId="375">
    <w:name w:val="font12gray1"/>
    <w:qFormat/>
    <w:uiPriority w:val="0"/>
    <w:rPr>
      <w:rFonts w:ascii="仿宋_GB2312" w:eastAsia="微软雅黑"/>
      <w:b/>
      <w:spacing w:val="300"/>
      <w:kern w:val="2"/>
      <w:sz w:val="18"/>
      <w:szCs w:val="18"/>
      <w:lang w:val="en-US" w:eastAsia="zh-CN" w:bidi="ar-SA"/>
    </w:rPr>
  </w:style>
  <w:style w:type="character" w:customStyle="1" w:styleId="376">
    <w:name w:val="表名 Char"/>
    <w:qFormat/>
    <w:uiPriority w:val="0"/>
    <w:rPr>
      <w:rFonts w:eastAsia="宋体"/>
      <w:b/>
      <w:bCs/>
      <w:kern w:val="2"/>
      <w:sz w:val="24"/>
      <w:szCs w:val="24"/>
      <w:lang w:val="en-US" w:eastAsia="zh-CN" w:bidi="ar-SA"/>
    </w:rPr>
  </w:style>
  <w:style w:type="character" w:customStyle="1" w:styleId="377">
    <w:name w:val="Document Map Char"/>
    <w:qFormat/>
    <w:uiPriority w:val="0"/>
    <w:rPr>
      <w:rFonts w:eastAsia="宋体"/>
      <w:kern w:val="2"/>
      <w:sz w:val="21"/>
      <w:szCs w:val="24"/>
      <w:lang w:val="en-US" w:eastAsia="zh-CN" w:bidi="ar-SA"/>
    </w:rPr>
  </w:style>
  <w:style w:type="character" w:customStyle="1" w:styleId="378">
    <w:name w:val="纯文本 Char_0"/>
    <w:link w:val="379"/>
    <w:qFormat/>
    <w:uiPriority w:val="0"/>
    <w:rPr>
      <w:rFonts w:ascii="宋体" w:hAnsi="Courier New"/>
      <w:kern w:val="2"/>
      <w:sz w:val="21"/>
      <w:szCs w:val="21"/>
    </w:rPr>
  </w:style>
  <w:style w:type="paragraph" w:customStyle="1" w:styleId="379">
    <w:name w:val="纯文本_0_0"/>
    <w:basedOn w:val="380"/>
    <w:link w:val="378"/>
    <w:qFormat/>
    <w:uiPriority w:val="0"/>
    <w:rPr>
      <w:rFonts w:ascii="宋体" w:hAnsi="Courier New"/>
      <w:szCs w:val="21"/>
    </w:rPr>
  </w:style>
  <w:style w:type="paragraph" w:customStyle="1" w:styleId="3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1">
    <w:name w:val="Balloon Text Char"/>
    <w:qFormat/>
    <w:uiPriority w:val="0"/>
    <w:rPr>
      <w:rFonts w:eastAsia="宋体"/>
      <w:kern w:val="2"/>
      <w:sz w:val="18"/>
      <w:szCs w:val="18"/>
      <w:lang w:val="en-US" w:eastAsia="zh-CN" w:bidi="ar-SA"/>
    </w:rPr>
  </w:style>
  <w:style w:type="character" w:customStyle="1" w:styleId="382">
    <w:name w:val="正文 项目2 Char"/>
    <w:basedOn w:val="383"/>
    <w:qFormat/>
    <w:uiPriority w:val="0"/>
    <w:rPr>
      <w:rFonts w:ascii="仿宋_GB2312" w:hAnsi="仿宋_GB2312" w:eastAsia="仿宋_GB2312"/>
      <w:kern w:val="2"/>
      <w:sz w:val="24"/>
      <w:lang w:bidi="ar-SA"/>
    </w:rPr>
  </w:style>
  <w:style w:type="character" w:customStyle="1" w:styleId="383">
    <w:name w:val="正文 项目 Char"/>
    <w:qFormat/>
    <w:uiPriority w:val="0"/>
    <w:rPr>
      <w:rFonts w:ascii="仿宋_GB2312" w:hAnsi="仿宋_GB2312" w:eastAsia="仿宋_GB2312"/>
      <w:kern w:val="2"/>
      <w:sz w:val="24"/>
      <w:lang w:bidi="ar-SA"/>
    </w:rPr>
  </w:style>
  <w:style w:type="character" w:customStyle="1" w:styleId="384">
    <w:name w:val="h Char Char1"/>
    <w:qFormat/>
    <w:uiPriority w:val="0"/>
    <w:rPr>
      <w:rFonts w:eastAsia="宋体"/>
      <w:kern w:val="2"/>
      <w:sz w:val="18"/>
      <w:szCs w:val="18"/>
      <w:lang w:val="en-US" w:eastAsia="zh-CN" w:bidi="ar-SA"/>
    </w:rPr>
  </w:style>
  <w:style w:type="character" w:customStyle="1" w:styleId="385">
    <w:name w:val="px14"/>
    <w:qFormat/>
    <w:uiPriority w:val="0"/>
    <w:rPr>
      <w:rFonts w:ascii="仿宋_GB2312" w:eastAsia="微软雅黑" w:cs="Times New Roman"/>
      <w:b/>
      <w:kern w:val="2"/>
      <w:sz w:val="32"/>
      <w:szCs w:val="32"/>
      <w:lang w:val="en-US" w:eastAsia="zh-CN" w:bidi="ar-SA"/>
    </w:rPr>
  </w:style>
  <w:style w:type="character" w:customStyle="1" w:styleId="386">
    <w:name w:val="HTML 预设格式 Char1"/>
    <w:qFormat/>
    <w:uiPriority w:val="0"/>
    <w:rPr>
      <w:rFonts w:ascii="Courier New" w:hAnsi="Courier New" w:eastAsia="宋体" w:cs="Courier New"/>
      <w:sz w:val="20"/>
      <w:szCs w:val="20"/>
    </w:rPr>
  </w:style>
  <w:style w:type="character" w:customStyle="1" w:styleId="387">
    <w:name w:val="普通文字 Char1"/>
    <w:qFormat/>
    <w:uiPriority w:val="0"/>
    <w:rPr>
      <w:rFonts w:ascii="宋体" w:hAnsi="Courier New" w:eastAsia="宋体"/>
      <w:kern w:val="2"/>
      <w:sz w:val="21"/>
      <w:lang w:val="en-US" w:eastAsia="zh-CN"/>
    </w:rPr>
  </w:style>
  <w:style w:type="character" w:customStyle="1" w:styleId="388">
    <w:name w:val="hei16b1"/>
    <w:qFormat/>
    <w:uiPriority w:val="0"/>
    <w:rPr>
      <w:rFonts w:hint="default" w:ascii="Arial" w:hAnsi="Arial" w:cs="Arial"/>
      <w:b/>
      <w:bCs/>
      <w:color w:val="000000"/>
      <w:sz w:val="24"/>
      <w:szCs w:val="24"/>
    </w:rPr>
  </w:style>
  <w:style w:type="character" w:customStyle="1" w:styleId="389">
    <w:name w:val="正文（绿盟科技） Char"/>
    <w:link w:val="390"/>
    <w:qFormat/>
    <w:uiPriority w:val="0"/>
    <w:rPr>
      <w:rFonts w:ascii="Arial" w:hAnsi="Arial"/>
      <w:sz w:val="21"/>
      <w:szCs w:val="21"/>
    </w:rPr>
  </w:style>
  <w:style w:type="paragraph" w:customStyle="1" w:styleId="390">
    <w:name w:val="正文（绿盟科技）"/>
    <w:link w:val="389"/>
    <w:qFormat/>
    <w:uiPriority w:val="0"/>
    <w:pPr>
      <w:spacing w:line="300" w:lineRule="auto"/>
    </w:pPr>
    <w:rPr>
      <w:rFonts w:ascii="Arial" w:hAnsi="Arial" w:eastAsia="宋体" w:cs="Times New Roman"/>
      <w:sz w:val="21"/>
      <w:szCs w:val="21"/>
      <w:lang w:val="en-US" w:eastAsia="zh-CN" w:bidi="ar-SA"/>
    </w:rPr>
  </w:style>
  <w:style w:type="character" w:customStyle="1" w:styleId="391">
    <w:name w:val="Char Char19"/>
    <w:qFormat/>
    <w:uiPriority w:val="6"/>
    <w:rPr>
      <w:rFonts w:ascii="宋体" w:hAnsi="宋体"/>
      <w:i/>
      <w:sz w:val="24"/>
      <w:szCs w:val="24"/>
    </w:rPr>
  </w:style>
  <w:style w:type="character" w:customStyle="1" w:styleId="392">
    <w:name w:val="标题 2 字符"/>
    <w:qFormat/>
    <w:uiPriority w:val="1"/>
    <w:rPr>
      <w:rFonts w:ascii="仿宋_GB2312" w:hAnsi="Times New Roman" w:eastAsia="仿宋_GB2312" w:cs="Times New Roman"/>
      <w:b/>
      <w:kern w:val="2"/>
      <w:sz w:val="24"/>
      <w:lang w:val="zh-CN"/>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5"/>
    <w:link w:val="396"/>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3"/>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7"/>
    <w:link w:val="435"/>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0"/>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7"/>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3"/>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3"/>
    <w:qFormat/>
    <w:uiPriority w:val="0"/>
    <w:rPr>
      <w:rFonts w:ascii="Arial" w:hAnsi="Arial" w:eastAsia="黑体" w:cs="Arial"/>
      <w:snapToGrid w:val="0"/>
      <w:kern w:val="0"/>
      <w:szCs w:val="21"/>
    </w:rPr>
  </w:style>
  <w:style w:type="character" w:customStyle="1" w:styleId="595">
    <w:name w:val="hui"/>
    <w:basedOn w:val="73"/>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4"/>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8"/>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6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2"/>
    <w:next w:val="2"/>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2"/>
    <w:next w:val="2"/>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58"/>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5"/>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4"/>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4"/>
    <w:qFormat/>
    <w:uiPriority w:val="0"/>
    <w:pPr>
      <w:tabs>
        <w:tab w:val="left" w:pos="1260"/>
        <w:tab w:val="left" w:pos="1680"/>
        <w:tab w:val="left" w:pos="2100"/>
      </w:tabs>
      <w:ind w:left="0"/>
      <w:outlineLvl w:val="3"/>
    </w:pPr>
  </w:style>
  <w:style w:type="paragraph" w:customStyle="1" w:styleId="787">
    <w:name w:val="一级条标题"/>
    <w:basedOn w:val="788"/>
    <w:next w:val="164"/>
    <w:qFormat/>
    <w:uiPriority w:val="0"/>
    <w:pPr>
      <w:tabs>
        <w:tab w:val="left" w:pos="1260"/>
        <w:tab w:val="left" w:pos="1680"/>
      </w:tabs>
      <w:ind w:left="1680"/>
      <w:outlineLvl w:val="2"/>
    </w:pPr>
  </w:style>
  <w:style w:type="paragraph" w:customStyle="1" w:styleId="788">
    <w:name w:val="章标题"/>
    <w:next w:val="16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8"/>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62"/>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6"/>
    <w:next w:val="55"/>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4"/>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4"/>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next w:val="25"/>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20"/>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1"/>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6"/>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3"/>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4"/>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5"/>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3"/>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paragraph" w:customStyle="1" w:styleId="1041">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2">
    <w:name w:val="rili11"/>
    <w:qFormat/>
    <w:uiPriority w:val="0"/>
    <w:rPr>
      <w:sz w:val="21"/>
      <w:szCs w:val="21"/>
    </w:rPr>
  </w:style>
  <w:style w:type="paragraph" w:customStyle="1" w:styleId="1043">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4">
    <w:name w:val="Style 4"/>
    <w:qFormat/>
    <w:uiPriority w:val="0"/>
    <w:pPr>
      <w:spacing w:line="444" w:lineRule="auto"/>
      <w:ind w:firstLine="400"/>
    </w:pPr>
    <w:rPr>
      <w:rFonts w:ascii="宋体" w:hAnsi="宋体" w:eastAsia="宋体" w:cs="宋体"/>
      <w:sz w:val="22"/>
      <w:szCs w:val="22"/>
      <w:lang w:val="zh-CN" w:eastAsia="zh-CN" w:bidi="zh-CN"/>
    </w:rPr>
  </w:style>
  <w:style w:type="character" w:customStyle="1" w:styleId="1045">
    <w:name w:val="无"/>
    <w:qFormat/>
    <w:uiPriority w:val="0"/>
  </w:style>
  <w:style w:type="paragraph" w:customStyle="1" w:styleId="1046">
    <w:name w:val="纯文本3"/>
    <w:basedOn w:val="1047"/>
    <w:qFormat/>
    <w:uiPriority w:val="0"/>
    <w:pPr>
      <w:widowControl/>
      <w:jc w:val="left"/>
    </w:pPr>
    <w:rPr>
      <w:rFonts w:ascii="宋体" w:hAnsi="Courier New"/>
    </w:rPr>
  </w:style>
  <w:style w:type="paragraph" w:customStyle="1" w:styleId="1047">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48">
    <w:name w:val="正文首行缩进 21"/>
    <w:basedOn w:val="26"/>
    <w:qFormat/>
    <w:uiPriority w:val="0"/>
    <w:pPr>
      <w:ind w:firstLine="210"/>
    </w:pPr>
  </w:style>
  <w:style w:type="paragraph" w:customStyle="1" w:styleId="1049">
    <w:name w:val="Title-temp"/>
    <w:basedOn w:val="1"/>
    <w:next w:val="1"/>
    <w:qFormat/>
    <w:uiPriority w:val="0"/>
    <w:pPr>
      <w:widowControl/>
      <w:spacing w:before="120" w:after="120" w:line="276" w:lineRule="auto"/>
      <w:ind w:left="100" w:leftChars="100" w:right="100" w:rightChars="100"/>
      <w:jc w:val="center"/>
    </w:pPr>
    <w:rPr>
      <w:rFonts w:ascii="Calibri" w:hAnsi="Calibri" w:eastAsia="微软雅黑"/>
      <w:sz w:val="24"/>
      <w:szCs w:val="22"/>
    </w:rPr>
  </w:style>
  <w:style w:type="paragraph" w:customStyle="1" w:styleId="1050">
    <w:name w:val="question-temp"/>
    <w:basedOn w:val="1"/>
    <w:qFormat/>
    <w:uiPriority w:val="0"/>
    <w:pPr>
      <w:widowControl/>
      <w:spacing w:after="60" w:line="276" w:lineRule="auto"/>
      <w:jc w:val="left"/>
    </w:pPr>
    <w:rPr>
      <w:rFonts w:ascii="微软雅黑" w:hAnsi="微软雅黑" w:eastAsia="微软雅黑"/>
      <w:sz w:val="18"/>
      <w:szCs w:val="22"/>
    </w:rPr>
  </w:style>
  <w:style w:type="paragraph" w:customStyle="1" w:styleId="1051">
    <w:name w:val="option-temp"/>
    <w:qFormat/>
    <w:uiPriority w:val="0"/>
    <w:pPr>
      <w:ind w:left="100" w:leftChars="100" w:right="100" w:rightChars="100"/>
    </w:pPr>
    <w:rPr>
      <w:rFonts w:ascii="宋体" w:hAnsi="宋体" w:eastAsia="宋体" w:cs="宋体"/>
      <w:color w:val="404040"/>
      <w:kern w:val="2"/>
      <w:sz w:val="18"/>
      <w:szCs w:val="18"/>
      <w:lang w:val="en-US" w:eastAsia="zh-CN" w:bidi="ar-SA"/>
    </w:rPr>
  </w:style>
  <w:style w:type="character" w:customStyle="1" w:styleId="1052">
    <w:name w:val="未处理的提及2"/>
    <w:basedOn w:val="7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4.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3.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4" Type="http://schemas.openxmlformats.org/officeDocument/2006/relationships/fontTable" Target="fontTable.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116.emf"/><Relationship Id="rId130" Type="http://schemas.openxmlformats.org/officeDocument/2006/relationships/oleObject" Target="embeddings/oleObject2.bin"/><Relationship Id="rId13" Type="http://schemas.openxmlformats.org/officeDocument/2006/relationships/theme" Target="theme/theme1.xml"/><Relationship Id="rId129" Type="http://schemas.openxmlformats.org/officeDocument/2006/relationships/image" Target="media/image115.emf"/><Relationship Id="rId128" Type="http://schemas.openxmlformats.org/officeDocument/2006/relationships/oleObject" Target="embeddings/oleObject1.bin"/><Relationship Id="rId127" Type="http://schemas.openxmlformats.org/officeDocument/2006/relationships/image" Target="media/image114.png"/><Relationship Id="rId126" Type="http://schemas.openxmlformats.org/officeDocument/2006/relationships/image" Target="media/image113.png"/><Relationship Id="rId125" Type="http://schemas.openxmlformats.org/officeDocument/2006/relationships/image" Target="media/image112.png"/><Relationship Id="rId124" Type="http://schemas.openxmlformats.org/officeDocument/2006/relationships/image" Target="media/image111.png"/><Relationship Id="rId123" Type="http://schemas.openxmlformats.org/officeDocument/2006/relationships/image" Target="media/image110.png"/><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footer" Target="footer7.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footer" Target="footer6.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26000</Words>
  <Characters>28552</Characters>
  <Lines>498</Lines>
  <Paragraphs>140</Paragraphs>
  <TotalTime>7</TotalTime>
  <ScaleCrop>false</ScaleCrop>
  <LinksUpToDate>false</LinksUpToDate>
  <CharactersWithSpaces>30272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2024-10-10T08:16:00Z</dcterms:created>
  <dc:creator>admin</dc:creator>
  <cp:lastModifiedBy>WPS_1704080783</cp:lastModifiedBy>
  <cp:lastPrinted>2024-10-17T03:03:00Z</cp:lastPrinted>
  <dcterms:modified xsi:type="dcterms:W3CDTF">2024-11-13T08:52:28Z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0C0252E6F28140408C95DA174F589189_13</vt:lpwstr>
  </property>
</Properties>
</file>