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22B32">
      <w:pPr>
        <w:shd w:val="clea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48"/>
          <w:szCs w:val="48"/>
          <w:highlight w:val="none"/>
          <w:lang w:eastAsia="zh-CN"/>
        </w:rPr>
        <w:t>绍兴市公共交通集团有限公司物联网卡和网络线路、网络安全技术服务和设备采购等项目</w:t>
      </w:r>
    </w:p>
    <w:p w14:paraId="169349AA">
      <w:pPr>
        <w:shd w:val="clear"/>
        <w:jc w:val="center"/>
        <w:outlineLvl w:val="0"/>
        <w:rPr>
          <w:rFonts w:ascii="仿宋" w:hAnsi="仿宋" w:eastAsia="仿宋" w:cs="仿宋"/>
          <w:b/>
          <w:color w:val="auto"/>
          <w:sz w:val="32"/>
          <w:szCs w:val="32"/>
          <w:highlight w:val="none"/>
        </w:rPr>
      </w:pPr>
    </w:p>
    <w:p w14:paraId="3F77ACCA">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bookmarkStart w:id="199" w:name="_GoBack"/>
      <w:bookmarkEnd w:id="199"/>
    </w:p>
    <w:p w14:paraId="0F4868CE">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A8F4970">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DABB447">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37D3B19">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2138208">
      <w:pPr>
        <w:shd w:val="clea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90D9FFA">
      <w:pPr>
        <w:shd w:val="clea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0C62731">
      <w:pPr>
        <w:shd w:val="clear"/>
        <w:spacing w:line="360" w:lineRule="auto"/>
        <w:rPr>
          <w:rFonts w:ascii="仿宋" w:hAnsi="仿宋" w:eastAsia="仿宋" w:cs="仿宋"/>
          <w:b/>
          <w:color w:val="auto"/>
          <w:sz w:val="44"/>
          <w:szCs w:val="44"/>
          <w:highlight w:val="none"/>
        </w:rPr>
      </w:pPr>
    </w:p>
    <w:p w14:paraId="77F01D5A">
      <w:pPr>
        <w:shd w:val="clea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CGSHZJ-2024-N001094</w:t>
      </w:r>
    </w:p>
    <w:tbl>
      <w:tblPr>
        <w:tblStyle w:val="62"/>
        <w:tblW w:w="8128" w:type="dxa"/>
        <w:jc w:val="center"/>
        <w:tblLayout w:type="fixed"/>
        <w:tblCellMar>
          <w:top w:w="0" w:type="dxa"/>
          <w:left w:w="108" w:type="dxa"/>
          <w:bottom w:w="0" w:type="dxa"/>
          <w:right w:w="108" w:type="dxa"/>
        </w:tblCellMar>
      </w:tblPr>
      <w:tblGrid>
        <w:gridCol w:w="2683"/>
        <w:gridCol w:w="5445"/>
      </w:tblGrid>
      <w:tr w14:paraId="5F54D313">
        <w:tblPrEx>
          <w:tblCellMar>
            <w:top w:w="0" w:type="dxa"/>
            <w:left w:w="108" w:type="dxa"/>
            <w:bottom w:w="0" w:type="dxa"/>
            <w:right w:w="108" w:type="dxa"/>
          </w:tblCellMar>
        </w:tblPrEx>
        <w:trPr>
          <w:trHeight w:val="443" w:hRule="atLeast"/>
          <w:jc w:val="center"/>
        </w:trPr>
        <w:tc>
          <w:tcPr>
            <w:tcW w:w="2683" w:type="dxa"/>
          </w:tcPr>
          <w:p w14:paraId="12F5911F">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8522EB5">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绍兴市公共交通集团有限公司</w:t>
            </w:r>
          </w:p>
        </w:tc>
      </w:tr>
      <w:tr w14:paraId="430D9DB1">
        <w:tblPrEx>
          <w:tblCellMar>
            <w:top w:w="0" w:type="dxa"/>
            <w:left w:w="108" w:type="dxa"/>
            <w:bottom w:w="0" w:type="dxa"/>
            <w:right w:w="108" w:type="dxa"/>
          </w:tblCellMar>
        </w:tblPrEx>
        <w:trPr>
          <w:trHeight w:val="494" w:hRule="atLeast"/>
          <w:jc w:val="center"/>
        </w:trPr>
        <w:tc>
          <w:tcPr>
            <w:tcW w:w="2683" w:type="dxa"/>
          </w:tcPr>
          <w:p w14:paraId="3EC1F176">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w w:val="93"/>
                <w:kern w:val="0"/>
                <w:sz w:val="28"/>
                <w:szCs w:val="28"/>
                <w:highlight w:val="none"/>
              </w:rPr>
              <w:t>采购代理机</w:t>
            </w:r>
            <w:r>
              <w:rPr>
                <w:rFonts w:hint="eastAsia" w:ascii="仿宋" w:hAnsi="仿宋" w:eastAsia="仿宋" w:cs="仿宋"/>
                <w:color w:val="auto"/>
                <w:spacing w:val="30"/>
                <w:w w:val="93"/>
                <w:kern w:val="0"/>
                <w:sz w:val="28"/>
                <w:szCs w:val="28"/>
                <w:highlight w:val="none"/>
              </w:rPr>
              <w:t>构</w:t>
            </w:r>
            <w:r>
              <w:rPr>
                <w:rFonts w:hint="eastAsia" w:ascii="仿宋" w:hAnsi="仿宋" w:eastAsia="仿宋" w:cs="仿宋"/>
                <w:color w:val="auto"/>
                <w:sz w:val="28"/>
                <w:szCs w:val="28"/>
                <w:highlight w:val="none"/>
              </w:rPr>
              <w:t>：</w:t>
            </w:r>
          </w:p>
        </w:tc>
        <w:tc>
          <w:tcPr>
            <w:tcW w:w="5445" w:type="dxa"/>
            <w:vAlign w:val="center"/>
          </w:tcPr>
          <w:p w14:paraId="18DBF359">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浙江天源工程管理咨询有限公司</w:t>
            </w:r>
          </w:p>
        </w:tc>
      </w:tr>
      <w:tr w14:paraId="767D6584">
        <w:tblPrEx>
          <w:tblCellMar>
            <w:top w:w="0" w:type="dxa"/>
            <w:left w:w="108" w:type="dxa"/>
            <w:bottom w:w="0" w:type="dxa"/>
            <w:right w:w="108" w:type="dxa"/>
          </w:tblCellMar>
        </w:tblPrEx>
        <w:trPr>
          <w:trHeight w:val="397" w:hRule="atLeast"/>
          <w:jc w:val="center"/>
        </w:trPr>
        <w:tc>
          <w:tcPr>
            <w:tcW w:w="2683" w:type="dxa"/>
            <w:vAlign w:val="center"/>
          </w:tcPr>
          <w:p w14:paraId="3CDB03B0">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736710334"/>
              </w:rPr>
              <w:t>监督单</w:t>
            </w:r>
            <w:r>
              <w:rPr>
                <w:rFonts w:hint="eastAsia" w:ascii="仿宋" w:hAnsi="仿宋" w:eastAsia="仿宋" w:cs="仿宋"/>
                <w:color w:val="auto"/>
                <w:spacing w:val="1"/>
                <w:kern w:val="0"/>
                <w:sz w:val="28"/>
                <w:szCs w:val="28"/>
                <w:highlight w:val="none"/>
                <w:fitText w:val="1680" w:id="1736710334"/>
              </w:rPr>
              <w:t>位</w:t>
            </w:r>
            <w:r>
              <w:rPr>
                <w:rFonts w:hint="eastAsia" w:ascii="仿宋" w:hAnsi="仿宋" w:eastAsia="仿宋" w:cs="仿宋"/>
                <w:color w:val="auto"/>
                <w:sz w:val="28"/>
                <w:szCs w:val="28"/>
                <w:highlight w:val="none"/>
              </w:rPr>
              <w:t>：</w:t>
            </w:r>
          </w:p>
        </w:tc>
        <w:tc>
          <w:tcPr>
            <w:tcW w:w="5445" w:type="dxa"/>
          </w:tcPr>
          <w:p w14:paraId="01145F11">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绍兴市交通投资集团有限公司</w:t>
            </w:r>
          </w:p>
        </w:tc>
      </w:tr>
      <w:tr w14:paraId="0769A2C4">
        <w:tblPrEx>
          <w:tblCellMar>
            <w:top w:w="0" w:type="dxa"/>
            <w:left w:w="108" w:type="dxa"/>
            <w:bottom w:w="0" w:type="dxa"/>
            <w:right w:w="108" w:type="dxa"/>
          </w:tblCellMar>
        </w:tblPrEx>
        <w:trPr>
          <w:trHeight w:val="333" w:hRule="atLeast"/>
          <w:jc w:val="center"/>
        </w:trPr>
        <w:tc>
          <w:tcPr>
            <w:tcW w:w="8128" w:type="dxa"/>
            <w:gridSpan w:val="2"/>
          </w:tcPr>
          <w:p w14:paraId="7CC6149C">
            <w:pPr>
              <w:shd w:val="clea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十一</w:t>
            </w:r>
            <w:r>
              <w:rPr>
                <w:rFonts w:hint="eastAsia" w:ascii="仿宋" w:hAnsi="仿宋" w:eastAsia="仿宋" w:cs="仿宋"/>
                <w:color w:val="auto"/>
                <w:sz w:val="28"/>
                <w:szCs w:val="28"/>
                <w:highlight w:val="none"/>
              </w:rPr>
              <w:t>月</w:t>
            </w:r>
          </w:p>
        </w:tc>
      </w:tr>
    </w:tbl>
    <w:p w14:paraId="10D733EE">
      <w:pPr>
        <w:pStyle w:val="636"/>
        <w:shd w:val="clear"/>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14212D7">
      <w:pPr>
        <w:shd w:val="clear"/>
        <w:spacing w:line="360" w:lineRule="auto"/>
        <w:jc w:val="center"/>
        <w:rPr>
          <w:rFonts w:ascii="仿宋" w:hAnsi="仿宋" w:eastAsia="仿宋" w:cs="仿宋"/>
          <w:color w:val="auto"/>
          <w:sz w:val="24"/>
          <w:highlight w:val="none"/>
        </w:rPr>
      </w:pPr>
    </w:p>
    <w:p w14:paraId="6D181296">
      <w:pPr>
        <w:shd w:val="clea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594D1A46">
      <w:pPr>
        <w:shd w:val="clear"/>
        <w:spacing w:line="360" w:lineRule="auto"/>
        <w:jc w:val="center"/>
        <w:rPr>
          <w:rFonts w:ascii="仿宋" w:hAnsi="仿宋" w:eastAsia="仿宋" w:cs="仿宋"/>
          <w:b/>
          <w:color w:val="auto"/>
          <w:sz w:val="44"/>
          <w:szCs w:val="44"/>
          <w:highlight w:val="none"/>
        </w:rPr>
      </w:pPr>
    </w:p>
    <w:p w14:paraId="7B835B04">
      <w:pPr>
        <w:shd w:val="clear"/>
        <w:spacing w:line="360" w:lineRule="auto"/>
        <w:jc w:val="center"/>
        <w:rPr>
          <w:rFonts w:ascii="仿宋" w:hAnsi="仿宋" w:eastAsia="仿宋" w:cs="仿宋"/>
          <w:color w:val="auto"/>
          <w:highlight w:val="none"/>
        </w:rPr>
      </w:pPr>
    </w:p>
    <w:p w14:paraId="58FE8B40">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第一部分招标公告</w:t>
      </w:r>
    </w:p>
    <w:p w14:paraId="23198FE9">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14:paraId="71C8714F">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14:paraId="71E6C936">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第四部分合同的主要条款</w:t>
      </w:r>
    </w:p>
    <w:p w14:paraId="1F68B649">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14:paraId="2C409056">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第六部分投标文件及其附件格式</w:t>
      </w:r>
    </w:p>
    <w:p w14:paraId="02C75CA2">
      <w:pPr>
        <w:shd w:val="clear"/>
        <w:spacing w:line="360" w:lineRule="auto"/>
        <w:ind w:firstLine="549" w:firstLineChars="229"/>
        <w:rPr>
          <w:rFonts w:ascii="仿宋" w:hAnsi="仿宋" w:eastAsia="仿宋" w:cs="仿宋"/>
          <w:color w:val="auto"/>
          <w:sz w:val="24"/>
          <w:highlight w:val="none"/>
        </w:rPr>
      </w:pPr>
    </w:p>
    <w:p w14:paraId="09E458CE">
      <w:pPr>
        <w:shd w:val="clear"/>
        <w:spacing w:line="360" w:lineRule="auto"/>
        <w:ind w:firstLine="549" w:firstLineChars="229"/>
        <w:rPr>
          <w:rFonts w:ascii="仿宋" w:hAnsi="仿宋" w:eastAsia="仿宋" w:cs="仿宋"/>
          <w:color w:val="auto"/>
          <w:sz w:val="24"/>
          <w:highlight w:val="none"/>
        </w:rPr>
      </w:pPr>
    </w:p>
    <w:p w14:paraId="010A1793">
      <w:pPr>
        <w:shd w:val="clear"/>
        <w:spacing w:line="360" w:lineRule="auto"/>
        <w:ind w:firstLine="549" w:firstLineChars="229"/>
        <w:rPr>
          <w:rFonts w:ascii="仿宋" w:hAnsi="仿宋" w:eastAsia="仿宋" w:cs="仿宋"/>
          <w:color w:val="auto"/>
          <w:sz w:val="24"/>
          <w:highlight w:val="none"/>
        </w:rPr>
      </w:pPr>
    </w:p>
    <w:p w14:paraId="74333BD4">
      <w:pPr>
        <w:shd w:val="clear"/>
        <w:spacing w:line="360" w:lineRule="auto"/>
        <w:ind w:firstLine="549" w:firstLineChars="229"/>
        <w:rPr>
          <w:rFonts w:ascii="仿宋" w:hAnsi="仿宋" w:eastAsia="仿宋" w:cs="仿宋"/>
          <w:color w:val="auto"/>
          <w:sz w:val="24"/>
          <w:highlight w:val="none"/>
        </w:rPr>
      </w:pPr>
    </w:p>
    <w:p w14:paraId="3CC91083">
      <w:pPr>
        <w:shd w:val="clear"/>
        <w:spacing w:line="360" w:lineRule="auto"/>
        <w:ind w:firstLine="549" w:firstLineChars="229"/>
        <w:rPr>
          <w:rFonts w:ascii="仿宋" w:hAnsi="仿宋" w:eastAsia="仿宋" w:cs="仿宋"/>
          <w:color w:val="auto"/>
          <w:sz w:val="24"/>
          <w:highlight w:val="none"/>
        </w:rPr>
      </w:pPr>
    </w:p>
    <w:p w14:paraId="6C0B6556">
      <w:pPr>
        <w:shd w:val="clear"/>
        <w:spacing w:line="360" w:lineRule="auto"/>
        <w:ind w:firstLine="549" w:firstLineChars="229"/>
        <w:rPr>
          <w:rFonts w:ascii="仿宋" w:hAnsi="仿宋" w:eastAsia="仿宋" w:cs="仿宋"/>
          <w:color w:val="auto"/>
          <w:sz w:val="24"/>
          <w:highlight w:val="none"/>
        </w:rPr>
      </w:pPr>
    </w:p>
    <w:p w14:paraId="429B604C">
      <w:pPr>
        <w:shd w:val="clear"/>
        <w:spacing w:line="360" w:lineRule="auto"/>
        <w:ind w:firstLine="549" w:firstLineChars="229"/>
        <w:rPr>
          <w:rFonts w:ascii="仿宋" w:hAnsi="仿宋" w:eastAsia="仿宋" w:cs="仿宋"/>
          <w:color w:val="auto"/>
          <w:sz w:val="24"/>
          <w:highlight w:val="none"/>
        </w:rPr>
      </w:pPr>
    </w:p>
    <w:p w14:paraId="09F05ECA">
      <w:pPr>
        <w:shd w:val="clear"/>
        <w:spacing w:line="360" w:lineRule="auto"/>
        <w:ind w:firstLine="549" w:firstLineChars="229"/>
        <w:rPr>
          <w:rFonts w:ascii="仿宋" w:hAnsi="仿宋" w:eastAsia="仿宋" w:cs="仿宋"/>
          <w:color w:val="auto"/>
          <w:sz w:val="24"/>
          <w:highlight w:val="none"/>
        </w:rPr>
      </w:pPr>
    </w:p>
    <w:p w14:paraId="7E78C979">
      <w:pPr>
        <w:shd w:val="clear"/>
        <w:spacing w:line="360" w:lineRule="auto"/>
        <w:ind w:firstLine="549" w:firstLineChars="229"/>
        <w:rPr>
          <w:rFonts w:ascii="仿宋" w:hAnsi="仿宋" w:eastAsia="仿宋" w:cs="仿宋"/>
          <w:color w:val="auto"/>
          <w:sz w:val="24"/>
          <w:highlight w:val="none"/>
        </w:rPr>
      </w:pPr>
    </w:p>
    <w:p w14:paraId="085F8F58">
      <w:pPr>
        <w:shd w:val="clear"/>
        <w:spacing w:line="360" w:lineRule="auto"/>
        <w:ind w:firstLine="549" w:firstLineChars="229"/>
        <w:rPr>
          <w:rFonts w:ascii="仿宋" w:hAnsi="仿宋" w:eastAsia="仿宋" w:cs="仿宋"/>
          <w:color w:val="auto"/>
          <w:sz w:val="24"/>
          <w:highlight w:val="none"/>
        </w:rPr>
      </w:pPr>
    </w:p>
    <w:p w14:paraId="3849B0FB">
      <w:pPr>
        <w:shd w:val="clear"/>
        <w:spacing w:line="360" w:lineRule="auto"/>
        <w:ind w:firstLine="549" w:firstLineChars="229"/>
        <w:rPr>
          <w:rFonts w:ascii="仿宋" w:hAnsi="仿宋" w:eastAsia="仿宋" w:cs="仿宋"/>
          <w:color w:val="auto"/>
          <w:sz w:val="24"/>
          <w:highlight w:val="none"/>
        </w:rPr>
      </w:pPr>
    </w:p>
    <w:p w14:paraId="7E0B0C62">
      <w:pPr>
        <w:shd w:val="clear"/>
        <w:spacing w:line="360" w:lineRule="auto"/>
        <w:ind w:firstLine="549" w:firstLineChars="229"/>
        <w:rPr>
          <w:rFonts w:ascii="仿宋" w:hAnsi="仿宋" w:eastAsia="仿宋" w:cs="仿宋"/>
          <w:color w:val="auto"/>
          <w:sz w:val="24"/>
          <w:highlight w:val="none"/>
        </w:rPr>
      </w:pPr>
    </w:p>
    <w:p w14:paraId="5F74D3DD">
      <w:pPr>
        <w:shd w:val="clear"/>
        <w:spacing w:line="360" w:lineRule="auto"/>
        <w:ind w:firstLine="549" w:firstLineChars="229"/>
        <w:rPr>
          <w:rFonts w:ascii="仿宋" w:hAnsi="仿宋" w:eastAsia="仿宋" w:cs="仿宋"/>
          <w:color w:val="auto"/>
          <w:sz w:val="24"/>
          <w:highlight w:val="none"/>
        </w:rPr>
      </w:pPr>
    </w:p>
    <w:p w14:paraId="5AE9E3E9">
      <w:pPr>
        <w:shd w:val="clear"/>
        <w:spacing w:line="360" w:lineRule="auto"/>
        <w:rPr>
          <w:rFonts w:ascii="仿宋" w:hAnsi="仿宋" w:eastAsia="仿宋" w:cs="仿宋"/>
          <w:color w:val="auto"/>
          <w:sz w:val="24"/>
          <w:highlight w:val="none"/>
        </w:rPr>
      </w:pPr>
    </w:p>
    <w:bookmarkEnd w:id="2"/>
    <w:p w14:paraId="76448B70">
      <w:pPr>
        <w:shd w:val="clear"/>
        <w:adjustRightInd/>
        <w:spacing w:line="360" w:lineRule="auto"/>
        <w:jc w:val="center"/>
        <w:outlineLvl w:val="0"/>
        <w:rPr>
          <w:rFonts w:ascii="仿宋" w:hAnsi="仿宋" w:eastAsia="仿宋" w:cs="仿宋"/>
          <w:b/>
          <w:color w:val="auto"/>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bookmarkStart w:id="3" w:name="_Hlt74707423"/>
      <w:bookmarkEnd w:id="3"/>
      <w:bookmarkStart w:id="4" w:name="_Hlt74729822"/>
      <w:bookmarkEnd w:id="4"/>
      <w:bookmarkStart w:id="5" w:name="_Hlt74649545"/>
      <w:bookmarkEnd w:id="5"/>
      <w:bookmarkStart w:id="6" w:name="_Hlt74728647"/>
      <w:bookmarkEnd w:id="6"/>
      <w:bookmarkStart w:id="7" w:name="_Toc91899870"/>
      <w:bookmarkStart w:id="8" w:name="第二部分"/>
      <w:bookmarkStart w:id="9" w:name="_Toc91899871"/>
    </w:p>
    <w:p w14:paraId="6DF94590">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第一部分招标公告</w:t>
      </w:r>
    </w:p>
    <w:p w14:paraId="01B9CABD">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BF9E595">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u w:val="single"/>
          <w:lang w:eastAsia="zh-CN"/>
        </w:rPr>
        <w:t>绍兴市公共交通集团有限公司物联网卡和网络线路、网络安全技术服务和设备采购等项目</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ascii="仿宋" w:hAnsi="仿宋" w:eastAsia="仿宋" w:cs="仿宋"/>
          <w:snapToGrid/>
          <w:color w:val="auto"/>
          <w:kern w:val="2"/>
          <w:sz w:val="24"/>
          <w:szCs w:val="24"/>
          <w:highlight w:val="none"/>
        </w:rPr>
        <w:t>https://www.lecaiyun.com/）获取（下载）招标文件，并于202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12</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r>
        <w:rPr>
          <w:rStyle w:val="76"/>
          <w:rFonts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87A1A4B">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14:paraId="41D0A840">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项目编号：CGSHZJ-2024-N001094</w:t>
      </w:r>
    </w:p>
    <w:p w14:paraId="5F882FD1">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绍兴市公共交通集团有限公司物联网卡和网络线路、网络安全技术服务和设备采购等项目</w:t>
      </w:r>
    </w:p>
    <w:p w14:paraId="2BBF3DA9">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8125800</w:t>
      </w:r>
    </w:p>
    <w:p w14:paraId="1ECD440F">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6280800</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1845000</w:t>
      </w:r>
    </w:p>
    <w:p w14:paraId="2C189D03">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FAA7134">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61C41E60">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标项名称: 绍兴市公共交通集团有限公司物联网卡及各单位网络线路采购项目</w:t>
      </w:r>
    </w:p>
    <w:p w14:paraId="4C92A645">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数量:</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年</w:t>
      </w:r>
    </w:p>
    <w:p w14:paraId="336F6279">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预算金额（元）:6280800.00</w:t>
      </w:r>
    </w:p>
    <w:p w14:paraId="72C86767">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标项二:</w:t>
      </w:r>
    </w:p>
    <w:p w14:paraId="7A991153">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标项名称: 绍兴市公共交通集团有限公司网络安全技术服务和设备采购等项目</w:t>
      </w:r>
    </w:p>
    <w:p w14:paraId="0A1F7DEB">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数量:</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年</w:t>
      </w:r>
    </w:p>
    <w:p w14:paraId="03C9E0DC">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预算金额（元）:1845000.00</w:t>
      </w:r>
    </w:p>
    <w:p w14:paraId="5C93D2CD">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主要内容：详见招标文件。</w:t>
      </w:r>
    </w:p>
    <w:p w14:paraId="7F6DD16A">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备注：</w:t>
      </w:r>
      <w:r>
        <w:rPr>
          <w:rFonts w:hint="eastAsia" w:ascii="仿宋" w:hAnsi="仿宋" w:eastAsia="仿宋" w:cs="仿宋"/>
          <w:bCs/>
          <w:color w:val="auto"/>
          <w:sz w:val="24"/>
          <w:highlight w:val="none"/>
          <w:lang w:eastAsia="zh-CN"/>
        </w:rPr>
        <w:t>无</w:t>
      </w:r>
    </w:p>
    <w:p w14:paraId="0F89A1A7">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合同履行期限：按双方合同约定条款执行。</w:t>
      </w:r>
    </w:p>
    <w:p w14:paraId="1E385FB6">
      <w:pPr>
        <w:shd w:val="clea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color w:val="auto"/>
          <w:position w:val="-4"/>
          <w:sz w:val="24"/>
          <w:szCs w:val="24"/>
          <w:highlight w:val="none"/>
        </w:rPr>
        <w:drawing>
          <wp:inline distT="0" distB="0" distL="0" distR="0">
            <wp:extent cx="118110" cy="168275"/>
            <wp:effectExtent l="0" t="0" r="15240" b="254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5"/>
                    <a:stretch>
                      <a:fillRect/>
                    </a:stretch>
                  </pic:blipFill>
                  <pic:spPr>
                    <a:xfrm>
                      <a:off x="0" y="0"/>
                      <a:ext cx="118719" cy="168859"/>
                    </a:xfrm>
                    <a:prstGeom prst="rect">
                      <a:avLst/>
                    </a:prstGeom>
                  </pic:spPr>
                </pic:pic>
              </a:graphicData>
            </a:graphic>
          </wp:inline>
        </w:drawing>
      </w:r>
      <w:r>
        <w:rPr>
          <w:rFonts w:ascii="宋体" w:hAnsi="宋体" w:eastAsia="宋体" w:cs="宋体"/>
          <w:color w:val="auto"/>
          <w:spacing w:val="-100"/>
          <w:sz w:val="24"/>
          <w:szCs w:val="24"/>
          <w:highlight w:val="none"/>
        </w:rPr>
        <w:t xml:space="preserve"> </w:t>
      </w:r>
      <w:r>
        <w:rPr>
          <w:rFonts w:ascii="仿宋" w:hAnsi="仿宋" w:eastAsia="仿宋" w:cs="仿宋"/>
          <w:b/>
          <w:color w:val="auto"/>
          <w:sz w:val="24"/>
          <w:highlight w:val="none"/>
        </w:rPr>
        <w:t>是，☐否。</w:t>
      </w:r>
    </w:p>
    <w:p w14:paraId="6A7783E9">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85ACC23">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1. </w:t>
      </w:r>
      <w:r>
        <w:rPr>
          <w:rFonts w:hint="eastAsia" w:ascii="仿宋" w:hAnsi="仿宋" w:eastAsia="仿宋" w:cs="仿宋"/>
          <w:snapToGrid w:val="0"/>
          <w:color w:val="auto"/>
          <w:kern w:val="28"/>
          <w:sz w:val="24"/>
          <w:szCs w:val="20"/>
          <w:highlight w:val="none"/>
        </w:rPr>
        <w:t>满足《中华人民共和国政府采购法》第二十二条规定；未被“信用中国”（</w:t>
      </w:r>
      <w:r>
        <w:rPr>
          <w:rFonts w:ascii="仿宋" w:hAnsi="仿宋" w:eastAsia="仿宋" w:cs="仿宋"/>
          <w:snapToGrid w:val="0"/>
          <w:color w:val="auto"/>
          <w:kern w:val="28"/>
          <w:sz w:val="24"/>
          <w:szCs w:val="20"/>
          <w:highlight w:val="none"/>
        </w:rPr>
        <w:t>www.creditchina.gov.cn)、中国政府采购网（www.ccgp.gov.cn）列入失信被执行人、重大税收违法案件当事人名单、政府采购严重违法失信行为记录名单；</w:t>
      </w:r>
    </w:p>
    <w:p w14:paraId="596B86FC">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2.以联合体形式投标的，提供联合协议(本项目不接受联合体投标或者投标人不以联合体形式投标的，则不需要提供) </w:t>
      </w:r>
      <w:r>
        <w:rPr>
          <w:rFonts w:hint="eastAsia" w:ascii="仿宋" w:hAnsi="仿宋" w:eastAsia="仿宋" w:cs="仿宋"/>
          <w:snapToGrid w:val="0"/>
          <w:color w:val="auto"/>
          <w:kern w:val="28"/>
          <w:sz w:val="24"/>
          <w:szCs w:val="20"/>
          <w:highlight w:val="none"/>
        </w:rPr>
        <w:t>；</w:t>
      </w:r>
    </w:p>
    <w:p w14:paraId="5D60D456">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3.落实采购政策需满足的资格要求：</w:t>
      </w:r>
    </w:p>
    <w:p w14:paraId="076FDBF9">
      <w:pPr>
        <w:shd w:val="clear"/>
        <w:spacing w:line="440" w:lineRule="exact"/>
        <w:ind w:firstLine="520" w:firstLineChars="1300"/>
        <w:rPr>
          <w:rFonts w:ascii="仿宋" w:hAnsi="仿宋" w:eastAsia="仿宋" w:cs="仿宋"/>
          <w:color w:val="auto"/>
          <w:sz w:val="24"/>
          <w:highlight w:val="none"/>
        </w:rPr>
      </w:pPr>
      <w:r>
        <w:rPr>
          <w:rFonts w:ascii="宋体" w:hAnsi="宋体" w:eastAsia="宋体" w:cs="宋体"/>
          <w:color w:val="auto"/>
          <w:spacing w:val="-100"/>
          <w:sz w:val="24"/>
          <w:szCs w:val="24"/>
          <w:highlight w:val="none"/>
        </w:rPr>
        <w:t xml:space="preserve"> </w:t>
      </w:r>
      <w:r>
        <w:rPr>
          <w:color w:val="auto"/>
          <w:position w:val="-4"/>
          <w:sz w:val="24"/>
          <w:szCs w:val="24"/>
          <w:highlight w:val="none"/>
        </w:rPr>
        <w:drawing>
          <wp:inline distT="0" distB="0" distL="0" distR="0">
            <wp:extent cx="118110" cy="168275"/>
            <wp:effectExtent l="0" t="0" r="15240" b="2540"/>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25"/>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sz w:val="24"/>
          <w:highlight w:val="none"/>
        </w:rPr>
        <w:t>无；</w:t>
      </w:r>
    </w:p>
    <w:p w14:paraId="2651D735">
      <w:pPr>
        <w:shd w:val="clear"/>
        <w:spacing w:line="440" w:lineRule="exact"/>
        <w:ind w:firstLine="480" w:firstLineChars="200"/>
        <w:rPr>
          <w:rFonts w:ascii="仿宋" w:hAnsi="仿宋" w:eastAsia="仿宋" w:cs="仿宋"/>
          <w:color w:val="auto"/>
          <w:sz w:val="24"/>
          <w:highlight w:val="none"/>
        </w:rPr>
      </w:pPr>
      <w:r>
        <w:rPr>
          <w:rFonts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DD86A68">
      <w:pPr>
        <w:shd w:val="clear"/>
        <w:spacing w:line="440" w:lineRule="exact"/>
        <w:ind w:firstLine="897" w:firstLineChars="374"/>
        <w:rPr>
          <w:rFonts w:ascii="仿宋" w:hAnsi="仿宋" w:eastAsia="仿宋" w:cs="仿宋"/>
          <w:color w:val="auto"/>
          <w:sz w:val="24"/>
          <w:highlight w:val="none"/>
          <w:u w:val="single"/>
        </w:rPr>
      </w:pPr>
      <w:r>
        <w:rPr>
          <w:rFonts w:ascii="MS Gothic" w:hAnsi="MS Gothic"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50B4083B">
      <w:pPr>
        <w:shd w:val="clear"/>
        <w:spacing w:line="440" w:lineRule="exact"/>
        <w:ind w:firstLine="897" w:firstLineChars="374"/>
        <w:rPr>
          <w:rFonts w:ascii="仿宋" w:hAnsi="仿宋" w:eastAsia="仿宋" w:cs="仿宋"/>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7E11F88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ascii="仿宋" w:hAnsi="仿宋" w:eastAsia="仿宋" w:cs="仿宋"/>
          <w:color w:val="auto"/>
          <w:sz w:val="24"/>
          <w:highlight w:val="none"/>
        </w:rPr>
        <w:t>%，其中小微企业合同金额应当达到%;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bookmarkEnd w:id="10"/>
    <w:p w14:paraId="252F27C8">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，其中小微企业合同金额应当达到</w:t>
      </w:r>
      <w:r>
        <w:rPr>
          <w:rFonts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AC8499D">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p>
    <w:p w14:paraId="44D841E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23773DB2">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三、获取招标文件</w:t>
      </w:r>
    </w:p>
    <w:p w14:paraId="1CBB5F6D">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w:t>
      </w:r>
      <w:r>
        <w:rPr>
          <w:rFonts w:ascii="仿宋" w:hAnsi="仿宋" w:eastAsia="仿宋" w:cs="仿宋"/>
          <w:color w:val="auto"/>
          <w:sz w:val="24"/>
          <w:highlight w:val="none"/>
        </w:rPr>
        <w:t xml:space="preserve">00:00至12:00 </w:t>
      </w:r>
      <w:r>
        <w:rPr>
          <w:rFonts w:hint="eastAsia" w:ascii="仿宋" w:hAnsi="仿宋" w:eastAsia="仿宋" w:cs="仿宋"/>
          <w:color w:val="auto"/>
          <w:sz w:val="24"/>
          <w:highlight w:val="none"/>
        </w:rPr>
        <w:t>，下午</w:t>
      </w:r>
      <w:r>
        <w:rPr>
          <w:rFonts w:ascii="仿宋" w:hAnsi="仿宋" w:eastAsia="仿宋" w:cs="仿宋"/>
          <w:color w:val="auto"/>
          <w:sz w:val="24"/>
          <w:highlight w:val="none"/>
        </w:rPr>
        <w:t>12:00至23:59（北京时间，线上获取法定节假日均可，线下获取文件法定节假日除外）</w:t>
      </w:r>
    </w:p>
    <w:p w14:paraId="26703DE1">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14:paraId="6634028E">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供应商登录乐采云平台</w:t>
      </w:r>
      <w:r>
        <w:rPr>
          <w:rFonts w:ascii="仿宋" w:hAnsi="仿宋" w:eastAsia="仿宋" w:cs="仿宋"/>
          <w:color w:val="auto"/>
          <w:sz w:val="24"/>
          <w:highlight w:val="none"/>
        </w:rPr>
        <w:t xml:space="preserve">https://www.lecaiyun.com/在线申请获取采购文件（进入“项目采购”应用，在获取采购文件菜单中选择项目，申请获取采购文件）。 </w:t>
      </w:r>
    </w:p>
    <w:p w14:paraId="458A9C8B">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ascii="仿宋" w:hAnsi="仿宋" w:eastAsia="仿宋" w:cs="仿宋"/>
          <w:color w:val="auto"/>
          <w:sz w:val="24"/>
          <w:highlight w:val="none"/>
        </w:rPr>
        <w:t xml:space="preserve">0 </w:t>
      </w:r>
      <w:r>
        <w:rPr>
          <w:rFonts w:ascii="仿宋" w:hAnsi="仿宋" w:eastAsia="仿宋" w:cs="仿宋"/>
          <w:color w:val="auto"/>
          <w:sz w:val="24"/>
          <w:highlight w:val="none"/>
        </w:rPr>
        <w:tab/>
      </w:r>
    </w:p>
    <w:p w14:paraId="1D4A8978">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9E18DD2">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12</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6BDC808F">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14:paraId="7C8E4129">
      <w:pPr>
        <w:shd w:val="clea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12</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p>
    <w:p w14:paraId="64EA6DA3">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https://www.lecaiyun.com/）</w:t>
      </w:r>
    </w:p>
    <w:p w14:paraId="0559FA34">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五、公告期限</w:t>
      </w:r>
    </w:p>
    <w:p w14:paraId="485F1C2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w:t>
      </w:r>
      <w:r>
        <w:rPr>
          <w:rFonts w:ascii="仿宋" w:hAnsi="仿宋" w:eastAsia="仿宋" w:cs="仿宋"/>
          <w:color w:val="auto"/>
          <w:sz w:val="24"/>
          <w:highlight w:val="none"/>
        </w:rPr>
        <w:t>5个工作日。</w:t>
      </w:r>
    </w:p>
    <w:p w14:paraId="43D5B142">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9F8677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w:t>
      </w:r>
      <w:r>
        <w:rPr>
          <w:rFonts w:hint="eastAsia" w:ascii="仿宋" w:hAnsi="仿宋" w:eastAsia="仿宋" w:cs="仿宋"/>
          <w:color w:val="auto"/>
          <w:sz w:val="24"/>
          <w:highlight w:val="none"/>
        </w:rPr>
        <w:t>步加大政府采购支持中小企业力度助力扎实稳住经济的通知》（浙财采监（</w:t>
      </w:r>
      <w:r>
        <w:rPr>
          <w:rFonts w:ascii="仿宋" w:hAnsi="仿宋" w:eastAsia="仿宋" w:cs="仿宋"/>
          <w:color w:val="auto"/>
          <w:sz w:val="24"/>
          <w:highlight w:val="none"/>
        </w:rPr>
        <w:t>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rPr>
        <w:t>。</w:t>
      </w:r>
    </w:p>
    <w:p w14:paraId="1FB896F2">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w:t>
      </w:r>
      <w:r>
        <w:rPr>
          <w:rFonts w:hint="eastAsia" w:ascii="仿宋" w:hAnsi="仿宋" w:eastAsia="仿宋" w:cs="仿宋"/>
          <w:color w:val="auto"/>
          <w:sz w:val="24"/>
          <w:highlight w:val="none"/>
        </w:rPr>
        <w:t>路径为：乐采云</w:t>
      </w:r>
      <w:r>
        <w:rPr>
          <w:rFonts w:ascii="仿宋" w:hAnsi="仿宋" w:eastAsia="仿宋" w:cs="仿宋"/>
          <w:color w:val="auto"/>
          <w:sz w:val="24"/>
          <w:highlight w:val="none"/>
        </w:rPr>
        <w:t>-项目采购-询问质疑投诉-询问列表:</w:t>
      </w:r>
      <w:r>
        <w:rPr>
          <w:rFonts w:hint="eastAsia" w:ascii="仿宋" w:hAnsi="仿宋" w:eastAsia="仿宋" w:cs="仿宋"/>
          <w:color w:val="auto"/>
          <w:sz w:val="24"/>
          <w:highlight w:val="none"/>
        </w:rPr>
        <w:t>鼓励供应商在线提起质疑，路径为：乐采云</w:t>
      </w:r>
      <w:r>
        <w:rPr>
          <w:rFonts w:ascii="仿宋" w:hAnsi="仿宋" w:eastAsia="仿宋" w:cs="仿宋"/>
          <w:color w:val="auto"/>
          <w:sz w:val="24"/>
          <w:highlight w:val="none"/>
        </w:rPr>
        <w:t>-项目采购-询问质疑投诉-质疑列表</w:t>
      </w:r>
      <w:r>
        <w:rPr>
          <w:rFonts w:hint="eastAsia" w:ascii="仿宋" w:hAnsi="仿宋" w:eastAsia="仿宋" w:cs="仿宋"/>
          <w:color w:val="auto"/>
          <w:sz w:val="24"/>
          <w:highlight w:val="none"/>
        </w:rPr>
        <w:t>。质疑供应商对在线质疑答复不满意的，可在线提起投诉，路径为：浙江政府服务网</w:t>
      </w:r>
      <w:r>
        <w:rPr>
          <w:rFonts w:ascii="仿宋" w:hAnsi="仿宋" w:eastAsia="仿宋" w:cs="仿宋"/>
          <w:color w:val="auto"/>
          <w:sz w:val="24"/>
          <w:highlight w:val="none"/>
        </w:rPr>
        <w:t>-政府采购投诉处理-在线办理。</w:t>
      </w:r>
    </w:p>
    <w:p w14:paraId="629D7EDA">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09BC7C87">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4.其他事项：</w:t>
      </w:r>
      <w:r>
        <w:rPr>
          <w:rFonts w:hint="eastAsia" w:ascii="仿宋" w:hAnsi="仿宋" w:eastAsia="仿宋" w:cs="仿宋"/>
          <w:color w:val="auto"/>
          <w:sz w:val="24"/>
          <w:highlight w:val="none"/>
        </w:rPr>
        <w:t>（</w:t>
      </w:r>
      <w:r>
        <w:rPr>
          <w:rFonts w:ascii="仿宋" w:hAnsi="仿宋" w:eastAsia="仿宋" w:cs="仿宋"/>
          <w:color w:val="auto"/>
          <w:sz w:val="24"/>
          <w:highlight w:val="none"/>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auto"/>
          <w:sz w:val="24"/>
          <w:highlight w:val="none"/>
        </w:rPr>
        <w:t>）”进行招投标活动，不接受纸质投标文件；②投标准备：注册账号</w:t>
      </w:r>
      <w:r>
        <w:rPr>
          <w:rFonts w:ascii="仿宋" w:hAnsi="仿宋" w:eastAsia="仿宋" w:cs="仿宋"/>
          <w:color w:val="auto"/>
          <w:sz w:val="24"/>
          <w:highlight w:val="none"/>
        </w:rPr>
        <w:t>--</w:t>
      </w:r>
      <w:r>
        <w:rPr>
          <w:rFonts w:hint="eastAsia" w:ascii="仿宋" w:hAnsi="仿宋" w:eastAsia="仿宋" w:cs="仿宋"/>
          <w:color w:val="auto"/>
          <w:sz w:val="24"/>
          <w:highlight w:val="none"/>
        </w:rPr>
        <w:t>点击“商家入驻”，进行采购供应商资料填写；申领</w:t>
      </w:r>
      <w:r>
        <w:rPr>
          <w:rFonts w:ascii="仿宋" w:hAnsi="仿宋" w:eastAsia="仿宋" w:cs="仿宋"/>
          <w:color w:val="auto"/>
          <w:sz w:val="24"/>
          <w:highlight w:val="none"/>
        </w:rPr>
        <w:t>CA数字证书---申领流程详见“浙江政府采购网-下载专区-电子交易客户端-CA驱动和申领流程”；安装“</w:t>
      </w:r>
      <w:r>
        <w:rPr>
          <w:rFonts w:hint="eastAsia" w:ascii="仿宋" w:hAnsi="仿宋" w:eastAsia="仿宋" w:cs="仿宋"/>
          <w:color w:val="auto"/>
          <w:sz w:val="24"/>
          <w:highlight w:val="none"/>
        </w:rPr>
        <w:t>乐采云电子交易客户端”</w:t>
      </w:r>
      <w:r>
        <w:rPr>
          <w:rFonts w:ascii="仿宋" w:hAnsi="仿宋" w:eastAsia="仿宋" w:cs="仿宋"/>
          <w:color w:val="auto"/>
          <w:sz w:val="24"/>
          <w:highlight w:val="none"/>
        </w:rPr>
        <w:t>----</w:t>
      </w:r>
      <w:r>
        <w:rPr>
          <w:rFonts w:hint="eastAsia" w:ascii="仿宋" w:hAnsi="仿宋" w:eastAsia="仿宋" w:cs="仿宋"/>
          <w:color w:val="auto"/>
          <w:sz w:val="24"/>
          <w:highlight w:val="none"/>
        </w:rPr>
        <w:t>前往“浙江政府采购网</w:t>
      </w:r>
      <w:r>
        <w:rPr>
          <w:rFonts w:ascii="仿宋" w:hAnsi="仿宋" w:eastAsia="仿宋" w:cs="仿宋"/>
          <w:color w:val="auto"/>
          <w:sz w:val="24"/>
          <w:highlight w:val="none"/>
        </w:rPr>
        <w:t>-下载专区-电子交易客户端”进行下载并安装；③招标文件的获取：使用账号登录或者使用CA登录</w:t>
      </w:r>
      <w:r>
        <w:rPr>
          <w:rFonts w:hint="eastAsia" w:ascii="仿宋" w:hAnsi="仿宋" w:eastAsia="仿宋" w:cs="仿宋"/>
          <w:color w:val="auto"/>
          <w:sz w:val="24"/>
          <w:highlight w:val="none"/>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_GB2312"/>
          <w:color w:val="auto"/>
          <w:sz w:val="24"/>
          <w:highlight w:val="none"/>
        </w:rPr>
        <w:t>投标人按照平台提示和招标文件的规定在半小时内完成在线解密。通过“乐采云平台”上传递交的投标文件无法按时解密</w:t>
      </w:r>
      <w:r>
        <w:rPr>
          <w:rFonts w:hint="eastAsia" w:ascii="仿宋" w:hAnsi="仿宋" w:eastAsia="仿宋" w:cs="仿宋_GB2312"/>
          <w:b/>
          <w:color w:val="auto"/>
          <w:sz w:val="24"/>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auto"/>
          <w:sz w:val="24"/>
          <w:highlight w:val="none"/>
        </w:rPr>
        <w:t>，视为投标文件撤回；</w:t>
      </w:r>
      <w:r>
        <w:rPr>
          <w:rFonts w:hint="eastAsia" w:ascii="仿宋" w:hAnsi="仿宋" w:eastAsia="仿宋" w:cs="仿宋"/>
          <w:color w:val="auto"/>
          <w:sz w:val="24"/>
          <w:highlight w:val="none"/>
        </w:rPr>
        <w:t>⑩具体操作指南：详见乐采云平台“服务中心</w:t>
      </w:r>
      <w:r>
        <w:rPr>
          <w:rFonts w:ascii="仿宋" w:hAnsi="仿宋" w:eastAsia="仿宋" w:cs="仿宋"/>
          <w:color w:val="auto"/>
          <w:sz w:val="24"/>
          <w:highlight w:val="none"/>
        </w:rPr>
        <w:t>-帮助文档-项目采购-操作流程-电子招投标-政府采购项目电子交易管理操作指南-供应商”。（3）招标文件公告期限与招标公告的公告期限一致。</w:t>
      </w:r>
    </w:p>
    <w:p w14:paraId="014AF265">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6EF9609B">
      <w:pPr>
        <w:shd w:val="clear"/>
        <w:spacing w:line="440" w:lineRule="exact"/>
        <w:ind w:firstLine="480" w:firstLineChars="200"/>
        <w:rPr>
          <w:rFonts w:hint="eastAsia" w:ascii="仿宋" w:hAnsi="仿宋" w:eastAsia="仿宋" w:cs="仿宋"/>
          <w:color w:val="auto"/>
          <w:sz w:val="24"/>
          <w:highlight w:val="none"/>
        </w:rPr>
      </w:pPr>
      <w:bookmarkStart w:id="11" w:name="_Toc28359096"/>
      <w:bookmarkStart w:id="12" w:name="_Toc28359019"/>
      <w:bookmarkStart w:id="13" w:name="_Toc35393806"/>
      <w:bookmarkStart w:id="14" w:name="_Toc35393637"/>
      <w:r>
        <w:rPr>
          <w:rFonts w:hint="eastAsia" w:ascii="仿宋" w:hAnsi="仿宋" w:eastAsia="仿宋" w:cs="仿宋"/>
          <w:color w:val="auto"/>
          <w:sz w:val="24"/>
          <w:highlight w:val="none"/>
        </w:rPr>
        <w:t>1.采购人信息</w:t>
      </w:r>
      <w:bookmarkEnd w:id="11"/>
      <w:bookmarkEnd w:id="12"/>
      <w:bookmarkEnd w:id="13"/>
      <w:bookmarkEnd w:id="14"/>
      <w:r>
        <w:rPr>
          <w:rFonts w:hint="eastAsia" w:ascii="仿宋" w:hAnsi="仿宋" w:eastAsia="仿宋" w:cs="仿宋"/>
          <w:color w:val="auto"/>
          <w:sz w:val="24"/>
          <w:highlight w:val="none"/>
        </w:rPr>
        <w:t>：</w:t>
      </w:r>
    </w:p>
    <w:p w14:paraId="22CDACB2">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名称：绍兴市公共交通集团有限公司</w:t>
      </w:r>
    </w:p>
    <w:p w14:paraId="512D3CAE">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地址：浙江省绍兴市润沁路 19 号</w:t>
      </w:r>
    </w:p>
    <w:p w14:paraId="7E240F53">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14DC4F2D">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朱政茵</w:t>
      </w:r>
    </w:p>
    <w:p w14:paraId="667C338C">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88023892</w:t>
      </w:r>
    </w:p>
    <w:p w14:paraId="50A47B55">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质疑联系人：许吉明</w:t>
      </w:r>
    </w:p>
    <w:p w14:paraId="0DE62C5B">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15" w:name="_Toc28359097"/>
      <w:bookmarkStart w:id="16" w:name="_Toc35393807"/>
      <w:bookmarkStart w:id="17" w:name="_Toc35393638"/>
      <w:bookmarkStart w:id="18" w:name="_Toc28359020"/>
      <w:r>
        <w:rPr>
          <w:rFonts w:hint="eastAsia" w:ascii="仿宋" w:hAnsi="仿宋" w:eastAsia="仿宋" w:cs="仿宋"/>
          <w:color w:val="auto"/>
          <w:sz w:val="24"/>
          <w:highlight w:val="none"/>
        </w:rPr>
        <w:t>0575-88318786</w:t>
      </w:r>
    </w:p>
    <w:p w14:paraId="6BCDEA6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bookmarkEnd w:id="15"/>
      <w:bookmarkEnd w:id="16"/>
      <w:bookmarkEnd w:id="17"/>
      <w:bookmarkEnd w:id="18"/>
      <w:r>
        <w:rPr>
          <w:rFonts w:hint="eastAsia" w:ascii="仿宋" w:hAnsi="仿宋" w:eastAsia="仿宋" w:cs="仿宋"/>
          <w:color w:val="auto"/>
          <w:sz w:val="24"/>
          <w:highlight w:val="none"/>
        </w:rPr>
        <w:t>：</w:t>
      </w:r>
    </w:p>
    <w:p w14:paraId="384CCC1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名称：浙江天源工程管理咨询有限公司</w:t>
      </w:r>
    </w:p>
    <w:p w14:paraId="6CB5807A">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地址：绍兴市越城区胜利东路 405 号国茂大厦 7 楼 712 室</w:t>
      </w:r>
    </w:p>
    <w:p w14:paraId="2792291E">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0915135">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项目联系人（询问）：龚征亚</w:t>
      </w:r>
    </w:p>
    <w:p w14:paraId="479C1E52">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项目联系方式（询问）：0575-85111480</w:t>
      </w:r>
    </w:p>
    <w:p w14:paraId="24790047">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质疑联系人：俞晓萍</w:t>
      </w:r>
    </w:p>
    <w:p w14:paraId="322FB66C">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质疑联系方式：0575-85127153</w:t>
      </w:r>
    </w:p>
    <w:p w14:paraId="3AD35FEF">
      <w:pPr>
        <w:shd w:val="clear"/>
        <w:spacing w:line="440" w:lineRule="exact"/>
        <w:ind w:firstLine="480" w:firstLineChars="200"/>
        <w:rPr>
          <w:rFonts w:hint="eastAsia" w:ascii="仿宋" w:hAnsi="仿宋" w:eastAsia="仿宋" w:cs="仿宋"/>
          <w:color w:val="auto"/>
          <w:sz w:val="24"/>
          <w:highlight w:val="none"/>
        </w:rPr>
      </w:pPr>
      <w:bookmarkStart w:id="19" w:name="_Toc35393808"/>
      <w:bookmarkStart w:id="20" w:name="_Toc35393639"/>
      <w:bookmarkStart w:id="21" w:name="_Toc28359021"/>
      <w:bookmarkStart w:id="22" w:name="_Toc28359098"/>
      <w:r>
        <w:rPr>
          <w:rFonts w:hint="eastAsia" w:ascii="仿宋" w:hAnsi="仿宋" w:eastAsia="仿宋" w:cs="仿宋"/>
          <w:color w:val="auto"/>
          <w:sz w:val="24"/>
          <w:highlight w:val="none"/>
        </w:rPr>
        <w:t xml:space="preserve">3.采购监督管理部门信息： </w:t>
      </w:r>
    </w:p>
    <w:bookmarkEnd w:id="19"/>
    <w:bookmarkEnd w:id="20"/>
    <w:bookmarkEnd w:id="21"/>
    <w:bookmarkEnd w:id="22"/>
    <w:p w14:paraId="04A8A6C2">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名称：绍兴市交通投资集团有限公司</w:t>
      </w:r>
    </w:p>
    <w:p w14:paraId="612F893C">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地址：绍兴市凤林西路 135 号交投大厦</w:t>
      </w:r>
    </w:p>
    <w:p w14:paraId="22F143A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07AC9E15">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联系人：郑林飞</w:t>
      </w:r>
    </w:p>
    <w:p w14:paraId="7B17A41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监督投诉电话：0575-88376900</w:t>
      </w:r>
    </w:p>
    <w:p w14:paraId="65B71B9C">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14:paraId="2F2DD556">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C9F4A3B">
      <w:pPr>
        <w:widowControl/>
        <w:shd w:val="clear"/>
        <w:adjustRightInd/>
        <w:jc w:val="left"/>
        <w:rPr>
          <w:rFonts w:ascii="仿宋" w:hAnsi="仿宋" w:eastAsia="仿宋" w:cs="仿宋"/>
          <w:snapToGrid w:val="0"/>
          <w:color w:val="auto"/>
          <w:highlight w:val="none"/>
        </w:rPr>
      </w:pPr>
      <w:r>
        <w:rPr>
          <w:rFonts w:ascii="仿宋" w:hAnsi="仿宋" w:eastAsia="仿宋" w:cs="仿宋"/>
          <w:b/>
          <w:color w:val="auto"/>
          <w:sz w:val="36"/>
          <w:szCs w:val="20"/>
          <w:highlight w:val="none"/>
        </w:rPr>
        <w:br w:type="page"/>
      </w:r>
    </w:p>
    <w:bookmarkEnd w:id="7"/>
    <w:bookmarkEnd w:id="8"/>
    <w:p w14:paraId="427127BA">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第二部分投标须知</w:t>
      </w:r>
    </w:p>
    <w:p w14:paraId="48D3D0DD">
      <w:pPr>
        <w:shd w:val="clea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F9E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D407EF1">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8BCBEFE">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B81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4F0B1E4">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8370" w:type="dxa"/>
            <w:gridSpan w:val="2"/>
            <w:vAlign w:val="center"/>
          </w:tcPr>
          <w:p w14:paraId="328DD68B">
            <w:pPr>
              <w:shd w:val="clear"/>
              <w:autoSpaceDE w:val="0"/>
              <w:autoSpaceDN w:val="0"/>
              <w:snapToGrid w:val="0"/>
              <w:spacing w:line="440" w:lineRule="exact"/>
              <w:textAlignment w:val="center"/>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F6BDC1D">
            <w:pPr>
              <w:shd w:val="clear"/>
              <w:autoSpaceDE w:val="0"/>
              <w:autoSpaceDN w:val="0"/>
              <w:spacing w:line="440" w:lineRule="exact"/>
              <w:ind w:firstLine="480" w:firstLineChars="200"/>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621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01FC35">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8370" w:type="dxa"/>
            <w:gridSpan w:val="2"/>
            <w:vAlign w:val="center"/>
          </w:tcPr>
          <w:p w14:paraId="1ED2B470">
            <w:pPr>
              <w:shd w:val="clear"/>
              <w:autoSpaceDE w:val="0"/>
              <w:autoSpaceDN w:val="0"/>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00A680">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1.资格后审。</w:t>
            </w:r>
          </w:p>
          <w:p w14:paraId="0B02FE2C">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C0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B8948DD">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3</w:t>
            </w:r>
          </w:p>
        </w:tc>
        <w:tc>
          <w:tcPr>
            <w:tcW w:w="8370" w:type="dxa"/>
            <w:gridSpan w:val="2"/>
            <w:vAlign w:val="center"/>
          </w:tcPr>
          <w:p w14:paraId="33E4A482">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w:t>
            </w:r>
            <w:r>
              <w:rPr>
                <w:rFonts w:ascii="仿宋" w:hAnsi="仿宋" w:eastAsia="仿宋" w:cs="仿宋"/>
                <w:color w:val="auto"/>
                <w:sz w:val="24"/>
                <w:highlight w:val="none"/>
              </w:rPr>
              <w:t>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7EE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7D170A2">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4</w:t>
            </w:r>
          </w:p>
        </w:tc>
        <w:tc>
          <w:tcPr>
            <w:tcW w:w="8370" w:type="dxa"/>
            <w:gridSpan w:val="2"/>
            <w:vAlign w:val="center"/>
          </w:tcPr>
          <w:p w14:paraId="4F852707">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248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C54F08">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8370" w:type="dxa"/>
            <w:gridSpan w:val="2"/>
            <w:vAlign w:val="center"/>
          </w:tcPr>
          <w:p w14:paraId="5141BB9C">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3C76C4AF">
            <w:pPr>
              <w:shd w:val="clear"/>
              <w:autoSpaceDE w:val="0"/>
              <w:autoSpaceDN w:val="0"/>
              <w:spacing w:line="440" w:lineRule="exact"/>
              <w:ind w:firstLine="840" w:firstLineChars="400"/>
              <w:textAlignment w:val="center"/>
              <w:rPr>
                <w:rFonts w:ascii="仿宋" w:hAnsi="仿宋" w:eastAsia="仿宋" w:cs="仿宋"/>
                <w:b/>
                <w:color w:val="auto"/>
                <w:sz w:val="24"/>
                <w:highlight w:val="none"/>
              </w:rPr>
            </w:pPr>
            <w:r>
              <w:rPr>
                <w:color w:val="auto"/>
                <w:position w:val="-4"/>
                <w:highlight w:val="none"/>
              </w:rPr>
              <w:drawing>
                <wp:inline distT="0" distB="0" distL="0" distR="0">
                  <wp:extent cx="118110" cy="168275"/>
                  <wp:effectExtent l="0" t="0" r="15240" b="254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9E9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95C1F2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6</w:t>
            </w:r>
          </w:p>
        </w:tc>
        <w:tc>
          <w:tcPr>
            <w:tcW w:w="8370" w:type="dxa"/>
            <w:gridSpan w:val="2"/>
            <w:vAlign w:val="center"/>
          </w:tcPr>
          <w:p w14:paraId="1A694053">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14:paraId="6B2D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FDE2FA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7</w:t>
            </w:r>
          </w:p>
        </w:tc>
        <w:tc>
          <w:tcPr>
            <w:tcW w:w="8370" w:type="dxa"/>
            <w:gridSpan w:val="2"/>
            <w:vAlign w:val="center"/>
          </w:tcPr>
          <w:p w14:paraId="570536F0">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56AA5F2">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4" name="IM 12"/>
                  <wp:cNvGraphicFramePr/>
                  <a:graphic xmlns:a="http://schemas.openxmlformats.org/drawingml/2006/main">
                    <a:graphicData uri="http://schemas.openxmlformats.org/drawingml/2006/picture">
                      <pic:pic xmlns:pic="http://schemas.openxmlformats.org/drawingml/2006/picture">
                        <pic:nvPicPr>
                          <pic:cNvPr id="4"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B201A0E">
            <w:pPr>
              <w:shd w:val="clear"/>
              <w:autoSpaceDE w:val="0"/>
              <w:autoSpaceDN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w:t>
            </w:r>
            <w:r>
              <w:rPr>
                <w:rFonts w:ascii="仿宋" w:hAnsi="仿宋" w:eastAsia="仿宋" w:cs="仿宋"/>
                <w:color w:val="auto"/>
                <w:sz w:val="24"/>
                <w:highlight w:val="none"/>
              </w:rPr>
              <w:t>,地点</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，联系人</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，联系方式</w:t>
            </w:r>
            <w:r>
              <w:rPr>
                <w:rFonts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B3D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214169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8</w:t>
            </w:r>
          </w:p>
        </w:tc>
        <w:tc>
          <w:tcPr>
            <w:tcW w:w="8370" w:type="dxa"/>
            <w:gridSpan w:val="2"/>
            <w:vAlign w:val="center"/>
          </w:tcPr>
          <w:p w14:paraId="741E54EB">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4F2ED62">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5" name="IM 12"/>
                  <wp:cNvGraphicFramePr/>
                  <a:graphic xmlns:a="http://schemas.openxmlformats.org/drawingml/2006/main">
                    <a:graphicData uri="http://schemas.openxmlformats.org/drawingml/2006/picture">
                      <pic:pic xmlns:pic="http://schemas.openxmlformats.org/drawingml/2006/picture">
                        <pic:nvPicPr>
                          <pic:cNvPr id="5"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29CB451">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B要求提供，</w:t>
            </w:r>
          </w:p>
          <w:p w14:paraId="6B379CC4">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6011191C">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1C3522E4">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D2DADBE">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4D9EF85A">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w:t>
            </w:r>
            <w:r>
              <w:rPr>
                <w:rFonts w:hint="eastAsia" w:ascii="仿宋" w:hAnsi="仿宋" w:eastAsia="仿宋" w:cs="仿宋"/>
                <w:color w:val="auto"/>
                <w:sz w:val="24"/>
                <w:highlight w:val="none"/>
              </w:rPr>
              <w:t>提供样品的时间</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A000E78">
            <w:pPr>
              <w:shd w:val="clear"/>
              <w:autoSpaceDE w:val="0"/>
              <w:autoSpaceDN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29081EB">
            <w:pPr>
              <w:shd w:val="clear"/>
              <w:autoSpaceDE w:val="0"/>
              <w:autoSpaceDN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7）制作、运输、安装和保管样品所发生的一切费用由投标人自理。</w:t>
            </w:r>
          </w:p>
        </w:tc>
      </w:tr>
      <w:tr w14:paraId="70DE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71400EC">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9</w:t>
            </w:r>
          </w:p>
        </w:tc>
        <w:tc>
          <w:tcPr>
            <w:tcW w:w="8370" w:type="dxa"/>
            <w:gridSpan w:val="2"/>
            <w:vAlign w:val="center"/>
          </w:tcPr>
          <w:p w14:paraId="52BE6812">
            <w:pPr>
              <w:shd w:val="clear"/>
              <w:autoSpaceDE w:val="0"/>
              <w:autoSpaceDN w:val="0"/>
              <w:spacing w:line="440" w:lineRule="exact"/>
              <w:textAlignment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27F31D90">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6" name="IM 12"/>
                  <wp:cNvGraphicFramePr/>
                  <a:graphic xmlns:a="http://schemas.openxmlformats.org/drawingml/2006/main">
                    <a:graphicData uri="http://schemas.openxmlformats.org/drawingml/2006/picture">
                      <pic:pic xmlns:pic="http://schemas.openxmlformats.org/drawingml/2006/picture">
                        <pic:nvPicPr>
                          <pic:cNvPr id="6"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sz w:val="24"/>
                <w:highlight w:val="none"/>
              </w:rPr>
              <w:t>A无方案讲解演示。</w:t>
            </w:r>
          </w:p>
          <w:p w14:paraId="60C0D104">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B有方案讲解演示：</w:t>
            </w:r>
          </w:p>
          <w:p w14:paraId="36431B1D">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1）在评标时安排每个供应商进行方案讲解演示。</w:t>
            </w:r>
            <w:r>
              <w:rPr>
                <w:rFonts w:hint="eastAsia" w:ascii="仿宋" w:hAnsi="仿宋" w:eastAsia="仿宋" w:cs="仿宋"/>
                <w:color w:val="auto"/>
                <w:sz w:val="24"/>
                <w:highlight w:val="none"/>
                <w:lang w:val="zh-CN"/>
              </w:rPr>
              <w:t>每个供应商时间不超过</w:t>
            </w:r>
            <w:r>
              <w:rPr>
                <w:rFonts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440A24B7">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2）方案讲解演示可选择以下其中一种方式：</w:t>
            </w:r>
          </w:p>
          <w:p w14:paraId="6E3D22F9">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14:paraId="40545D24">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ascii="仿宋" w:hAnsi="仿宋" w:eastAsia="仿宋" w:cs="仿宋"/>
                <w:color w:val="auto"/>
                <w:kern w:val="0"/>
                <w:sz w:val="24"/>
                <w:highlight w:val="none"/>
                <w:u w:val="single"/>
                <w:lang w:val="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2B463F06">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541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3EADD1">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10</w:t>
            </w:r>
          </w:p>
        </w:tc>
        <w:tc>
          <w:tcPr>
            <w:tcW w:w="855" w:type="dxa"/>
            <w:vAlign w:val="center"/>
          </w:tcPr>
          <w:p w14:paraId="0C34BF9F">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9865B5E">
            <w:pPr>
              <w:shd w:val="clear"/>
              <w:autoSpaceDE w:val="0"/>
              <w:autoSpaceDN w:val="0"/>
              <w:spacing w:line="440" w:lineRule="exact"/>
              <w:textAlignment w:val="center"/>
              <w:rPr>
                <w:rFonts w:ascii="仿宋" w:hAnsi="仿宋" w:eastAsia="仿宋" w:cs="仿宋"/>
                <w:color w:val="auto"/>
                <w:kern w:val="0"/>
                <w:sz w:val="24"/>
                <w:highlight w:val="none"/>
              </w:rPr>
            </w:pPr>
            <w:r>
              <w:rPr>
                <w:color w:val="auto"/>
                <w:position w:val="-4"/>
                <w:highlight w:val="none"/>
              </w:rPr>
              <w:drawing>
                <wp:inline distT="0" distB="0" distL="0" distR="0">
                  <wp:extent cx="118110" cy="168275"/>
                  <wp:effectExtent l="0" t="0" r="15240" b="2540"/>
                  <wp:docPr id="7" name="IM 12"/>
                  <wp:cNvGraphicFramePr/>
                  <a:graphic xmlns:a="http://schemas.openxmlformats.org/drawingml/2006/main">
                    <a:graphicData uri="http://schemas.openxmlformats.org/drawingml/2006/picture">
                      <pic:pic xmlns:pic="http://schemas.openxmlformats.org/drawingml/2006/picture">
                        <pic:nvPicPr>
                          <pic:cNvPr id="7" name="IM 12"/>
                          <pic:cNvPicPr/>
                        </pic:nvPicPr>
                        <pic:blipFill>
                          <a:blip r:embed="rId26"/>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kern w:val="0"/>
                <w:sz w:val="24"/>
                <w:highlight w:val="none"/>
              </w:rPr>
              <w:t>本项目不允许采购进口产品。</w:t>
            </w:r>
          </w:p>
          <w:p w14:paraId="2270EBF7">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w:t>
            </w:r>
            <w:r>
              <w:rPr>
                <w:rFonts w:hint="eastAsia" w:ascii="仿宋" w:hAnsi="仿宋" w:eastAsia="仿宋" w:cs="仿宋"/>
                <w:color w:val="auto"/>
                <w:kern w:val="0"/>
                <w:sz w:val="24"/>
                <w:highlight w:val="none"/>
              </w:rPr>
              <w:t>原因，仍有满足需求的国内产品要求参与采购竞争的，采购人及其委托的采购代理机构不对其加以限制，将按照公平竞争原则实施采购。</w:t>
            </w:r>
          </w:p>
        </w:tc>
      </w:tr>
      <w:tr w14:paraId="1638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4E2C9C4">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11</w:t>
            </w:r>
          </w:p>
        </w:tc>
        <w:tc>
          <w:tcPr>
            <w:tcW w:w="855" w:type="dxa"/>
            <w:vAlign w:val="center"/>
          </w:tcPr>
          <w:p w14:paraId="06065F2F">
            <w:pPr>
              <w:shd w:val="clear"/>
              <w:autoSpaceDE w:val="0"/>
              <w:autoSpaceDN w:val="0"/>
              <w:snapToGrid w:val="0"/>
              <w:spacing w:line="440" w:lineRule="exact"/>
              <w:ind w:left="14" w:hanging="14" w:hangingChars="7"/>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2F2741E">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8" name="IM 12"/>
                  <wp:cNvGraphicFramePr/>
                  <a:graphic xmlns:a="http://schemas.openxmlformats.org/drawingml/2006/main">
                    <a:graphicData uri="http://schemas.openxmlformats.org/drawingml/2006/picture">
                      <pic:pic xmlns:pic="http://schemas.openxmlformats.org/drawingml/2006/picture">
                        <pic:nvPicPr>
                          <pic:cNvPr id="8"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u w:val="single"/>
                <w:lang w:val="en-US" w:eastAsia="zh-CN"/>
              </w:rPr>
              <w:t xml:space="preserve"> /   </w:t>
            </w:r>
            <w:r>
              <w:rPr>
                <w:rFonts w:hint="eastAsia" w:ascii="仿宋" w:hAnsi="仿宋" w:eastAsia="仿宋" w:cs="仿宋"/>
                <w:color w:val="auto"/>
                <w:sz w:val="24"/>
                <w:highlight w:val="none"/>
              </w:rPr>
              <w:t>。</w:t>
            </w:r>
          </w:p>
          <w:p w14:paraId="7057ACF4">
            <w:pPr>
              <w:shd w:val="clear"/>
              <w:autoSpaceDE w:val="0"/>
              <w:autoSpaceDN w:val="0"/>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6B6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CE402E">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12</w:t>
            </w:r>
          </w:p>
        </w:tc>
        <w:tc>
          <w:tcPr>
            <w:tcW w:w="855" w:type="dxa"/>
            <w:vAlign w:val="center"/>
          </w:tcPr>
          <w:p w14:paraId="1A2388D9">
            <w:pPr>
              <w:shd w:val="clear"/>
              <w:autoSpaceDE w:val="0"/>
              <w:autoSpaceDN w:val="0"/>
              <w:snapToGrid w:val="0"/>
              <w:spacing w:line="440" w:lineRule="exact"/>
              <w:ind w:hanging="1"/>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119136D9">
            <w:pPr>
              <w:shd w:val="clea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（1）标的：</w:t>
            </w:r>
            <w:r>
              <w:rPr>
                <w:rFonts w:hint="eastAsia" w:ascii="仿宋" w:hAnsi="仿宋" w:eastAsia="仿宋" w:cs="仿宋"/>
                <w:color w:val="auto"/>
                <w:sz w:val="24"/>
                <w:highlight w:val="none"/>
                <w:u w:val="single"/>
              </w:rPr>
              <w:t>标项一</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信息传输业</w:t>
            </w:r>
            <w:r>
              <w:rPr>
                <w:rFonts w:hint="eastAsia" w:ascii="仿宋" w:hAnsi="仿宋" w:eastAsia="仿宋" w:cs="仿宋"/>
                <w:color w:val="auto"/>
                <w:sz w:val="24"/>
                <w:highlight w:val="none"/>
              </w:rPr>
              <w:t>行业；</w:t>
            </w:r>
          </w:p>
          <w:p w14:paraId="53473F3C">
            <w:pPr>
              <w:shd w:val="clear"/>
              <w:tabs>
                <w:tab w:val="left" w:pos="5967"/>
              </w:tabs>
              <w:autoSpaceDE w:val="0"/>
              <w:autoSpaceDN w:val="0"/>
              <w:spacing w:line="440" w:lineRule="exact"/>
              <w:textAlignment w:val="center"/>
              <w:rPr>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）标的：</w:t>
            </w:r>
            <w:r>
              <w:rPr>
                <w:rFonts w:hint="eastAsia" w:ascii="仿宋" w:hAnsi="仿宋" w:eastAsia="仿宋" w:cs="仿宋"/>
                <w:color w:val="auto"/>
                <w:sz w:val="24"/>
                <w:highlight w:val="none"/>
                <w:u w:val="single"/>
              </w:rPr>
              <w:t>标项</w:t>
            </w:r>
            <w:r>
              <w:rPr>
                <w:rFonts w:hint="eastAsia" w:ascii="仿宋" w:hAnsi="仿宋" w:eastAsia="仿宋" w:cs="仿宋"/>
                <w:color w:val="auto"/>
                <w:sz w:val="24"/>
                <w:highlight w:val="none"/>
                <w:u w:val="single"/>
                <w:lang w:eastAsia="zh-CN"/>
              </w:rPr>
              <w:t>二</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信息传输业</w:t>
            </w:r>
            <w:r>
              <w:rPr>
                <w:rFonts w:hint="eastAsia" w:ascii="仿宋" w:hAnsi="仿宋" w:eastAsia="仿宋" w:cs="仿宋"/>
                <w:color w:val="auto"/>
                <w:sz w:val="24"/>
                <w:highlight w:val="none"/>
              </w:rPr>
              <w:t>行业；</w:t>
            </w:r>
            <w:r>
              <w:rPr>
                <w:rFonts w:hint="eastAsia" w:ascii="仿宋" w:hAnsi="仿宋" w:eastAsia="仿宋" w:cs="仿宋"/>
                <w:color w:val="auto"/>
                <w:sz w:val="24"/>
                <w:highlight w:val="none"/>
                <w:lang w:eastAsia="zh-CN"/>
              </w:rPr>
              <w:tab/>
            </w:r>
          </w:p>
        </w:tc>
      </w:tr>
      <w:tr w14:paraId="2C60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4DAFB3B">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13</w:t>
            </w:r>
          </w:p>
        </w:tc>
        <w:tc>
          <w:tcPr>
            <w:tcW w:w="855" w:type="dxa"/>
            <w:vMerge w:val="restart"/>
            <w:vAlign w:val="center"/>
          </w:tcPr>
          <w:p w14:paraId="0DFB4F69">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EE4F548">
            <w:pPr>
              <w:shd w:val="clear"/>
              <w:autoSpaceDE w:val="0"/>
              <w:autoSpaceDN w:val="0"/>
              <w:snapToGrid w:val="0"/>
              <w:spacing w:line="440" w:lineRule="exact"/>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t>
            </w:r>
            <w:r>
              <w:rPr>
                <w:rFonts w:ascii="仿宋" w:hAnsi="仿宋" w:eastAsia="仿宋" w:cs="仿宋"/>
                <w:color w:val="auto"/>
                <w:sz w:val="24"/>
                <w:highlight w:val="none"/>
              </w:rPr>
              <w:t>(www.creditchina.gov.cn)、中国政府采购网(www.ccgp.gov.cn)渠道查询投标人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F11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F3050C0">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855" w:type="dxa"/>
            <w:vMerge w:val="continue"/>
            <w:vAlign w:val="center"/>
          </w:tcPr>
          <w:p w14:paraId="34A9E5D4">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14:paraId="4981939D">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D65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AC3763">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855" w:type="dxa"/>
            <w:vMerge w:val="continue"/>
            <w:vAlign w:val="center"/>
          </w:tcPr>
          <w:p w14:paraId="384BA665">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14:paraId="4ED908C7">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14:paraId="74851AFD">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7EA3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02C7721">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4</w:t>
            </w:r>
          </w:p>
        </w:tc>
        <w:tc>
          <w:tcPr>
            <w:tcW w:w="8370" w:type="dxa"/>
            <w:gridSpan w:val="2"/>
            <w:vAlign w:val="center"/>
          </w:tcPr>
          <w:p w14:paraId="68F4286F">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14:paraId="628E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06AC91E">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5</w:t>
            </w:r>
          </w:p>
        </w:tc>
        <w:tc>
          <w:tcPr>
            <w:tcW w:w="8370" w:type="dxa"/>
            <w:gridSpan w:val="2"/>
            <w:vAlign w:val="center"/>
          </w:tcPr>
          <w:p w14:paraId="2B9E3573">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FBF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515BF9">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6</w:t>
            </w:r>
            <w:r>
              <w:rPr>
                <w:rFonts w:ascii="仿宋" w:hAnsi="仿宋" w:eastAsia="仿宋" w:cs="仿宋"/>
                <w:color w:val="auto"/>
                <w:sz w:val="24"/>
                <w:highlight w:val="none"/>
              </w:rPr>
              <w:t xml:space="preserve">                                                                                                                                                                                                                                                                                                                                                                                                                                                                                                                                                                                                                                                                                                                                                                                                                                                                                                                                                                                                                                                                                                                                                                                                                                                                                                                                        </w:t>
            </w:r>
          </w:p>
        </w:tc>
        <w:tc>
          <w:tcPr>
            <w:tcW w:w="8370" w:type="dxa"/>
            <w:gridSpan w:val="2"/>
            <w:vAlign w:val="center"/>
          </w:tcPr>
          <w:p w14:paraId="2C8F798E">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4EB750">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1.本项目实行网上投标，采用电子投标文件。若供应商参与投标，自行承担投标一切费用。</w:t>
            </w:r>
          </w:p>
          <w:p w14:paraId="2663896E">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2.标前准备：各供应商应在开标前完成CA数字证书办理。供应商将</w:t>
            </w:r>
            <w:r>
              <w:rPr>
                <w:rFonts w:hint="eastAsia" w:ascii="仿宋" w:hAnsi="仿宋" w:eastAsia="仿宋" w:cs="仿宋"/>
                <w:color w:val="auto"/>
                <w:sz w:val="24"/>
                <w:highlight w:val="none"/>
              </w:rPr>
              <w:t>乐采云电子交易客户端下载、安装完成后，可通过账号密码或</w:t>
            </w:r>
            <w:r>
              <w:rPr>
                <w:rFonts w:ascii="仿宋" w:hAnsi="仿宋" w:eastAsia="仿宋" w:cs="仿宋"/>
                <w:color w:val="auto"/>
                <w:sz w:val="24"/>
                <w:highlight w:val="none"/>
              </w:rPr>
              <w:t>CA登录客户端进行投标文件制作。在使用</w:t>
            </w:r>
            <w:r>
              <w:rPr>
                <w:rFonts w:hint="eastAsia" w:ascii="仿宋" w:hAnsi="仿宋" w:eastAsia="仿宋" w:cs="仿宋"/>
                <w:color w:val="auto"/>
                <w:sz w:val="24"/>
                <w:highlight w:val="none"/>
              </w:rPr>
              <w:t>乐采云投标客户端时，建议使用</w:t>
            </w:r>
            <w:r>
              <w:rPr>
                <w:rFonts w:ascii="仿宋" w:hAnsi="仿宋" w:eastAsia="仿宋" w:cs="仿宋"/>
                <w:color w:val="auto"/>
                <w:sz w:val="24"/>
                <w:highlight w:val="none"/>
              </w:rPr>
              <w:t>WIN7及以上操作系统。</w:t>
            </w:r>
          </w:p>
          <w:p w14:paraId="17A95970">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注：供应商</w:t>
            </w:r>
            <w:r>
              <w:rPr>
                <w:rFonts w:ascii="仿宋" w:hAnsi="仿宋" w:eastAsia="仿宋" w:cs="仿宋"/>
                <w:color w:val="auto"/>
                <w:sz w:val="24"/>
                <w:highlight w:val="none"/>
              </w:rPr>
              <w:t>CA相关操作可参考</w:t>
            </w:r>
            <w:r>
              <w:rPr>
                <w:rFonts w:hint="eastAsia" w:ascii="仿宋" w:hAnsi="仿宋" w:eastAsia="仿宋" w:cs="仿宋"/>
                <w:color w:val="auto"/>
                <w:sz w:val="24"/>
                <w:highlight w:val="none"/>
              </w:rPr>
              <w:t>乐采云平台</w:t>
            </w:r>
            <w:r>
              <w:rPr>
                <w:rFonts w:ascii="仿宋" w:hAnsi="仿宋" w:eastAsia="仿宋" w:cs="仿宋"/>
                <w:color w:val="auto"/>
                <w:highlight w:val="none"/>
              </w:rPr>
              <w:t>https://www.lecaiyun.com/</w:t>
            </w:r>
            <w:r>
              <w:rPr>
                <w:rFonts w:hint="eastAsia" w:ascii="仿宋" w:hAnsi="仿宋" w:eastAsia="仿宋" w:cs="仿宋"/>
                <w:color w:val="auto"/>
                <w:sz w:val="24"/>
                <w:highlight w:val="none"/>
              </w:rPr>
              <w:t>《</w:t>
            </w:r>
            <w:r>
              <w:rPr>
                <w:rFonts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993F829">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3.投标文件制作、递交、解密：</w:t>
            </w:r>
          </w:p>
          <w:p w14:paraId="793D8297">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3.1应按照本项目招标文件和</w:t>
            </w:r>
            <w:r>
              <w:rPr>
                <w:rFonts w:hint="eastAsia" w:ascii="仿宋" w:hAnsi="仿宋" w:eastAsia="仿宋" w:cs="仿宋"/>
                <w:color w:val="auto"/>
                <w:sz w:val="24"/>
                <w:highlight w:val="none"/>
              </w:rPr>
              <w:t>乐采云平台的要求编制、加密传输投标文件。供应商在使用系统进行投标的过程中遇到涉及平台使用的任何问题，可致电乐采云平台技术支持热线咨询，联系方式：</w:t>
            </w:r>
            <w:r>
              <w:rPr>
                <w:rFonts w:ascii="仿宋" w:hAnsi="仿宋" w:eastAsia="仿宋" w:cs="仿宋"/>
                <w:color w:val="auto"/>
                <w:sz w:val="24"/>
                <w:highlight w:val="none"/>
              </w:rPr>
              <w:t>95763。</w:t>
            </w:r>
          </w:p>
          <w:p w14:paraId="6D43C6DC">
            <w:pPr>
              <w:shd w:val="clear"/>
              <w:snapToGrid w:val="0"/>
              <w:spacing w:line="440" w:lineRule="exact"/>
              <w:jc w:val="left"/>
              <w:textAlignment w:val="center"/>
              <w:rPr>
                <w:rFonts w:ascii="仿宋" w:hAnsi="仿宋" w:eastAsia="仿宋" w:cs="仿宋"/>
                <w:color w:val="auto"/>
                <w:sz w:val="24"/>
                <w:highlight w:val="none"/>
              </w:rPr>
            </w:pPr>
            <w:r>
              <w:rPr>
                <w:rFonts w:ascii="仿宋" w:hAnsi="仿宋" w:eastAsia="仿宋" w:cs="仿宋"/>
                <w:color w:val="auto"/>
                <w:sz w:val="24"/>
                <w:highlight w:val="none"/>
              </w:rPr>
              <w:t>3.2投标人通过“</w:t>
            </w:r>
            <w:r>
              <w:rPr>
                <w:rFonts w:hint="eastAsia" w:ascii="仿宋" w:hAnsi="仿宋" w:eastAsia="仿宋" w:cs="仿宋"/>
                <w:color w:val="auto"/>
                <w:sz w:val="24"/>
                <w:highlight w:val="none"/>
              </w:rPr>
              <w:t>乐采云”平台制作电子投标文件，投标文件制作详见“供应商</w:t>
            </w:r>
            <w:r>
              <w:rPr>
                <w:rFonts w:ascii="仿宋" w:hAnsi="仿宋" w:eastAsia="仿宋" w:cs="仿宋"/>
                <w:color w:val="auto"/>
                <w:sz w:val="24"/>
                <w:highlight w:val="none"/>
              </w:rPr>
              <w:t>-政府采购项目电子交易操作指南。</w:t>
            </w:r>
          </w:p>
          <w:p w14:paraId="55BF2ECE">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3.3开标时间后30分钟内供应商可以登录“</w:t>
            </w:r>
            <w:r>
              <w:rPr>
                <w:rFonts w:hint="eastAsia" w:ascii="仿宋" w:hAnsi="仿宋" w:eastAsia="仿宋" w:cs="仿宋"/>
                <w:color w:val="auto"/>
                <w:sz w:val="24"/>
                <w:highlight w:val="none"/>
              </w:rPr>
              <w:t>乐采云”平台，用“项目采购</w:t>
            </w:r>
            <w:r>
              <w:rPr>
                <w:rFonts w:ascii="仿宋" w:hAnsi="仿宋" w:eastAsia="仿宋" w:cs="仿宋"/>
                <w:color w:val="auto"/>
                <w:sz w:val="24"/>
                <w:highlight w:val="none"/>
              </w:rPr>
              <w:t>-开标评标”功能进行解密投标文件。若供应商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7B3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D2DFE72">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7</w:t>
            </w:r>
          </w:p>
        </w:tc>
        <w:tc>
          <w:tcPr>
            <w:tcW w:w="8370" w:type="dxa"/>
            <w:gridSpan w:val="2"/>
            <w:vAlign w:val="center"/>
          </w:tcPr>
          <w:p w14:paraId="5DCF51C1">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24873DF">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D09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CF365C0">
            <w:pPr>
              <w:keepNext/>
              <w:keepLines/>
              <w:shd w:val="clear"/>
              <w:tabs>
                <w:tab w:val="left" w:pos="900"/>
              </w:tabs>
              <w:spacing w:line="440" w:lineRule="exact"/>
              <w:ind w:hanging="720"/>
              <w:textAlignment w:val="center"/>
              <w:outlineLvl w:val="2"/>
              <w:rPr>
                <w:rFonts w:ascii="仿宋" w:hAnsi="仿宋" w:eastAsia="仿宋" w:cs="仿宋"/>
                <w:color w:val="auto"/>
                <w:sz w:val="24"/>
                <w:highlight w:val="none"/>
              </w:rPr>
            </w:pPr>
          </w:p>
        </w:tc>
        <w:tc>
          <w:tcPr>
            <w:tcW w:w="8370" w:type="dxa"/>
            <w:gridSpan w:val="2"/>
            <w:vAlign w:val="center"/>
          </w:tcPr>
          <w:p w14:paraId="57EDDEE2">
            <w:pPr>
              <w:shd w:val="clear"/>
              <w:spacing w:line="440" w:lineRule="exact"/>
              <w:textAlignment w:val="center"/>
              <w:rPr>
                <w:rFonts w:ascii="仿宋" w:hAnsi="仿宋" w:eastAsia="仿宋" w:cs="仿宋"/>
                <w:snapToGrid w:val="0"/>
                <w:color w:val="auto"/>
                <w:kern w:val="28"/>
                <w:sz w:val="24"/>
                <w:highlight w:val="none"/>
              </w:rPr>
            </w:pPr>
            <w:r>
              <w:rPr>
                <w:rFonts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8475C18">
            <w:pPr>
              <w:shd w:val="clear"/>
              <w:spacing w:line="440" w:lineRule="exact"/>
              <w:textAlignment w:val="center"/>
              <w:rPr>
                <w:rFonts w:ascii="仿宋" w:hAnsi="仿宋" w:eastAsia="仿宋" w:cs="仿宋"/>
                <w:b/>
                <w:color w:val="auto"/>
                <w:sz w:val="24"/>
                <w:highlight w:val="none"/>
              </w:rPr>
            </w:pPr>
            <w:r>
              <w:rPr>
                <w:color w:val="auto"/>
                <w:position w:val="-4"/>
                <w:highlight w:val="none"/>
              </w:rPr>
              <w:drawing>
                <wp:inline distT="0" distB="0" distL="0" distR="0">
                  <wp:extent cx="118110" cy="168275"/>
                  <wp:effectExtent l="0" t="0" r="15240" b="2540"/>
                  <wp:docPr id="1" name="IM 12"/>
                  <wp:cNvGraphicFramePr/>
                  <a:graphic xmlns:a="http://schemas.openxmlformats.org/drawingml/2006/main">
                    <a:graphicData uri="http://schemas.openxmlformats.org/drawingml/2006/picture">
                      <pic:pic xmlns:pic="http://schemas.openxmlformats.org/drawingml/2006/picture">
                        <pic:nvPicPr>
                          <pic:cNvPr id="1" name="IM 12"/>
                          <pic:cNvPicPr/>
                        </pic:nvPicPr>
                        <pic:blipFill>
                          <a:blip r:embed="rId26"/>
                          <a:stretch>
                            <a:fillRect/>
                          </a:stretch>
                        </pic:blipFill>
                        <pic:spPr>
                          <a:xfrm>
                            <a:off x="0" y="0"/>
                            <a:ext cx="118719" cy="168859"/>
                          </a:xfrm>
                          <a:prstGeom prst="rect">
                            <a:avLst/>
                          </a:prstGeom>
                        </pic:spPr>
                      </pic:pic>
                    </a:graphicData>
                  </a:graphic>
                </wp:inline>
              </w:drawing>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F14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7038E8B">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8</w:t>
            </w:r>
          </w:p>
        </w:tc>
        <w:tc>
          <w:tcPr>
            <w:tcW w:w="8370" w:type="dxa"/>
            <w:gridSpan w:val="2"/>
            <w:vAlign w:val="center"/>
          </w:tcPr>
          <w:p w14:paraId="42F0D192">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126F523">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（一）中标人须向招标代理机构按如下标准和规定交纳代理服务费：</w:t>
            </w:r>
          </w:p>
          <w:p w14:paraId="39423ABE">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①以标项中确定的中标金额作为服务费的计算基数，</w:t>
            </w:r>
            <w:r>
              <w:rPr>
                <w:rFonts w:hint="eastAsia" w:ascii="仿宋" w:hAnsi="仿宋" w:eastAsia="仿宋" w:cs="仿宋"/>
                <w:b w:val="0"/>
                <w:bCs/>
                <w:color w:val="auto"/>
                <w:sz w:val="24"/>
                <w:highlight w:val="none"/>
                <w:u w:val="single"/>
              </w:rPr>
              <w:t>具体比例</w:t>
            </w:r>
            <w:r>
              <w:rPr>
                <w:rFonts w:hint="eastAsia" w:ascii="仿宋" w:hAnsi="仿宋" w:eastAsia="仿宋" w:cs="仿宋"/>
                <w:b w:val="0"/>
                <w:bCs/>
                <w:color w:val="auto"/>
                <w:sz w:val="24"/>
                <w:highlight w:val="none"/>
                <w:u w:val="single"/>
                <w:lang w:eastAsia="zh-CN"/>
              </w:rPr>
              <w:t>以“中标金额在100万以下部分为1.5%，100万元到500万元部分为</w:t>
            </w:r>
            <w:r>
              <w:rPr>
                <w:rFonts w:hint="eastAsia" w:ascii="仿宋" w:hAnsi="仿宋" w:eastAsia="仿宋" w:cs="仿宋"/>
                <w:b w:val="0"/>
                <w:bCs/>
                <w:color w:val="auto"/>
                <w:sz w:val="24"/>
                <w:highlight w:val="none"/>
                <w:u w:val="single"/>
                <w:lang w:val="en-US" w:eastAsia="zh-CN"/>
              </w:rPr>
              <w:t>1.1</w:t>
            </w:r>
            <w:r>
              <w:rPr>
                <w:rFonts w:hint="eastAsia" w:ascii="仿宋" w:hAnsi="仿宋" w:eastAsia="仿宋" w:cs="仿宋"/>
                <w:b w:val="0"/>
                <w:bCs/>
                <w:color w:val="auto"/>
                <w:sz w:val="24"/>
                <w:highlight w:val="none"/>
                <w:u w:val="single"/>
                <w:lang w:eastAsia="zh-CN"/>
              </w:rPr>
              <w:t>%，</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lang w:eastAsia="zh-CN"/>
              </w:rPr>
              <w:t>00万元到</w:t>
            </w:r>
            <w:r>
              <w:rPr>
                <w:rFonts w:hint="eastAsia" w:ascii="仿宋" w:hAnsi="仿宋" w:eastAsia="仿宋" w:cs="仿宋"/>
                <w:b w:val="0"/>
                <w:bCs/>
                <w:color w:val="auto"/>
                <w:sz w:val="24"/>
                <w:highlight w:val="none"/>
                <w:u w:val="single"/>
                <w:lang w:val="en-US" w:eastAsia="zh-CN"/>
              </w:rPr>
              <w:t>10</w:t>
            </w:r>
            <w:r>
              <w:rPr>
                <w:rFonts w:hint="eastAsia" w:ascii="仿宋" w:hAnsi="仿宋" w:eastAsia="仿宋" w:cs="仿宋"/>
                <w:b w:val="0"/>
                <w:bCs/>
                <w:color w:val="auto"/>
                <w:sz w:val="24"/>
                <w:highlight w:val="none"/>
                <w:u w:val="single"/>
                <w:lang w:eastAsia="zh-CN"/>
              </w:rPr>
              <w:t>00万元部分为</w:t>
            </w:r>
            <w:r>
              <w:rPr>
                <w:rFonts w:hint="eastAsia" w:ascii="仿宋" w:hAnsi="仿宋" w:eastAsia="仿宋" w:cs="仿宋"/>
                <w:b w:val="0"/>
                <w:bCs/>
                <w:color w:val="auto"/>
                <w:sz w:val="24"/>
                <w:highlight w:val="none"/>
                <w:u w:val="single"/>
                <w:lang w:val="en-US" w:eastAsia="zh-CN"/>
              </w:rPr>
              <w:t>0.8</w:t>
            </w:r>
            <w:r>
              <w:rPr>
                <w:rFonts w:hint="eastAsia" w:ascii="仿宋" w:hAnsi="仿宋" w:eastAsia="仿宋" w:cs="仿宋"/>
                <w:b w:val="0"/>
                <w:bCs/>
                <w:color w:val="auto"/>
                <w:sz w:val="24"/>
                <w:highlight w:val="none"/>
                <w:u w:val="single"/>
                <w:lang w:eastAsia="zh-CN"/>
              </w:rPr>
              <w:t>%。”为标准</w:t>
            </w:r>
            <w:r>
              <w:rPr>
                <w:rFonts w:hint="eastAsia" w:ascii="仿宋" w:hAnsi="仿宋" w:eastAsia="仿宋" w:cs="仿宋"/>
                <w:b w:val="0"/>
                <w:bCs/>
                <w:color w:val="auto"/>
                <w:sz w:val="24"/>
                <w:highlight w:val="none"/>
                <w:u w:val="single"/>
              </w:rPr>
              <w:t>,</w:t>
            </w:r>
            <w:r>
              <w:rPr>
                <w:rFonts w:hint="eastAsia" w:ascii="仿宋" w:hAnsi="仿宋" w:eastAsia="仿宋" w:cs="仿宋"/>
                <w:b w:val="0"/>
                <w:bCs/>
                <w:color w:val="auto"/>
                <w:sz w:val="24"/>
                <w:highlight w:val="none"/>
                <w:u w:val="single"/>
                <w:lang w:eastAsia="zh-CN"/>
              </w:rPr>
              <w:t>再</w:t>
            </w:r>
            <w:r>
              <w:rPr>
                <w:rFonts w:hint="eastAsia" w:ascii="仿宋" w:hAnsi="仿宋" w:eastAsia="仿宋" w:cs="仿宋"/>
                <w:b w:val="0"/>
                <w:bCs/>
                <w:color w:val="auto"/>
                <w:sz w:val="24"/>
                <w:highlight w:val="none"/>
                <w:u w:val="single"/>
              </w:rPr>
              <w:t>下浮 99.9%执行，代理服务费少于 5000 元时，按 5000 元计取。</w:t>
            </w:r>
          </w:p>
          <w:p w14:paraId="426DCA96">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②代理服务费的交纳方式：</w:t>
            </w:r>
          </w:p>
          <w:p w14:paraId="4D20B94A">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用银行支票、汇票、电汇、现金等付款方式直接交纳代理服务费。</w:t>
            </w:r>
          </w:p>
          <w:p w14:paraId="6F254D25">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公司名称：浙江天源工程管理咨询有限公司</w:t>
            </w:r>
          </w:p>
          <w:p w14:paraId="05F3B0B3">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账    号：397458339397</w:t>
            </w:r>
          </w:p>
          <w:p w14:paraId="17369AF2">
            <w:pPr>
              <w:shd w:val="clear"/>
              <w:spacing w:line="440" w:lineRule="exact"/>
              <w:textAlignment w:val="center"/>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u w:val="single"/>
              </w:rPr>
              <w:t xml:space="preserve">开 户 行：中国银行绍兴市大云支行 </w:t>
            </w:r>
          </w:p>
          <w:p w14:paraId="3A62C68C">
            <w:pPr>
              <w:shd w:val="clear"/>
              <w:spacing w:line="440" w:lineRule="exact"/>
              <w:textAlignment w:val="center"/>
              <w:rPr>
                <w:rFonts w:ascii="仿宋" w:hAnsi="仿宋" w:eastAsia="仿宋" w:cs="仿宋"/>
                <w:color w:val="auto"/>
                <w:kern w:val="0"/>
                <w:sz w:val="24"/>
                <w:szCs w:val="21"/>
                <w:highlight w:val="none"/>
              </w:rPr>
            </w:pPr>
            <w:r>
              <w:rPr>
                <w:rFonts w:hint="eastAsia" w:ascii="仿宋" w:hAnsi="仿宋" w:eastAsia="仿宋" w:cs="仿宋"/>
                <w:b w:val="0"/>
                <w:bCs/>
                <w:color w:val="auto"/>
                <w:sz w:val="24"/>
                <w:highlight w:val="none"/>
                <w:u w:val="single"/>
              </w:rPr>
              <w:t>③ 代理服务费的交纳时间：领取中标通知书前交纳。</w:t>
            </w:r>
          </w:p>
        </w:tc>
      </w:tr>
      <w:tr w14:paraId="5B0F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71DE076">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BC3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CC7103">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9"/>
    </w:tbl>
    <w:p w14:paraId="5F09AFB6">
      <w:pPr>
        <w:pageBreakBefore/>
        <w:shd w:val="clear"/>
        <w:adjustRightInd/>
        <w:spacing w:line="360" w:lineRule="auto"/>
        <w:jc w:val="center"/>
        <w:outlineLvl w:val="0"/>
        <w:rPr>
          <w:rFonts w:ascii="仿宋" w:hAnsi="仿宋" w:eastAsia="仿宋" w:cs="仿宋"/>
          <w:b/>
          <w:color w:val="auto"/>
          <w:sz w:val="32"/>
          <w:szCs w:val="32"/>
          <w:highlight w:val="none"/>
        </w:rPr>
      </w:pPr>
      <w:bookmarkStart w:id="23" w:name="_Hlt75236101"/>
      <w:bookmarkEnd w:id="23"/>
      <w:bookmarkStart w:id="24" w:name="_Hlt74714665"/>
      <w:bookmarkEnd w:id="24"/>
      <w:bookmarkStart w:id="25" w:name="_Hlt74729768"/>
      <w:bookmarkEnd w:id="25"/>
      <w:bookmarkStart w:id="26" w:name="_Hlt68403820"/>
      <w:bookmarkEnd w:id="26"/>
      <w:bookmarkStart w:id="27" w:name="_Hlt74707468"/>
      <w:bookmarkEnd w:id="27"/>
      <w:bookmarkStart w:id="28" w:name="_Hlt75236290"/>
      <w:bookmarkEnd w:id="28"/>
      <w:bookmarkStart w:id="29" w:name="_Hlt68072998"/>
      <w:bookmarkEnd w:id="29"/>
      <w:bookmarkStart w:id="30" w:name="_Hlt68072990"/>
      <w:bookmarkEnd w:id="30"/>
      <w:bookmarkStart w:id="31" w:name="_Hlt68057669"/>
      <w:bookmarkEnd w:id="31"/>
      <w:bookmarkStart w:id="32" w:name="_Hlt68073093"/>
      <w:bookmarkEnd w:id="32"/>
      <w:bookmarkStart w:id="33" w:name="_Hlt75236011"/>
      <w:bookmarkEnd w:id="33"/>
      <w:bookmarkStart w:id="34" w:name="_Hlt74730295"/>
      <w:bookmarkEnd w:id="34"/>
      <w:bookmarkStart w:id="35" w:name="_Toc164416483"/>
      <w:bookmarkStart w:id="36" w:name="第三部分"/>
      <w:r>
        <w:rPr>
          <w:rFonts w:hint="eastAsia" w:ascii="仿宋" w:hAnsi="仿宋" w:eastAsia="仿宋" w:cs="仿宋"/>
          <w:b/>
          <w:color w:val="auto"/>
          <w:sz w:val="32"/>
          <w:szCs w:val="32"/>
          <w:highlight w:val="none"/>
        </w:rPr>
        <w:t>一、总则</w:t>
      </w:r>
    </w:p>
    <w:p w14:paraId="2C69B53B">
      <w:pPr>
        <w:shd w:val="clear"/>
        <w:snapToGrid w:val="0"/>
        <w:spacing w:line="440" w:lineRule="exact"/>
        <w:jc w:val="left"/>
        <w:outlineLvl w:val="1"/>
        <w:rPr>
          <w:rFonts w:ascii="仿宋" w:hAnsi="仿宋" w:eastAsia="仿宋" w:cs="仿宋"/>
          <w:b/>
          <w:color w:val="auto"/>
          <w:sz w:val="24"/>
          <w:highlight w:val="none"/>
        </w:rPr>
      </w:pPr>
      <w:r>
        <w:rPr>
          <w:rFonts w:ascii="仿宋" w:hAnsi="仿宋" w:eastAsia="仿宋" w:cs="仿宋"/>
          <w:b/>
          <w:color w:val="auto"/>
          <w:sz w:val="24"/>
          <w:highlight w:val="none"/>
        </w:rPr>
        <w:t>1.适用范围</w:t>
      </w:r>
    </w:p>
    <w:p w14:paraId="0AE5AA6B">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8F44A90">
      <w:pPr>
        <w:shd w:val="clear"/>
        <w:adjustRightInd/>
        <w:spacing w:line="440" w:lineRule="exact"/>
        <w:outlineLvl w:val="0"/>
        <w:rPr>
          <w:rFonts w:ascii="仿宋" w:hAnsi="仿宋" w:eastAsia="仿宋" w:cs="仿宋"/>
          <w:b/>
          <w:color w:val="auto"/>
          <w:sz w:val="24"/>
          <w:highlight w:val="none"/>
        </w:rPr>
      </w:pPr>
      <w:r>
        <w:rPr>
          <w:rFonts w:ascii="仿宋" w:hAnsi="仿宋" w:eastAsia="仿宋" w:cs="仿宋"/>
          <w:b/>
          <w:color w:val="auto"/>
          <w:sz w:val="24"/>
          <w:highlight w:val="none"/>
        </w:rPr>
        <w:t>2.定义</w:t>
      </w:r>
    </w:p>
    <w:p w14:paraId="2E5A7D1C">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“采购人”系指招标公告中载明的本项目的采购人。</w:t>
      </w:r>
    </w:p>
    <w:p w14:paraId="18A6723B">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sz w:val="24"/>
          <w:highlight w:val="none"/>
        </w:rPr>
        <w:t>“采购代理机构”系指招标公告中载明的本项目的采购代理机构。</w:t>
      </w:r>
    </w:p>
    <w:p w14:paraId="3064A050">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2.3 </w:t>
      </w:r>
      <w:r>
        <w:rPr>
          <w:rFonts w:hint="eastAsia" w:ascii="仿宋" w:hAnsi="仿宋" w:eastAsia="仿宋" w:cs="仿宋"/>
          <w:color w:val="auto"/>
          <w:sz w:val="24"/>
          <w:highlight w:val="none"/>
        </w:rPr>
        <w:t>“投标人”“供应商”系指是指响应招标、参加投标竞争的法人、其他组织或者自然人。</w:t>
      </w:r>
    </w:p>
    <w:p w14:paraId="7B2F5AA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2.4“监督单位”系指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p>
    <w:p w14:paraId="6EA17D8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2.5 </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79481D12">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55AD521">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2.7“电子交易平台”系指本项目采购活动所依托的乐采云平台（https://www.lecaiyun.com/）。</w:t>
      </w:r>
    </w:p>
    <w:p w14:paraId="6F2B42E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2.8“★”系指实质性指标要求条款，“▲” </w:t>
      </w:r>
      <w:r>
        <w:rPr>
          <w:rFonts w:hint="eastAsia" w:ascii="仿宋" w:hAnsi="仿宋" w:eastAsia="仿宋" w:cs="仿宋"/>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”系指适用本项目的要求，“</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系指不适用本项目的要求。</w:t>
      </w:r>
    </w:p>
    <w:p w14:paraId="03A73322">
      <w:pPr>
        <w:shd w:val="clear"/>
        <w:spacing w:line="440" w:lineRule="exact"/>
        <w:rPr>
          <w:rFonts w:ascii="仿宋_GB2312" w:hAnsi="仿宋" w:eastAsia="仿宋_GB2312"/>
          <w:b/>
          <w:color w:val="auto"/>
          <w:sz w:val="24"/>
          <w:highlight w:val="none"/>
        </w:rPr>
      </w:pPr>
      <w:r>
        <w:rPr>
          <w:rFonts w:ascii="仿宋_GB2312" w:hAnsi="仿宋" w:eastAsia="仿宋_GB2312"/>
          <w:b/>
          <w:color w:val="auto"/>
          <w:sz w:val="24"/>
          <w:highlight w:val="none"/>
        </w:rPr>
        <w:t>3.采购项目需要落实的采购政策</w:t>
      </w:r>
    </w:p>
    <w:p w14:paraId="58AE7D32">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3.1 </w:t>
      </w:r>
      <w:r>
        <w:rPr>
          <w:rFonts w:hint="eastAsia" w:ascii="仿宋_GB2312" w:hAnsi="仿宋" w:eastAsia="仿宋_GB2312"/>
          <w:color w:val="auto"/>
          <w:sz w:val="24"/>
          <w:highlight w:val="none"/>
        </w:rPr>
        <w:t>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D4EA931">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7D47BB96">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F2C0BF2">
      <w:pPr>
        <w:shd w:val="clear"/>
        <w:spacing w:line="440" w:lineRule="exact"/>
        <w:rPr>
          <w:rFonts w:ascii="仿宋_GB2312" w:hAnsi="仿宋" w:eastAsia="仿宋_GB2312"/>
          <w:b/>
          <w:color w:val="auto"/>
          <w:sz w:val="24"/>
          <w:highlight w:val="none"/>
        </w:rPr>
      </w:pPr>
      <w:r>
        <w:rPr>
          <w:rFonts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117C7F0">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5E3A72CA">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3F2003">
      <w:pPr>
        <w:shd w:val="clear"/>
        <w:spacing w:line="440" w:lineRule="exact"/>
        <w:rPr>
          <w:rFonts w:ascii="仿宋" w:hAnsi="仿宋" w:eastAsia="仿宋" w:cs="仿宋"/>
          <w:color w:val="auto"/>
          <w:sz w:val="24"/>
          <w:highlight w:val="none"/>
        </w:rPr>
      </w:pPr>
      <w:r>
        <w:rPr>
          <w:rFonts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78F0FA0">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79D88976">
      <w:pPr>
        <w:shd w:val="clear"/>
        <w:spacing w:line="440" w:lineRule="exact"/>
        <w:rPr>
          <w:rFonts w:ascii="仿宋_GB2312" w:hAnsi="仿宋" w:eastAsia="仿宋_GB2312"/>
          <w:bCs/>
          <w:color w:val="auto"/>
          <w:sz w:val="24"/>
          <w:highlight w:val="none"/>
        </w:rPr>
      </w:pPr>
      <w:r>
        <w:rPr>
          <w:rFonts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EA9C123">
      <w:pPr>
        <w:shd w:val="clea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25B147C0">
      <w:pPr>
        <w:shd w:val="clear"/>
        <w:spacing w:line="440" w:lineRule="exact"/>
        <w:rPr>
          <w:rFonts w:ascii="仿宋_GB2312" w:hAnsi="仿宋" w:eastAsia="仿宋_GB2312"/>
          <w:bCs/>
          <w:color w:val="auto"/>
          <w:sz w:val="24"/>
          <w:highlight w:val="none"/>
        </w:rPr>
      </w:pPr>
      <w:r>
        <w:rPr>
          <w:rFonts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75B47FFD">
      <w:pPr>
        <w:shd w:val="clear"/>
        <w:spacing w:line="440" w:lineRule="exact"/>
        <w:rPr>
          <w:rFonts w:ascii="仿宋_GB2312" w:hAnsi="仿宋" w:eastAsia="仿宋_GB2312"/>
          <w:bCs/>
          <w:color w:val="auto"/>
          <w:sz w:val="24"/>
          <w:highlight w:val="none"/>
        </w:rPr>
      </w:pPr>
      <w:r>
        <w:rPr>
          <w:rFonts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2B36858B">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3.3.4小微企业应按照招标文件格式要求提供《中小企业声明函》。</w:t>
      </w:r>
    </w:p>
    <w:p w14:paraId="439520E6">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w:t>
      </w:r>
      <w:r>
        <w:rPr>
          <w:rFonts w:hint="eastAsia" w:ascii="仿宋_GB2312" w:hAnsi="仿宋" w:eastAsia="仿宋_GB2312"/>
          <w:color w:val="auto"/>
          <w:sz w:val="24"/>
          <w:highlight w:val="none"/>
        </w:rPr>
        <w:t>对符合规定的小微企业报价给予</w:t>
      </w:r>
      <w:r>
        <w:rPr>
          <w:rFonts w:ascii="仿宋_GB2312" w:hAnsi="仿宋" w:eastAsia="仿宋_GB2312"/>
          <w:color w:val="auto"/>
          <w:sz w:val="24"/>
          <w:highlight w:val="none"/>
        </w:rPr>
        <w:t>10%的扣除</w:t>
      </w:r>
      <w:r>
        <w:rPr>
          <w:rFonts w:hint="eastAsia" w:ascii="仿宋_GB2312" w:hAnsi="仿宋" w:eastAsia="仿宋_GB2312"/>
          <w:color w:val="auto"/>
          <w:sz w:val="24"/>
          <w:highlight w:val="none"/>
        </w:rPr>
        <w:t>，用扣除后的价格参加评审。</w:t>
      </w:r>
    </w:p>
    <w:p w14:paraId="21858535">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w:t>
      </w:r>
      <w:r>
        <w:rPr>
          <w:rFonts w:hint="eastAsia" w:ascii="仿宋_GB2312" w:hAnsi="仿宋" w:eastAsia="仿宋_GB2312"/>
          <w:color w:val="auto"/>
          <w:sz w:val="24"/>
          <w:highlight w:val="none"/>
        </w:rPr>
        <w:t>对联合体或者大中型企业的报价给予</w:t>
      </w:r>
      <w:r>
        <w:rPr>
          <w:rFonts w:ascii="仿宋_GB2312" w:hAnsi="仿宋" w:eastAsia="仿宋_GB2312"/>
          <w:color w:val="auto"/>
          <w:sz w:val="24"/>
          <w:highlight w:val="none"/>
        </w:rPr>
        <w:t>4%的扣除</w:t>
      </w:r>
      <w:r>
        <w:rPr>
          <w:rFonts w:hint="eastAsia" w:ascii="仿宋_GB2312" w:hAnsi="仿宋" w:eastAsia="仿宋_GB2312"/>
          <w:color w:val="auto"/>
          <w:sz w:val="24"/>
          <w:highlight w:val="none"/>
        </w:rPr>
        <w:t>，用扣除后的价格参加评审。组成联合体或者接受分包的小微企业与联合体内其他企业、分包企业之间存在直接控股、管理关系的，不享受价格扣除优惠政策。</w:t>
      </w:r>
    </w:p>
    <w:p w14:paraId="56753DBA">
      <w:pPr>
        <w:shd w:val="clea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以联合体形式参加政府采购活动，联合体各方均为中小企业的，联合体视同中小企业。其中，联合体各方均为小微企业的，联合体视同小微企业。</w:t>
      </w:r>
    </w:p>
    <w:p w14:paraId="08693CED">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F9C9C3D">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73F2196">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3.4支持科技创新发展</w:t>
      </w:r>
    </w:p>
    <w:p w14:paraId="0FCF1594">
      <w:pPr>
        <w:shd w:val="clea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76C9BF05">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3.5平等对待内外资企业和符合条件的破产重整企业</w:t>
      </w:r>
    </w:p>
    <w:p w14:paraId="647D43D6">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43233174">
      <w:pPr>
        <w:shd w:val="clea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ascii="仿宋_GB2312" w:hAnsi="仿宋" w:eastAsia="仿宋_GB2312"/>
          <w:color w:val="auto"/>
          <w:sz w:val="24"/>
          <w:highlight w:val="none"/>
        </w:rPr>
        <w:t>4.特别说明：</w:t>
      </w:r>
    </w:p>
    <w:p w14:paraId="07D762CB">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1DC7AD13">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A7854BD">
      <w:pPr>
        <w:shd w:val="clea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4.3供应商在投标活动中提供任何虚假材料,其投标无效，并报监管部门查处；中标后</w:t>
      </w:r>
      <w:r>
        <w:rPr>
          <w:rFonts w:hint="eastAsia" w:ascii="仿宋_GB2312" w:hAnsi="仿宋" w:eastAsia="仿宋_GB2312"/>
          <w:color w:val="auto"/>
          <w:sz w:val="24"/>
          <w:highlight w:val="none"/>
        </w:rPr>
        <w:t>发现的</w:t>
      </w:r>
      <w:r>
        <w:rPr>
          <w:rFonts w:ascii="仿宋_GB2312" w:hAnsi="仿宋" w:eastAsia="仿宋_GB2312"/>
          <w:color w:val="auto"/>
          <w:sz w:val="24"/>
          <w:highlight w:val="none"/>
        </w:rPr>
        <w:t>,中标人须依照《中华人民共和国消费者权益保护法》规定赔偿采购人，且民事赔偿并不免除违法供应商的行政与刑事责任。</w:t>
      </w:r>
    </w:p>
    <w:p w14:paraId="17AC560E">
      <w:pPr>
        <w:pStyle w:val="131"/>
        <w:shd w:val="clear"/>
        <w:snapToGrid w:val="0"/>
        <w:spacing w:before="0" w:line="440" w:lineRule="exact"/>
        <w:ind w:firstLine="640"/>
        <w:rPr>
          <w:rFonts w:ascii="仿宋" w:hAnsi="仿宋" w:eastAsia="仿宋" w:cs="仿宋"/>
          <w:color w:val="auto"/>
          <w:sz w:val="32"/>
          <w:szCs w:val="32"/>
          <w:highlight w:val="none"/>
        </w:rPr>
      </w:pPr>
    </w:p>
    <w:p w14:paraId="75E8A0A2">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5B296715">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1．招标方式</w:t>
      </w:r>
    </w:p>
    <w:p w14:paraId="5903FFC7">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 </w:t>
      </w:r>
      <w:r>
        <w:rPr>
          <w:rFonts w:hint="eastAsia" w:ascii="仿宋" w:hAnsi="仿宋" w:eastAsia="仿宋" w:cs="仿宋"/>
          <w:color w:val="auto"/>
          <w:sz w:val="24"/>
          <w:highlight w:val="none"/>
        </w:rPr>
        <w:t>本次招标采用公开招标方式进行。</w:t>
      </w:r>
    </w:p>
    <w:p w14:paraId="0C50C521">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如某一标项投标人或实质性响应招标文件的投标人不足三家时，由采购人重新组织招标或按有关规定实施。</w:t>
      </w:r>
    </w:p>
    <w:p w14:paraId="147249F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本次招标设定限价，即招标公告中公布的各标项预算金额或最高限价（各标项之间的预算金额不能互相调整）。</w:t>
      </w:r>
    </w:p>
    <w:p w14:paraId="5F560FD7">
      <w:pPr>
        <w:pStyle w:val="25"/>
        <w:shd w:val="clear"/>
        <w:snapToGrid w:val="0"/>
        <w:spacing w:line="440" w:lineRule="exact"/>
        <w:ind w:firstLine="0" w:firstLineChars="0"/>
        <w:jc w:val="left"/>
        <w:rPr>
          <w:rFonts w:ascii="仿宋" w:hAnsi="仿宋" w:eastAsia="仿宋" w:cs="仿宋"/>
          <w:b/>
          <w:color w:val="auto"/>
          <w:highlight w:val="none"/>
        </w:rPr>
      </w:pPr>
      <w:r>
        <w:rPr>
          <w:rFonts w:ascii="仿宋" w:hAnsi="仿宋" w:eastAsia="仿宋" w:cs="仿宋"/>
          <w:b/>
          <w:color w:val="auto"/>
          <w:highlight w:val="none"/>
        </w:rPr>
        <w:t>2.授权委托</w:t>
      </w:r>
    </w:p>
    <w:p w14:paraId="47A4EAD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3D92FAB">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3. </w:t>
      </w:r>
      <w:r>
        <w:rPr>
          <w:rFonts w:hint="eastAsia" w:ascii="仿宋" w:hAnsi="仿宋" w:eastAsia="仿宋" w:cs="仿宋"/>
          <w:b/>
          <w:color w:val="auto"/>
          <w:sz w:val="24"/>
          <w:highlight w:val="none"/>
        </w:rPr>
        <w:t>投标费用</w:t>
      </w:r>
    </w:p>
    <w:p w14:paraId="399A6244">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141E3AAD">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4. </w:t>
      </w:r>
      <w:r>
        <w:rPr>
          <w:rFonts w:hint="eastAsia" w:ascii="仿宋" w:hAnsi="仿宋" w:eastAsia="仿宋" w:cs="仿宋"/>
          <w:b/>
          <w:color w:val="auto"/>
          <w:sz w:val="24"/>
          <w:highlight w:val="none"/>
        </w:rPr>
        <w:t>招标文件的修改</w:t>
      </w:r>
    </w:p>
    <w:p w14:paraId="16AB80B2">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4.1招标文件包括本招标文件及所有的招标答疑记录（澄清、修改）和发出的补充通知。</w:t>
      </w:r>
    </w:p>
    <w:p w14:paraId="72DBE6AA">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4.2招标文件的澄清 </w:t>
      </w:r>
    </w:p>
    <w:p w14:paraId="1025C6A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w:t>
      </w:r>
      <w:r>
        <w:rPr>
          <w:rFonts w:ascii="仿宋" w:hAnsi="仿宋" w:eastAsia="仿宋" w:cs="仿宋"/>
          <w:color w:val="auto"/>
          <w:sz w:val="24"/>
          <w:highlight w:val="none"/>
        </w:rPr>
        <w:t>(包括电报、电传、传真、电子数据交换和电子邮件）)等通知招标人，但通知不得迟于开标前7日使招标人收到，招标人将用书面形式予以答复。如有必要，可将不说明来源的答复发给所有投标人。</w:t>
      </w:r>
    </w:p>
    <w:p w14:paraId="1A6D003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4.3招标文件的修改</w:t>
      </w:r>
    </w:p>
    <w:p w14:paraId="7DDBEDF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w:t>
      </w:r>
      <w:r>
        <w:rPr>
          <w:rFonts w:hint="eastAsia" w:ascii="仿宋" w:hAnsi="仿宋" w:eastAsia="仿宋" w:cs="仿宋"/>
          <w:color w:val="auto"/>
          <w:sz w:val="24"/>
          <w:highlight w:val="none"/>
        </w:rPr>
        <w:t>已收到的修改文件，并需附法定代表人或其授权代表的签字加盖公章，逾期不确认的视同认可。</w:t>
      </w:r>
    </w:p>
    <w:p w14:paraId="4D4BC0EB">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69C92A">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5.参考品牌</w:t>
      </w:r>
    </w:p>
    <w:p w14:paraId="6A05D263">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3A11691">
      <w:pPr>
        <w:pStyle w:val="23"/>
        <w:shd w:val="clear"/>
        <w:rPr>
          <w:rFonts w:ascii="仿宋" w:hAnsi="仿宋" w:eastAsia="仿宋" w:cs="仿宋"/>
          <w:color w:val="auto"/>
          <w:sz w:val="32"/>
          <w:szCs w:val="32"/>
          <w:highlight w:val="none"/>
          <w:lang w:val="en-US"/>
        </w:rPr>
      </w:pPr>
    </w:p>
    <w:p w14:paraId="06D80D6E">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4237750">
      <w:pPr>
        <w:shd w:val="clear"/>
        <w:snapToGrid w:val="0"/>
        <w:spacing w:line="440" w:lineRule="exact"/>
        <w:jc w:val="left"/>
        <w:rPr>
          <w:rFonts w:ascii="仿宋" w:hAnsi="仿宋" w:eastAsia="仿宋" w:cs="仿宋"/>
          <w:b/>
          <w:bCs/>
          <w:color w:val="auto"/>
          <w:sz w:val="24"/>
          <w:highlight w:val="none"/>
        </w:rPr>
      </w:pPr>
      <w:r>
        <w:rPr>
          <w:rFonts w:ascii="仿宋" w:hAnsi="仿宋" w:eastAsia="仿宋" w:cs="仿宋"/>
          <w:b/>
          <w:bCs/>
          <w:color w:val="auto"/>
          <w:sz w:val="24"/>
          <w:highlight w:val="none"/>
        </w:rPr>
        <w:t>1.投标文件的语言、计量单位、形式及效力</w:t>
      </w:r>
    </w:p>
    <w:p w14:paraId="18CE905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1.1投标人应仔细阅读招标文件中的所有内容，按照招标文件要求，详细编制投标文件，并保证投标文件的正确性和真实性。</w:t>
      </w:r>
    </w:p>
    <w:p w14:paraId="5585E49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投标文件以及投标方与招标方就有关投标事宜的所有来往函电，均应以中文书写（技术术语除外）。</w:t>
      </w:r>
    </w:p>
    <w:p w14:paraId="137B3EB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投标计量单位，除招标文件中有特殊要求外，应采用中华人民共和国法定计量单位，货币单位：人民币元。</w:t>
      </w:r>
    </w:p>
    <w:p w14:paraId="5F0C1DE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1.4不按招标文件的要求提供的投标文件可能导致被拒绝。</w:t>
      </w:r>
    </w:p>
    <w:p w14:paraId="213204B5">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1.5投标文件的形式和效力</w:t>
      </w:r>
    </w:p>
    <w:p w14:paraId="0BE21677">
      <w:pPr>
        <w:shd w:val="clear"/>
        <w:snapToGrid w:val="0"/>
        <w:spacing w:line="440" w:lineRule="exact"/>
        <w:ind w:firstLine="723" w:firstLineChars="300"/>
        <w:jc w:val="left"/>
        <w:rPr>
          <w:rFonts w:ascii="仿宋" w:hAnsi="仿宋" w:eastAsia="仿宋" w:cs="仿宋"/>
          <w:b/>
          <w:color w:val="auto"/>
          <w:sz w:val="24"/>
          <w:highlight w:val="none"/>
        </w:rPr>
      </w:pPr>
      <w:r>
        <w:rPr>
          <w:rFonts w:ascii="仿宋" w:hAnsi="仿宋" w:eastAsia="仿宋" w:cs="仿宋"/>
          <w:b/>
          <w:color w:val="auto"/>
          <w:sz w:val="24"/>
          <w:highlight w:val="none"/>
        </w:rPr>
        <w:t>1.5.1投标文件为电子投标文件，电子投标文件按“</w:t>
      </w:r>
      <w:r>
        <w:rPr>
          <w:rFonts w:hint="eastAsia" w:ascii="仿宋" w:hAnsi="仿宋" w:eastAsia="仿宋" w:cs="仿宋"/>
          <w:b/>
          <w:color w:val="auto"/>
          <w:sz w:val="24"/>
          <w:highlight w:val="none"/>
        </w:rPr>
        <w:t>乐采云供应商项目采购</w:t>
      </w:r>
      <w:r>
        <w:rPr>
          <w:rFonts w:ascii="仿宋" w:hAnsi="仿宋" w:eastAsia="仿宋" w:cs="仿宋"/>
          <w:b/>
          <w:color w:val="auto"/>
          <w:sz w:val="24"/>
          <w:highlight w:val="none"/>
        </w:rPr>
        <w:t>-电子招投标操作指南”及本招标文件要求制作、加密传输。</w:t>
      </w:r>
    </w:p>
    <w:p w14:paraId="0AA81044">
      <w:pPr>
        <w:shd w:val="clear"/>
        <w:snapToGrid w:val="0"/>
        <w:spacing w:line="440" w:lineRule="exact"/>
        <w:ind w:firstLine="723" w:firstLineChars="300"/>
        <w:jc w:val="left"/>
        <w:rPr>
          <w:rFonts w:ascii="仿宋" w:hAnsi="仿宋" w:eastAsia="仿宋" w:cs="仿宋"/>
          <w:b/>
          <w:color w:val="auto"/>
          <w:sz w:val="24"/>
          <w:highlight w:val="none"/>
          <w:u w:val="single"/>
        </w:rPr>
      </w:pPr>
      <w:r>
        <w:rPr>
          <w:rFonts w:ascii="仿宋" w:hAnsi="仿宋" w:eastAsia="仿宋" w:cs="仿宋"/>
          <w:b/>
          <w:color w:val="auto"/>
          <w:sz w:val="24"/>
          <w:highlight w:val="none"/>
          <w:u w:val="single"/>
        </w:rPr>
        <w:t>1.5.2投标文件的效力：</w:t>
      </w:r>
    </w:p>
    <w:p w14:paraId="4E1EF9A7">
      <w:pPr>
        <w:shd w:val="clea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F30FFA8">
      <w:pPr>
        <w:pStyle w:val="33"/>
        <w:shd w:val="clear"/>
        <w:spacing w:line="440" w:lineRule="exact"/>
        <w:rPr>
          <w:rFonts w:ascii="仿宋" w:hAnsi="仿宋" w:eastAsia="仿宋" w:cs="仿宋"/>
          <w:b/>
          <w:color w:val="auto"/>
          <w:sz w:val="24"/>
          <w:szCs w:val="24"/>
          <w:highlight w:val="none"/>
        </w:rPr>
      </w:pPr>
      <w:r>
        <w:rPr>
          <w:rFonts w:ascii="仿宋" w:hAnsi="仿宋" w:eastAsia="仿宋" w:cs="仿宋"/>
          <w:b/>
          <w:color w:val="auto"/>
          <w:sz w:val="24"/>
          <w:szCs w:val="24"/>
          <w:highlight w:val="none"/>
        </w:rPr>
        <w:t xml:space="preserve">2. </w:t>
      </w:r>
      <w:r>
        <w:rPr>
          <w:rFonts w:hint="eastAsia" w:ascii="仿宋" w:hAnsi="仿宋" w:eastAsia="仿宋" w:cs="仿宋"/>
          <w:b/>
          <w:color w:val="auto"/>
          <w:sz w:val="24"/>
          <w:szCs w:val="24"/>
          <w:highlight w:val="none"/>
        </w:rPr>
        <w:t>投标文件的组成</w:t>
      </w:r>
    </w:p>
    <w:p w14:paraId="23935680">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5058DE33">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rPr>
        <w:t>2</w:t>
      </w:r>
      <w:r>
        <w:rPr>
          <w:rFonts w:ascii="仿宋" w:hAnsi="仿宋" w:eastAsia="仿宋" w:cs="仿宋"/>
          <w:b/>
          <w:color w:val="auto"/>
          <w:sz w:val="24"/>
          <w:highlight w:val="none"/>
          <w:lang w:val="zh-CN"/>
        </w:rPr>
        <w:t>.1资格文件：</w:t>
      </w:r>
    </w:p>
    <w:p w14:paraId="69B9AC8C">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2.1.1符合参加采购活动应当具备的一般条件的承诺函；</w:t>
      </w:r>
    </w:p>
    <w:p w14:paraId="7BD52187">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2.1.2联合协议（如果有)；</w:t>
      </w:r>
    </w:p>
    <w:p w14:paraId="1216EB25">
      <w:pPr>
        <w:shd w:val="clear"/>
        <w:snapToGrid w:val="0"/>
        <w:spacing w:line="440" w:lineRule="exact"/>
        <w:ind w:firstLine="720" w:firstLineChars="300"/>
        <w:rPr>
          <w:rFonts w:ascii="仿宋" w:hAnsi="仿宋" w:eastAsia="仿宋" w:cs="仿宋"/>
          <w:color w:val="auto"/>
          <w:highlight w:val="none"/>
        </w:rPr>
      </w:pPr>
      <w:r>
        <w:rPr>
          <w:rFonts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w:t>
      </w:r>
    </w:p>
    <w:p w14:paraId="591DBACB">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2.1.4落实采购政策需满足的资格要求（如果有)；</w:t>
      </w:r>
    </w:p>
    <w:p w14:paraId="6EF239B1">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2.1.5本项目的特定资格要求（如果有)。</w:t>
      </w:r>
    </w:p>
    <w:p w14:paraId="699B1036">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2.</w:t>
      </w:r>
      <w:r>
        <w:rPr>
          <w:rFonts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E4A5337">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2.2.1投标函；</w:t>
      </w:r>
    </w:p>
    <w:p w14:paraId="22B13CCD">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2.2.2法定代表人授权委托书；</w:t>
      </w:r>
    </w:p>
    <w:p w14:paraId="1535D828">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2.2.3授权代表社保证明；</w:t>
      </w:r>
    </w:p>
    <w:p w14:paraId="28888982">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4C456AA0">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5</w:t>
      </w:r>
      <w:r>
        <w:rPr>
          <w:rFonts w:ascii="仿宋" w:hAnsi="仿宋" w:eastAsia="仿宋" w:cs="仿宋"/>
          <w:color w:val="auto"/>
          <w:sz w:val="24"/>
          <w:highlight w:val="none"/>
        </w:rPr>
        <w:t>法定代表人身份证明书；</w:t>
      </w:r>
    </w:p>
    <w:p w14:paraId="087B1DB5">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6</w:t>
      </w:r>
      <w:r>
        <w:rPr>
          <w:rFonts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8C19A44">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7</w:t>
      </w:r>
      <w:r>
        <w:rPr>
          <w:rFonts w:ascii="仿宋" w:hAnsi="仿宋" w:eastAsia="仿宋" w:cs="仿宋"/>
          <w:color w:val="auto"/>
          <w:sz w:val="24"/>
          <w:highlight w:val="none"/>
        </w:rPr>
        <w:t>廉政承诺书（格式见第六部分附件）；</w:t>
      </w:r>
    </w:p>
    <w:p w14:paraId="1E7E9EC6">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8</w:t>
      </w:r>
      <w:r>
        <w:rPr>
          <w:rFonts w:ascii="仿宋" w:hAnsi="仿宋" w:eastAsia="仿宋" w:cs="仿宋"/>
          <w:color w:val="auto"/>
          <w:sz w:val="24"/>
          <w:highlight w:val="none"/>
        </w:rPr>
        <w:t>提供相关标</w:t>
      </w:r>
      <w:r>
        <w:rPr>
          <w:rFonts w:hint="eastAsia" w:ascii="仿宋" w:hAnsi="仿宋" w:eastAsia="仿宋" w:cs="仿宋"/>
          <w:color w:val="auto"/>
          <w:sz w:val="24"/>
          <w:highlight w:val="none"/>
          <w:lang w:eastAsia="zh-CN"/>
        </w:rPr>
        <w:t>项</w:t>
      </w:r>
      <w:r>
        <w:rPr>
          <w:rFonts w:ascii="仿宋" w:hAnsi="仿宋" w:eastAsia="仿宋" w:cs="仿宋"/>
          <w:color w:val="auto"/>
          <w:sz w:val="24"/>
          <w:highlight w:val="none"/>
        </w:rPr>
        <w:t>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9BFC5DD">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9</w:t>
      </w:r>
      <w:r>
        <w:rPr>
          <w:rFonts w:ascii="仿宋" w:hAnsi="仿宋" w:eastAsia="仿宋" w:cs="仿宋"/>
          <w:color w:val="auto"/>
          <w:sz w:val="24"/>
          <w:highlight w:val="none"/>
        </w:rPr>
        <w:t>供应商应提供针对项目的完整技术解决方案：</w:t>
      </w:r>
    </w:p>
    <w:p w14:paraId="0CA53766">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E7C6292">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672F2FD">
      <w:pPr>
        <w:shd w:val="clea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072FCEF">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10</w:t>
      </w:r>
      <w:r>
        <w:rPr>
          <w:rFonts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52975EB2">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1</w:t>
      </w:r>
      <w:r>
        <w:rPr>
          <w:rFonts w:ascii="仿宋" w:hAnsi="仿宋" w:eastAsia="仿宋"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6F94032">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2</w:t>
      </w:r>
      <w:r>
        <w:rPr>
          <w:rFonts w:ascii="仿宋" w:hAnsi="仿宋" w:eastAsia="仿宋"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4D0D61FE">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3</w:t>
      </w:r>
      <w:r>
        <w:rPr>
          <w:rFonts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77CE87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4</w:t>
      </w:r>
      <w:r>
        <w:rPr>
          <w:rFonts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6134C8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5</w:t>
      </w:r>
      <w:r>
        <w:rPr>
          <w:rFonts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4C4C3650">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6</w:t>
      </w:r>
      <w:r>
        <w:rPr>
          <w:rFonts w:ascii="仿宋" w:hAnsi="仿宋" w:eastAsia="仿宋" w:cs="仿宋"/>
          <w:color w:val="auto"/>
          <w:sz w:val="24"/>
          <w:highlight w:val="none"/>
        </w:rPr>
        <w:t>培训计划（如有）；</w:t>
      </w:r>
    </w:p>
    <w:p w14:paraId="09451A2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7</w:t>
      </w:r>
      <w:r>
        <w:rPr>
          <w:rFonts w:ascii="仿宋" w:hAnsi="仿宋" w:eastAsia="仿宋" w:cs="仿宋"/>
          <w:color w:val="auto"/>
          <w:sz w:val="24"/>
          <w:highlight w:val="none"/>
        </w:rPr>
        <w:t>验收方案；</w:t>
      </w:r>
    </w:p>
    <w:p w14:paraId="1DDFE3B1">
      <w:pPr>
        <w:shd w:val="clear"/>
        <w:snapToGrid w:val="0"/>
        <w:spacing w:line="440" w:lineRule="exact"/>
        <w:ind w:firstLine="720" w:firstLineChars="300"/>
        <w:rPr>
          <w:rFonts w:ascii="仿宋" w:hAnsi="仿宋" w:eastAsia="仿宋" w:cs="仿宋"/>
          <w:color w:val="auto"/>
          <w:sz w:val="24"/>
          <w:highlight w:val="none"/>
          <w:u w:val="wave"/>
        </w:rPr>
      </w:pPr>
      <w:r>
        <w:rPr>
          <w:rFonts w:ascii="仿宋" w:hAnsi="仿宋" w:eastAsia="仿宋" w:cs="仿宋"/>
          <w:color w:val="auto"/>
          <w:sz w:val="24"/>
          <w:highlight w:val="none"/>
        </w:rPr>
        <w:t>2.2.1</w:t>
      </w:r>
      <w:r>
        <w:rPr>
          <w:rFonts w:hint="eastAsia"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0CDF14C4">
      <w:pPr>
        <w:shd w:val="clear"/>
        <w:snapToGrid w:val="0"/>
        <w:spacing w:line="440" w:lineRule="exact"/>
        <w:ind w:firstLine="720" w:firstLineChars="300"/>
        <w:rPr>
          <w:color w:val="auto"/>
          <w:highlight w:val="none"/>
          <w:lang w:val="zh-CN"/>
        </w:rPr>
      </w:pPr>
      <w:r>
        <w:rPr>
          <w:rFonts w:ascii="仿宋" w:hAnsi="仿宋" w:eastAsia="仿宋" w:cs="仿宋"/>
          <w:color w:val="auto"/>
          <w:sz w:val="24"/>
          <w:highlight w:val="none"/>
        </w:rPr>
        <w:t>2.2.1</w:t>
      </w:r>
      <w:r>
        <w:rPr>
          <w:rFonts w:hint="eastAsia" w:ascii="仿宋" w:hAnsi="仿宋" w:eastAsia="仿宋" w:cs="仿宋"/>
          <w:color w:val="auto"/>
          <w:sz w:val="24"/>
          <w:highlight w:val="none"/>
        </w:rPr>
        <w:t>9</w:t>
      </w:r>
      <w:r>
        <w:rPr>
          <w:rFonts w:ascii="仿宋" w:hAnsi="仿宋" w:eastAsia="仿宋" w:cs="仿宋"/>
          <w:color w:val="auto"/>
          <w:sz w:val="24"/>
          <w:highlight w:val="none"/>
        </w:rPr>
        <w:t>投标人需要说明的其他文件和说明（格式自拟）。</w:t>
      </w:r>
    </w:p>
    <w:p w14:paraId="55F4A5DB">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 xml:space="preserve">2.3报价文件： </w:t>
      </w:r>
    </w:p>
    <w:p w14:paraId="3C81196E">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2.3.1开标一览表（报价表）；</w:t>
      </w:r>
    </w:p>
    <w:p w14:paraId="46F54691">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2.3.2中小企业声明函（如果有）。</w:t>
      </w:r>
    </w:p>
    <w:p w14:paraId="5E1A13F9">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（如果有）</w:t>
      </w:r>
    </w:p>
    <w:p w14:paraId="323C86A4">
      <w:pPr>
        <w:shd w:val="clear"/>
        <w:snapToGrid w:val="0"/>
        <w:spacing w:line="440" w:lineRule="exact"/>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2EC09E0A">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32DD5E11">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22E341F2">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311258FB">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7ADEACC1">
      <w:pPr>
        <w:pStyle w:val="131"/>
        <w:shd w:val="clear"/>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647E406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26A7D15">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.2投标人进行电子投标应安装客户端软件—“</w:t>
      </w:r>
      <w:r>
        <w:rPr>
          <w:rFonts w:hint="eastAsia" w:ascii="仿宋" w:hAnsi="仿宋" w:eastAsia="仿宋" w:cs="仿宋"/>
          <w:color w:val="auto"/>
          <w:sz w:val="24"/>
          <w:highlight w:val="none"/>
          <w:lang w:val="zh-CN"/>
        </w:rPr>
        <w:t>乐采云电子交易客户端”，并按照招标文件和电子交易平台的要求编制并加密投标文件。投标人未按规定加密的投标文件，电子交易平台将拒收并提示。</w:t>
      </w:r>
    </w:p>
    <w:p w14:paraId="69B8E9BD">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.3使用“</w:t>
      </w:r>
      <w:r>
        <w:rPr>
          <w:rFonts w:hint="eastAsia" w:ascii="仿宋" w:hAnsi="仿宋" w:eastAsia="仿宋" w:cs="仿宋"/>
          <w:color w:val="auto"/>
          <w:sz w:val="24"/>
          <w:highlight w:val="none"/>
          <w:lang w:val="zh-CN"/>
        </w:rPr>
        <w:t>乐采云电子交易客户端”需要提前申领</w:t>
      </w:r>
      <w:r>
        <w:rPr>
          <w:rFonts w:ascii="仿宋" w:hAnsi="仿宋" w:eastAsia="仿宋" w:cs="仿宋"/>
          <w:color w:val="auto"/>
          <w:sz w:val="24"/>
          <w:highlight w:val="none"/>
          <w:lang w:val="zh-CN"/>
        </w:rPr>
        <w:t>CA数字证书，申领流程请自行前往“浙江政府采购网-下载专区-电子交易客户端-CA驱动和申领流程”进行查阅。</w:t>
      </w:r>
    </w:p>
    <w:p w14:paraId="1CD581D4">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4EFACAD">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559EF46E">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1C72B2DF">
      <w:pPr>
        <w:pStyle w:val="131"/>
        <w:shd w:val="clear"/>
        <w:spacing w:before="0" w:line="440" w:lineRule="exact"/>
        <w:ind w:firstLine="0" w:firstLineChars="0"/>
        <w:rPr>
          <w:rFonts w:ascii="仿宋" w:hAnsi="仿宋" w:eastAsia="仿宋" w:cs="仿宋"/>
          <w:b/>
          <w:color w:val="auto"/>
          <w:szCs w:val="24"/>
          <w:highlight w:val="none"/>
        </w:rPr>
      </w:pPr>
      <w:r>
        <w:rPr>
          <w:rFonts w:ascii="仿宋" w:hAnsi="仿宋" w:eastAsia="仿宋" w:cs="仿宋"/>
          <w:b/>
          <w:color w:val="auto"/>
          <w:szCs w:val="24"/>
          <w:highlight w:val="none"/>
        </w:rPr>
        <w:t>5. 投标文件的提交、补充、修改、撤回</w:t>
      </w:r>
    </w:p>
    <w:p w14:paraId="03BD087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5.1 </w:t>
      </w:r>
      <w:r>
        <w:rPr>
          <w:rFonts w:hint="eastAsia" w:ascii="仿宋" w:hAnsi="仿宋" w:eastAsia="仿宋" w:cs="仿宋"/>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E61E6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40C53B7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660E5B80">
      <w:pPr>
        <w:shd w:val="clear"/>
        <w:spacing w:line="440" w:lineRule="exact"/>
        <w:rPr>
          <w:rFonts w:ascii="仿宋" w:hAnsi="仿宋" w:eastAsia="仿宋" w:cs="仿宋"/>
          <w:b/>
          <w:color w:val="auto"/>
          <w:sz w:val="32"/>
          <w:highlight w:val="none"/>
        </w:rPr>
      </w:pPr>
      <w:r>
        <w:rPr>
          <w:rFonts w:ascii="仿宋" w:hAnsi="仿宋" w:eastAsia="仿宋" w:cs="仿宋"/>
          <w:b/>
          <w:bCs/>
          <w:color w:val="auto"/>
          <w:sz w:val="24"/>
          <w:highlight w:val="none"/>
        </w:rPr>
        <w:t>6.投标有效期</w:t>
      </w:r>
    </w:p>
    <w:p w14:paraId="6F9F079C">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74A16B4">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6.2投标文件合格投递后，自投标截止日期起，在投标有效期内有效。</w:t>
      </w:r>
    </w:p>
    <w:p w14:paraId="422FE85F">
      <w:pPr>
        <w:pStyle w:val="131"/>
        <w:shd w:val="clear"/>
        <w:spacing w:before="0" w:line="440" w:lineRule="exact"/>
        <w:ind w:firstLine="480"/>
        <w:rPr>
          <w:rFonts w:ascii="仿宋" w:hAnsi="仿宋" w:eastAsia="仿宋" w:cs="仿宋"/>
          <w:color w:val="auto"/>
          <w:szCs w:val="24"/>
          <w:highlight w:val="none"/>
        </w:rPr>
      </w:pPr>
      <w:r>
        <w:rPr>
          <w:rFonts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2D37D84C">
      <w:pPr>
        <w:pStyle w:val="131"/>
        <w:shd w:val="clear"/>
        <w:spacing w:before="0" w:line="440" w:lineRule="exact"/>
        <w:ind w:firstLine="643"/>
        <w:rPr>
          <w:rFonts w:ascii="仿宋" w:hAnsi="仿宋" w:eastAsia="仿宋" w:cs="仿宋"/>
          <w:b/>
          <w:color w:val="auto"/>
          <w:sz w:val="32"/>
          <w:highlight w:val="none"/>
        </w:rPr>
      </w:pPr>
    </w:p>
    <w:p w14:paraId="175D294A">
      <w:pPr>
        <w:shd w:val="clea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7D8A3EA7">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1．电子招投标开标及评审程序</w:t>
      </w:r>
    </w:p>
    <w:p w14:paraId="53294A7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1.1投标截止时间后，主持人宣布开标会开始。</w:t>
      </w:r>
    </w:p>
    <w:p w14:paraId="7C62A903">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1.2投标人登录</w:t>
      </w:r>
      <w:r>
        <w:rPr>
          <w:rFonts w:hint="eastAsia" w:ascii="仿宋" w:hAnsi="仿宋" w:eastAsia="仿宋" w:cs="仿宋"/>
          <w:color w:val="auto"/>
          <w:sz w:val="24"/>
          <w:highlight w:val="none"/>
        </w:rPr>
        <w:t>乐采云平台，用“项目采购</w:t>
      </w:r>
      <w:r>
        <w:rPr>
          <w:rFonts w:ascii="仿宋" w:hAnsi="仿宋" w:eastAsia="仿宋" w:cs="仿宋"/>
          <w:color w:val="auto"/>
          <w:sz w:val="24"/>
          <w:highlight w:val="none"/>
        </w:rPr>
        <w:t>-开标评标”功能对电子投标文件进行在线解密。在线解密电子投标文件时间为开标时间起30分钟内。</w:t>
      </w:r>
    </w:p>
    <w:p w14:paraId="3DE9F6C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1.3评标委员会对资格和商务技术响应文件进行评审。</w:t>
      </w:r>
    </w:p>
    <w:p w14:paraId="7715D3C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2B06D7F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DC39C4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5EA4436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1.7主持人公布评标结果。</w:t>
      </w:r>
    </w:p>
    <w:p w14:paraId="1E3BCEDD">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14:paraId="5BECC66B">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83BA09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2.1电子交易平台发生故障而无法登录访问的； </w:t>
      </w:r>
    </w:p>
    <w:p w14:paraId="5A1BC37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2.2电子交易平台应用或数据库出现错误，不能进行正常操作的；</w:t>
      </w:r>
    </w:p>
    <w:p w14:paraId="728DC57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2.3电子交易平台发现严重安全漏洞，有潜在泄密危险的；</w:t>
      </w:r>
    </w:p>
    <w:p w14:paraId="42B78B7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2.4病毒发作导致不能进行正常操作的； </w:t>
      </w:r>
    </w:p>
    <w:p w14:paraId="0D6D07D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2.5其他无法保证电子交易的公平、公正和安全的情况。</w:t>
      </w:r>
    </w:p>
    <w:p w14:paraId="7607D9A3">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84B096E">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3．评标</w:t>
      </w:r>
    </w:p>
    <w:p w14:paraId="3126A1D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3.1评标委员会由招标采购单位依法组建，负责评标活动。评标委员会遵循公开、公平、公正、科学合理、竞争择优的原则。</w:t>
      </w:r>
    </w:p>
    <w:p w14:paraId="3C65204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3.2评标委员会由采购人代表和有关方面的专家组成，</w:t>
      </w:r>
      <w:r>
        <w:rPr>
          <w:rFonts w:hint="eastAsia" w:ascii="仿宋" w:hAnsi="仿宋" w:eastAsia="仿宋" w:cs="仿宋"/>
          <w:color w:val="auto"/>
          <w:sz w:val="24"/>
          <w:highlight w:val="none"/>
        </w:rPr>
        <w:t>成员人数为</w:t>
      </w:r>
      <w:r>
        <w:rPr>
          <w:rFonts w:hint="eastAsia" w:ascii="仿宋" w:hAnsi="仿宋" w:eastAsia="仿宋" w:cs="仿宋"/>
          <w:color w:val="auto"/>
          <w:sz w:val="24"/>
          <w:highlight w:val="none"/>
          <w:u w:val="single"/>
        </w:rPr>
        <w:t>五</w:t>
      </w:r>
      <w:r>
        <w:rPr>
          <w:rFonts w:hint="eastAsia" w:ascii="仿宋" w:hAnsi="仿宋" w:eastAsia="仿宋" w:cs="仿宋"/>
          <w:color w:val="auto"/>
          <w:sz w:val="24"/>
          <w:highlight w:val="none"/>
        </w:rPr>
        <w:t>人以上单数。</w:t>
      </w:r>
    </w:p>
    <w:p w14:paraId="2D1D151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3.3评标委员会负责对投标人资格的最终审定。</w:t>
      </w:r>
    </w:p>
    <w:p w14:paraId="61CFF74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7DA4CF46">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2D9FD0BA">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14:paraId="55734E0F">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w:t>
      </w:r>
      <w:r>
        <w:rPr>
          <w:rFonts w:hint="eastAsia" w:ascii="仿宋" w:hAnsi="仿宋" w:eastAsia="仿宋" w:cs="仿宋"/>
          <w:color w:val="auto"/>
          <w:sz w:val="24"/>
          <w:highlight w:val="none"/>
        </w:rPr>
        <w:t>审、修改记录应保留原件，随项目其他资料一并存档。</w:t>
      </w:r>
    </w:p>
    <w:p w14:paraId="4673623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3.6评标委员会对投标文件的判定，只依据投标文件和招标文件内容本身，不依据任何外来证明。</w:t>
      </w:r>
    </w:p>
    <w:p w14:paraId="2BECD350">
      <w:pPr>
        <w:shd w:val="clear"/>
        <w:snapToGrid w:val="0"/>
        <w:spacing w:line="440" w:lineRule="exact"/>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3.7评标委员会不向落标方解释落标的原因。</w:t>
      </w:r>
    </w:p>
    <w:p w14:paraId="0535CC82">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4．投标文件的初审鉴定</w:t>
      </w:r>
    </w:p>
    <w:p w14:paraId="18E8903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4.1资格性审查</w:t>
      </w:r>
    </w:p>
    <w:p w14:paraId="6641B70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4.1.1依据法律、法规和招标文件规定，采购人或采购人代表对投标人进行资格审查，以确定投标人是否具备投标资格。</w:t>
      </w:r>
    </w:p>
    <w:p w14:paraId="488A6F4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4.2符合性审查</w:t>
      </w:r>
    </w:p>
    <w:p w14:paraId="04B4A813">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CD50BE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8DEA70B">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9DB893D">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5.1投标文件中开标一览表（报价表）内容与投标文件中相应内容不一致的，以开标一览表（报价表）为准；</w:t>
      </w:r>
    </w:p>
    <w:p w14:paraId="5ACF993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5.2大写金额和小写金额不一致的，以大写金额为准；</w:t>
      </w:r>
    </w:p>
    <w:p w14:paraId="47C70B4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5.3单价金额小数点或者百分比有明显错位的，以开标一览表的总价为准，并修改单价；</w:t>
      </w:r>
    </w:p>
    <w:p w14:paraId="6F0730D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5.4总价金额与按单价汇总金额不一致的，以单价金额计算结果为准。</w:t>
      </w:r>
    </w:p>
    <w:p w14:paraId="09D5A21D">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w:t>
      </w:r>
      <w:r>
        <w:rPr>
          <w:rFonts w:ascii="仿宋" w:hAnsi="仿宋" w:eastAsia="仿宋" w:cs="仿宋"/>
          <w:color w:val="auto"/>
          <w:sz w:val="24"/>
          <w:highlight w:val="none"/>
        </w:rPr>
        <w:t xml:space="preserve">87号令 </w:t>
      </w:r>
      <w:r>
        <w:rPr>
          <w:rFonts w:hint="eastAsia" w:ascii="仿宋" w:hAnsi="仿宋" w:eastAsia="仿宋" w:cs="仿宋"/>
          <w:color w:val="auto"/>
          <w:sz w:val="24"/>
          <w:highlight w:val="none"/>
        </w:rPr>
        <w:t>《政府采购货物和服务招标投标管理办法》第五十一条第二款的规定经投标人确认后产生约束力，投标人不确认的，其投标无效。</w:t>
      </w:r>
    </w:p>
    <w:p w14:paraId="2309280C">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6.投标文件的评审、比较和否决</w:t>
      </w:r>
    </w:p>
    <w:p w14:paraId="2A06087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6.1评标委员会将对在实质上响应招标文件要求的投标文件进行评估和比较。</w:t>
      </w:r>
    </w:p>
    <w:p w14:paraId="04E45C6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6.2在评审过程中，评标委员会可以书面形式要求投标人就投标文件含义不明确的内容可对其通过</w:t>
      </w:r>
      <w:r>
        <w:rPr>
          <w:rFonts w:hint="eastAsia" w:ascii="仿宋" w:hAnsi="仿宋" w:eastAsia="仿宋" w:cs="仿宋"/>
          <w:color w:val="auto"/>
          <w:sz w:val="24"/>
          <w:highlight w:val="none"/>
        </w:rPr>
        <w:t>乐采云平台进行书面说明并提供相关材料，但不得超过投标文件的范围或者改变投标文件的实质性内容。</w:t>
      </w:r>
    </w:p>
    <w:p w14:paraId="4B8EA43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6.3在评标过程中，如发现与招标文件要求相偏离的，评标委员会可对其偏离情形进行必要的核实。</w:t>
      </w:r>
    </w:p>
    <w:p w14:paraId="5B27F3A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6.4在评审过程中，如属于实质性偏离或符合无效响应条件的，应当询问相关投标人，并可对其通过</w:t>
      </w:r>
      <w:r>
        <w:rPr>
          <w:rFonts w:hint="eastAsia" w:ascii="仿宋" w:hAnsi="仿宋" w:eastAsia="仿宋" w:cs="仿宋"/>
          <w:color w:val="auto"/>
          <w:sz w:val="24"/>
          <w:highlight w:val="none"/>
        </w:rPr>
        <w:t>乐采云平台进行线上确认，但不允许对偏离条款进行补充、修正或撤回。</w:t>
      </w:r>
    </w:p>
    <w:p w14:paraId="7A1DF5D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6.5比较与评价。评标委员会应当按照评标标准，对符合性审查合格的投标文件进行商务和技术评估，综合比较与评价。</w:t>
      </w:r>
    </w:p>
    <w:p w14:paraId="7CF58573">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0DFD55D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6.7 </w:t>
      </w:r>
      <w:r>
        <w:rPr>
          <w:rFonts w:hint="eastAsia" w:ascii="仿宋" w:hAnsi="仿宋" w:eastAsia="仿宋" w:cs="仿宋"/>
          <w:color w:val="auto"/>
          <w:sz w:val="24"/>
          <w:highlight w:val="none"/>
        </w:rPr>
        <w:t>报价审核。对符合采购需求且通过商务技术（资信）评审的投标人的报价的合理性、准确性等进行审查核实。</w:t>
      </w:r>
    </w:p>
    <w:p w14:paraId="580EF26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color w:val="auto"/>
          <w:sz w:val="24"/>
          <w:highlight w:val="none"/>
        </w:rPr>
        <w:t>乐采云平台提供线上说明，必要时提交相关证明材料。</w:t>
      </w:r>
    </w:p>
    <w:p w14:paraId="32EAAA4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C6EC9F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6.7.3如需投标价格修正，按财政部87号令第五十九条的规定对投标价格进行修正。</w:t>
      </w:r>
    </w:p>
    <w:p w14:paraId="2FB7FB43">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02FDB6D">
      <w:pPr>
        <w:pStyle w:val="14"/>
        <w:widowControl w:val="0"/>
        <w:shd w:val="clear"/>
        <w:tabs>
          <w:tab w:val="clear" w:pos="390"/>
          <w:tab w:val="clear" w:pos="454"/>
        </w:tabs>
        <w:spacing w:after="120" w:line="440" w:lineRule="exact"/>
        <w:ind w:left="0" w:firstLine="0"/>
        <w:rPr>
          <w:rFonts w:ascii="仿宋" w:hAnsi="仿宋" w:eastAsia="仿宋" w:cs="仿宋"/>
          <w:b/>
          <w:color w:val="auto"/>
          <w:highlight w:val="none"/>
        </w:rPr>
      </w:pPr>
      <w:r>
        <w:rPr>
          <w:rFonts w:ascii="仿宋" w:hAnsi="仿宋" w:eastAsia="仿宋" w:cs="仿宋"/>
          <w:b/>
          <w:color w:val="auto"/>
          <w:highlight w:val="none"/>
        </w:rPr>
        <w:t>7.投标文件的澄清</w:t>
      </w:r>
    </w:p>
    <w:p w14:paraId="51DA56EC">
      <w:pPr>
        <w:pStyle w:val="14"/>
        <w:widowControl w:val="0"/>
        <w:shd w:val="clear"/>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6BA9044">
      <w:pPr>
        <w:pStyle w:val="33"/>
        <w:shd w:val="clear"/>
        <w:snapToGrid w:val="0"/>
        <w:spacing w:line="440" w:lineRule="exact"/>
        <w:jc w:val="left"/>
        <w:rPr>
          <w:rFonts w:ascii="仿宋" w:hAnsi="仿宋" w:eastAsia="仿宋" w:cs="仿宋"/>
          <w:b/>
          <w:color w:val="auto"/>
          <w:sz w:val="24"/>
          <w:szCs w:val="24"/>
          <w:highlight w:val="none"/>
        </w:rPr>
      </w:pPr>
      <w:r>
        <w:rPr>
          <w:rFonts w:ascii="仿宋" w:hAnsi="仿宋" w:eastAsia="仿宋" w:cs="仿宋"/>
          <w:b/>
          <w:color w:val="auto"/>
          <w:sz w:val="24"/>
          <w:szCs w:val="24"/>
          <w:highlight w:val="none"/>
        </w:rPr>
        <w:t>8.无效投标的情形</w:t>
      </w:r>
    </w:p>
    <w:p w14:paraId="43F2D036">
      <w:pPr>
        <w:shd w:val="clea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47FA876">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31D8EC83">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034EFDF6">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6382165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A8FA1C0">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1D053546">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4FFA1F2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665BFC7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518231C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76669173">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64FDA256">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5F0C0DA">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2FB3D55D">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4748BE73">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C19F0B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6582310C">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6AE7D97A">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6760885">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506B586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0B8599C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2B4A95D9">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6F560165">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73CCFF33">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45726FAD">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4B0B8190">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0800DEE5">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3E22205E">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53DF3962">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46BADF17">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4D71D6A0">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0A36E4FA">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3E1E733A">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74D879F">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206092C8">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1659737E">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216FE61A">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1EA81BFE">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153A0195">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2EA123E4">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27A220C6">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7C069DD0">
      <w:pPr>
        <w:keepNext w:val="0"/>
        <w:keepLines w:val="0"/>
        <w:shd w:val="clear"/>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8.23参与同一个采购包(标段)的供应商存在下列情形之一的其投标(响应)文件无效：</w:t>
      </w:r>
    </w:p>
    <w:p w14:paraId="6801F7C7">
      <w:pPr>
        <w:keepNext w:val="0"/>
        <w:keepLines w:val="0"/>
        <w:shd w:val="clear"/>
        <w:kinsoku/>
        <w:wordWrap/>
        <w:overflowPunct/>
        <w:topLinePunct w:val="0"/>
        <w:bidi w:val="0"/>
        <w:snapToGrid w:val="0"/>
        <w:spacing w:line="288" w:lineRule="auto"/>
        <w:ind w:firstLine="720" w:firstLineChars="3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8.23.1不同供应商的电子投标(响应)文件上传计算机的网卡MAC地址、CPU序列号和硬盘序列号等硬件信息相同的；</w:t>
      </w:r>
    </w:p>
    <w:p w14:paraId="7EBE5992">
      <w:pPr>
        <w:keepNext w:val="0"/>
        <w:keepLines w:val="0"/>
        <w:shd w:val="clear"/>
        <w:kinsoku/>
        <w:wordWrap/>
        <w:overflowPunct/>
        <w:topLinePunct w:val="0"/>
        <w:bidi w:val="0"/>
        <w:snapToGrid w:val="0"/>
        <w:spacing w:line="288" w:lineRule="auto"/>
        <w:ind w:firstLine="720" w:firstLineChars="3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8.23.2不同供应商联系人为同一人或不同联系人的联系电话一致，且无法合理解释的。</w:t>
      </w:r>
    </w:p>
    <w:p w14:paraId="21AE8580">
      <w:pPr>
        <w:keepNext w:val="0"/>
        <w:keepLines w:val="0"/>
        <w:shd w:val="clear"/>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8.24评标委员会认定有重大偏差或实质性不响应招标文件要求的；</w:t>
      </w:r>
    </w:p>
    <w:p w14:paraId="59919406">
      <w:pPr>
        <w:keepNext w:val="0"/>
        <w:keepLines w:val="0"/>
        <w:shd w:val="clear"/>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8.25投标文件出现不是唯一的、有选择性投标报价的；</w:t>
      </w:r>
    </w:p>
    <w:p w14:paraId="3B4357AB">
      <w:pPr>
        <w:shd w:val="clea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8.26其他违反法律、法规的情形。</w:t>
      </w:r>
    </w:p>
    <w:p w14:paraId="6AAFFF74">
      <w:pPr>
        <w:shd w:val="clear"/>
        <w:snapToGrid w:val="0"/>
        <w:spacing w:line="440" w:lineRule="exact"/>
        <w:rPr>
          <w:rFonts w:ascii="仿宋" w:hAnsi="仿宋" w:eastAsia="仿宋" w:cs="仿宋"/>
          <w:b/>
          <w:color w:val="auto"/>
          <w:kern w:val="0"/>
          <w:sz w:val="24"/>
          <w:highlight w:val="none"/>
        </w:rPr>
      </w:pPr>
      <w:r>
        <w:rPr>
          <w:rFonts w:ascii="仿宋" w:hAnsi="仿宋" w:eastAsia="仿宋" w:cs="仿宋"/>
          <w:b/>
          <w:color w:val="auto"/>
          <w:kern w:val="0"/>
          <w:sz w:val="24"/>
          <w:highlight w:val="none"/>
        </w:rPr>
        <w:t xml:space="preserve">9. </w:t>
      </w:r>
      <w:r>
        <w:rPr>
          <w:rFonts w:hint="eastAsia" w:ascii="仿宋" w:hAnsi="仿宋" w:eastAsia="仿宋" w:cs="仿宋"/>
          <w:b/>
          <w:color w:val="auto"/>
          <w:kern w:val="0"/>
          <w:sz w:val="24"/>
          <w:highlight w:val="none"/>
        </w:rPr>
        <w:t>评标过程保密</w:t>
      </w:r>
    </w:p>
    <w:p w14:paraId="4BDDFEA4">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4046CBE">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9.2 </w:t>
      </w:r>
      <w:r>
        <w:rPr>
          <w:rFonts w:hint="eastAsia" w:ascii="仿宋" w:hAnsi="仿宋" w:eastAsia="仿宋" w:cs="仿宋"/>
          <w:color w:val="auto"/>
          <w:kern w:val="0"/>
          <w:sz w:val="24"/>
          <w:highlight w:val="none"/>
        </w:rPr>
        <w:t>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F34068">
      <w:pPr>
        <w:shd w:val="clear"/>
        <w:snapToGrid w:val="0"/>
        <w:spacing w:line="360" w:lineRule="auto"/>
        <w:ind w:firstLine="482" w:firstLineChars="150"/>
        <w:jc w:val="center"/>
        <w:rPr>
          <w:rFonts w:ascii="仿宋" w:hAnsi="仿宋" w:eastAsia="仿宋" w:cs="仿宋"/>
          <w:b/>
          <w:color w:val="auto"/>
          <w:sz w:val="32"/>
          <w:highlight w:val="none"/>
        </w:rPr>
      </w:pPr>
    </w:p>
    <w:bookmarkEnd w:id="37"/>
    <w:p w14:paraId="7D3E0204">
      <w:pPr>
        <w:pStyle w:val="33"/>
        <w:shd w:val="clear"/>
        <w:spacing w:line="360" w:lineRule="auto"/>
        <w:ind w:firstLine="726"/>
        <w:jc w:val="center"/>
        <w:rPr>
          <w:rFonts w:ascii="仿宋" w:hAnsi="仿宋" w:eastAsia="仿宋" w:cs="仿宋"/>
          <w:b/>
          <w:color w:val="auto"/>
          <w:sz w:val="32"/>
          <w:szCs w:val="32"/>
          <w:highlight w:val="none"/>
        </w:rPr>
      </w:pPr>
      <w:bookmarkStart w:id="38" w:name="_Toc81372776"/>
      <w:bookmarkStart w:id="39" w:name="_Toc84325929"/>
      <w:bookmarkStart w:id="40" w:name="_Toc81372953"/>
      <w:r>
        <w:rPr>
          <w:rFonts w:hint="eastAsia" w:ascii="仿宋" w:hAnsi="仿宋" w:eastAsia="仿宋" w:cs="仿宋"/>
          <w:b/>
          <w:color w:val="auto"/>
          <w:sz w:val="32"/>
          <w:szCs w:val="32"/>
          <w:highlight w:val="none"/>
        </w:rPr>
        <w:t>五、授予合同</w:t>
      </w:r>
    </w:p>
    <w:bookmarkEnd w:id="38"/>
    <w:bookmarkEnd w:id="39"/>
    <w:bookmarkEnd w:id="40"/>
    <w:p w14:paraId="2E2F63BF">
      <w:pPr>
        <w:pStyle w:val="14"/>
        <w:shd w:val="clear"/>
        <w:tabs>
          <w:tab w:val="clear" w:pos="390"/>
          <w:tab w:val="clear" w:pos="454"/>
        </w:tabs>
        <w:spacing w:after="120" w:line="440" w:lineRule="exact"/>
        <w:ind w:left="0" w:firstLine="0"/>
        <w:rPr>
          <w:rFonts w:ascii="仿宋" w:hAnsi="仿宋" w:eastAsia="仿宋" w:cs="仿宋"/>
          <w:b/>
          <w:color w:val="auto"/>
          <w:szCs w:val="24"/>
          <w:highlight w:val="none"/>
        </w:rPr>
      </w:pPr>
      <w:r>
        <w:rPr>
          <w:rFonts w:ascii="仿宋" w:hAnsi="仿宋" w:eastAsia="仿宋" w:cs="仿宋"/>
          <w:b/>
          <w:color w:val="auto"/>
          <w:szCs w:val="24"/>
          <w:highlight w:val="none"/>
        </w:rPr>
        <w:t>1.中标条件</w:t>
      </w:r>
    </w:p>
    <w:p w14:paraId="0ECD734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1.1投标文件基本符合招标文件要求；</w:t>
      </w:r>
    </w:p>
    <w:p w14:paraId="0D13D79E">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1.2投标人有很好的执行合同的能力；</w:t>
      </w:r>
    </w:p>
    <w:p w14:paraId="6368987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1.3实施方案最合理并对招标人最为有利，最大限度满足招标文件的要求；</w:t>
      </w:r>
    </w:p>
    <w:p w14:paraId="532090E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1.4投标人能够提供质量技术、商务经济占综合优势的系统及服务。</w:t>
      </w:r>
    </w:p>
    <w:p w14:paraId="11CB72BA">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1.5招标人将把中标通知书授予最佳投标者，但最低价不是中标的绝对保证。</w:t>
      </w:r>
    </w:p>
    <w:p w14:paraId="0ABC8C14">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2.中标确认</w:t>
      </w:r>
    </w:p>
    <w:p w14:paraId="01B5EFAA">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2.1采购人应当自收到评标报告之日起５个工作日内，在评标报告确定的中标候选人名单中按顺序确定中标人。</w:t>
      </w:r>
    </w:p>
    <w:p w14:paraId="75C03F8A">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6A31D9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2.3采购人应在确认中标人前再次对资格条件和相关证件材料进一步查验核实。</w:t>
      </w:r>
    </w:p>
    <w:p w14:paraId="7E0AA095">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3．中标通知</w:t>
      </w:r>
    </w:p>
    <w:p w14:paraId="1FEB4A4A">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ascii="仿宋" w:hAnsi="仿宋" w:eastAsia="仿宋" w:cs="仿宋"/>
          <w:color w:val="auto"/>
          <w:sz w:val="24"/>
          <w:highlight w:val="none"/>
        </w:rPr>
        <w:t>http://zfcg.czt.zj.gov.cn/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ascii="仿宋" w:hAnsi="仿宋" w:eastAsia="仿宋" w:cs="仿宋"/>
          <w:color w:val="auto"/>
          <w:sz w:val="24"/>
          <w:highlight w:val="none"/>
        </w:rPr>
        <w:t>http://ggb.sx.gov.cn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w:t>
      </w:r>
      <w:r>
        <w:rPr>
          <w:rFonts w:ascii="仿宋" w:hAnsi="仿宋" w:eastAsia="仿宋" w:cs="仿宋"/>
          <w:color w:val="auto"/>
          <w:sz w:val="24"/>
          <w:highlight w:val="none"/>
        </w:rPr>
        <w:t>1个工作日。</w:t>
      </w:r>
    </w:p>
    <w:p w14:paraId="1D901215">
      <w:pPr>
        <w:shd w:val="clear"/>
        <w:snapToGrid w:val="0"/>
        <w:spacing w:line="440" w:lineRule="exact"/>
        <w:ind w:firstLine="480" w:firstLineChars="200"/>
        <w:rPr>
          <w:rFonts w:ascii="仿宋" w:hAnsi="仿宋" w:eastAsia="仿宋" w:cs="仿宋"/>
          <w:color w:val="auto"/>
          <w:sz w:val="24"/>
          <w:highlight w:val="none"/>
          <w:lang w:val="zh-CN"/>
        </w:rPr>
      </w:pPr>
      <w:r>
        <w:rPr>
          <w:rFonts w:ascii="仿宋" w:hAnsi="仿宋" w:eastAsia="仿宋" w:cs="仿宋"/>
          <w:color w:val="auto"/>
          <w:sz w:val="24"/>
          <w:highlight w:val="none"/>
        </w:rPr>
        <w:t>3.2采购机构通过</w:t>
      </w:r>
      <w:r>
        <w:rPr>
          <w:rFonts w:hint="eastAsia" w:ascii="仿宋" w:hAnsi="仿宋" w:eastAsia="仿宋" w:cs="仿宋"/>
          <w:color w:val="auto"/>
          <w:sz w:val="24"/>
          <w:highlight w:val="none"/>
        </w:rPr>
        <w:t>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40030EC">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3.3采购代理机构对中标结果不作任何说明和解释，也不回答任何提问。</w:t>
      </w:r>
    </w:p>
    <w:p w14:paraId="18E18C98">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4．履约保证金</w:t>
      </w:r>
    </w:p>
    <w:p w14:paraId="74B50DCB">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9736C4C">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4.2项目验收结束后，采购人应及时退还履约保证金。</w:t>
      </w:r>
    </w:p>
    <w:p w14:paraId="05B50A2E">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4.3供应商以银行、保险公司出具保函形式提交履约保证金的，采购人不得拒收。</w:t>
      </w:r>
    </w:p>
    <w:p w14:paraId="03D38473">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4.4采购货物和服务项目不得收取质量保证金。</w:t>
      </w:r>
    </w:p>
    <w:p w14:paraId="41649CA8">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5．合同签订及备案</w:t>
      </w:r>
    </w:p>
    <w:p w14:paraId="598DE5A7">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5.1中标人应当在中标通知书发出之日起30天内与采购人签订合同，自采购合同签订之日起</w:t>
      </w:r>
      <w:r>
        <w:rPr>
          <w:rFonts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1112319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5.2如中标人为联合体的，由联合体成员各方法定代表人或其授权代表与采购人代表签订合同。</w:t>
      </w:r>
    </w:p>
    <w:p w14:paraId="2F98EC09">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6.验收</w:t>
      </w:r>
    </w:p>
    <w:p w14:paraId="1ABD7095">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3969669">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246451D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6.3 </w:t>
      </w:r>
      <w:r>
        <w:rPr>
          <w:rFonts w:hint="eastAsia" w:ascii="仿宋" w:hAnsi="仿宋" w:eastAsia="仿宋" w:cs="仿宋"/>
          <w:color w:val="auto"/>
          <w:sz w:val="24"/>
          <w:highlight w:val="none"/>
        </w:rPr>
        <w:t>采购人负责加强对中标人的履约管理，并按照采购合同约定，及时向中标人支付采购资金。对于中标人违反采购合同约定的行为，采购人应当及时处理，依法追究其违约责任。</w:t>
      </w:r>
    </w:p>
    <w:p w14:paraId="33FC4DB0">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7.售后服务考核</w:t>
      </w:r>
    </w:p>
    <w:p w14:paraId="3BBA9A12">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3D4763B1">
      <w:pPr>
        <w:shd w:val="clear"/>
        <w:tabs>
          <w:tab w:val="left" w:pos="0"/>
        </w:tabs>
        <w:spacing w:line="360" w:lineRule="auto"/>
        <w:ind w:firstLine="480"/>
        <w:rPr>
          <w:rFonts w:ascii="仿宋" w:hAnsi="仿宋" w:eastAsia="仿宋" w:cs="仿宋"/>
          <w:color w:val="auto"/>
          <w:kern w:val="0"/>
          <w:sz w:val="24"/>
          <w:highlight w:val="none"/>
        </w:rPr>
      </w:pPr>
    </w:p>
    <w:p w14:paraId="4C5A5E9C">
      <w:pPr>
        <w:shd w:val="clea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6553F01E">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73999EA3">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2F984E19">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357B4722">
      <w:pPr>
        <w:shd w:val="clea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7E4E8CA">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17BFD2AD">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7BCFC549">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1A66615">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7AA60A2">
      <w:pPr>
        <w:widowControl/>
        <w:shd w:val="clear"/>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AC0C14C">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6A7A5FBD">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1D0C3CD5">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0F1E7A25">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21506BC3">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22715A82">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71FC1FE8">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0446E568">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0ACFF053">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0861EB2C">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76461A44">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4239EDC0">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CABEFB8">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0BC771D0">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4BFE5F2F">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14:paraId="7FBE3FA1">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299B1625">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4E161B03">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14:paraId="0C5073C6">
      <w:pPr>
        <w:shd w:val="clear"/>
        <w:snapToGrid w:val="0"/>
        <w:spacing w:line="440" w:lineRule="exac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209BE9DF">
      <w:pPr>
        <w:pStyle w:val="23"/>
        <w:shd w:val="clear"/>
        <w:spacing w:line="440" w:lineRule="exact"/>
        <w:ind w:firstLine="480" w:firstLineChars="200"/>
        <w:rPr>
          <w:rFonts w:ascii="仿宋" w:hAnsi="仿宋" w:eastAsia="仿宋" w:cs="仿宋"/>
          <w:color w:val="auto"/>
          <w:kern w:val="0"/>
          <w:highlight w:val="none"/>
        </w:rPr>
        <w:sectPr>
          <w:footerReference r:id="rId14" w:type="first"/>
          <w:footerReference r:id="rId13" w:type="default"/>
          <w:pgSz w:w="11906" w:h="16838"/>
          <w:pgMar w:top="1814" w:right="1474" w:bottom="1644" w:left="1474"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35"/>
    <w:bookmarkEnd w:id="36"/>
    <w:p w14:paraId="146CF853">
      <w:pPr>
        <w:shd w:val="clear"/>
        <w:spacing w:line="360" w:lineRule="auto"/>
        <w:jc w:val="center"/>
        <w:outlineLvl w:val="0"/>
        <w:rPr>
          <w:rFonts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第三部分招标项目范围及要求</w:t>
      </w:r>
    </w:p>
    <w:p w14:paraId="14026108">
      <w:pPr>
        <w:shd w:val="clear"/>
        <w:spacing w:line="560" w:lineRule="exact"/>
        <w:rPr>
          <w:rFonts w:hint="eastAsia" w:ascii="仿宋" w:hAnsi="仿宋" w:eastAsia="仿宋" w:cs="仿宋"/>
          <w:color w:val="auto"/>
          <w:kern w:val="0"/>
          <w:sz w:val="24"/>
          <w:szCs w:val="24"/>
          <w:highlight w:val="none"/>
          <w:lang w:val="zh-CN"/>
        </w:rPr>
      </w:pPr>
      <w:bookmarkStart w:id="43" w:name="_Toc10793"/>
      <w:r>
        <w:rPr>
          <w:rFonts w:hint="eastAsia" w:ascii="仿宋" w:hAnsi="仿宋" w:eastAsia="仿宋" w:cs="仿宋"/>
          <w:color w:val="auto"/>
          <w:kern w:val="0"/>
          <w:sz w:val="24"/>
          <w:szCs w:val="24"/>
          <w:highlight w:val="none"/>
          <w:lang w:val="zh-CN"/>
        </w:rPr>
        <w:t>一、项目情况：</w:t>
      </w:r>
    </w:p>
    <w:p w14:paraId="7C94006F">
      <w:pPr>
        <w:keepNext w:val="0"/>
        <w:keepLines w:val="0"/>
        <w:pageBreakBefore w:val="0"/>
        <w:widowControl w:val="0"/>
        <w:shd w:val="clear"/>
        <w:kinsoku/>
        <w:wordWrap/>
        <w:overflowPunct/>
        <w:topLinePunct w:val="0"/>
        <w:autoSpaceDE/>
        <w:autoSpaceDN/>
        <w:bidi w:val="0"/>
        <w:adjustRightInd w:val="0"/>
        <w:snapToGrid/>
        <w:spacing w:line="440" w:lineRule="exact"/>
        <w:ind w:left="0" w:leftChars="0" w:right="0" w:rightChars="0"/>
        <w:jc w:val="both"/>
        <w:textAlignment w:val="auto"/>
        <w:outlineLvl w:val="9"/>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1、项目说明：</w:t>
      </w:r>
    </w:p>
    <w:p w14:paraId="24E24DC4">
      <w:pPr>
        <w:keepNext w:val="0"/>
        <w:keepLines w:val="0"/>
        <w:pageBreakBefore w:val="0"/>
        <w:widowControl w:val="0"/>
        <w:shd w:val="clear"/>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本项目包括绍兴市公共交通集团有限公司及其下属绍兴市公共交通集团第一有限公司、绍兴市公共交通集团第二有限公司、绍兴市公共交通第三有限有限公司、绍兴市越风汽车修理有限责任公司、绍兴市悦动公交广告传媒有限公司、绍兴市交投特来电易捷充电网运营有限公司的物联网卡服务及网络线路租赁服务。</w:t>
      </w:r>
    </w:p>
    <w:p w14:paraId="47C6E6DE">
      <w:pPr>
        <w:keepNext w:val="0"/>
        <w:keepLines w:val="0"/>
        <w:pageBreakBefore w:val="0"/>
        <w:widowControl w:val="0"/>
        <w:shd w:val="clear"/>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物联网卡服务包含第一、第二、第三有限公司运营公交车的车载视频监控流量卡、车载安全卫士流量卡、车载刷卡机流量卡。其中车载视频监控为内网流量卡，安全卫士及刷卡机为外网流量卡。</w:t>
      </w:r>
    </w:p>
    <w:p w14:paraId="2FBAD81C">
      <w:pPr>
        <w:keepNext w:val="0"/>
        <w:keepLines w:val="0"/>
        <w:pageBreakBefore w:val="0"/>
        <w:widowControl w:val="0"/>
        <w:shd w:val="clear"/>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网络租赁服务包含公交集团有限公司及其下属各单位连交投集团内网线路、公交下属子公司连公交集团内网线路、公交集团及下属公司办公互联网线路、场站视频监控组网线路以及其它网络服务。</w:t>
      </w:r>
    </w:p>
    <w:p w14:paraId="3FEA9592">
      <w:pPr>
        <w:keepNext w:val="0"/>
        <w:keepLines w:val="0"/>
        <w:pageBreakBefore w:val="0"/>
        <w:widowControl w:val="0"/>
        <w:shd w:val="clear"/>
        <w:kinsoku/>
        <w:wordWrap/>
        <w:overflowPunct/>
        <w:topLinePunct w:val="0"/>
        <w:autoSpaceDE/>
        <w:autoSpaceDN/>
        <w:bidi w:val="0"/>
        <w:adjustRightInd w:val="0"/>
        <w:snapToGrid/>
        <w:spacing w:line="440" w:lineRule="exact"/>
        <w:ind w:left="0" w:leftChars="0" w:right="0" w:rightChars="0"/>
        <w:jc w:val="both"/>
        <w:textAlignment w:val="auto"/>
        <w:outlineLvl w:val="9"/>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2、建设背景：</w:t>
      </w:r>
    </w:p>
    <w:p w14:paraId="450F2877">
      <w:pPr>
        <w:keepNext w:val="0"/>
        <w:keepLines w:val="0"/>
        <w:pageBreakBefore w:val="0"/>
        <w:widowControl w:val="0"/>
        <w:shd w:val="clear"/>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随着信息技术的快速发展，国家对信息安全、自主可控技术的重视程度日益提升，国产化建设成为保障国家信息安全、促进信息技术产业健康发展的关键举措。这一背景不仅体现在政策层面的引导，也反映在市场对国产化产品的需求增长上，促使企业加速国产化替代进程，提升自身竞争力。</w:t>
      </w:r>
    </w:p>
    <w:p w14:paraId="137C23BE">
      <w:pPr>
        <w:keepNext w:val="0"/>
        <w:keepLines w:val="0"/>
        <w:pageBreakBefore w:val="0"/>
        <w:widowControl w:val="0"/>
        <w:shd w:val="clear"/>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同时当今网络安全问题也是日益严峻，越来越多的病毒木马无孔不入，众多单位频繁遭受黑客攻击。我司部分系统承载着相关重要的业务，不仅需要加强日常为安全生产意识，增加相应的安全工具，建立起一套实时有效的信息安全服务体系，能根据安全要求的不断发展，升级和完善相关安全防护功能。</w:t>
      </w:r>
    </w:p>
    <w:p w14:paraId="62C925B3">
      <w:pPr>
        <w:keepNext w:val="0"/>
        <w:keepLines w:val="0"/>
        <w:pageBreakBefore w:val="0"/>
        <w:widowControl w:val="0"/>
        <w:shd w:val="clear"/>
        <w:kinsoku/>
        <w:wordWrap/>
        <w:overflowPunct/>
        <w:topLinePunct w:val="0"/>
        <w:autoSpaceDE/>
        <w:autoSpaceDN/>
        <w:bidi w:val="0"/>
        <w:adjustRightInd w:val="0"/>
        <w:snapToGrid/>
        <w:spacing w:line="440" w:lineRule="exact"/>
        <w:ind w:left="0" w:leftChars="0" w:right="0" w:rightChars="0"/>
        <w:jc w:val="both"/>
        <w:textAlignment w:val="auto"/>
        <w:outlineLvl w:val="9"/>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val="zh-CN"/>
        </w:rPr>
        <w:t>现状分析：</w:t>
      </w:r>
    </w:p>
    <w:p w14:paraId="6190EB23">
      <w:pPr>
        <w:keepNext w:val="0"/>
        <w:keepLines w:val="0"/>
        <w:pageBreakBefore w:val="0"/>
        <w:widowControl w:val="0"/>
        <w:shd w:val="clear"/>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目前，公交公司主要网络建于2014年左右，距今已经将近10年，主要存在以下问题：一是由于设备陈旧，性能瓶颈问题日益凸显，故障隐患日趋严重；二是关键网络链路未作冗余设计，存在单点故障隐患，网络可靠性欠缺；三是网络安全设备不齐备，存在较大的网络安全隐患；四是网络区域划分不规范，存在潜在的安全隐患。</w:t>
      </w:r>
    </w:p>
    <w:p w14:paraId="263A47BB">
      <w:pPr>
        <w:keepNext w:val="0"/>
        <w:keepLines w:val="0"/>
        <w:pageBreakBefore w:val="0"/>
        <w:widowControl w:val="0"/>
        <w:shd w:val="clear"/>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为了保障公司数字化改革各项工作的顺利开展，优化用户使用体验，提升网络安全，夯实数字化网络基础，建立起一套实时有效的信息安全服务体系，进行安全咨询规划，对必要的风险评估。加强漏洞分析与加固，通过渗透测试等方式，模拟恶意黑客对系统的任何弱点、技术缺陷或漏洞的主动分析。按照网络安全应急响应制度制定应急演练方案，组织相关技术人员执行演练流程，举行应急预案演练，确保发生安全事件时，能够按照应急预案标准化、流程化对系统进行应急处置，并在应急演练结束后形成详细的应急演练报告。参照国家信息安全事件响应处理相关标准，在发生安全事件后，按照预防、情报信息收集、遏制、根除、恢复流程，帮助客户快速响应和处理信息安全事件，查找入侵来源并恢复系统正常运行，完成后给出对应的应急响应报告。</w:t>
      </w:r>
    </w:p>
    <w:p w14:paraId="5E292506">
      <w:pPr>
        <w:keepNext w:val="0"/>
        <w:keepLines w:val="0"/>
        <w:pageBreakBefore w:val="0"/>
        <w:widowControl w:val="0"/>
        <w:shd w:val="clear"/>
        <w:kinsoku/>
        <w:wordWrap/>
        <w:overflowPunct/>
        <w:topLinePunct w:val="0"/>
        <w:autoSpaceDE/>
        <w:autoSpaceDN/>
        <w:bidi w:val="0"/>
        <w:adjustRightInd w:val="0"/>
        <w:snapToGrid/>
        <w:spacing w:line="440" w:lineRule="exact"/>
        <w:ind w:left="0" w:leftChars="0" w:right="0" w:rightChars="0" w:firstLine="480" w:firstLineChars="200"/>
        <w:jc w:val="both"/>
        <w:textAlignment w:val="auto"/>
        <w:outlineLvl w:val="9"/>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为响应国家要求，将现网所有设备替换为满足安可要求的国产化设备，并对网络设备升级迭代，满足日益增进的网络需求。对现网整体拓扑进行梳理，对于内网多台核心交换机串联以拓展端口的现象进行改善，采用两台国产核心交换机虚拟化堆叠，减少单点故障的现象，并且统一管理地址，便于日常运维。</w:t>
      </w:r>
    </w:p>
    <w:p w14:paraId="66723C65">
      <w:pPr>
        <w:shd w:val="clear"/>
        <w:spacing w:line="56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szCs w:val="24"/>
          <w:highlight w:val="none"/>
          <w:lang w:val="zh-CN"/>
        </w:rPr>
        <w:t>二、</w:t>
      </w:r>
      <w:r>
        <w:rPr>
          <w:rFonts w:hint="eastAsia" w:ascii="仿宋" w:hAnsi="仿宋" w:eastAsia="仿宋" w:cs="仿宋"/>
          <w:color w:val="auto"/>
          <w:sz w:val="24"/>
          <w:szCs w:val="24"/>
          <w:highlight w:val="none"/>
          <w:lang w:val="zh-CN"/>
        </w:rPr>
        <w:t>项目范围及要求：</w:t>
      </w:r>
    </w:p>
    <w:tbl>
      <w:tblPr>
        <w:tblStyle w:val="62"/>
        <w:tblW w:w="9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884"/>
        <w:gridCol w:w="4933"/>
        <w:gridCol w:w="2306"/>
      </w:tblGrid>
      <w:tr w14:paraId="1359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1222" w:type="dxa"/>
            <w:vAlign w:val="center"/>
          </w:tcPr>
          <w:p w14:paraId="3D0F30CC">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w:t>
            </w:r>
            <w:r>
              <w:rPr>
                <w:rFonts w:hint="eastAsia" w:ascii="仿宋" w:hAnsi="仿宋" w:eastAsia="仿宋" w:cs="仿宋"/>
                <w:color w:val="auto"/>
                <w:sz w:val="24"/>
                <w:highlight w:val="none"/>
                <w:lang w:eastAsia="zh-CN"/>
              </w:rPr>
              <w:t>项</w:t>
            </w:r>
          </w:p>
        </w:tc>
        <w:tc>
          <w:tcPr>
            <w:tcW w:w="884" w:type="dxa"/>
            <w:vAlign w:val="center"/>
          </w:tcPr>
          <w:p w14:paraId="656E9EE4">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4933" w:type="dxa"/>
            <w:vAlign w:val="center"/>
          </w:tcPr>
          <w:p w14:paraId="69360539">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分项名称</w:t>
            </w:r>
          </w:p>
        </w:tc>
        <w:tc>
          <w:tcPr>
            <w:tcW w:w="2306" w:type="dxa"/>
            <w:vAlign w:val="center"/>
          </w:tcPr>
          <w:p w14:paraId="1E36126F">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预算金额或上限价</w:t>
            </w:r>
          </w:p>
          <w:p w14:paraId="13A7C1FA">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（单位：人民币元）</w:t>
            </w:r>
          </w:p>
        </w:tc>
      </w:tr>
      <w:tr w14:paraId="2F33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Merge w:val="restart"/>
            <w:vAlign w:val="center"/>
          </w:tcPr>
          <w:p w14:paraId="2E6BD772">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w:t>
            </w:r>
            <w:r>
              <w:rPr>
                <w:rFonts w:hint="eastAsia" w:ascii="仿宋" w:hAnsi="仿宋" w:eastAsia="仿宋" w:cs="仿宋"/>
                <w:color w:val="auto"/>
                <w:sz w:val="24"/>
                <w:highlight w:val="none"/>
                <w:lang w:eastAsia="zh-CN"/>
              </w:rPr>
              <w:t>项</w:t>
            </w:r>
            <w:r>
              <w:rPr>
                <w:rFonts w:hint="eastAsia" w:ascii="仿宋" w:hAnsi="仿宋" w:eastAsia="仿宋" w:cs="仿宋"/>
                <w:color w:val="auto"/>
                <w:sz w:val="24"/>
                <w:highlight w:val="none"/>
              </w:rPr>
              <w:t>一</w:t>
            </w:r>
          </w:p>
        </w:tc>
        <w:tc>
          <w:tcPr>
            <w:tcW w:w="884" w:type="dxa"/>
            <w:vAlign w:val="center"/>
          </w:tcPr>
          <w:p w14:paraId="42C3E333">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933" w:type="dxa"/>
            <w:vAlign w:val="center"/>
          </w:tcPr>
          <w:p w14:paraId="122DC253">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车载GPS调度系统专网物联网卡</w:t>
            </w:r>
          </w:p>
        </w:tc>
        <w:tc>
          <w:tcPr>
            <w:tcW w:w="2306" w:type="dxa"/>
            <w:vMerge w:val="restart"/>
            <w:vAlign w:val="center"/>
          </w:tcPr>
          <w:p w14:paraId="2C39E999">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val="0"/>
                <w:bCs/>
                <w:color w:val="auto"/>
                <w:sz w:val="24"/>
                <w:highlight w:val="none"/>
                <w:lang w:val="en-US" w:eastAsia="zh-CN"/>
              </w:rPr>
              <w:t>6280800</w:t>
            </w:r>
          </w:p>
        </w:tc>
      </w:tr>
      <w:tr w14:paraId="1B5A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Merge w:val="continue"/>
            <w:vAlign w:val="center"/>
          </w:tcPr>
          <w:p w14:paraId="7BDC6D5A">
            <w:pPr>
              <w:shd w:val="clear"/>
              <w:spacing w:line="420" w:lineRule="exact"/>
              <w:jc w:val="center"/>
              <w:rPr>
                <w:rFonts w:hint="eastAsia" w:ascii="仿宋" w:hAnsi="仿宋" w:eastAsia="仿宋" w:cs="仿宋"/>
                <w:color w:val="auto"/>
                <w:sz w:val="24"/>
                <w:highlight w:val="none"/>
              </w:rPr>
            </w:pPr>
          </w:p>
        </w:tc>
        <w:tc>
          <w:tcPr>
            <w:tcW w:w="884" w:type="dxa"/>
            <w:vAlign w:val="center"/>
          </w:tcPr>
          <w:p w14:paraId="53B3A46F">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933" w:type="dxa"/>
            <w:vAlign w:val="center"/>
          </w:tcPr>
          <w:p w14:paraId="46004D64">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车载刷卡机专网物联网卡</w:t>
            </w:r>
          </w:p>
        </w:tc>
        <w:tc>
          <w:tcPr>
            <w:tcW w:w="2306" w:type="dxa"/>
            <w:vMerge w:val="continue"/>
            <w:vAlign w:val="center"/>
          </w:tcPr>
          <w:p w14:paraId="3D84CDB8">
            <w:pPr>
              <w:shd w:val="clear"/>
              <w:spacing w:line="420" w:lineRule="exact"/>
              <w:ind w:left="-111" w:leftChars="-53" w:right="-107" w:rightChars="-51"/>
              <w:jc w:val="center"/>
              <w:rPr>
                <w:rFonts w:hint="eastAsia" w:ascii="仿宋" w:hAnsi="仿宋" w:eastAsia="仿宋" w:cs="仿宋"/>
                <w:color w:val="auto"/>
                <w:sz w:val="24"/>
                <w:szCs w:val="24"/>
                <w:highlight w:val="none"/>
              </w:rPr>
            </w:pPr>
          </w:p>
        </w:tc>
      </w:tr>
      <w:tr w14:paraId="01BB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Merge w:val="continue"/>
            <w:vAlign w:val="center"/>
          </w:tcPr>
          <w:p w14:paraId="7E3011DE">
            <w:pPr>
              <w:shd w:val="clear"/>
              <w:spacing w:line="420" w:lineRule="exact"/>
              <w:jc w:val="center"/>
              <w:rPr>
                <w:rFonts w:hint="eastAsia" w:ascii="仿宋" w:hAnsi="仿宋" w:eastAsia="仿宋" w:cs="仿宋"/>
                <w:color w:val="auto"/>
                <w:sz w:val="24"/>
                <w:highlight w:val="none"/>
              </w:rPr>
            </w:pPr>
          </w:p>
        </w:tc>
        <w:tc>
          <w:tcPr>
            <w:tcW w:w="884" w:type="dxa"/>
            <w:vAlign w:val="center"/>
          </w:tcPr>
          <w:p w14:paraId="6B38AC65">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4933" w:type="dxa"/>
            <w:vAlign w:val="center"/>
          </w:tcPr>
          <w:p w14:paraId="3E9B7451">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车载安全卫士、灵活公交、安保巡检公网物联网卡</w:t>
            </w:r>
          </w:p>
        </w:tc>
        <w:tc>
          <w:tcPr>
            <w:tcW w:w="2306" w:type="dxa"/>
            <w:vMerge w:val="continue"/>
            <w:vAlign w:val="center"/>
          </w:tcPr>
          <w:p w14:paraId="68493695">
            <w:pPr>
              <w:shd w:val="clear"/>
              <w:spacing w:line="420" w:lineRule="exact"/>
              <w:ind w:left="-111" w:leftChars="-53" w:right="-107" w:rightChars="-51"/>
              <w:jc w:val="center"/>
              <w:rPr>
                <w:rFonts w:hint="eastAsia" w:ascii="仿宋" w:hAnsi="仿宋" w:eastAsia="仿宋" w:cs="仿宋"/>
                <w:color w:val="auto"/>
                <w:sz w:val="24"/>
                <w:szCs w:val="24"/>
                <w:highlight w:val="none"/>
              </w:rPr>
            </w:pPr>
          </w:p>
        </w:tc>
      </w:tr>
      <w:tr w14:paraId="3A8C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Merge w:val="continue"/>
            <w:vAlign w:val="center"/>
          </w:tcPr>
          <w:p w14:paraId="1B1A6F42">
            <w:pPr>
              <w:shd w:val="clear"/>
              <w:spacing w:line="420" w:lineRule="exact"/>
              <w:jc w:val="center"/>
              <w:rPr>
                <w:rFonts w:hint="eastAsia" w:ascii="仿宋" w:hAnsi="仿宋" w:eastAsia="仿宋" w:cs="仿宋"/>
                <w:color w:val="auto"/>
                <w:sz w:val="24"/>
                <w:highlight w:val="none"/>
              </w:rPr>
            </w:pPr>
          </w:p>
        </w:tc>
        <w:tc>
          <w:tcPr>
            <w:tcW w:w="884" w:type="dxa"/>
            <w:vAlign w:val="center"/>
          </w:tcPr>
          <w:p w14:paraId="266B55BF">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4933" w:type="dxa"/>
            <w:vAlign w:val="center"/>
          </w:tcPr>
          <w:p w14:paraId="57A1DD20">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绍兴市公共交通集团有限公司网络线路</w:t>
            </w:r>
          </w:p>
        </w:tc>
        <w:tc>
          <w:tcPr>
            <w:tcW w:w="2306" w:type="dxa"/>
            <w:vMerge w:val="continue"/>
            <w:vAlign w:val="center"/>
          </w:tcPr>
          <w:p w14:paraId="3829D54A">
            <w:pPr>
              <w:shd w:val="clear"/>
              <w:spacing w:line="420" w:lineRule="exact"/>
              <w:ind w:left="-111" w:leftChars="-53" w:right="-107" w:rightChars="-51"/>
              <w:jc w:val="center"/>
              <w:rPr>
                <w:rFonts w:hint="eastAsia" w:ascii="仿宋" w:hAnsi="仿宋" w:eastAsia="仿宋" w:cs="仿宋"/>
                <w:color w:val="auto"/>
                <w:sz w:val="24"/>
                <w:szCs w:val="24"/>
                <w:highlight w:val="none"/>
              </w:rPr>
            </w:pPr>
          </w:p>
        </w:tc>
      </w:tr>
      <w:tr w14:paraId="145F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Merge w:val="continue"/>
            <w:vAlign w:val="center"/>
          </w:tcPr>
          <w:p w14:paraId="223546AB">
            <w:pPr>
              <w:shd w:val="clear"/>
              <w:spacing w:line="420" w:lineRule="exact"/>
              <w:jc w:val="center"/>
              <w:rPr>
                <w:rFonts w:hint="eastAsia" w:ascii="仿宋" w:hAnsi="仿宋" w:eastAsia="仿宋" w:cs="仿宋"/>
                <w:color w:val="auto"/>
                <w:sz w:val="24"/>
                <w:highlight w:val="none"/>
              </w:rPr>
            </w:pPr>
          </w:p>
        </w:tc>
        <w:tc>
          <w:tcPr>
            <w:tcW w:w="884" w:type="dxa"/>
            <w:vAlign w:val="center"/>
          </w:tcPr>
          <w:p w14:paraId="7D8023C5">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4933" w:type="dxa"/>
            <w:vAlign w:val="center"/>
          </w:tcPr>
          <w:p w14:paraId="3834E0A2">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绍兴市公共交通集团第一有限公司网络线路</w:t>
            </w:r>
          </w:p>
        </w:tc>
        <w:tc>
          <w:tcPr>
            <w:tcW w:w="2306" w:type="dxa"/>
            <w:vMerge w:val="continue"/>
            <w:vAlign w:val="center"/>
          </w:tcPr>
          <w:p w14:paraId="20B63449">
            <w:pPr>
              <w:shd w:val="clear"/>
              <w:spacing w:line="420" w:lineRule="exact"/>
              <w:ind w:left="-111" w:leftChars="-53" w:right="-107" w:rightChars="-51"/>
              <w:jc w:val="center"/>
              <w:rPr>
                <w:rFonts w:hint="eastAsia" w:ascii="仿宋" w:hAnsi="仿宋" w:eastAsia="仿宋" w:cs="仿宋"/>
                <w:color w:val="auto"/>
                <w:sz w:val="24"/>
                <w:szCs w:val="24"/>
                <w:highlight w:val="none"/>
              </w:rPr>
            </w:pPr>
          </w:p>
        </w:tc>
      </w:tr>
      <w:tr w14:paraId="6329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Merge w:val="continue"/>
            <w:vAlign w:val="top"/>
          </w:tcPr>
          <w:p w14:paraId="42B98D77">
            <w:pPr>
              <w:shd w:val="clear"/>
              <w:spacing w:line="420" w:lineRule="exact"/>
              <w:jc w:val="center"/>
              <w:rPr>
                <w:rFonts w:hint="eastAsia" w:ascii="仿宋" w:hAnsi="仿宋" w:eastAsia="仿宋" w:cs="仿宋"/>
                <w:color w:val="auto"/>
                <w:sz w:val="24"/>
                <w:highlight w:val="none"/>
              </w:rPr>
            </w:pPr>
          </w:p>
        </w:tc>
        <w:tc>
          <w:tcPr>
            <w:tcW w:w="884" w:type="dxa"/>
            <w:vAlign w:val="center"/>
          </w:tcPr>
          <w:p w14:paraId="6CC514F2">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4933" w:type="dxa"/>
            <w:vAlign w:val="center"/>
          </w:tcPr>
          <w:p w14:paraId="49D5A2AA">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绍兴市公共交通集团第二有限公司网络线路</w:t>
            </w:r>
          </w:p>
        </w:tc>
        <w:tc>
          <w:tcPr>
            <w:tcW w:w="2306" w:type="dxa"/>
            <w:vMerge w:val="continue"/>
            <w:vAlign w:val="center"/>
          </w:tcPr>
          <w:p w14:paraId="71BE7F22">
            <w:pPr>
              <w:shd w:val="clear"/>
              <w:spacing w:line="420" w:lineRule="exact"/>
              <w:ind w:left="-111" w:leftChars="-53" w:right="-107" w:rightChars="-51"/>
              <w:jc w:val="center"/>
              <w:rPr>
                <w:rFonts w:hint="eastAsia" w:ascii="仿宋" w:hAnsi="仿宋" w:eastAsia="仿宋" w:cs="仿宋"/>
                <w:color w:val="auto"/>
                <w:sz w:val="24"/>
                <w:szCs w:val="24"/>
                <w:highlight w:val="none"/>
              </w:rPr>
            </w:pPr>
          </w:p>
        </w:tc>
      </w:tr>
      <w:tr w14:paraId="5605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Merge w:val="continue"/>
            <w:vAlign w:val="top"/>
          </w:tcPr>
          <w:p w14:paraId="2C0BD1F9">
            <w:pPr>
              <w:shd w:val="clear"/>
              <w:spacing w:line="420" w:lineRule="exact"/>
              <w:jc w:val="center"/>
              <w:rPr>
                <w:rFonts w:hint="eastAsia" w:ascii="仿宋" w:hAnsi="仿宋" w:eastAsia="仿宋" w:cs="仿宋"/>
                <w:color w:val="auto"/>
                <w:sz w:val="24"/>
                <w:highlight w:val="none"/>
              </w:rPr>
            </w:pPr>
          </w:p>
        </w:tc>
        <w:tc>
          <w:tcPr>
            <w:tcW w:w="884" w:type="dxa"/>
            <w:vAlign w:val="center"/>
          </w:tcPr>
          <w:p w14:paraId="10F45E33">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4933" w:type="dxa"/>
            <w:vAlign w:val="center"/>
          </w:tcPr>
          <w:p w14:paraId="06565EB3">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绍兴市公共交通集团第三有限公司网络线路</w:t>
            </w:r>
          </w:p>
        </w:tc>
        <w:tc>
          <w:tcPr>
            <w:tcW w:w="2306" w:type="dxa"/>
            <w:vMerge w:val="continue"/>
            <w:vAlign w:val="center"/>
          </w:tcPr>
          <w:p w14:paraId="0618C587">
            <w:pPr>
              <w:shd w:val="clear"/>
              <w:spacing w:line="420" w:lineRule="exact"/>
              <w:ind w:left="-111" w:leftChars="-53" w:right="-107" w:rightChars="-51"/>
              <w:jc w:val="center"/>
              <w:rPr>
                <w:rFonts w:hint="eastAsia" w:ascii="仿宋" w:hAnsi="仿宋" w:eastAsia="仿宋" w:cs="仿宋"/>
                <w:color w:val="auto"/>
                <w:sz w:val="24"/>
                <w:szCs w:val="24"/>
                <w:highlight w:val="none"/>
              </w:rPr>
            </w:pPr>
          </w:p>
        </w:tc>
      </w:tr>
      <w:tr w14:paraId="7DAA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Merge w:val="continue"/>
            <w:vAlign w:val="top"/>
          </w:tcPr>
          <w:p w14:paraId="60C731BA">
            <w:pPr>
              <w:shd w:val="clear"/>
              <w:spacing w:line="420" w:lineRule="exact"/>
              <w:jc w:val="center"/>
              <w:rPr>
                <w:rFonts w:hint="eastAsia" w:ascii="仿宋" w:hAnsi="仿宋" w:eastAsia="仿宋" w:cs="仿宋"/>
                <w:color w:val="auto"/>
                <w:sz w:val="24"/>
                <w:highlight w:val="none"/>
              </w:rPr>
            </w:pPr>
          </w:p>
        </w:tc>
        <w:tc>
          <w:tcPr>
            <w:tcW w:w="884" w:type="dxa"/>
            <w:vAlign w:val="center"/>
          </w:tcPr>
          <w:p w14:paraId="7E05896F">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4933" w:type="dxa"/>
            <w:vAlign w:val="center"/>
          </w:tcPr>
          <w:p w14:paraId="44694989">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绍兴市越风汽车修理有限责任公司网络线路</w:t>
            </w:r>
          </w:p>
        </w:tc>
        <w:tc>
          <w:tcPr>
            <w:tcW w:w="2306" w:type="dxa"/>
            <w:vMerge w:val="continue"/>
            <w:vAlign w:val="center"/>
          </w:tcPr>
          <w:p w14:paraId="08538786">
            <w:pPr>
              <w:shd w:val="clear"/>
              <w:spacing w:line="420" w:lineRule="exact"/>
              <w:ind w:left="-111" w:leftChars="-53" w:right="-107" w:rightChars="-51"/>
              <w:jc w:val="center"/>
              <w:rPr>
                <w:rFonts w:hint="eastAsia" w:ascii="仿宋" w:hAnsi="仿宋" w:eastAsia="仿宋" w:cs="仿宋"/>
                <w:color w:val="auto"/>
                <w:sz w:val="24"/>
                <w:szCs w:val="24"/>
                <w:highlight w:val="none"/>
              </w:rPr>
            </w:pPr>
          </w:p>
        </w:tc>
      </w:tr>
      <w:tr w14:paraId="1C31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Merge w:val="continue"/>
            <w:vAlign w:val="top"/>
          </w:tcPr>
          <w:p w14:paraId="048B90AC">
            <w:pPr>
              <w:shd w:val="clear"/>
              <w:spacing w:line="420" w:lineRule="exact"/>
              <w:jc w:val="center"/>
              <w:rPr>
                <w:rFonts w:hint="eastAsia" w:ascii="仿宋" w:hAnsi="仿宋" w:eastAsia="仿宋" w:cs="仿宋"/>
                <w:color w:val="auto"/>
                <w:sz w:val="24"/>
                <w:highlight w:val="none"/>
              </w:rPr>
            </w:pPr>
          </w:p>
        </w:tc>
        <w:tc>
          <w:tcPr>
            <w:tcW w:w="884" w:type="dxa"/>
            <w:vAlign w:val="center"/>
          </w:tcPr>
          <w:p w14:paraId="17B72AEA">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4933" w:type="dxa"/>
            <w:vAlign w:val="center"/>
          </w:tcPr>
          <w:p w14:paraId="30CAEB6C">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绍兴市悦动公交广告传媒有限公司网络线路</w:t>
            </w:r>
          </w:p>
        </w:tc>
        <w:tc>
          <w:tcPr>
            <w:tcW w:w="2306" w:type="dxa"/>
            <w:vMerge w:val="continue"/>
            <w:vAlign w:val="center"/>
          </w:tcPr>
          <w:p w14:paraId="2DEEE8D5">
            <w:pPr>
              <w:shd w:val="clear"/>
              <w:spacing w:line="420" w:lineRule="exact"/>
              <w:ind w:left="-111" w:leftChars="-53" w:right="-107" w:rightChars="-51"/>
              <w:jc w:val="center"/>
              <w:rPr>
                <w:rFonts w:hint="eastAsia" w:ascii="仿宋" w:hAnsi="仿宋" w:eastAsia="仿宋" w:cs="仿宋"/>
                <w:color w:val="auto"/>
                <w:sz w:val="24"/>
                <w:szCs w:val="24"/>
                <w:highlight w:val="none"/>
              </w:rPr>
            </w:pPr>
          </w:p>
        </w:tc>
      </w:tr>
      <w:tr w14:paraId="6C83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Merge w:val="continue"/>
            <w:vAlign w:val="top"/>
          </w:tcPr>
          <w:p w14:paraId="2FE75E3B">
            <w:pPr>
              <w:shd w:val="clear"/>
              <w:spacing w:line="420" w:lineRule="exact"/>
              <w:jc w:val="center"/>
              <w:rPr>
                <w:rFonts w:hint="eastAsia" w:ascii="仿宋" w:hAnsi="仿宋" w:eastAsia="仿宋" w:cs="仿宋"/>
                <w:color w:val="auto"/>
                <w:sz w:val="24"/>
                <w:highlight w:val="none"/>
              </w:rPr>
            </w:pPr>
          </w:p>
        </w:tc>
        <w:tc>
          <w:tcPr>
            <w:tcW w:w="884" w:type="dxa"/>
            <w:vAlign w:val="center"/>
          </w:tcPr>
          <w:p w14:paraId="15D7D838">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4933" w:type="dxa"/>
            <w:vAlign w:val="center"/>
          </w:tcPr>
          <w:p w14:paraId="54FF7C30">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绍兴市交投特来电易捷充电网运营有限公司网络线路</w:t>
            </w:r>
          </w:p>
        </w:tc>
        <w:tc>
          <w:tcPr>
            <w:tcW w:w="2306" w:type="dxa"/>
            <w:vMerge w:val="continue"/>
            <w:vAlign w:val="center"/>
          </w:tcPr>
          <w:p w14:paraId="62CAA9A9">
            <w:pPr>
              <w:shd w:val="clear"/>
              <w:spacing w:line="420" w:lineRule="exact"/>
              <w:ind w:left="-111" w:leftChars="-53" w:right="-107" w:rightChars="-51"/>
              <w:jc w:val="center"/>
              <w:rPr>
                <w:rFonts w:hint="eastAsia" w:ascii="仿宋" w:hAnsi="仿宋" w:eastAsia="仿宋" w:cs="仿宋"/>
                <w:color w:val="auto"/>
                <w:sz w:val="24"/>
                <w:szCs w:val="24"/>
                <w:highlight w:val="none"/>
              </w:rPr>
            </w:pPr>
          </w:p>
        </w:tc>
      </w:tr>
      <w:tr w14:paraId="62FD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Merge w:val="continue"/>
            <w:vAlign w:val="top"/>
          </w:tcPr>
          <w:p w14:paraId="6994390A">
            <w:pPr>
              <w:shd w:val="clear"/>
              <w:spacing w:line="420" w:lineRule="exact"/>
              <w:jc w:val="center"/>
              <w:rPr>
                <w:rFonts w:hint="eastAsia" w:ascii="仿宋" w:hAnsi="仿宋" w:eastAsia="仿宋" w:cs="仿宋"/>
                <w:color w:val="auto"/>
                <w:sz w:val="24"/>
                <w:highlight w:val="none"/>
              </w:rPr>
            </w:pPr>
          </w:p>
        </w:tc>
        <w:tc>
          <w:tcPr>
            <w:tcW w:w="884" w:type="dxa"/>
            <w:vAlign w:val="center"/>
          </w:tcPr>
          <w:p w14:paraId="1FA5AEE2">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4933" w:type="dxa"/>
            <w:vAlign w:val="center"/>
          </w:tcPr>
          <w:p w14:paraId="614F5AA9">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绍兴市公交集团及下属各单位主、备用网络线路</w:t>
            </w:r>
          </w:p>
        </w:tc>
        <w:tc>
          <w:tcPr>
            <w:tcW w:w="2306" w:type="dxa"/>
            <w:vMerge w:val="continue"/>
            <w:vAlign w:val="center"/>
          </w:tcPr>
          <w:p w14:paraId="4CE3BB00">
            <w:pPr>
              <w:shd w:val="clear"/>
              <w:spacing w:line="420" w:lineRule="exact"/>
              <w:ind w:left="-111" w:leftChars="-53" w:right="-107" w:rightChars="-51"/>
              <w:jc w:val="center"/>
              <w:rPr>
                <w:rFonts w:hint="eastAsia" w:ascii="仿宋" w:hAnsi="仿宋" w:eastAsia="仿宋" w:cs="仿宋"/>
                <w:color w:val="auto"/>
                <w:sz w:val="24"/>
                <w:szCs w:val="24"/>
                <w:highlight w:val="none"/>
              </w:rPr>
            </w:pPr>
          </w:p>
        </w:tc>
      </w:tr>
      <w:tr w14:paraId="5BE6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22" w:type="dxa"/>
            <w:vAlign w:val="top"/>
          </w:tcPr>
          <w:p w14:paraId="6842C396">
            <w:pPr>
              <w:shd w:val="clear"/>
              <w:spacing w:line="42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w:t>
            </w:r>
            <w:r>
              <w:rPr>
                <w:rFonts w:hint="eastAsia" w:ascii="仿宋" w:hAnsi="仿宋" w:eastAsia="仿宋" w:cs="仿宋"/>
                <w:color w:val="auto"/>
                <w:sz w:val="24"/>
                <w:highlight w:val="none"/>
                <w:lang w:eastAsia="zh-CN"/>
              </w:rPr>
              <w:t>项</w:t>
            </w:r>
            <w:r>
              <w:rPr>
                <w:rFonts w:hint="eastAsia" w:ascii="仿宋" w:hAnsi="仿宋" w:eastAsia="仿宋" w:cs="仿宋"/>
                <w:color w:val="auto"/>
                <w:sz w:val="24"/>
                <w:highlight w:val="none"/>
              </w:rPr>
              <w:t>二</w:t>
            </w:r>
          </w:p>
        </w:tc>
        <w:tc>
          <w:tcPr>
            <w:tcW w:w="884" w:type="dxa"/>
            <w:vAlign w:val="center"/>
          </w:tcPr>
          <w:p w14:paraId="39014544">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933" w:type="dxa"/>
            <w:vAlign w:val="center"/>
          </w:tcPr>
          <w:p w14:paraId="16151321">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网络安全技术服务和设备采购等项目</w:t>
            </w:r>
          </w:p>
        </w:tc>
        <w:tc>
          <w:tcPr>
            <w:tcW w:w="2306" w:type="dxa"/>
            <w:vAlign w:val="center"/>
          </w:tcPr>
          <w:p w14:paraId="1997B48F">
            <w:pPr>
              <w:shd w:val="clear"/>
              <w:spacing w:line="420" w:lineRule="exact"/>
              <w:ind w:left="-111" w:leftChars="-53" w:right="-107" w:righ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￥1845000</w:t>
            </w:r>
          </w:p>
        </w:tc>
      </w:tr>
    </w:tbl>
    <w:p w14:paraId="6EA86EBA">
      <w:pPr>
        <w:shd w:val="clear"/>
        <w:spacing w:line="560" w:lineRule="exac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bdr w:val="single" w:sz="4" w:space="0"/>
        </w:rPr>
        <w:t>标</w:t>
      </w:r>
      <w:r>
        <w:rPr>
          <w:rFonts w:hint="eastAsia" w:ascii="仿宋" w:hAnsi="仿宋" w:eastAsia="仿宋" w:cs="仿宋"/>
          <w:b/>
          <w:bCs/>
          <w:color w:val="auto"/>
          <w:kern w:val="0"/>
          <w:sz w:val="24"/>
          <w:szCs w:val="24"/>
          <w:highlight w:val="none"/>
          <w:bdr w:val="single" w:sz="4" w:space="0"/>
          <w:lang w:eastAsia="zh-CN"/>
        </w:rPr>
        <w:t>项</w:t>
      </w:r>
      <w:r>
        <w:rPr>
          <w:rFonts w:hint="eastAsia" w:ascii="仿宋" w:hAnsi="仿宋" w:eastAsia="仿宋" w:cs="仿宋"/>
          <w:b/>
          <w:bCs/>
          <w:color w:val="auto"/>
          <w:kern w:val="0"/>
          <w:sz w:val="24"/>
          <w:szCs w:val="24"/>
          <w:highlight w:val="none"/>
          <w:bdr w:val="single" w:sz="4" w:space="0"/>
        </w:rPr>
        <w:t>一</w:t>
      </w:r>
      <w:r>
        <w:rPr>
          <w:rFonts w:hint="eastAsia" w:ascii="仿宋" w:hAnsi="仿宋" w:eastAsia="仿宋" w:cs="仿宋"/>
          <w:b/>
          <w:bCs/>
          <w:color w:val="auto"/>
          <w:kern w:val="0"/>
          <w:sz w:val="24"/>
          <w:szCs w:val="24"/>
          <w:highlight w:val="none"/>
          <w:lang w:eastAsia="zh-CN"/>
        </w:rPr>
        <w:t>：绍兴市公共交通集团有限公司物联网卡及各单位网络线路采购项目</w:t>
      </w:r>
    </w:p>
    <w:p w14:paraId="2D4FCF60">
      <w:pPr>
        <w:shd w:val="clear"/>
        <w:spacing w:line="56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一</w:t>
      </w:r>
      <w:r>
        <w:rPr>
          <w:rFonts w:hint="eastAsia" w:ascii="仿宋" w:hAnsi="仿宋" w:eastAsia="仿宋" w:cs="仿宋"/>
          <w:color w:val="auto"/>
          <w:kern w:val="0"/>
          <w:sz w:val="24"/>
          <w:szCs w:val="24"/>
          <w:highlight w:val="none"/>
        </w:rPr>
        <w:t>、项目清单：</w:t>
      </w:r>
    </w:p>
    <w:bookmarkEnd w:id="43"/>
    <w:tbl>
      <w:tblPr>
        <w:tblStyle w:val="62"/>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1654"/>
        <w:gridCol w:w="56"/>
        <w:gridCol w:w="180"/>
        <w:gridCol w:w="900"/>
        <w:gridCol w:w="180"/>
        <w:gridCol w:w="915"/>
        <w:gridCol w:w="180"/>
        <w:gridCol w:w="1095"/>
      </w:tblGrid>
      <w:tr w14:paraId="6FF9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750" w:type="dxa"/>
            <w:tcBorders>
              <w:bottom w:val="single" w:color="auto" w:sz="4" w:space="0"/>
              <w:right w:val="single" w:color="auto" w:sz="4" w:space="0"/>
            </w:tcBorders>
            <w:vAlign w:val="center"/>
          </w:tcPr>
          <w:p w14:paraId="7E1AD08C">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流量套餐要求</w:t>
            </w:r>
          </w:p>
        </w:tc>
        <w:tc>
          <w:tcPr>
            <w:tcW w:w="1654" w:type="dxa"/>
            <w:tcBorders>
              <w:left w:val="single" w:color="auto" w:sz="4" w:space="0"/>
              <w:bottom w:val="single" w:color="auto" w:sz="4" w:space="0"/>
              <w:right w:val="single" w:color="auto" w:sz="4" w:space="0"/>
            </w:tcBorders>
            <w:vAlign w:val="center"/>
          </w:tcPr>
          <w:p w14:paraId="787C5335">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第一公司数量</w:t>
            </w:r>
          </w:p>
        </w:tc>
        <w:tc>
          <w:tcPr>
            <w:tcW w:w="236" w:type="dxa"/>
            <w:gridSpan w:val="2"/>
            <w:tcBorders>
              <w:left w:val="single" w:color="auto" w:sz="4" w:space="0"/>
              <w:bottom w:val="single" w:color="auto" w:sz="4" w:space="0"/>
              <w:right w:val="nil"/>
            </w:tcBorders>
            <w:vAlign w:val="center"/>
          </w:tcPr>
          <w:p w14:paraId="4A244F0A">
            <w:pPr>
              <w:widowControl/>
              <w:shd w:val="clear"/>
              <w:jc w:val="center"/>
              <w:rPr>
                <w:rFonts w:hint="eastAsia" w:ascii="仿宋" w:hAnsi="仿宋" w:eastAsia="仿宋" w:cs="仿宋"/>
                <w:b/>
                <w:bCs/>
                <w:color w:val="auto"/>
                <w:kern w:val="0"/>
                <w:sz w:val="24"/>
                <w:szCs w:val="24"/>
                <w:highlight w:val="none"/>
              </w:rPr>
            </w:pPr>
          </w:p>
        </w:tc>
        <w:tc>
          <w:tcPr>
            <w:tcW w:w="1080" w:type="dxa"/>
            <w:gridSpan w:val="2"/>
            <w:tcBorders>
              <w:left w:val="nil"/>
              <w:bottom w:val="single" w:color="auto" w:sz="4" w:space="0"/>
              <w:right w:val="single" w:color="auto" w:sz="4" w:space="0"/>
            </w:tcBorders>
            <w:vAlign w:val="center"/>
          </w:tcPr>
          <w:p w14:paraId="54F5BD42">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第二公司数量</w:t>
            </w:r>
          </w:p>
        </w:tc>
        <w:tc>
          <w:tcPr>
            <w:tcW w:w="1095" w:type="dxa"/>
            <w:gridSpan w:val="2"/>
            <w:tcBorders>
              <w:left w:val="single" w:color="auto" w:sz="4" w:space="0"/>
              <w:bottom w:val="single" w:color="auto" w:sz="4" w:space="0"/>
              <w:right w:val="single" w:color="auto" w:sz="4" w:space="0"/>
            </w:tcBorders>
            <w:vAlign w:val="center"/>
          </w:tcPr>
          <w:p w14:paraId="5BCF7291">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第三公司数量</w:t>
            </w:r>
          </w:p>
        </w:tc>
        <w:tc>
          <w:tcPr>
            <w:tcW w:w="1095" w:type="dxa"/>
            <w:tcBorders>
              <w:left w:val="single" w:color="auto" w:sz="4" w:space="0"/>
              <w:bottom w:val="single" w:color="auto" w:sz="4" w:space="0"/>
            </w:tcBorders>
            <w:vAlign w:val="center"/>
          </w:tcPr>
          <w:p w14:paraId="73C3A38E">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总数</w:t>
            </w:r>
          </w:p>
        </w:tc>
      </w:tr>
      <w:tr w14:paraId="1B2B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910" w:type="dxa"/>
            <w:gridSpan w:val="9"/>
            <w:tcBorders>
              <w:top w:val="single" w:color="auto" w:sz="4" w:space="0"/>
              <w:left w:val="nil"/>
              <w:bottom w:val="single" w:color="auto" w:sz="4" w:space="0"/>
              <w:right w:val="nil"/>
            </w:tcBorders>
            <w:vAlign w:val="center"/>
          </w:tcPr>
          <w:p w14:paraId="728B87D0">
            <w:pPr>
              <w:widowControl/>
              <w:shd w:val="clear"/>
              <w:jc w:val="both"/>
              <w:rPr>
                <w:rFonts w:hint="default" w:ascii="仿宋" w:hAnsi="仿宋" w:eastAsia="仿宋" w:cs="仿宋"/>
                <w:b/>
                <w:bCs/>
                <w:color w:val="auto"/>
                <w:kern w:val="0"/>
                <w:sz w:val="24"/>
                <w:szCs w:val="24"/>
                <w:highlight w:val="none"/>
                <w:lang w:val="en-US"/>
              </w:rPr>
            </w:pPr>
            <w:r>
              <w:rPr>
                <w:rFonts w:hint="eastAsia" w:ascii="仿宋" w:hAnsi="仿宋" w:eastAsia="仿宋" w:cs="仿宋"/>
                <w:b/>
                <w:bCs/>
                <w:color w:val="auto"/>
                <w:kern w:val="0"/>
                <w:sz w:val="24"/>
                <w:szCs w:val="24"/>
                <w:highlight w:val="none"/>
                <w:lang w:val="en-US" w:eastAsia="zh-CN"/>
              </w:rPr>
              <w:t>序号1：车载GPS调度系统专网物联网卡</w:t>
            </w:r>
          </w:p>
        </w:tc>
      </w:tr>
      <w:tr w14:paraId="1C89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50" w:type="dxa"/>
            <w:tcBorders>
              <w:top w:val="single" w:color="auto" w:sz="4" w:space="0"/>
              <w:bottom w:val="single" w:color="auto" w:sz="4" w:space="0"/>
            </w:tcBorders>
            <w:vAlign w:val="center"/>
          </w:tcPr>
          <w:p w14:paraId="3AAA407B">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20G/卡/月及以上，需做流量池</w:t>
            </w:r>
          </w:p>
        </w:tc>
        <w:tc>
          <w:tcPr>
            <w:tcW w:w="1710" w:type="dxa"/>
            <w:gridSpan w:val="2"/>
            <w:tcBorders>
              <w:top w:val="single" w:color="auto" w:sz="4" w:space="0"/>
              <w:bottom w:val="single" w:color="auto" w:sz="4" w:space="0"/>
            </w:tcBorders>
            <w:shd w:val="clear" w:color="auto" w:fill="auto"/>
            <w:vAlign w:val="center"/>
          </w:tcPr>
          <w:p w14:paraId="3CD999BA">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540张</w:t>
            </w:r>
          </w:p>
        </w:tc>
        <w:tc>
          <w:tcPr>
            <w:tcW w:w="1080" w:type="dxa"/>
            <w:gridSpan w:val="2"/>
            <w:tcBorders>
              <w:top w:val="single" w:color="auto" w:sz="4" w:space="0"/>
              <w:bottom w:val="single" w:color="auto" w:sz="4" w:space="0"/>
            </w:tcBorders>
            <w:shd w:val="clear" w:color="auto" w:fill="auto"/>
            <w:vAlign w:val="center"/>
          </w:tcPr>
          <w:p w14:paraId="5924E553">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384张</w:t>
            </w:r>
          </w:p>
        </w:tc>
        <w:tc>
          <w:tcPr>
            <w:tcW w:w="1095" w:type="dxa"/>
            <w:gridSpan w:val="2"/>
            <w:tcBorders>
              <w:top w:val="single" w:color="auto" w:sz="4" w:space="0"/>
              <w:bottom w:val="single" w:color="auto" w:sz="4" w:space="0"/>
            </w:tcBorders>
            <w:shd w:val="clear" w:color="auto" w:fill="auto"/>
            <w:vAlign w:val="center"/>
          </w:tcPr>
          <w:p w14:paraId="4679EC6B">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470张</w:t>
            </w:r>
          </w:p>
        </w:tc>
        <w:tc>
          <w:tcPr>
            <w:tcW w:w="1275" w:type="dxa"/>
            <w:gridSpan w:val="2"/>
            <w:tcBorders>
              <w:top w:val="single" w:color="auto" w:sz="4" w:space="0"/>
              <w:bottom w:val="single" w:color="auto" w:sz="4" w:space="0"/>
            </w:tcBorders>
            <w:shd w:val="clear" w:color="auto" w:fill="auto"/>
            <w:vAlign w:val="center"/>
          </w:tcPr>
          <w:p w14:paraId="24E50BB2">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1394张</w:t>
            </w:r>
          </w:p>
        </w:tc>
      </w:tr>
      <w:tr w14:paraId="3AEF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0" w:type="dxa"/>
            <w:gridSpan w:val="9"/>
            <w:tcBorders>
              <w:top w:val="single" w:color="auto" w:sz="4" w:space="0"/>
              <w:left w:val="nil"/>
              <w:bottom w:val="single" w:color="auto" w:sz="4" w:space="0"/>
              <w:right w:val="nil"/>
            </w:tcBorders>
            <w:vAlign w:val="center"/>
          </w:tcPr>
          <w:p w14:paraId="6943C4DD">
            <w:pPr>
              <w:widowControl/>
              <w:shd w:val="clear"/>
              <w:jc w:val="both"/>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序号2：车载刷卡机</w:t>
            </w:r>
          </w:p>
        </w:tc>
      </w:tr>
      <w:tr w14:paraId="75B7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750" w:type="dxa"/>
            <w:tcBorders>
              <w:top w:val="single" w:color="auto" w:sz="4" w:space="0"/>
              <w:bottom w:val="single" w:color="auto" w:sz="4" w:space="0"/>
            </w:tcBorders>
            <w:vAlign w:val="center"/>
          </w:tcPr>
          <w:p w14:paraId="2A534405">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150M/卡/月及以上，需做流量池</w:t>
            </w:r>
          </w:p>
        </w:tc>
        <w:tc>
          <w:tcPr>
            <w:tcW w:w="1710" w:type="dxa"/>
            <w:gridSpan w:val="2"/>
            <w:tcBorders>
              <w:top w:val="single" w:color="auto" w:sz="4" w:space="0"/>
              <w:bottom w:val="single" w:color="auto" w:sz="4" w:space="0"/>
            </w:tcBorders>
            <w:shd w:val="clear" w:color="auto" w:fill="auto"/>
            <w:vAlign w:val="center"/>
          </w:tcPr>
          <w:p w14:paraId="019C8DA7">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835张</w:t>
            </w:r>
          </w:p>
        </w:tc>
        <w:tc>
          <w:tcPr>
            <w:tcW w:w="1080" w:type="dxa"/>
            <w:gridSpan w:val="2"/>
            <w:tcBorders>
              <w:top w:val="single" w:color="auto" w:sz="4" w:space="0"/>
              <w:bottom w:val="single" w:color="auto" w:sz="4" w:space="0"/>
            </w:tcBorders>
            <w:shd w:val="clear" w:color="auto" w:fill="auto"/>
            <w:vAlign w:val="center"/>
          </w:tcPr>
          <w:p w14:paraId="23EE9C51">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508张</w:t>
            </w:r>
          </w:p>
        </w:tc>
        <w:tc>
          <w:tcPr>
            <w:tcW w:w="1095" w:type="dxa"/>
            <w:gridSpan w:val="2"/>
            <w:tcBorders>
              <w:top w:val="single" w:color="auto" w:sz="4" w:space="0"/>
              <w:bottom w:val="single" w:color="auto" w:sz="4" w:space="0"/>
            </w:tcBorders>
            <w:shd w:val="clear" w:color="auto" w:fill="auto"/>
            <w:vAlign w:val="center"/>
          </w:tcPr>
          <w:p w14:paraId="1FDC9E64">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641张</w:t>
            </w:r>
          </w:p>
        </w:tc>
        <w:tc>
          <w:tcPr>
            <w:tcW w:w="1275" w:type="dxa"/>
            <w:gridSpan w:val="2"/>
            <w:tcBorders>
              <w:top w:val="single" w:color="auto" w:sz="4" w:space="0"/>
              <w:bottom w:val="single" w:color="auto" w:sz="4" w:space="0"/>
            </w:tcBorders>
            <w:shd w:val="clear" w:color="auto" w:fill="auto"/>
            <w:vAlign w:val="center"/>
          </w:tcPr>
          <w:p w14:paraId="5BB33BC5">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1984张</w:t>
            </w:r>
          </w:p>
        </w:tc>
      </w:tr>
      <w:tr w14:paraId="4D11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910" w:type="dxa"/>
            <w:gridSpan w:val="9"/>
            <w:tcBorders>
              <w:top w:val="single" w:color="auto" w:sz="4" w:space="0"/>
              <w:left w:val="nil"/>
              <w:bottom w:val="single" w:color="auto" w:sz="4" w:space="0"/>
              <w:right w:val="nil"/>
            </w:tcBorders>
            <w:vAlign w:val="center"/>
          </w:tcPr>
          <w:p w14:paraId="621E64B4">
            <w:pPr>
              <w:widowControl/>
              <w:shd w:val="clear"/>
              <w:jc w:val="left"/>
              <w:rPr>
                <w:rFonts w:hint="default" w:ascii="仿宋" w:hAnsi="仿宋" w:eastAsia="仿宋" w:cs="仿宋"/>
                <w:color w:val="auto"/>
                <w:kern w:val="0"/>
                <w:sz w:val="24"/>
                <w:szCs w:val="24"/>
                <w:highlight w:val="none"/>
                <w:lang w:val="en-US"/>
              </w:rPr>
            </w:pPr>
            <w:r>
              <w:rPr>
                <w:rFonts w:hint="eastAsia" w:ascii="仿宋" w:hAnsi="仿宋" w:eastAsia="仿宋" w:cs="仿宋"/>
                <w:b/>
                <w:bCs/>
                <w:color w:val="auto"/>
                <w:kern w:val="0"/>
                <w:sz w:val="24"/>
                <w:szCs w:val="24"/>
                <w:highlight w:val="none"/>
                <w:lang w:val="en-US" w:eastAsia="zh-CN"/>
              </w:rPr>
              <w:t>序号3：车载安全卫士、灵活公交、安保巡查</w:t>
            </w:r>
          </w:p>
        </w:tc>
      </w:tr>
      <w:tr w14:paraId="7EAD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750" w:type="dxa"/>
            <w:tcBorders>
              <w:top w:val="single" w:color="auto" w:sz="4" w:space="0"/>
            </w:tcBorders>
            <w:vAlign w:val="center"/>
          </w:tcPr>
          <w:p w14:paraId="7D7737DB">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车载安全卫士物联网卡 4G/卡/月及以上，需做流量池</w:t>
            </w:r>
          </w:p>
        </w:tc>
        <w:tc>
          <w:tcPr>
            <w:tcW w:w="1710" w:type="dxa"/>
            <w:gridSpan w:val="2"/>
            <w:tcBorders>
              <w:top w:val="single" w:color="auto" w:sz="4" w:space="0"/>
            </w:tcBorders>
            <w:shd w:val="clear" w:color="auto" w:fill="auto"/>
            <w:vAlign w:val="center"/>
          </w:tcPr>
          <w:p w14:paraId="6FC1B84A">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565张</w:t>
            </w:r>
          </w:p>
        </w:tc>
        <w:tc>
          <w:tcPr>
            <w:tcW w:w="1080" w:type="dxa"/>
            <w:gridSpan w:val="2"/>
            <w:tcBorders>
              <w:top w:val="single" w:color="auto" w:sz="4" w:space="0"/>
            </w:tcBorders>
            <w:shd w:val="clear" w:color="auto" w:fill="auto"/>
            <w:vAlign w:val="center"/>
          </w:tcPr>
          <w:p w14:paraId="326D06A9">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668张</w:t>
            </w:r>
          </w:p>
        </w:tc>
        <w:tc>
          <w:tcPr>
            <w:tcW w:w="1095" w:type="dxa"/>
            <w:gridSpan w:val="2"/>
            <w:tcBorders>
              <w:top w:val="single" w:color="auto" w:sz="4" w:space="0"/>
            </w:tcBorders>
            <w:shd w:val="clear" w:color="auto" w:fill="auto"/>
            <w:vAlign w:val="center"/>
          </w:tcPr>
          <w:p w14:paraId="02DD0141">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495张</w:t>
            </w:r>
          </w:p>
        </w:tc>
        <w:tc>
          <w:tcPr>
            <w:tcW w:w="1275" w:type="dxa"/>
            <w:gridSpan w:val="2"/>
            <w:tcBorders>
              <w:top w:val="single" w:color="auto" w:sz="4" w:space="0"/>
            </w:tcBorders>
            <w:shd w:val="clear" w:color="auto" w:fill="auto"/>
            <w:vAlign w:val="center"/>
          </w:tcPr>
          <w:p w14:paraId="31590F52">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1728张</w:t>
            </w:r>
          </w:p>
        </w:tc>
      </w:tr>
      <w:tr w14:paraId="6465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750" w:type="dxa"/>
            <w:vAlign w:val="center"/>
          </w:tcPr>
          <w:p w14:paraId="50F43B1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灵活公交物联网卡 4G/卡/月及以上</w:t>
            </w:r>
          </w:p>
        </w:tc>
        <w:tc>
          <w:tcPr>
            <w:tcW w:w="1710" w:type="dxa"/>
            <w:gridSpan w:val="2"/>
            <w:shd w:val="clear" w:color="auto" w:fill="auto"/>
            <w:vAlign w:val="center"/>
          </w:tcPr>
          <w:p w14:paraId="67762789">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28</w:t>
            </w:r>
          </w:p>
        </w:tc>
        <w:tc>
          <w:tcPr>
            <w:tcW w:w="1080" w:type="dxa"/>
            <w:gridSpan w:val="2"/>
            <w:shd w:val="clear" w:color="auto" w:fill="auto"/>
            <w:vAlign w:val="center"/>
          </w:tcPr>
          <w:p w14:paraId="0EBA3CD5">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8</w:t>
            </w:r>
          </w:p>
        </w:tc>
        <w:tc>
          <w:tcPr>
            <w:tcW w:w="1095" w:type="dxa"/>
            <w:gridSpan w:val="2"/>
            <w:shd w:val="clear" w:color="auto" w:fill="auto"/>
            <w:vAlign w:val="center"/>
          </w:tcPr>
          <w:p w14:paraId="30679631">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2</w:t>
            </w:r>
          </w:p>
        </w:tc>
        <w:tc>
          <w:tcPr>
            <w:tcW w:w="1275" w:type="dxa"/>
            <w:gridSpan w:val="2"/>
            <w:shd w:val="clear" w:color="auto" w:fill="auto"/>
            <w:vAlign w:val="center"/>
          </w:tcPr>
          <w:p w14:paraId="02CD64F9">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38</w:t>
            </w:r>
          </w:p>
        </w:tc>
      </w:tr>
      <w:tr w14:paraId="6F4D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750" w:type="dxa"/>
            <w:vAlign w:val="center"/>
          </w:tcPr>
          <w:p w14:paraId="05554A4E">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 xml:space="preserve">安保巡检（巡更棒）物联网卡 </w:t>
            </w:r>
            <w:r>
              <w:rPr>
                <w:rFonts w:hint="eastAsia" w:ascii="仿宋" w:hAnsi="仿宋" w:eastAsia="仿宋" w:cs="仿宋"/>
                <w:color w:val="auto"/>
                <w:kern w:val="0"/>
                <w:sz w:val="24"/>
                <w:szCs w:val="24"/>
                <w:highlight w:val="none"/>
              </w:rPr>
              <w:t>2G/卡/月及以上</w:t>
            </w:r>
          </w:p>
        </w:tc>
        <w:tc>
          <w:tcPr>
            <w:tcW w:w="1710" w:type="dxa"/>
            <w:gridSpan w:val="2"/>
            <w:shd w:val="clear" w:color="auto" w:fill="auto"/>
            <w:vAlign w:val="center"/>
          </w:tcPr>
          <w:p w14:paraId="22198BC7">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18</w:t>
            </w:r>
          </w:p>
        </w:tc>
        <w:tc>
          <w:tcPr>
            <w:tcW w:w="1080" w:type="dxa"/>
            <w:gridSpan w:val="2"/>
            <w:shd w:val="clear" w:color="auto" w:fill="auto"/>
            <w:vAlign w:val="center"/>
          </w:tcPr>
          <w:p w14:paraId="72BD1817">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21</w:t>
            </w:r>
          </w:p>
        </w:tc>
        <w:tc>
          <w:tcPr>
            <w:tcW w:w="1095" w:type="dxa"/>
            <w:gridSpan w:val="2"/>
            <w:shd w:val="clear" w:color="auto" w:fill="auto"/>
            <w:vAlign w:val="center"/>
          </w:tcPr>
          <w:p w14:paraId="2591ACBC">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20</w:t>
            </w:r>
          </w:p>
        </w:tc>
        <w:tc>
          <w:tcPr>
            <w:tcW w:w="1275" w:type="dxa"/>
            <w:gridSpan w:val="2"/>
            <w:shd w:val="clear" w:color="auto" w:fill="auto"/>
            <w:vAlign w:val="center"/>
          </w:tcPr>
          <w:p w14:paraId="69E4677C">
            <w:pPr>
              <w:widowControl/>
              <w:shd w:val="clear"/>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59</w:t>
            </w:r>
          </w:p>
        </w:tc>
      </w:tr>
    </w:tbl>
    <w:p w14:paraId="4014B036">
      <w:pPr>
        <w:shd w:val="clear"/>
        <w:ind w:firstLine="964" w:firstLineChars="4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序号4：绍兴市公共交通集团有限公司网络线路</w:t>
      </w:r>
    </w:p>
    <w:tbl>
      <w:tblPr>
        <w:tblStyle w:val="62"/>
        <w:tblW w:w="7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0"/>
        <w:gridCol w:w="1815"/>
        <w:gridCol w:w="2237"/>
        <w:gridCol w:w="1121"/>
      </w:tblGrid>
      <w:tr w14:paraId="02B2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680" w:type="dxa"/>
            <w:vAlign w:val="center"/>
          </w:tcPr>
          <w:p w14:paraId="368D4109">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1815" w:type="dxa"/>
            <w:vAlign w:val="center"/>
          </w:tcPr>
          <w:p w14:paraId="7B43E283">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2237" w:type="dxa"/>
            <w:vAlign w:val="center"/>
          </w:tcPr>
          <w:p w14:paraId="2A380A03">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1121" w:type="dxa"/>
            <w:vAlign w:val="center"/>
          </w:tcPr>
          <w:p w14:paraId="170108D0">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数量</w:t>
            </w:r>
          </w:p>
        </w:tc>
      </w:tr>
      <w:tr w14:paraId="4A95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680" w:type="dxa"/>
            <w:vAlign w:val="center"/>
          </w:tcPr>
          <w:p w14:paraId="0FDE076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城南劳家葑至镜湖高速大楼线路</w:t>
            </w:r>
          </w:p>
        </w:tc>
        <w:tc>
          <w:tcPr>
            <w:tcW w:w="1815" w:type="dxa"/>
            <w:vAlign w:val="center"/>
          </w:tcPr>
          <w:p w14:paraId="6C066DF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与交投集团数据传输</w:t>
            </w:r>
          </w:p>
        </w:tc>
        <w:tc>
          <w:tcPr>
            <w:tcW w:w="2237" w:type="dxa"/>
            <w:vAlign w:val="center"/>
          </w:tcPr>
          <w:p w14:paraId="0ED9D3D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1000M（IPRAN）</w:t>
            </w:r>
          </w:p>
        </w:tc>
        <w:tc>
          <w:tcPr>
            <w:tcW w:w="1121" w:type="dxa"/>
            <w:vAlign w:val="center"/>
          </w:tcPr>
          <w:p w14:paraId="4350009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753C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680" w:type="dxa"/>
            <w:vAlign w:val="center"/>
          </w:tcPr>
          <w:p w14:paraId="0F8BED5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城南劳家葑机房互联网线路</w:t>
            </w:r>
          </w:p>
        </w:tc>
        <w:tc>
          <w:tcPr>
            <w:tcW w:w="1815" w:type="dxa"/>
            <w:vAlign w:val="center"/>
          </w:tcPr>
          <w:p w14:paraId="1ABE819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业务上网</w:t>
            </w:r>
          </w:p>
        </w:tc>
        <w:tc>
          <w:tcPr>
            <w:tcW w:w="2237" w:type="dxa"/>
            <w:vAlign w:val="center"/>
          </w:tcPr>
          <w:p w14:paraId="318F968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200M（每条包含5个可用IP地址）</w:t>
            </w:r>
          </w:p>
        </w:tc>
        <w:tc>
          <w:tcPr>
            <w:tcW w:w="1121" w:type="dxa"/>
            <w:vAlign w:val="center"/>
          </w:tcPr>
          <w:p w14:paraId="422C04F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2条</w:t>
            </w:r>
          </w:p>
        </w:tc>
      </w:tr>
      <w:tr w14:paraId="6AF7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680" w:type="dxa"/>
            <w:vAlign w:val="center"/>
          </w:tcPr>
          <w:p w14:paraId="1F057A6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镜湖高速大楼互联网线路</w:t>
            </w:r>
          </w:p>
        </w:tc>
        <w:tc>
          <w:tcPr>
            <w:tcW w:w="1815" w:type="dxa"/>
            <w:vAlign w:val="center"/>
          </w:tcPr>
          <w:p w14:paraId="62DF819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业务上网</w:t>
            </w:r>
          </w:p>
        </w:tc>
        <w:tc>
          <w:tcPr>
            <w:tcW w:w="2237" w:type="dxa"/>
            <w:vAlign w:val="center"/>
          </w:tcPr>
          <w:p w14:paraId="735B8E3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200M（每条包含5个可用IP地址）</w:t>
            </w:r>
          </w:p>
        </w:tc>
        <w:tc>
          <w:tcPr>
            <w:tcW w:w="1121" w:type="dxa"/>
            <w:vAlign w:val="center"/>
          </w:tcPr>
          <w:p w14:paraId="1763DD5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39E6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680" w:type="dxa"/>
            <w:vAlign w:val="center"/>
          </w:tcPr>
          <w:p w14:paraId="33B8161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后墅集团互联网线路</w:t>
            </w:r>
          </w:p>
        </w:tc>
        <w:tc>
          <w:tcPr>
            <w:tcW w:w="1815" w:type="dxa"/>
            <w:vAlign w:val="center"/>
          </w:tcPr>
          <w:p w14:paraId="3C1E91A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2237" w:type="dxa"/>
            <w:vAlign w:val="center"/>
          </w:tcPr>
          <w:p w14:paraId="6DB0D4C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200M（每条包含2个可用IP地址）</w:t>
            </w:r>
          </w:p>
        </w:tc>
        <w:tc>
          <w:tcPr>
            <w:tcW w:w="1121" w:type="dxa"/>
            <w:vAlign w:val="center"/>
          </w:tcPr>
          <w:p w14:paraId="1F88512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1035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680" w:type="dxa"/>
            <w:vAlign w:val="center"/>
          </w:tcPr>
          <w:p w14:paraId="6AA7F45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1815" w:type="dxa"/>
            <w:vAlign w:val="center"/>
          </w:tcPr>
          <w:p w14:paraId="474561AF">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2237" w:type="dxa"/>
            <w:vAlign w:val="center"/>
          </w:tcPr>
          <w:p w14:paraId="4C8739E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100M（拨号模式）</w:t>
            </w:r>
          </w:p>
        </w:tc>
        <w:tc>
          <w:tcPr>
            <w:tcW w:w="1121" w:type="dxa"/>
            <w:vAlign w:val="center"/>
          </w:tcPr>
          <w:p w14:paraId="22DC019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bl>
    <w:p w14:paraId="0CBE9701">
      <w:pPr>
        <w:shd w:val="clear"/>
        <w:ind w:firstLine="964" w:firstLineChars="4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序号5：绍兴市公共交通集团第一有限公司网络线路</w:t>
      </w:r>
    </w:p>
    <w:tbl>
      <w:tblPr>
        <w:tblStyle w:val="62"/>
        <w:tblW w:w="7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2003"/>
        <w:gridCol w:w="1276"/>
        <w:gridCol w:w="1590"/>
      </w:tblGrid>
      <w:tr w14:paraId="0868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1" w:type="dxa"/>
            <w:vAlign w:val="center"/>
          </w:tcPr>
          <w:p w14:paraId="38141A7F">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2003" w:type="dxa"/>
            <w:vAlign w:val="center"/>
          </w:tcPr>
          <w:p w14:paraId="7795131B">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1276" w:type="dxa"/>
            <w:vAlign w:val="center"/>
          </w:tcPr>
          <w:p w14:paraId="30BA26E6">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1590" w:type="dxa"/>
            <w:vAlign w:val="center"/>
          </w:tcPr>
          <w:p w14:paraId="71D5DBB5">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数量</w:t>
            </w:r>
          </w:p>
        </w:tc>
      </w:tr>
      <w:tr w14:paraId="0C50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021" w:type="dxa"/>
            <w:vAlign w:val="center"/>
          </w:tcPr>
          <w:p w14:paraId="277642E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城南总机房全球眼汇聚专线</w:t>
            </w:r>
          </w:p>
        </w:tc>
        <w:tc>
          <w:tcPr>
            <w:tcW w:w="2003" w:type="dxa"/>
            <w:vAlign w:val="center"/>
          </w:tcPr>
          <w:p w14:paraId="3714552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全球眼汇聚专线</w:t>
            </w:r>
          </w:p>
        </w:tc>
        <w:tc>
          <w:tcPr>
            <w:tcW w:w="1276" w:type="dxa"/>
            <w:vAlign w:val="center"/>
          </w:tcPr>
          <w:p w14:paraId="3F57945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1590" w:type="dxa"/>
            <w:vAlign w:val="center"/>
          </w:tcPr>
          <w:p w14:paraId="6E36AEF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699E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021" w:type="dxa"/>
            <w:vAlign w:val="center"/>
          </w:tcPr>
          <w:p w14:paraId="600DBB4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齐贤镇高铁中心大楼二楼机房</w:t>
            </w:r>
          </w:p>
        </w:tc>
        <w:tc>
          <w:tcPr>
            <w:tcW w:w="2003" w:type="dxa"/>
            <w:vAlign w:val="center"/>
          </w:tcPr>
          <w:p w14:paraId="677C334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全球眼汇聚专线</w:t>
            </w:r>
          </w:p>
        </w:tc>
        <w:tc>
          <w:tcPr>
            <w:tcW w:w="1276" w:type="dxa"/>
            <w:vAlign w:val="center"/>
          </w:tcPr>
          <w:p w14:paraId="27CA8A5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300M</w:t>
            </w:r>
          </w:p>
        </w:tc>
        <w:tc>
          <w:tcPr>
            <w:tcW w:w="1590" w:type="dxa"/>
            <w:vAlign w:val="center"/>
          </w:tcPr>
          <w:p w14:paraId="19CE8D7B">
            <w:pPr>
              <w:widowControl/>
              <w:shd w:val="clear"/>
              <w:jc w:val="center"/>
              <w:rPr>
                <w:rFonts w:hint="eastAsia" w:ascii="仿宋" w:hAnsi="仿宋" w:eastAsia="仿宋" w:cs="仿宋"/>
                <w:color w:val="auto"/>
                <w:kern w:val="0"/>
                <w:sz w:val="24"/>
                <w:szCs w:val="28"/>
                <w:highlight w:val="none"/>
                <w:lang w:eastAsia="zh-CN"/>
              </w:rPr>
            </w:pPr>
            <w:r>
              <w:rPr>
                <w:rFonts w:hint="eastAsia" w:ascii="仿宋" w:hAnsi="仿宋" w:eastAsia="仿宋" w:cs="仿宋"/>
                <w:color w:val="auto"/>
                <w:kern w:val="0"/>
                <w:sz w:val="24"/>
                <w:szCs w:val="28"/>
                <w:highlight w:val="none"/>
              </w:rPr>
              <w:t>1</w:t>
            </w:r>
            <w:r>
              <w:rPr>
                <w:rFonts w:hint="eastAsia" w:ascii="仿宋" w:hAnsi="仿宋" w:eastAsia="仿宋" w:cs="仿宋"/>
                <w:color w:val="auto"/>
                <w:kern w:val="0"/>
                <w:sz w:val="24"/>
                <w:szCs w:val="28"/>
                <w:highlight w:val="none"/>
                <w:lang w:val="en-US" w:eastAsia="zh-CN"/>
              </w:rPr>
              <w:t>条</w:t>
            </w:r>
          </w:p>
        </w:tc>
      </w:tr>
      <w:tr w14:paraId="1222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1" w:type="dxa"/>
            <w:vAlign w:val="center"/>
          </w:tcPr>
          <w:p w14:paraId="52B0F4C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场站全球眼线路</w:t>
            </w:r>
          </w:p>
        </w:tc>
        <w:tc>
          <w:tcPr>
            <w:tcW w:w="2003" w:type="dxa"/>
            <w:vAlign w:val="center"/>
          </w:tcPr>
          <w:p w14:paraId="645921E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全球眼专线</w:t>
            </w:r>
          </w:p>
        </w:tc>
        <w:tc>
          <w:tcPr>
            <w:tcW w:w="1276" w:type="dxa"/>
            <w:vAlign w:val="center"/>
          </w:tcPr>
          <w:p w14:paraId="746BC7F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20M</w:t>
            </w:r>
          </w:p>
        </w:tc>
        <w:tc>
          <w:tcPr>
            <w:tcW w:w="1590" w:type="dxa"/>
            <w:vAlign w:val="center"/>
          </w:tcPr>
          <w:p w14:paraId="42419F5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5条</w:t>
            </w:r>
          </w:p>
        </w:tc>
      </w:tr>
      <w:tr w14:paraId="4494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1" w:type="dxa"/>
            <w:vAlign w:val="center"/>
          </w:tcPr>
          <w:p w14:paraId="5A59152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一公司机房互联网光纤</w:t>
            </w:r>
          </w:p>
        </w:tc>
        <w:tc>
          <w:tcPr>
            <w:tcW w:w="2003" w:type="dxa"/>
            <w:vAlign w:val="center"/>
          </w:tcPr>
          <w:p w14:paraId="1D61423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276" w:type="dxa"/>
            <w:vAlign w:val="center"/>
          </w:tcPr>
          <w:p w14:paraId="61D0D05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300M（无固定IP地址）</w:t>
            </w:r>
          </w:p>
        </w:tc>
        <w:tc>
          <w:tcPr>
            <w:tcW w:w="1590" w:type="dxa"/>
            <w:vAlign w:val="center"/>
          </w:tcPr>
          <w:p w14:paraId="33B8B11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1D78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1" w:type="dxa"/>
            <w:vAlign w:val="center"/>
          </w:tcPr>
          <w:p w14:paraId="51293CD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场站互联网线路</w:t>
            </w:r>
          </w:p>
        </w:tc>
        <w:tc>
          <w:tcPr>
            <w:tcW w:w="2003" w:type="dxa"/>
            <w:vAlign w:val="center"/>
          </w:tcPr>
          <w:p w14:paraId="6714D53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276" w:type="dxa"/>
            <w:vAlign w:val="center"/>
          </w:tcPr>
          <w:p w14:paraId="7F1F215F">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1000M（公众版融合宽带）</w:t>
            </w:r>
          </w:p>
        </w:tc>
        <w:tc>
          <w:tcPr>
            <w:tcW w:w="1590" w:type="dxa"/>
            <w:vAlign w:val="center"/>
          </w:tcPr>
          <w:p w14:paraId="3F2667E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22条</w:t>
            </w:r>
          </w:p>
        </w:tc>
      </w:tr>
      <w:tr w14:paraId="5956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1" w:type="dxa"/>
            <w:vAlign w:val="center"/>
          </w:tcPr>
          <w:p w14:paraId="1F2A791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场站内网线路</w:t>
            </w:r>
          </w:p>
        </w:tc>
        <w:tc>
          <w:tcPr>
            <w:tcW w:w="2003" w:type="dxa"/>
            <w:vAlign w:val="center"/>
          </w:tcPr>
          <w:p w14:paraId="1BE8D70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276" w:type="dxa"/>
            <w:vAlign w:val="center"/>
          </w:tcPr>
          <w:p w14:paraId="29DB097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VPN专线20M</w:t>
            </w:r>
          </w:p>
        </w:tc>
        <w:tc>
          <w:tcPr>
            <w:tcW w:w="1590" w:type="dxa"/>
            <w:vAlign w:val="center"/>
          </w:tcPr>
          <w:p w14:paraId="719FC50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7条</w:t>
            </w:r>
          </w:p>
        </w:tc>
      </w:tr>
      <w:tr w14:paraId="373E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1" w:type="dxa"/>
            <w:vAlign w:val="center"/>
          </w:tcPr>
          <w:p w14:paraId="7D3F94A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场站内网、发车屏网络线路</w:t>
            </w:r>
          </w:p>
        </w:tc>
        <w:tc>
          <w:tcPr>
            <w:tcW w:w="2003" w:type="dxa"/>
            <w:vAlign w:val="center"/>
          </w:tcPr>
          <w:p w14:paraId="330BDC6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业务内网</w:t>
            </w:r>
          </w:p>
        </w:tc>
        <w:tc>
          <w:tcPr>
            <w:tcW w:w="1276" w:type="dxa"/>
            <w:vAlign w:val="center"/>
          </w:tcPr>
          <w:p w14:paraId="65C0DEE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VPN专线100M</w:t>
            </w:r>
          </w:p>
        </w:tc>
        <w:tc>
          <w:tcPr>
            <w:tcW w:w="1590" w:type="dxa"/>
            <w:vAlign w:val="center"/>
          </w:tcPr>
          <w:p w14:paraId="3977804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17条</w:t>
            </w:r>
          </w:p>
        </w:tc>
      </w:tr>
      <w:tr w14:paraId="2EB4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1" w:type="dxa"/>
            <w:vAlign w:val="center"/>
          </w:tcPr>
          <w:p w14:paraId="7041F6C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停保场内网、城南总机房网络线路</w:t>
            </w:r>
          </w:p>
        </w:tc>
        <w:tc>
          <w:tcPr>
            <w:tcW w:w="2003" w:type="dxa"/>
            <w:vAlign w:val="center"/>
          </w:tcPr>
          <w:p w14:paraId="1280F87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276" w:type="dxa"/>
            <w:vAlign w:val="center"/>
          </w:tcPr>
          <w:p w14:paraId="76D5EE1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VPN专线1000M</w:t>
            </w:r>
          </w:p>
        </w:tc>
        <w:tc>
          <w:tcPr>
            <w:tcW w:w="1590" w:type="dxa"/>
            <w:vAlign w:val="center"/>
          </w:tcPr>
          <w:p w14:paraId="56987CC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7条</w:t>
            </w:r>
          </w:p>
        </w:tc>
      </w:tr>
      <w:tr w14:paraId="4C7D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1" w:type="dxa"/>
            <w:vAlign w:val="center"/>
          </w:tcPr>
          <w:p w14:paraId="55A631F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城南总机房内网线路</w:t>
            </w:r>
          </w:p>
        </w:tc>
        <w:tc>
          <w:tcPr>
            <w:tcW w:w="2003" w:type="dxa"/>
            <w:vAlign w:val="center"/>
          </w:tcPr>
          <w:p w14:paraId="3D8170F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业务内网</w:t>
            </w:r>
          </w:p>
        </w:tc>
        <w:tc>
          <w:tcPr>
            <w:tcW w:w="1276" w:type="dxa"/>
            <w:vAlign w:val="center"/>
          </w:tcPr>
          <w:p w14:paraId="03BF784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VPN专线2000M</w:t>
            </w:r>
          </w:p>
        </w:tc>
        <w:tc>
          <w:tcPr>
            <w:tcW w:w="1590" w:type="dxa"/>
            <w:vAlign w:val="center"/>
          </w:tcPr>
          <w:p w14:paraId="774BB12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223A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1" w:type="dxa"/>
            <w:vAlign w:val="center"/>
          </w:tcPr>
          <w:p w14:paraId="286BBD6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城南总机房内网线路</w:t>
            </w:r>
          </w:p>
        </w:tc>
        <w:tc>
          <w:tcPr>
            <w:tcW w:w="2003" w:type="dxa"/>
            <w:vAlign w:val="center"/>
          </w:tcPr>
          <w:p w14:paraId="652F04D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业务内网</w:t>
            </w:r>
          </w:p>
        </w:tc>
        <w:tc>
          <w:tcPr>
            <w:tcW w:w="1276" w:type="dxa"/>
            <w:vAlign w:val="center"/>
          </w:tcPr>
          <w:p w14:paraId="07E6433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VPN专线3000M</w:t>
            </w:r>
          </w:p>
        </w:tc>
        <w:tc>
          <w:tcPr>
            <w:tcW w:w="1590" w:type="dxa"/>
            <w:vAlign w:val="center"/>
          </w:tcPr>
          <w:p w14:paraId="3210FE5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7515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1" w:type="dxa"/>
            <w:vAlign w:val="center"/>
          </w:tcPr>
          <w:p w14:paraId="5E67CAA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短信平台</w:t>
            </w:r>
          </w:p>
        </w:tc>
        <w:tc>
          <w:tcPr>
            <w:tcW w:w="2003" w:type="dxa"/>
            <w:vAlign w:val="center"/>
          </w:tcPr>
          <w:p w14:paraId="3F88739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发送短信</w:t>
            </w:r>
          </w:p>
        </w:tc>
        <w:tc>
          <w:tcPr>
            <w:tcW w:w="1276" w:type="dxa"/>
            <w:vAlign w:val="center"/>
          </w:tcPr>
          <w:p w14:paraId="3F6575B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54000条/月</w:t>
            </w:r>
          </w:p>
        </w:tc>
        <w:tc>
          <w:tcPr>
            <w:tcW w:w="1590" w:type="dxa"/>
            <w:vAlign w:val="center"/>
          </w:tcPr>
          <w:p w14:paraId="2FCC0E7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54000条/月</w:t>
            </w:r>
          </w:p>
        </w:tc>
      </w:tr>
      <w:tr w14:paraId="6126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21" w:type="dxa"/>
            <w:vAlign w:val="center"/>
          </w:tcPr>
          <w:p w14:paraId="30A4A04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2003" w:type="dxa"/>
            <w:vAlign w:val="center"/>
          </w:tcPr>
          <w:p w14:paraId="6C8759A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1276" w:type="dxa"/>
            <w:vAlign w:val="center"/>
          </w:tcPr>
          <w:p w14:paraId="6943032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1590" w:type="dxa"/>
            <w:vAlign w:val="center"/>
          </w:tcPr>
          <w:p w14:paraId="7FC7C1A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bl>
    <w:p w14:paraId="498B4FBF">
      <w:pPr>
        <w:shd w:val="clear"/>
        <w:ind w:firstLine="964" w:firstLineChars="4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序号6：绍兴市公共交通集团第二有限公司网络线路</w:t>
      </w:r>
    </w:p>
    <w:tbl>
      <w:tblPr>
        <w:tblStyle w:val="62"/>
        <w:tblW w:w="7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0"/>
        <w:gridCol w:w="1275"/>
        <w:gridCol w:w="1899"/>
        <w:gridCol w:w="1382"/>
      </w:tblGrid>
      <w:tr w14:paraId="100C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340" w:type="dxa"/>
            <w:vAlign w:val="center"/>
          </w:tcPr>
          <w:p w14:paraId="25854080">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1275" w:type="dxa"/>
            <w:vAlign w:val="center"/>
          </w:tcPr>
          <w:p w14:paraId="0176561F">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1899" w:type="dxa"/>
            <w:vAlign w:val="center"/>
          </w:tcPr>
          <w:p w14:paraId="3B359F5B">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1382" w:type="dxa"/>
            <w:vAlign w:val="center"/>
          </w:tcPr>
          <w:p w14:paraId="72AC1BF2">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数量</w:t>
            </w:r>
          </w:p>
        </w:tc>
      </w:tr>
      <w:tr w14:paraId="160D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340" w:type="dxa"/>
            <w:vAlign w:val="center"/>
          </w:tcPr>
          <w:p w14:paraId="2A14E27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场站内网专线</w:t>
            </w:r>
          </w:p>
        </w:tc>
        <w:tc>
          <w:tcPr>
            <w:tcW w:w="1275" w:type="dxa"/>
            <w:vAlign w:val="center"/>
          </w:tcPr>
          <w:p w14:paraId="5D63E62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899" w:type="dxa"/>
            <w:vAlign w:val="center"/>
          </w:tcPr>
          <w:p w14:paraId="00F7366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VPN专线100M</w:t>
            </w:r>
          </w:p>
        </w:tc>
        <w:tc>
          <w:tcPr>
            <w:tcW w:w="1382" w:type="dxa"/>
            <w:vAlign w:val="center"/>
          </w:tcPr>
          <w:p w14:paraId="47A42C9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28条</w:t>
            </w:r>
          </w:p>
        </w:tc>
      </w:tr>
      <w:tr w14:paraId="5458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340" w:type="dxa"/>
            <w:vAlign w:val="center"/>
          </w:tcPr>
          <w:p w14:paraId="4B76231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柯东公交站内网专线</w:t>
            </w:r>
          </w:p>
        </w:tc>
        <w:tc>
          <w:tcPr>
            <w:tcW w:w="1275" w:type="dxa"/>
            <w:vAlign w:val="center"/>
          </w:tcPr>
          <w:p w14:paraId="6F62765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899" w:type="dxa"/>
            <w:vAlign w:val="center"/>
          </w:tcPr>
          <w:p w14:paraId="5511433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VPN专线500M</w:t>
            </w:r>
          </w:p>
        </w:tc>
        <w:tc>
          <w:tcPr>
            <w:tcW w:w="1382" w:type="dxa"/>
            <w:vAlign w:val="center"/>
          </w:tcPr>
          <w:p w14:paraId="2D2D6B8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5E9A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340" w:type="dxa"/>
            <w:vAlign w:val="center"/>
          </w:tcPr>
          <w:p w14:paraId="4397EEA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监控中心内网专线</w:t>
            </w:r>
          </w:p>
        </w:tc>
        <w:tc>
          <w:tcPr>
            <w:tcW w:w="1275" w:type="dxa"/>
            <w:vAlign w:val="center"/>
          </w:tcPr>
          <w:p w14:paraId="18D9C4D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899" w:type="dxa"/>
            <w:vAlign w:val="center"/>
          </w:tcPr>
          <w:p w14:paraId="2625399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VPN专线1000M</w:t>
            </w:r>
          </w:p>
        </w:tc>
        <w:tc>
          <w:tcPr>
            <w:tcW w:w="1382" w:type="dxa"/>
            <w:vAlign w:val="center"/>
          </w:tcPr>
          <w:p w14:paraId="26C7D03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2条</w:t>
            </w:r>
          </w:p>
        </w:tc>
      </w:tr>
      <w:tr w14:paraId="080D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340" w:type="dxa"/>
            <w:vAlign w:val="center"/>
          </w:tcPr>
          <w:p w14:paraId="3C90CAD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监控中心机房互联网线路</w:t>
            </w:r>
          </w:p>
        </w:tc>
        <w:tc>
          <w:tcPr>
            <w:tcW w:w="1275" w:type="dxa"/>
            <w:vAlign w:val="center"/>
          </w:tcPr>
          <w:p w14:paraId="2EAD2F8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899" w:type="dxa"/>
            <w:vAlign w:val="center"/>
          </w:tcPr>
          <w:p w14:paraId="1AA52D4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200M（包含5个可用IP地址）</w:t>
            </w:r>
          </w:p>
        </w:tc>
        <w:tc>
          <w:tcPr>
            <w:tcW w:w="1382" w:type="dxa"/>
            <w:vAlign w:val="center"/>
          </w:tcPr>
          <w:p w14:paraId="66DCECE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73D6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340" w:type="dxa"/>
            <w:vAlign w:val="center"/>
          </w:tcPr>
          <w:p w14:paraId="1F764AE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场站互联网线路</w:t>
            </w:r>
          </w:p>
        </w:tc>
        <w:tc>
          <w:tcPr>
            <w:tcW w:w="1275" w:type="dxa"/>
            <w:vAlign w:val="center"/>
          </w:tcPr>
          <w:p w14:paraId="60B3AB1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899" w:type="dxa"/>
            <w:vAlign w:val="center"/>
          </w:tcPr>
          <w:p w14:paraId="5336C72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1000M（公众版融合宽带）</w:t>
            </w:r>
          </w:p>
        </w:tc>
        <w:tc>
          <w:tcPr>
            <w:tcW w:w="1382" w:type="dxa"/>
            <w:vAlign w:val="center"/>
          </w:tcPr>
          <w:p w14:paraId="2A1C839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19条</w:t>
            </w:r>
          </w:p>
        </w:tc>
      </w:tr>
      <w:tr w14:paraId="5BBE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340" w:type="dxa"/>
            <w:vAlign w:val="center"/>
          </w:tcPr>
          <w:p w14:paraId="0CDD617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1275" w:type="dxa"/>
            <w:vAlign w:val="center"/>
          </w:tcPr>
          <w:p w14:paraId="3B3E8AF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1899" w:type="dxa"/>
            <w:vAlign w:val="center"/>
          </w:tcPr>
          <w:p w14:paraId="1C72C1C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1382" w:type="dxa"/>
            <w:vAlign w:val="center"/>
          </w:tcPr>
          <w:p w14:paraId="3B163AF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bl>
    <w:p w14:paraId="251FD66D">
      <w:pPr>
        <w:shd w:val="clear"/>
        <w:ind w:firstLine="964" w:firstLineChars="4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序号7：</w:t>
      </w:r>
      <w:r>
        <w:rPr>
          <w:rFonts w:hint="eastAsia" w:ascii="仿宋" w:hAnsi="仿宋" w:eastAsia="仿宋" w:cs="仿宋"/>
          <w:b/>
          <w:bCs/>
          <w:color w:val="auto"/>
          <w:sz w:val="24"/>
          <w:szCs w:val="24"/>
          <w:highlight w:val="none"/>
        </w:rPr>
        <w:t>绍兴市公共交通集团第三有限公司</w:t>
      </w:r>
      <w:r>
        <w:rPr>
          <w:rFonts w:hint="eastAsia" w:ascii="仿宋" w:hAnsi="仿宋" w:eastAsia="仿宋" w:cs="仿宋"/>
          <w:b/>
          <w:color w:val="auto"/>
          <w:sz w:val="24"/>
          <w:szCs w:val="24"/>
          <w:highlight w:val="none"/>
        </w:rPr>
        <w:t>网络线路</w:t>
      </w:r>
    </w:p>
    <w:tbl>
      <w:tblPr>
        <w:tblStyle w:val="62"/>
        <w:tblW w:w="7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4"/>
        <w:gridCol w:w="1276"/>
        <w:gridCol w:w="2466"/>
        <w:gridCol w:w="995"/>
      </w:tblGrid>
      <w:tr w14:paraId="45EC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164" w:type="dxa"/>
            <w:vAlign w:val="center"/>
          </w:tcPr>
          <w:p w14:paraId="6C1DEACB">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1276" w:type="dxa"/>
            <w:vAlign w:val="center"/>
          </w:tcPr>
          <w:p w14:paraId="2F6A260D">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2466" w:type="dxa"/>
            <w:vAlign w:val="center"/>
          </w:tcPr>
          <w:p w14:paraId="7897B746">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995" w:type="dxa"/>
            <w:vAlign w:val="center"/>
          </w:tcPr>
          <w:p w14:paraId="4AC4D083">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数量</w:t>
            </w:r>
          </w:p>
        </w:tc>
      </w:tr>
      <w:tr w14:paraId="2F18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164" w:type="dxa"/>
            <w:vAlign w:val="center"/>
          </w:tcPr>
          <w:p w14:paraId="5C32827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客运中心、上虞东站互联网光纤</w:t>
            </w:r>
          </w:p>
        </w:tc>
        <w:tc>
          <w:tcPr>
            <w:tcW w:w="1276" w:type="dxa"/>
            <w:vAlign w:val="center"/>
          </w:tcPr>
          <w:p w14:paraId="0EE6B3C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2466" w:type="dxa"/>
            <w:vAlign w:val="center"/>
          </w:tcPr>
          <w:p w14:paraId="382FF2B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100M（每条线路包含1个可用固定IP地址）</w:t>
            </w:r>
          </w:p>
        </w:tc>
        <w:tc>
          <w:tcPr>
            <w:tcW w:w="995" w:type="dxa"/>
            <w:vAlign w:val="center"/>
          </w:tcPr>
          <w:p w14:paraId="29C2E8C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2条</w:t>
            </w:r>
          </w:p>
        </w:tc>
      </w:tr>
      <w:tr w14:paraId="16D3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164" w:type="dxa"/>
            <w:vAlign w:val="center"/>
          </w:tcPr>
          <w:p w14:paraId="0D3A3FC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公交内网线路</w:t>
            </w:r>
          </w:p>
        </w:tc>
        <w:tc>
          <w:tcPr>
            <w:tcW w:w="1276" w:type="dxa"/>
            <w:vAlign w:val="center"/>
          </w:tcPr>
          <w:p w14:paraId="60A39DA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2466" w:type="dxa"/>
            <w:vAlign w:val="center"/>
          </w:tcPr>
          <w:p w14:paraId="7122341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VPN专线100M</w:t>
            </w:r>
          </w:p>
        </w:tc>
        <w:tc>
          <w:tcPr>
            <w:tcW w:w="995" w:type="dxa"/>
            <w:vAlign w:val="center"/>
          </w:tcPr>
          <w:p w14:paraId="1976C4F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2条</w:t>
            </w:r>
          </w:p>
        </w:tc>
      </w:tr>
      <w:tr w14:paraId="3748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164" w:type="dxa"/>
            <w:vAlign w:val="center"/>
          </w:tcPr>
          <w:p w14:paraId="73C778C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公交内网线路</w:t>
            </w:r>
          </w:p>
        </w:tc>
        <w:tc>
          <w:tcPr>
            <w:tcW w:w="1276" w:type="dxa"/>
            <w:vAlign w:val="center"/>
          </w:tcPr>
          <w:p w14:paraId="58CD641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2466" w:type="dxa"/>
            <w:vAlign w:val="center"/>
          </w:tcPr>
          <w:p w14:paraId="2EC0FAB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VPN专线20M（定制）</w:t>
            </w:r>
          </w:p>
        </w:tc>
        <w:tc>
          <w:tcPr>
            <w:tcW w:w="995" w:type="dxa"/>
            <w:vAlign w:val="center"/>
          </w:tcPr>
          <w:p w14:paraId="7CC52C6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14条</w:t>
            </w:r>
          </w:p>
        </w:tc>
      </w:tr>
      <w:tr w14:paraId="04DA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164" w:type="dxa"/>
            <w:vAlign w:val="center"/>
          </w:tcPr>
          <w:p w14:paraId="3E87978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电子站牌专网</w:t>
            </w:r>
          </w:p>
        </w:tc>
        <w:tc>
          <w:tcPr>
            <w:tcW w:w="1276" w:type="dxa"/>
            <w:vAlign w:val="center"/>
          </w:tcPr>
          <w:p w14:paraId="56E5062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电子站牌专网</w:t>
            </w:r>
          </w:p>
        </w:tc>
        <w:tc>
          <w:tcPr>
            <w:tcW w:w="2466" w:type="dxa"/>
            <w:vAlign w:val="center"/>
          </w:tcPr>
          <w:p w14:paraId="50D00FA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VPN专线20M</w:t>
            </w:r>
          </w:p>
        </w:tc>
        <w:tc>
          <w:tcPr>
            <w:tcW w:w="995" w:type="dxa"/>
            <w:vAlign w:val="center"/>
          </w:tcPr>
          <w:p w14:paraId="5911F3B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459B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164" w:type="dxa"/>
            <w:vAlign w:val="center"/>
          </w:tcPr>
          <w:p w14:paraId="49C284C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场站互联网线路（公众版融合宽带）</w:t>
            </w:r>
          </w:p>
        </w:tc>
        <w:tc>
          <w:tcPr>
            <w:tcW w:w="1276" w:type="dxa"/>
            <w:vAlign w:val="center"/>
          </w:tcPr>
          <w:p w14:paraId="1251EB2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2466" w:type="dxa"/>
            <w:vAlign w:val="center"/>
          </w:tcPr>
          <w:p w14:paraId="7F70C2D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w:t>
            </w:r>
          </w:p>
        </w:tc>
        <w:tc>
          <w:tcPr>
            <w:tcW w:w="995" w:type="dxa"/>
            <w:vAlign w:val="center"/>
          </w:tcPr>
          <w:p w14:paraId="12AF631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2条</w:t>
            </w:r>
          </w:p>
        </w:tc>
      </w:tr>
      <w:tr w14:paraId="4EB5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164" w:type="dxa"/>
            <w:vAlign w:val="center"/>
          </w:tcPr>
          <w:p w14:paraId="0A51A5F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政务专线</w:t>
            </w:r>
          </w:p>
        </w:tc>
        <w:tc>
          <w:tcPr>
            <w:tcW w:w="1276" w:type="dxa"/>
            <w:vAlign w:val="center"/>
          </w:tcPr>
          <w:p w14:paraId="49B5266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接入区政府专网</w:t>
            </w:r>
          </w:p>
        </w:tc>
        <w:tc>
          <w:tcPr>
            <w:tcW w:w="2466" w:type="dxa"/>
            <w:vAlign w:val="center"/>
          </w:tcPr>
          <w:p w14:paraId="7CB989B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20M</w:t>
            </w:r>
          </w:p>
        </w:tc>
        <w:tc>
          <w:tcPr>
            <w:tcW w:w="995" w:type="dxa"/>
            <w:vAlign w:val="center"/>
          </w:tcPr>
          <w:p w14:paraId="385A438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4774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164" w:type="dxa"/>
            <w:vAlign w:val="center"/>
          </w:tcPr>
          <w:p w14:paraId="6C0B4C9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1276" w:type="dxa"/>
            <w:vAlign w:val="center"/>
          </w:tcPr>
          <w:p w14:paraId="671E5BF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2466" w:type="dxa"/>
            <w:vAlign w:val="center"/>
          </w:tcPr>
          <w:p w14:paraId="363FAC4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995" w:type="dxa"/>
            <w:vAlign w:val="center"/>
          </w:tcPr>
          <w:p w14:paraId="618D88A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bl>
    <w:p w14:paraId="318C4B24">
      <w:pPr>
        <w:shd w:val="clear"/>
        <w:ind w:firstLine="964" w:firstLineChars="4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序号8：绍兴市越风汽车修理有限责任公司网络线路</w:t>
      </w:r>
    </w:p>
    <w:tbl>
      <w:tblPr>
        <w:tblStyle w:val="62"/>
        <w:tblW w:w="7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1134"/>
        <w:gridCol w:w="2498"/>
        <w:gridCol w:w="1165"/>
      </w:tblGrid>
      <w:tr w14:paraId="513C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85" w:type="dxa"/>
            <w:vAlign w:val="center"/>
          </w:tcPr>
          <w:p w14:paraId="48680925">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1134" w:type="dxa"/>
            <w:vAlign w:val="center"/>
          </w:tcPr>
          <w:p w14:paraId="57F95D2B">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2498" w:type="dxa"/>
            <w:vAlign w:val="center"/>
          </w:tcPr>
          <w:p w14:paraId="118698B4">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1165" w:type="dxa"/>
            <w:vAlign w:val="center"/>
          </w:tcPr>
          <w:p w14:paraId="499EF515">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数量</w:t>
            </w:r>
          </w:p>
        </w:tc>
      </w:tr>
      <w:tr w14:paraId="448A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3085" w:type="dxa"/>
            <w:vAlign w:val="center"/>
          </w:tcPr>
          <w:p w14:paraId="74D91A3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越风本级、后墅车间、后诸车间、售后服务中心等</w:t>
            </w:r>
          </w:p>
        </w:tc>
        <w:tc>
          <w:tcPr>
            <w:tcW w:w="1134" w:type="dxa"/>
            <w:vAlign w:val="center"/>
          </w:tcPr>
          <w:p w14:paraId="70E8D0A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2498" w:type="dxa"/>
            <w:vAlign w:val="center"/>
          </w:tcPr>
          <w:p w14:paraId="54F8359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1000M（公众版融合宽带）</w:t>
            </w:r>
          </w:p>
        </w:tc>
        <w:tc>
          <w:tcPr>
            <w:tcW w:w="1165" w:type="dxa"/>
            <w:vAlign w:val="center"/>
          </w:tcPr>
          <w:p w14:paraId="67B36B3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7条</w:t>
            </w:r>
          </w:p>
        </w:tc>
      </w:tr>
      <w:tr w14:paraId="0A8E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85" w:type="dxa"/>
            <w:vAlign w:val="center"/>
          </w:tcPr>
          <w:p w14:paraId="58FF12C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1134" w:type="dxa"/>
            <w:vAlign w:val="center"/>
          </w:tcPr>
          <w:p w14:paraId="3989C74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2498" w:type="dxa"/>
            <w:vAlign w:val="center"/>
          </w:tcPr>
          <w:p w14:paraId="7A766AF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100M（拨号模式）</w:t>
            </w:r>
          </w:p>
        </w:tc>
        <w:tc>
          <w:tcPr>
            <w:tcW w:w="1165" w:type="dxa"/>
            <w:vAlign w:val="center"/>
          </w:tcPr>
          <w:p w14:paraId="00A0CFE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bl>
    <w:p w14:paraId="0861E982">
      <w:pPr>
        <w:shd w:val="clear"/>
        <w:ind w:firstLine="964" w:firstLineChars="4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序号9：绍兴市悦动公交广告传媒有限公司网络线路</w:t>
      </w:r>
    </w:p>
    <w:tbl>
      <w:tblPr>
        <w:tblStyle w:val="62"/>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1322"/>
        <w:gridCol w:w="2416"/>
        <w:gridCol w:w="1224"/>
      </w:tblGrid>
      <w:tr w14:paraId="1160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977" w:type="dxa"/>
            <w:vAlign w:val="center"/>
          </w:tcPr>
          <w:p w14:paraId="61E3F04D">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1322" w:type="dxa"/>
            <w:vAlign w:val="center"/>
          </w:tcPr>
          <w:p w14:paraId="0895DF15">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2416" w:type="dxa"/>
            <w:vAlign w:val="center"/>
          </w:tcPr>
          <w:p w14:paraId="3B7617FA">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1224" w:type="dxa"/>
            <w:vAlign w:val="center"/>
          </w:tcPr>
          <w:p w14:paraId="60EC3CB9">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数量</w:t>
            </w:r>
          </w:p>
        </w:tc>
      </w:tr>
      <w:tr w14:paraId="2EFF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977" w:type="dxa"/>
            <w:vAlign w:val="center"/>
          </w:tcPr>
          <w:p w14:paraId="4B482BD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公司互联网线路</w:t>
            </w:r>
          </w:p>
        </w:tc>
        <w:tc>
          <w:tcPr>
            <w:tcW w:w="1322" w:type="dxa"/>
            <w:vAlign w:val="center"/>
          </w:tcPr>
          <w:p w14:paraId="78B054E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2416" w:type="dxa"/>
            <w:vAlign w:val="center"/>
          </w:tcPr>
          <w:p w14:paraId="3667D6A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1000M（公众版融合宽带）</w:t>
            </w:r>
          </w:p>
        </w:tc>
        <w:tc>
          <w:tcPr>
            <w:tcW w:w="1224" w:type="dxa"/>
            <w:vAlign w:val="center"/>
          </w:tcPr>
          <w:p w14:paraId="5782244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082B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977" w:type="dxa"/>
            <w:vAlign w:val="center"/>
          </w:tcPr>
          <w:p w14:paraId="76FA956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公交内网线路</w:t>
            </w:r>
          </w:p>
        </w:tc>
        <w:tc>
          <w:tcPr>
            <w:tcW w:w="1322" w:type="dxa"/>
            <w:vAlign w:val="center"/>
          </w:tcPr>
          <w:p w14:paraId="3DCBCFA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2416" w:type="dxa"/>
            <w:vAlign w:val="center"/>
          </w:tcPr>
          <w:p w14:paraId="19AED3C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w:t>
            </w:r>
          </w:p>
          <w:p w14:paraId="42776C0F">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20M</w:t>
            </w:r>
          </w:p>
        </w:tc>
        <w:tc>
          <w:tcPr>
            <w:tcW w:w="1224" w:type="dxa"/>
            <w:vAlign w:val="center"/>
          </w:tcPr>
          <w:p w14:paraId="27241A2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401F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977" w:type="dxa"/>
            <w:vAlign w:val="center"/>
          </w:tcPr>
          <w:p w14:paraId="166E03A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1322" w:type="dxa"/>
            <w:vAlign w:val="center"/>
          </w:tcPr>
          <w:p w14:paraId="2AC4601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2416" w:type="dxa"/>
            <w:vAlign w:val="center"/>
          </w:tcPr>
          <w:p w14:paraId="7F6F6BC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1224" w:type="dxa"/>
            <w:vAlign w:val="center"/>
          </w:tcPr>
          <w:p w14:paraId="1FFBD46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bl>
    <w:p w14:paraId="2CAB29FE">
      <w:pPr>
        <w:shd w:val="clear"/>
        <w:ind w:firstLine="1205" w:firstLineChars="5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序号10:绍兴市交投特来电易捷充电网运营有限公司网络线路</w:t>
      </w:r>
    </w:p>
    <w:tbl>
      <w:tblPr>
        <w:tblStyle w:val="62"/>
        <w:tblW w:w="7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0"/>
        <w:gridCol w:w="1296"/>
        <w:gridCol w:w="2642"/>
        <w:gridCol w:w="1197"/>
      </w:tblGrid>
      <w:tr w14:paraId="1150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780" w:type="dxa"/>
            <w:vAlign w:val="center"/>
          </w:tcPr>
          <w:p w14:paraId="275D5A9F">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1296" w:type="dxa"/>
            <w:vAlign w:val="center"/>
          </w:tcPr>
          <w:p w14:paraId="073AA3BF">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2642" w:type="dxa"/>
            <w:vAlign w:val="center"/>
          </w:tcPr>
          <w:p w14:paraId="45CF6E41">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1197" w:type="dxa"/>
            <w:vAlign w:val="center"/>
          </w:tcPr>
          <w:p w14:paraId="4EA01E19">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数量</w:t>
            </w:r>
          </w:p>
        </w:tc>
      </w:tr>
      <w:tr w14:paraId="32D9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780" w:type="dxa"/>
            <w:vAlign w:val="center"/>
          </w:tcPr>
          <w:p w14:paraId="3A9DE75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公司互联网线路</w:t>
            </w:r>
          </w:p>
        </w:tc>
        <w:tc>
          <w:tcPr>
            <w:tcW w:w="1296" w:type="dxa"/>
            <w:vAlign w:val="center"/>
          </w:tcPr>
          <w:p w14:paraId="151F0F9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2642" w:type="dxa"/>
            <w:vAlign w:val="center"/>
          </w:tcPr>
          <w:p w14:paraId="4FDCEA6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1000M（公众版融合宽带）</w:t>
            </w:r>
          </w:p>
        </w:tc>
        <w:tc>
          <w:tcPr>
            <w:tcW w:w="1197" w:type="dxa"/>
            <w:vAlign w:val="center"/>
          </w:tcPr>
          <w:p w14:paraId="53EE11F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2727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780" w:type="dxa"/>
            <w:vAlign w:val="center"/>
          </w:tcPr>
          <w:p w14:paraId="4AEEAEE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公交内网线路</w:t>
            </w:r>
          </w:p>
        </w:tc>
        <w:tc>
          <w:tcPr>
            <w:tcW w:w="1296" w:type="dxa"/>
            <w:vAlign w:val="center"/>
          </w:tcPr>
          <w:p w14:paraId="0C10E7E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2642" w:type="dxa"/>
            <w:vAlign w:val="center"/>
          </w:tcPr>
          <w:p w14:paraId="3F17132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w:t>
            </w:r>
          </w:p>
          <w:p w14:paraId="37DA712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20M</w:t>
            </w:r>
          </w:p>
        </w:tc>
        <w:tc>
          <w:tcPr>
            <w:tcW w:w="1197" w:type="dxa"/>
            <w:vAlign w:val="center"/>
          </w:tcPr>
          <w:p w14:paraId="5F2B3A8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r w14:paraId="1C28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780" w:type="dxa"/>
            <w:vAlign w:val="center"/>
          </w:tcPr>
          <w:p w14:paraId="75BE7CD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1296" w:type="dxa"/>
            <w:vAlign w:val="center"/>
          </w:tcPr>
          <w:p w14:paraId="0FB9972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2642" w:type="dxa"/>
            <w:vAlign w:val="center"/>
          </w:tcPr>
          <w:p w14:paraId="41A4814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1197" w:type="dxa"/>
            <w:vAlign w:val="center"/>
          </w:tcPr>
          <w:p w14:paraId="17FEAFB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1条</w:t>
            </w:r>
          </w:p>
        </w:tc>
      </w:tr>
    </w:tbl>
    <w:p w14:paraId="6992614D">
      <w:pPr>
        <w:shd w:val="clear"/>
        <w:ind w:firstLine="1205" w:firstLineChars="500"/>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rPr>
        <w:t>序号11：</w:t>
      </w:r>
      <w:r>
        <w:rPr>
          <w:rFonts w:hint="eastAsia" w:ascii="仿宋" w:hAnsi="仿宋" w:eastAsia="仿宋" w:cs="仿宋"/>
          <w:b/>
          <w:color w:val="auto"/>
          <w:sz w:val="24"/>
          <w:szCs w:val="24"/>
          <w:highlight w:val="none"/>
        </w:rPr>
        <w:t>各单位主、备用网络线路</w:t>
      </w:r>
    </w:p>
    <w:tbl>
      <w:tblPr>
        <w:tblStyle w:val="62"/>
        <w:tblW w:w="7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2217"/>
        <w:gridCol w:w="851"/>
        <w:gridCol w:w="1867"/>
        <w:gridCol w:w="1172"/>
      </w:tblGrid>
      <w:tr w14:paraId="4CA9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89" w:type="dxa"/>
            <w:vAlign w:val="center"/>
          </w:tcPr>
          <w:p w14:paraId="222E8BB9">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所属公司</w:t>
            </w:r>
          </w:p>
        </w:tc>
        <w:tc>
          <w:tcPr>
            <w:tcW w:w="2217" w:type="dxa"/>
            <w:vAlign w:val="center"/>
          </w:tcPr>
          <w:p w14:paraId="49B956CF">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851" w:type="dxa"/>
            <w:vAlign w:val="center"/>
          </w:tcPr>
          <w:p w14:paraId="69EED08E">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1867" w:type="dxa"/>
            <w:vAlign w:val="center"/>
          </w:tcPr>
          <w:p w14:paraId="398A6F95">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1172" w:type="dxa"/>
            <w:vAlign w:val="center"/>
          </w:tcPr>
          <w:p w14:paraId="45E85116">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数量</w:t>
            </w:r>
          </w:p>
        </w:tc>
      </w:tr>
      <w:tr w14:paraId="266B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89" w:type="dxa"/>
            <w:vAlign w:val="center"/>
          </w:tcPr>
          <w:p w14:paraId="3E2AA98D">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市公交集团</w:t>
            </w:r>
          </w:p>
        </w:tc>
        <w:tc>
          <w:tcPr>
            <w:tcW w:w="2217" w:type="dxa"/>
            <w:vAlign w:val="center"/>
          </w:tcPr>
          <w:p w14:paraId="04D1ECF5">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运营商至城南总机房线路（主线路）</w:t>
            </w:r>
          </w:p>
        </w:tc>
        <w:tc>
          <w:tcPr>
            <w:tcW w:w="851" w:type="dxa"/>
            <w:vAlign w:val="center"/>
          </w:tcPr>
          <w:p w14:paraId="44ED6982">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867" w:type="dxa"/>
            <w:vAlign w:val="center"/>
          </w:tcPr>
          <w:p w14:paraId="6CD3057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1172" w:type="dxa"/>
            <w:vAlign w:val="center"/>
          </w:tcPr>
          <w:p w14:paraId="45BA67A9">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1条</w:t>
            </w:r>
          </w:p>
        </w:tc>
      </w:tr>
      <w:tr w14:paraId="69F3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89" w:type="dxa"/>
            <w:vAlign w:val="center"/>
          </w:tcPr>
          <w:p w14:paraId="2EA63998">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市公交集团</w:t>
            </w:r>
          </w:p>
        </w:tc>
        <w:tc>
          <w:tcPr>
            <w:tcW w:w="2217" w:type="dxa"/>
            <w:vAlign w:val="center"/>
          </w:tcPr>
          <w:p w14:paraId="47FC6545">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运营商至城南总机房线路（备用线路）</w:t>
            </w:r>
          </w:p>
        </w:tc>
        <w:tc>
          <w:tcPr>
            <w:tcW w:w="851" w:type="dxa"/>
            <w:vAlign w:val="center"/>
          </w:tcPr>
          <w:p w14:paraId="1BABD7D3">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867" w:type="dxa"/>
            <w:vAlign w:val="center"/>
          </w:tcPr>
          <w:p w14:paraId="51626E4A">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1172" w:type="dxa"/>
            <w:vAlign w:val="center"/>
          </w:tcPr>
          <w:p w14:paraId="4725507E">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1条</w:t>
            </w:r>
          </w:p>
        </w:tc>
      </w:tr>
      <w:tr w14:paraId="3AD7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89" w:type="dxa"/>
            <w:vAlign w:val="center"/>
          </w:tcPr>
          <w:p w14:paraId="35C25846">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市公交集团</w:t>
            </w:r>
          </w:p>
        </w:tc>
        <w:tc>
          <w:tcPr>
            <w:tcW w:w="2217" w:type="dxa"/>
            <w:vAlign w:val="center"/>
          </w:tcPr>
          <w:p w14:paraId="6E2040FA">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运营商至后墅机房线路（主线路）</w:t>
            </w:r>
          </w:p>
        </w:tc>
        <w:tc>
          <w:tcPr>
            <w:tcW w:w="851" w:type="dxa"/>
            <w:vAlign w:val="center"/>
          </w:tcPr>
          <w:p w14:paraId="3BC46FE3">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867" w:type="dxa"/>
            <w:vAlign w:val="center"/>
          </w:tcPr>
          <w:p w14:paraId="6BDB2E28">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1172" w:type="dxa"/>
            <w:vAlign w:val="center"/>
          </w:tcPr>
          <w:p w14:paraId="6B401A5E">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1条</w:t>
            </w:r>
          </w:p>
        </w:tc>
      </w:tr>
      <w:tr w14:paraId="534C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89" w:type="dxa"/>
            <w:vAlign w:val="center"/>
          </w:tcPr>
          <w:p w14:paraId="36DB135B">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第一公司</w:t>
            </w:r>
          </w:p>
        </w:tc>
        <w:tc>
          <w:tcPr>
            <w:tcW w:w="2217" w:type="dxa"/>
            <w:vAlign w:val="center"/>
          </w:tcPr>
          <w:p w14:paraId="01E8533A">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运营商至第一公司芳泉机房、一车队、二车队、三车队、四车队线路（主线路）</w:t>
            </w:r>
          </w:p>
        </w:tc>
        <w:tc>
          <w:tcPr>
            <w:tcW w:w="851" w:type="dxa"/>
            <w:vAlign w:val="center"/>
          </w:tcPr>
          <w:p w14:paraId="332B3DFD">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867" w:type="dxa"/>
            <w:vAlign w:val="center"/>
          </w:tcPr>
          <w:p w14:paraId="68BC6E8A">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1172" w:type="dxa"/>
            <w:vAlign w:val="center"/>
          </w:tcPr>
          <w:p w14:paraId="60B7A5B2">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5条</w:t>
            </w:r>
          </w:p>
        </w:tc>
      </w:tr>
      <w:tr w14:paraId="74D1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89" w:type="dxa"/>
            <w:vAlign w:val="center"/>
          </w:tcPr>
          <w:p w14:paraId="1E09BF0B">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第一公司</w:t>
            </w:r>
          </w:p>
        </w:tc>
        <w:tc>
          <w:tcPr>
            <w:tcW w:w="2217" w:type="dxa"/>
            <w:vAlign w:val="center"/>
          </w:tcPr>
          <w:p w14:paraId="0917B9DF">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运营商至第一公司芳泉机房、一车队、二车队、三车队、四车队线路（备用线路）</w:t>
            </w:r>
          </w:p>
        </w:tc>
        <w:tc>
          <w:tcPr>
            <w:tcW w:w="851" w:type="dxa"/>
            <w:vAlign w:val="center"/>
          </w:tcPr>
          <w:p w14:paraId="67128E8F">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867" w:type="dxa"/>
            <w:vAlign w:val="center"/>
          </w:tcPr>
          <w:p w14:paraId="35CDED65">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1172" w:type="dxa"/>
            <w:vAlign w:val="center"/>
          </w:tcPr>
          <w:p w14:paraId="4877F556">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5条</w:t>
            </w:r>
          </w:p>
        </w:tc>
      </w:tr>
      <w:tr w14:paraId="07D9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89" w:type="dxa"/>
            <w:vAlign w:val="center"/>
          </w:tcPr>
          <w:p w14:paraId="74218B20">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第一公司</w:t>
            </w:r>
          </w:p>
        </w:tc>
        <w:tc>
          <w:tcPr>
            <w:tcW w:w="2217" w:type="dxa"/>
            <w:vAlign w:val="center"/>
          </w:tcPr>
          <w:p w14:paraId="71636888">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运营商至第一公司芳泉4楼（备用线路）</w:t>
            </w:r>
          </w:p>
        </w:tc>
        <w:tc>
          <w:tcPr>
            <w:tcW w:w="851" w:type="dxa"/>
            <w:vAlign w:val="center"/>
          </w:tcPr>
          <w:p w14:paraId="529FE747">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867" w:type="dxa"/>
            <w:vAlign w:val="center"/>
          </w:tcPr>
          <w:p w14:paraId="5BAE1D3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1172" w:type="dxa"/>
            <w:vAlign w:val="center"/>
          </w:tcPr>
          <w:p w14:paraId="2F6D499A">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1条</w:t>
            </w:r>
          </w:p>
        </w:tc>
      </w:tr>
      <w:tr w14:paraId="47AB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89" w:type="dxa"/>
            <w:vAlign w:val="center"/>
          </w:tcPr>
          <w:p w14:paraId="4810C994">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第二公司</w:t>
            </w:r>
          </w:p>
        </w:tc>
        <w:tc>
          <w:tcPr>
            <w:tcW w:w="2217" w:type="dxa"/>
            <w:vAlign w:val="center"/>
          </w:tcPr>
          <w:p w14:paraId="3A5AA1F3">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运营商至第二公司线路（主线路）</w:t>
            </w:r>
          </w:p>
        </w:tc>
        <w:tc>
          <w:tcPr>
            <w:tcW w:w="851" w:type="dxa"/>
            <w:vAlign w:val="center"/>
          </w:tcPr>
          <w:p w14:paraId="670D9A40">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867" w:type="dxa"/>
            <w:vAlign w:val="center"/>
          </w:tcPr>
          <w:p w14:paraId="32825497">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1172" w:type="dxa"/>
            <w:vAlign w:val="center"/>
          </w:tcPr>
          <w:p w14:paraId="18031CAF">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1条</w:t>
            </w:r>
          </w:p>
        </w:tc>
      </w:tr>
      <w:tr w14:paraId="285A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89" w:type="dxa"/>
            <w:vAlign w:val="center"/>
          </w:tcPr>
          <w:p w14:paraId="066D319C">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第二公司</w:t>
            </w:r>
          </w:p>
        </w:tc>
        <w:tc>
          <w:tcPr>
            <w:tcW w:w="2217" w:type="dxa"/>
            <w:vAlign w:val="center"/>
          </w:tcPr>
          <w:p w14:paraId="56D077E5">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运营商至第二公司线路（备用线路）</w:t>
            </w:r>
          </w:p>
        </w:tc>
        <w:tc>
          <w:tcPr>
            <w:tcW w:w="851" w:type="dxa"/>
            <w:vAlign w:val="center"/>
          </w:tcPr>
          <w:p w14:paraId="0089ECCB">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867" w:type="dxa"/>
            <w:vAlign w:val="center"/>
          </w:tcPr>
          <w:p w14:paraId="122A9FB7">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1172" w:type="dxa"/>
            <w:vAlign w:val="center"/>
          </w:tcPr>
          <w:p w14:paraId="41FF451F">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1条</w:t>
            </w:r>
          </w:p>
        </w:tc>
      </w:tr>
      <w:tr w14:paraId="7970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89" w:type="dxa"/>
            <w:vAlign w:val="center"/>
          </w:tcPr>
          <w:p w14:paraId="10750025">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第三公司</w:t>
            </w:r>
          </w:p>
        </w:tc>
        <w:tc>
          <w:tcPr>
            <w:tcW w:w="2217" w:type="dxa"/>
            <w:vAlign w:val="center"/>
          </w:tcPr>
          <w:p w14:paraId="20F5A35A">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运营商至第三公司线路（主线路）</w:t>
            </w:r>
          </w:p>
        </w:tc>
        <w:tc>
          <w:tcPr>
            <w:tcW w:w="851" w:type="dxa"/>
            <w:vAlign w:val="center"/>
          </w:tcPr>
          <w:p w14:paraId="251C3015">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867" w:type="dxa"/>
            <w:vAlign w:val="center"/>
          </w:tcPr>
          <w:p w14:paraId="0D789E7D">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1172" w:type="dxa"/>
            <w:vAlign w:val="center"/>
          </w:tcPr>
          <w:p w14:paraId="0882EC27">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1条</w:t>
            </w:r>
          </w:p>
        </w:tc>
      </w:tr>
      <w:tr w14:paraId="70A1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89" w:type="dxa"/>
            <w:vAlign w:val="center"/>
          </w:tcPr>
          <w:p w14:paraId="3EEC07D5">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第三公司</w:t>
            </w:r>
          </w:p>
        </w:tc>
        <w:tc>
          <w:tcPr>
            <w:tcW w:w="2217" w:type="dxa"/>
            <w:vAlign w:val="center"/>
          </w:tcPr>
          <w:p w14:paraId="07049A5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运营商至第三公司线路（备用线路）</w:t>
            </w:r>
          </w:p>
        </w:tc>
        <w:tc>
          <w:tcPr>
            <w:tcW w:w="851" w:type="dxa"/>
            <w:vAlign w:val="center"/>
          </w:tcPr>
          <w:p w14:paraId="295FB5F0">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867" w:type="dxa"/>
            <w:vAlign w:val="center"/>
          </w:tcPr>
          <w:p w14:paraId="614CE70E">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1172" w:type="dxa"/>
            <w:vAlign w:val="center"/>
          </w:tcPr>
          <w:p w14:paraId="572706C2">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1条</w:t>
            </w:r>
          </w:p>
        </w:tc>
      </w:tr>
    </w:tbl>
    <w:p w14:paraId="46EE9B55">
      <w:pPr>
        <w:shd w:val="clear"/>
        <w:spacing w:line="56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注：以上清单内采购数量仅供参考，最终采购数量以实际采购数量为准。</w:t>
      </w:r>
    </w:p>
    <w:p w14:paraId="01F357B5">
      <w:pPr>
        <w:shd w:val="clear"/>
        <w:spacing w:line="52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二</w:t>
      </w:r>
      <w:r>
        <w:rPr>
          <w:rFonts w:hint="eastAsia" w:ascii="仿宋" w:hAnsi="仿宋" w:eastAsia="仿宋" w:cs="仿宋"/>
          <w:b/>
          <w:bCs/>
          <w:color w:val="auto"/>
          <w:sz w:val="24"/>
          <w:szCs w:val="24"/>
          <w:highlight w:val="none"/>
        </w:rPr>
        <w:t>、其他要求：</w:t>
      </w:r>
    </w:p>
    <w:p w14:paraId="090CFBAB">
      <w:pPr>
        <w:shd w:val="clea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专网物联网卡中如涉及到需要铺设专网物联网电路的，电路费用分摊至该项目物联网卡费用进行报价，不单独收取费用。物联网卡需为4G卡，下行速率在10M/秒以上。专网物联网电路带宽需在1000M及以上，专网物联网电路接入不得低于3个传输通道，根据传输量自主进行传输均衡处理，即实现网络传输负载均衡。</w:t>
      </w:r>
    </w:p>
    <w:p w14:paraId="2708FC32">
      <w:pPr>
        <w:shd w:val="clea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2）卡数量包含了三年内新车数量，三年内新车流量卡费用由设备厂家承担，到期后由公交承担。后续如有新车增加，按本次招标结果执行。</w:t>
      </w:r>
    </w:p>
    <w:p w14:paraId="7D29D81C">
      <w:pPr>
        <w:shd w:val="clea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需根据实际与各单位签订合同，原运营商到期后按本次招标结果开始</w:t>
      </w:r>
      <w:r>
        <w:rPr>
          <w:rFonts w:hint="eastAsia" w:ascii="仿宋" w:hAnsi="仿宋" w:eastAsia="仿宋" w:cs="仿宋"/>
          <w:color w:val="auto"/>
          <w:sz w:val="24"/>
          <w:szCs w:val="24"/>
          <w:highlight w:val="none"/>
        </w:rPr>
        <w:t>计费（到期时间2024年12月31日，到期后从完成换卡换网并正常使用后开始计费），按照车辆实际需求数量开卡。所有业务均以营运公司名义进行业务办理。</w:t>
      </w:r>
    </w:p>
    <w:p w14:paraId="06592221">
      <w:pPr>
        <w:shd w:val="clea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需提供物联网卡流量监测平台，用于查看每张卡的流量使用情况。</w:t>
      </w:r>
    </w:p>
    <w:p w14:paraId="6145D0EF">
      <w:pPr>
        <w:shd w:val="clea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应提前与设备厂家做好对接测试工作，并于原运营商到期前1-2个月内完成换卡、换网业务，期间不得影响公交业务正常运行。换卡、换网期间的人工费、流量费、网络费等均由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承担。逾期未能完成换卡、换网业务的，</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需承担原运营商到期后所产生的费用。</w:t>
      </w:r>
    </w:p>
    <w:p w14:paraId="3E70EC49">
      <w:pPr>
        <w:shd w:val="clear"/>
        <w:spacing w:line="52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★6）各</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须列明大流量卡、小流量卡、20G以上及20G以下套餐超出部分计费标准（表格格式自拟，放入“商务技术（资信）文件资料”）。</w:t>
      </w:r>
    </w:p>
    <w:p w14:paraId="6B67C731">
      <w:pPr>
        <w:shd w:val="clea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7）项目期限：三年，合同一年一签。</w:t>
      </w:r>
    </w:p>
    <w:p w14:paraId="7A985B83">
      <w:pPr>
        <w:shd w:val="clea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应当在中标通知书发出之日起30天内与采购人签订合同，否则视为自动放弃中标资格，一切损失由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自行承担。</w:t>
      </w:r>
    </w:p>
    <w:p w14:paraId="4867E52D">
      <w:pPr>
        <w:shd w:val="clear"/>
        <w:spacing w:line="520" w:lineRule="exact"/>
        <w:ind w:firstLine="482" w:firstLineChars="200"/>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9）付款方式：</w:t>
      </w:r>
      <w:r>
        <w:rPr>
          <w:rFonts w:hint="eastAsia" w:ascii="仿宋" w:hAnsi="仿宋" w:eastAsia="仿宋" w:cs="仿宋"/>
          <w:b w:val="0"/>
          <w:bCs w:val="0"/>
          <w:color w:val="auto"/>
          <w:sz w:val="24"/>
          <w:szCs w:val="24"/>
          <w:highlight w:val="none"/>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11D861CA">
      <w:pPr>
        <w:shd w:val="clear"/>
        <w:spacing w:line="5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每月根据实际开卡情况进行支付。</w:t>
      </w:r>
    </w:p>
    <w:p w14:paraId="03DD62D5">
      <w:pPr>
        <w:widowControl/>
        <w:shd w:val="clear"/>
        <w:jc w:val="left"/>
        <w:rPr>
          <w:rFonts w:hint="eastAsia" w:ascii="仿宋" w:hAnsi="仿宋" w:eastAsia="仿宋" w:cs="仿宋"/>
          <w:b/>
          <w:bCs/>
          <w:color w:val="auto"/>
          <w:kern w:val="0"/>
          <w:sz w:val="30"/>
          <w:szCs w:val="30"/>
          <w:highlight w:val="none"/>
        </w:rPr>
      </w:pPr>
    </w:p>
    <w:p w14:paraId="384E0426">
      <w:pPr>
        <w:widowControl/>
        <w:shd w:val="clear"/>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bdr w:val="single" w:sz="4" w:space="0"/>
        </w:rPr>
        <w:t>标</w:t>
      </w:r>
      <w:r>
        <w:rPr>
          <w:rFonts w:hint="eastAsia" w:ascii="仿宋" w:hAnsi="仿宋" w:eastAsia="仿宋" w:cs="仿宋"/>
          <w:b/>
          <w:bCs/>
          <w:color w:val="auto"/>
          <w:kern w:val="0"/>
          <w:sz w:val="24"/>
          <w:szCs w:val="24"/>
          <w:highlight w:val="none"/>
          <w:bdr w:val="single" w:sz="4" w:space="0"/>
          <w:lang w:eastAsia="zh-CN"/>
        </w:rPr>
        <w:t>项</w:t>
      </w:r>
      <w:r>
        <w:rPr>
          <w:rFonts w:hint="eastAsia" w:ascii="仿宋" w:hAnsi="仿宋" w:eastAsia="仿宋" w:cs="仿宋"/>
          <w:b/>
          <w:bCs/>
          <w:color w:val="auto"/>
          <w:kern w:val="0"/>
          <w:sz w:val="24"/>
          <w:szCs w:val="24"/>
          <w:highlight w:val="none"/>
          <w:bdr w:val="single" w:sz="4" w:space="0"/>
        </w:rPr>
        <w:t>二</w:t>
      </w:r>
      <w:r>
        <w:rPr>
          <w:rFonts w:hint="eastAsia" w:ascii="仿宋" w:hAnsi="仿宋" w:eastAsia="仿宋" w:cs="仿宋"/>
          <w:b/>
          <w:bCs/>
          <w:color w:val="auto"/>
          <w:kern w:val="0"/>
          <w:sz w:val="24"/>
          <w:szCs w:val="24"/>
          <w:highlight w:val="none"/>
        </w:rPr>
        <w:t>：绍兴市公共交通集团有限公司网络安全技术服务和设备采购等项目</w:t>
      </w:r>
    </w:p>
    <w:p w14:paraId="2F027044">
      <w:pPr>
        <w:pStyle w:val="33"/>
        <w:shd w:val="clear"/>
        <w:spacing w:line="360" w:lineRule="auto"/>
        <w:jc w:val="both"/>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一、招标项目清单</w:t>
      </w:r>
    </w:p>
    <w:tbl>
      <w:tblPr>
        <w:tblStyle w:val="6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96"/>
        <w:gridCol w:w="754"/>
        <w:gridCol w:w="5558"/>
        <w:gridCol w:w="15"/>
        <w:gridCol w:w="874"/>
      </w:tblGrid>
      <w:tr w14:paraId="0F11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522" w:type="dxa"/>
            <w:gridSpan w:val="6"/>
            <w:shd w:val="clear" w:color="000000" w:fill="FFFFFF"/>
            <w:vAlign w:val="center"/>
          </w:tcPr>
          <w:p w14:paraId="34205FBB">
            <w:pPr>
              <w:widowControl/>
              <w:shd w:val="clear"/>
              <w:jc w:val="left"/>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第一部分：网络安全技术服务部分</w:t>
            </w:r>
          </w:p>
        </w:tc>
      </w:tr>
      <w:tr w14:paraId="4E61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16986DF2">
            <w:pPr>
              <w:widowControl/>
              <w:shd w:val="clear"/>
              <w:jc w:val="left"/>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序号</w:t>
            </w:r>
          </w:p>
        </w:tc>
        <w:tc>
          <w:tcPr>
            <w:tcW w:w="896" w:type="dxa"/>
            <w:shd w:val="clear" w:color="000000" w:fill="FFFFFF"/>
            <w:vAlign w:val="center"/>
          </w:tcPr>
          <w:p w14:paraId="69750A2E">
            <w:pPr>
              <w:widowControl/>
              <w:shd w:val="clear"/>
              <w:jc w:val="left"/>
              <w:rPr>
                <w:rFonts w:hint="default"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服务项目</w:t>
            </w:r>
          </w:p>
        </w:tc>
        <w:tc>
          <w:tcPr>
            <w:tcW w:w="754" w:type="dxa"/>
            <w:shd w:val="clear" w:color="000000" w:fill="FFFFFF"/>
            <w:vAlign w:val="center"/>
          </w:tcPr>
          <w:p w14:paraId="5217CDD5">
            <w:pPr>
              <w:widowControl/>
              <w:shd w:val="clear"/>
              <w:jc w:val="left"/>
              <w:rPr>
                <w:rFonts w:hint="default"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服务年限</w:t>
            </w:r>
          </w:p>
        </w:tc>
        <w:tc>
          <w:tcPr>
            <w:tcW w:w="5573" w:type="dxa"/>
            <w:gridSpan w:val="2"/>
            <w:shd w:val="clear" w:color="000000" w:fill="FFFFFF"/>
            <w:vAlign w:val="center"/>
          </w:tcPr>
          <w:p w14:paraId="5061594E">
            <w:pPr>
              <w:widowControl/>
              <w:shd w:val="clear"/>
              <w:jc w:val="left"/>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型号和规格（或具体服务）</w:t>
            </w:r>
          </w:p>
        </w:tc>
        <w:tc>
          <w:tcPr>
            <w:tcW w:w="874" w:type="dxa"/>
            <w:shd w:val="clear" w:color="000000" w:fill="FFFFFF"/>
            <w:vAlign w:val="center"/>
          </w:tcPr>
          <w:p w14:paraId="6118B1FC">
            <w:pPr>
              <w:widowControl/>
              <w:shd w:val="clear"/>
              <w:jc w:val="left"/>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备注</w:t>
            </w:r>
          </w:p>
        </w:tc>
      </w:tr>
      <w:tr w14:paraId="5D87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25" w:type="dxa"/>
            <w:shd w:val="clear" w:color="000000" w:fill="FFFFFF"/>
            <w:vAlign w:val="center"/>
          </w:tcPr>
          <w:p w14:paraId="26E231F2">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96" w:type="dxa"/>
            <w:shd w:val="clear" w:color="000000" w:fill="FFFFFF"/>
            <w:vAlign w:val="center"/>
          </w:tcPr>
          <w:p w14:paraId="42B74D67">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安全咨询与规划服务</w:t>
            </w:r>
          </w:p>
        </w:tc>
        <w:tc>
          <w:tcPr>
            <w:tcW w:w="754" w:type="dxa"/>
            <w:shd w:val="clear" w:color="000000" w:fill="FFFFFF"/>
            <w:vAlign w:val="center"/>
          </w:tcPr>
          <w:p w14:paraId="18375F3C">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573" w:type="dxa"/>
            <w:gridSpan w:val="2"/>
            <w:shd w:val="clear" w:color="000000" w:fill="FFFFFF"/>
            <w:vAlign w:val="center"/>
          </w:tcPr>
          <w:p w14:paraId="1B2298E3">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服务描述:</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依据等级保护2.0相关标准，结合绍兴市公共交通集团有限公司信息系统具体情况，建立完整的信息安全管理体系，达到动态的、系统的、制定化的、以预防为主的信息管理方式，用最低的成本，达到可接受的信息安全水平，最大限度保证业务的持续性。</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服务方式：现场/远程</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服务范围：绍兴市公</w:t>
            </w:r>
            <w:r>
              <w:rPr>
                <w:rFonts w:hint="eastAsia" w:ascii="仿宋" w:hAnsi="仿宋" w:eastAsia="仿宋" w:cs="仿宋"/>
                <w:color w:val="auto"/>
                <w:kern w:val="0"/>
                <w:sz w:val="24"/>
                <w:highlight w:val="none"/>
                <w:lang w:eastAsia="zh-CN"/>
              </w:rPr>
              <w:t>交</w:t>
            </w:r>
            <w:r>
              <w:rPr>
                <w:rFonts w:hint="eastAsia" w:ascii="仿宋" w:hAnsi="仿宋" w:eastAsia="仿宋" w:cs="仿宋"/>
                <w:color w:val="auto"/>
                <w:kern w:val="0"/>
                <w:sz w:val="24"/>
                <w:highlight w:val="none"/>
              </w:rPr>
              <w:t>集团</w:t>
            </w:r>
            <w:r>
              <w:rPr>
                <w:rFonts w:hint="eastAsia" w:ascii="仿宋" w:hAnsi="仿宋" w:eastAsia="仿宋" w:cs="仿宋"/>
                <w:color w:val="auto"/>
                <w:kern w:val="0"/>
                <w:sz w:val="24"/>
                <w:highlight w:val="none"/>
                <w:lang w:val="en-US" w:eastAsia="zh-CN"/>
              </w:rPr>
              <w:t>及下属单位</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服务频率：1次</w:t>
            </w:r>
            <w:r>
              <w:rPr>
                <w:rFonts w:hint="eastAsia" w:ascii="仿宋" w:hAnsi="仿宋" w:eastAsia="仿宋" w:cs="仿宋"/>
                <w:color w:val="auto"/>
                <w:kern w:val="0"/>
                <w:sz w:val="24"/>
                <w:highlight w:val="none"/>
                <w:lang w:val="en-US" w:eastAsia="zh-CN"/>
              </w:rPr>
              <w:t>/年</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服务输出：《安全规划方案》</w:t>
            </w:r>
          </w:p>
        </w:tc>
        <w:tc>
          <w:tcPr>
            <w:tcW w:w="874" w:type="dxa"/>
            <w:shd w:val="clear" w:color="000000" w:fill="FFFFFF"/>
            <w:vAlign w:val="center"/>
          </w:tcPr>
          <w:p w14:paraId="421ADC58">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317F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4DB3DBA9">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896" w:type="dxa"/>
            <w:shd w:val="clear" w:color="000000" w:fill="FFFFFF"/>
            <w:vAlign w:val="center"/>
          </w:tcPr>
          <w:p w14:paraId="66621798">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漏洞分析与加固服务</w:t>
            </w:r>
          </w:p>
        </w:tc>
        <w:tc>
          <w:tcPr>
            <w:tcW w:w="754" w:type="dxa"/>
            <w:shd w:val="clear" w:color="000000" w:fill="FFFFFF"/>
            <w:vAlign w:val="center"/>
          </w:tcPr>
          <w:p w14:paraId="05A2BA88">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573" w:type="dxa"/>
            <w:gridSpan w:val="2"/>
            <w:shd w:val="clear" w:color="000000" w:fill="FFFFFF"/>
            <w:vAlign w:val="center"/>
          </w:tcPr>
          <w:p w14:paraId="6C01D95E">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服务描述：</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网络安全讲一百遍不如打一遍，实战化是检验网络安全防护能力的唯一标准。一个漏洞的存在给业务系统带来的危害是致命的，不可想象的。漏洞被利用导致的信息安全事件不胜枚举，轻者业务系统运行缓慢和中断，重则敏感数据泄露或丢失。发现高（中）风险问题后，涉及到相关业务系统的提出加固整改建议。</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服务内容：</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1）安全漏洞检测：如操作系统、中间件、B/S业务系统、数据库等漏洞；</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2）业务逻辑漏洞检测：如后台登录处存在逻辑错误，登陆时没有错误次数限制用户登录，并且没有判断验证码过期，导致验证码可以重复使用，可被爆破用户名密码或撞库；</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3）Webshell检测：如网页后门程序、线程插入后门程序、扩展后门程序；</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4）弱口令核查，复用口令核查。</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服务人数：2人</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服务方式：现场</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服务对象：绍兴市公共交通集团重要信息系统</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服务频率：2次/年</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服务输出：《漏洞评估报告》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工具要求：</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支持检测的漏洞数大于230000条，兼容CVE、CNNVD、CNVD、Bugtraq等主流标准。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支持国产操作系统的漏洞扫描，包括麒麟（Kylin）、统信（UnionTech OS）、中兴新节点（NewStart CGSL）等。</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支持操作系统、网络设备、数据库、中间件等漏洞扫描。</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支持采用SMB、RDP、Telnet、SSH等协议对系统进行登录扫描。</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支持全面扫描、资产发现、系统漏洞扫描、弱口令扫描、WEB漏洞扫描、基线配置核查六种任务类型，其中全面扫描支持系统漏洞扫描、WEB漏洞扫描、弱口令扫描同时执行。</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提供检测结果综述分析，按照等保2.0的检测项要求，统计客户业务系统存在的不符合、部分符合、符合、待确认、不适用检测项，直观了解自身业务系统合规情况。</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产品支持对系统漏洞、WEB漏洞、基线配置、弱口令进行扫描和分析，可同时输出包含系统漏洞扫描、WEB漏洞扫描、基线配置核查、弱口令扫描结果的报表。</w:t>
            </w:r>
          </w:p>
        </w:tc>
        <w:tc>
          <w:tcPr>
            <w:tcW w:w="874" w:type="dxa"/>
            <w:shd w:val="clear" w:color="000000" w:fill="FFFFFF"/>
            <w:vAlign w:val="center"/>
          </w:tcPr>
          <w:p w14:paraId="176E98B4">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226F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47915532">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896" w:type="dxa"/>
            <w:shd w:val="clear" w:color="000000" w:fill="FFFFFF"/>
            <w:vAlign w:val="center"/>
          </w:tcPr>
          <w:p w14:paraId="527BF6C9">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应急演练服务（桌面推演）2个演练剧本</w:t>
            </w:r>
          </w:p>
        </w:tc>
        <w:tc>
          <w:tcPr>
            <w:tcW w:w="754" w:type="dxa"/>
            <w:shd w:val="clear" w:color="000000" w:fill="FFFFFF"/>
            <w:vAlign w:val="center"/>
          </w:tcPr>
          <w:p w14:paraId="582FEDE6">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573" w:type="dxa"/>
            <w:gridSpan w:val="2"/>
            <w:shd w:val="clear" w:color="000000" w:fill="FFFFFF"/>
            <w:vAlign w:val="center"/>
          </w:tcPr>
          <w:p w14:paraId="77FDBA90">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服务描述:</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网络安全应急演练服务覆盖演练准备工作、演练环境搭建、演练剧本编写、演练彩排工作、正式演练大会活动、应急演练总结等各个阶段，帮助绍兴市公共交通集团实现全面有效的应急演练。通过应急演练工作，进一步明确各应急小组在应急响应工作中的职责，熟悉掌握应急响应的处置程序、方法和注意事项，有效提高绍兴市公共交通集团整体应急响应的反应能力、指挥水平和实战能力，增强各部门应急人员之间的协调性，检验单位应急救援预案的可行性和可操作性，使其达到应急演练的预期效果。</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服务方式：现场演练</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服务范围：绍兴市公</w:t>
            </w:r>
            <w:r>
              <w:rPr>
                <w:rFonts w:hint="eastAsia" w:ascii="仿宋" w:hAnsi="仿宋" w:eastAsia="仿宋" w:cs="仿宋"/>
                <w:color w:val="auto"/>
                <w:kern w:val="0"/>
                <w:sz w:val="24"/>
                <w:highlight w:val="none"/>
                <w:lang w:eastAsia="zh-CN"/>
              </w:rPr>
              <w:t>交</w:t>
            </w:r>
            <w:r>
              <w:rPr>
                <w:rFonts w:hint="eastAsia" w:ascii="仿宋" w:hAnsi="仿宋" w:eastAsia="仿宋" w:cs="仿宋"/>
                <w:color w:val="auto"/>
                <w:kern w:val="0"/>
                <w:sz w:val="24"/>
                <w:highlight w:val="none"/>
              </w:rPr>
              <w:t>集团</w:t>
            </w:r>
            <w:r>
              <w:rPr>
                <w:rFonts w:hint="eastAsia" w:ascii="仿宋" w:hAnsi="仿宋" w:eastAsia="仿宋" w:cs="仿宋"/>
                <w:color w:val="auto"/>
                <w:kern w:val="0"/>
                <w:sz w:val="24"/>
                <w:highlight w:val="none"/>
                <w:lang w:val="en-US" w:eastAsia="zh-CN"/>
              </w:rPr>
              <w:t>及下属单位</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服务频率：1次</w:t>
            </w:r>
            <w:r>
              <w:rPr>
                <w:rFonts w:hint="eastAsia" w:ascii="仿宋" w:hAnsi="仿宋" w:eastAsia="仿宋" w:cs="仿宋"/>
                <w:color w:val="auto"/>
                <w:kern w:val="0"/>
                <w:sz w:val="24"/>
                <w:highlight w:val="none"/>
                <w:lang w:val="en-US" w:eastAsia="zh-CN"/>
              </w:rPr>
              <w:t>/年</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演练脚本：2个</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服务输出：《应急演练方案》、《应急演练总结报告》</w:t>
            </w:r>
          </w:p>
        </w:tc>
        <w:tc>
          <w:tcPr>
            <w:tcW w:w="874" w:type="dxa"/>
            <w:shd w:val="clear" w:color="000000" w:fill="FFFFFF"/>
            <w:vAlign w:val="center"/>
          </w:tcPr>
          <w:p w14:paraId="6DF5CDCD">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331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25" w:type="dxa"/>
            <w:tcBorders>
              <w:bottom w:val="single" w:color="auto" w:sz="4" w:space="0"/>
            </w:tcBorders>
            <w:shd w:val="clear" w:color="000000" w:fill="FFFFFF"/>
            <w:vAlign w:val="center"/>
          </w:tcPr>
          <w:p w14:paraId="7684A1A6">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896" w:type="dxa"/>
            <w:tcBorders>
              <w:bottom w:val="single" w:color="auto" w:sz="4" w:space="0"/>
            </w:tcBorders>
            <w:shd w:val="clear" w:color="000000" w:fill="FFFFFF"/>
            <w:vAlign w:val="center"/>
          </w:tcPr>
          <w:p w14:paraId="061E2982">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应急响应与溯源服务</w:t>
            </w:r>
          </w:p>
        </w:tc>
        <w:tc>
          <w:tcPr>
            <w:tcW w:w="754" w:type="dxa"/>
            <w:tcBorders>
              <w:bottom w:val="single" w:color="auto" w:sz="4" w:space="0"/>
            </w:tcBorders>
            <w:shd w:val="clear" w:color="000000" w:fill="FFFFFF"/>
            <w:vAlign w:val="center"/>
          </w:tcPr>
          <w:p w14:paraId="2C7F2EF7">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573" w:type="dxa"/>
            <w:gridSpan w:val="2"/>
            <w:tcBorders>
              <w:bottom w:val="single" w:color="auto" w:sz="4" w:space="0"/>
            </w:tcBorders>
            <w:shd w:val="clear" w:color="000000" w:fill="FFFFFF"/>
            <w:vAlign w:val="center"/>
          </w:tcPr>
          <w:p w14:paraId="380D8148">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工作内容：</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在发生确切的网络安全事件时，应急响应实施人员应及时采取行动，限制事件扩散和影响的范围，检查所有受影响的系统，在准确判断安全事件原因的基础上，提出基于安全事件解决方案，追查事件来源，协助后续处置。</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服务人数：2人</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服务方式：现场或远程</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服务对象：绍兴市公共交通集团重要信息系统</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服务频率：按需响应，不限次数</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时间要求：不限次数。1小时内抵达客户现场，2小时内定位问题，4小时内控制风险、事件。</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服务输出：《应急响应处置报告》</w:t>
            </w:r>
          </w:p>
        </w:tc>
        <w:tc>
          <w:tcPr>
            <w:tcW w:w="874" w:type="dxa"/>
            <w:tcBorders>
              <w:bottom w:val="single" w:color="auto" w:sz="4" w:space="0"/>
            </w:tcBorders>
            <w:shd w:val="clear" w:color="000000" w:fill="FFFFFF"/>
            <w:vAlign w:val="center"/>
          </w:tcPr>
          <w:p w14:paraId="59721C37">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6F4A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522"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14:paraId="63F81E0D">
            <w:pPr>
              <w:widowControl/>
              <w:shd w:val="clear"/>
              <w:jc w:val="left"/>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第二部分：网络维护服务部分</w:t>
            </w:r>
          </w:p>
        </w:tc>
      </w:tr>
      <w:tr w14:paraId="3D62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tcBorders>
              <w:top w:val="single" w:color="auto" w:sz="4" w:space="0"/>
              <w:left w:val="single" w:color="auto" w:sz="4" w:space="0"/>
              <w:bottom w:val="single" w:color="auto" w:sz="4" w:space="0"/>
              <w:right w:val="single" w:color="auto" w:sz="4" w:space="0"/>
            </w:tcBorders>
            <w:shd w:val="clear" w:color="000000" w:fill="FFFFFF"/>
            <w:vAlign w:val="center"/>
          </w:tcPr>
          <w:p w14:paraId="6C4BDFAE">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序号</w:t>
            </w:r>
          </w:p>
        </w:tc>
        <w:tc>
          <w:tcPr>
            <w:tcW w:w="896" w:type="dxa"/>
            <w:tcBorders>
              <w:top w:val="single" w:color="auto" w:sz="4" w:space="0"/>
              <w:left w:val="single" w:color="auto" w:sz="4" w:space="0"/>
              <w:bottom w:val="single" w:color="auto" w:sz="4" w:space="0"/>
              <w:right w:val="single" w:color="auto" w:sz="4" w:space="0"/>
            </w:tcBorders>
            <w:shd w:val="clear" w:color="000000" w:fill="FFFFFF"/>
            <w:vAlign w:val="center"/>
          </w:tcPr>
          <w:p w14:paraId="4FA4A1A5">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服务项目</w:t>
            </w:r>
          </w:p>
        </w:tc>
        <w:tc>
          <w:tcPr>
            <w:tcW w:w="754" w:type="dxa"/>
            <w:tcBorders>
              <w:top w:val="single" w:color="auto" w:sz="4" w:space="0"/>
              <w:left w:val="single" w:color="auto" w:sz="4" w:space="0"/>
              <w:bottom w:val="single" w:color="auto" w:sz="4" w:space="0"/>
              <w:right w:val="single" w:color="auto" w:sz="4" w:space="0"/>
            </w:tcBorders>
            <w:shd w:val="clear" w:color="000000" w:fill="FFFFFF"/>
            <w:vAlign w:val="center"/>
          </w:tcPr>
          <w:p w14:paraId="696B59AE">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服务年限</w:t>
            </w:r>
          </w:p>
        </w:tc>
        <w:tc>
          <w:tcPr>
            <w:tcW w:w="5558" w:type="dxa"/>
            <w:tcBorders>
              <w:top w:val="single" w:color="auto" w:sz="4" w:space="0"/>
              <w:left w:val="single" w:color="auto" w:sz="4" w:space="0"/>
              <w:bottom w:val="single" w:color="auto" w:sz="4" w:space="0"/>
              <w:right w:val="single" w:color="auto" w:sz="4" w:space="0"/>
            </w:tcBorders>
            <w:shd w:val="clear" w:color="000000" w:fill="FFFFFF"/>
            <w:vAlign w:val="center"/>
          </w:tcPr>
          <w:p w14:paraId="549589D1">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rPr>
              <w:t>型号和规格（或具体服务）</w:t>
            </w:r>
          </w:p>
        </w:tc>
        <w:tc>
          <w:tcPr>
            <w:tcW w:w="889"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14:paraId="06BCC719">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备注</w:t>
            </w:r>
          </w:p>
        </w:tc>
      </w:tr>
      <w:tr w14:paraId="48CE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tcBorders>
              <w:top w:val="single" w:color="auto" w:sz="4" w:space="0"/>
            </w:tcBorders>
            <w:shd w:val="clear" w:color="000000" w:fill="FFFFFF"/>
            <w:vAlign w:val="center"/>
          </w:tcPr>
          <w:p w14:paraId="547270DA">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96" w:type="dxa"/>
            <w:tcBorders>
              <w:top w:val="single" w:color="auto" w:sz="4" w:space="0"/>
            </w:tcBorders>
            <w:shd w:val="clear" w:color="000000" w:fill="FFFFFF"/>
            <w:vAlign w:val="center"/>
          </w:tcPr>
          <w:p w14:paraId="562DB0C0">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集团机房日常网络系统维护（机房及服务器及网络系统等信息化系统）</w:t>
            </w:r>
          </w:p>
        </w:tc>
        <w:tc>
          <w:tcPr>
            <w:tcW w:w="754" w:type="dxa"/>
            <w:tcBorders>
              <w:top w:val="single" w:color="auto" w:sz="4" w:space="0"/>
            </w:tcBorders>
            <w:shd w:val="clear" w:color="000000" w:fill="FFFFFF"/>
            <w:vAlign w:val="center"/>
          </w:tcPr>
          <w:p w14:paraId="0DA96CA5">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558" w:type="dxa"/>
            <w:tcBorders>
              <w:top w:val="single" w:color="auto" w:sz="4" w:space="0"/>
            </w:tcBorders>
            <w:shd w:val="clear" w:color="000000" w:fill="FFFFFF"/>
            <w:vAlign w:val="center"/>
          </w:tcPr>
          <w:p w14:paraId="5D24EB63">
            <w:pPr>
              <w:widowControl/>
              <w:shd w:val="clear"/>
              <w:jc w:val="left"/>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基础设施管理：</w:t>
            </w:r>
            <w:r>
              <w:rPr>
                <w:rFonts w:hint="eastAsia" w:ascii="仿宋" w:hAnsi="仿宋" w:eastAsia="仿宋" w:cs="仿宋"/>
                <w:color w:val="auto"/>
                <w:kern w:val="0"/>
                <w:sz w:val="24"/>
                <w:highlight w:val="none"/>
              </w:rPr>
              <w:t>1.确保网络通信传输畅通。2.负责网络布线架的管理，确保配线的合理有序。3.掌握客户端设备接入网络情况，以便+发现问题可迅速定位。4.采取技术措施，对网络内经常出现的用户需要变更位置和部门的情况进行管理。5.掌握与外部的链接配置，监督网络通信状况，发现问题后与有关机构及时联系。6.实时监控局域网络的运行河网络通信情况；</w:t>
            </w:r>
            <w:r>
              <w:rPr>
                <w:rFonts w:hint="eastAsia" w:ascii="仿宋" w:hAnsi="仿宋" w:eastAsia="仿宋" w:cs="仿宋"/>
                <w:color w:val="auto"/>
                <w:kern w:val="0"/>
                <w:sz w:val="24"/>
                <w:highlight w:val="none"/>
              </w:rPr>
              <w:br w:type="textWrapping"/>
            </w:r>
            <w:r>
              <w:rPr>
                <w:rFonts w:hint="eastAsia" w:ascii="仿宋" w:hAnsi="仿宋" w:eastAsia="仿宋" w:cs="仿宋"/>
                <w:b/>
                <w:bCs/>
                <w:color w:val="auto"/>
                <w:kern w:val="0"/>
                <w:sz w:val="24"/>
                <w:highlight w:val="none"/>
              </w:rPr>
              <w:t>应用系统管理：</w:t>
            </w:r>
            <w:r>
              <w:rPr>
                <w:rFonts w:hint="eastAsia" w:ascii="仿宋" w:hAnsi="仿宋" w:eastAsia="仿宋" w:cs="仿宋"/>
                <w:color w:val="auto"/>
                <w:kern w:val="0"/>
                <w:sz w:val="24"/>
                <w:highlight w:val="none"/>
              </w:rPr>
              <w:t>1.确保各种网络应用服务运行的不间断性和工作性能的良好性。出现故障时应将造成的损失和影响控制在最小范围；2.对于要求不可中断的关键型网络应用系统，除了在软件手段上要掌握，备份系统参数和定期备份系统、业务数据外，必要时在硬件手段上要建立和配置系统的热备份；</w:t>
            </w:r>
            <w:r>
              <w:rPr>
                <w:rFonts w:hint="eastAsia" w:ascii="仿宋" w:hAnsi="仿宋" w:eastAsia="仿宋" w:cs="仿宋"/>
                <w:color w:val="auto"/>
                <w:kern w:val="0"/>
                <w:sz w:val="24"/>
                <w:highlight w:val="none"/>
              </w:rPr>
              <w:br w:type="textWrapping"/>
            </w:r>
            <w:r>
              <w:rPr>
                <w:rFonts w:hint="eastAsia" w:ascii="仿宋" w:hAnsi="仿宋" w:eastAsia="仿宋" w:cs="仿宋"/>
                <w:b/>
                <w:bCs/>
                <w:color w:val="auto"/>
                <w:kern w:val="0"/>
                <w:sz w:val="24"/>
                <w:highlight w:val="none"/>
              </w:rPr>
              <w:t>路由、局域网环境检查：</w:t>
            </w:r>
            <w:r>
              <w:rPr>
                <w:rFonts w:hint="eastAsia" w:ascii="仿宋" w:hAnsi="仿宋" w:eastAsia="仿宋" w:cs="仿宋"/>
                <w:color w:val="auto"/>
                <w:kern w:val="0"/>
                <w:sz w:val="24"/>
                <w:highlight w:val="none"/>
              </w:rPr>
              <w:t>1.测试到路由、交换机以及外部网络的连通性。2.查看所有路由、交换机端口以及状态灯的工作状态，保证设备工作正常。3.检查网关设备（防火墙、路由）工作状态，确保外网连接正常。4.检查网络线缆，确保网络线缆完好无损</w:t>
            </w:r>
          </w:p>
        </w:tc>
        <w:tc>
          <w:tcPr>
            <w:tcW w:w="889" w:type="dxa"/>
            <w:gridSpan w:val="2"/>
            <w:tcBorders>
              <w:top w:val="single" w:color="auto" w:sz="4" w:space="0"/>
            </w:tcBorders>
            <w:shd w:val="clear" w:color="000000" w:fill="FFFFFF"/>
            <w:vAlign w:val="center"/>
          </w:tcPr>
          <w:p w14:paraId="455D3742">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497B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522" w:type="dxa"/>
            <w:gridSpan w:val="6"/>
            <w:shd w:val="clear" w:color="000000" w:fill="FFFFFF"/>
            <w:vAlign w:val="center"/>
          </w:tcPr>
          <w:p w14:paraId="01C2DD25">
            <w:pPr>
              <w:widowControl/>
              <w:shd w:val="clear"/>
              <w:jc w:val="left"/>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第三部分：一网统管部分</w:t>
            </w:r>
          </w:p>
        </w:tc>
      </w:tr>
      <w:tr w14:paraId="14DA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1020B955">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序号</w:t>
            </w:r>
          </w:p>
        </w:tc>
        <w:tc>
          <w:tcPr>
            <w:tcW w:w="896" w:type="dxa"/>
            <w:shd w:val="clear" w:color="000000" w:fill="FFFFFF"/>
            <w:vAlign w:val="center"/>
          </w:tcPr>
          <w:p w14:paraId="21D79F70">
            <w:pPr>
              <w:widowControl/>
              <w:shd w:val="clear"/>
              <w:jc w:val="left"/>
              <w:rPr>
                <w:rFonts w:hint="default"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设备名称</w:t>
            </w:r>
          </w:p>
        </w:tc>
        <w:tc>
          <w:tcPr>
            <w:tcW w:w="754" w:type="dxa"/>
            <w:shd w:val="clear" w:color="000000" w:fill="FFFFFF"/>
            <w:vAlign w:val="center"/>
          </w:tcPr>
          <w:p w14:paraId="088D3711">
            <w:pPr>
              <w:widowControl/>
              <w:shd w:val="clear"/>
              <w:jc w:val="left"/>
              <w:rPr>
                <w:rFonts w:hint="default"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数量</w:t>
            </w:r>
          </w:p>
        </w:tc>
        <w:tc>
          <w:tcPr>
            <w:tcW w:w="5573" w:type="dxa"/>
            <w:gridSpan w:val="2"/>
            <w:shd w:val="clear" w:color="000000" w:fill="FFFFFF"/>
            <w:vAlign w:val="center"/>
          </w:tcPr>
          <w:p w14:paraId="53BCE8A0">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rPr>
              <w:t>型号和规格（或具体服务）</w:t>
            </w:r>
          </w:p>
        </w:tc>
        <w:tc>
          <w:tcPr>
            <w:tcW w:w="874" w:type="dxa"/>
            <w:shd w:val="clear" w:color="000000" w:fill="FFFFFF"/>
            <w:vAlign w:val="center"/>
          </w:tcPr>
          <w:p w14:paraId="4A494085">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备注</w:t>
            </w:r>
          </w:p>
        </w:tc>
      </w:tr>
      <w:tr w14:paraId="2320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09046963">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96" w:type="dxa"/>
            <w:shd w:val="clear" w:color="000000" w:fill="FFFFFF"/>
            <w:vAlign w:val="center"/>
          </w:tcPr>
          <w:p w14:paraId="622D477A">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一网通智能监控平台（国产软件）</w:t>
            </w:r>
          </w:p>
        </w:tc>
        <w:tc>
          <w:tcPr>
            <w:tcW w:w="754" w:type="dxa"/>
            <w:shd w:val="clear" w:color="000000" w:fill="FFFFFF"/>
            <w:vAlign w:val="center"/>
          </w:tcPr>
          <w:p w14:paraId="35CAC1B9">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14:paraId="6CBAB966">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总体要求：产品架构支持中台+微应用架构，支持运维运营化管理， 支持扩展为整个多产品的支持服务平台，根据安全原则，系统用户权限定义原生支持三员分立</w:t>
            </w:r>
          </w:p>
          <w:p w14:paraId="2C776516">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CMDB：▲可自定义不同业务资源主题，覆盖全运维领域，包括监控、 IoT、自动化、资产、视频、DevOps，不同业务主题可通过各自视图查看模型（要求提供功能截图）</w:t>
            </w:r>
          </w:p>
          <w:p w14:paraId="20C9F725">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▲提供配置项（CI项）的变更历史查询，可查看原配置项变更到新值的全历史记录，包括变化时间、变更人属性值。（要求提供功能截图）</w:t>
            </w:r>
          </w:p>
          <w:p w14:paraId="6ECB7A3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运维场景自动化管理：编排语句采取拖拽式、自然语言语句编排</w:t>
            </w:r>
          </w:p>
          <w:p w14:paraId="44EFCCF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▲提供多种种触发执行场景的能力，包括周期执行、告警驱动、手工执行、指标驱动执行。通过指标驱动执行，可以将场景实现的统计指标作为指标，应用到告警、历史记录、自定义首页部分。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要求提供功能截图）</w:t>
            </w:r>
          </w:p>
          <w:p w14:paraId="1EC8AF88">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告警管理：▲提供告警信息所属的事件标签分类，并标识出告警持续时间显示，对手工撤销告警的操作，要求标注和展示手工撤销理由、撤销人信息。（要求提供功能截图）</w:t>
            </w:r>
          </w:p>
          <w:p w14:paraId="5732B6DB">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支持屏幕颜色告警、告警邮件提醒、和短信猫告警、企业微信、钉钉机器人、数据库输出。</w:t>
            </w:r>
          </w:p>
          <w:p w14:paraId="4F758A9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报表管理：支持多个不同指标在同一时间轴中进行对比分析；支持历史记录任意时段拖拽查看，对于超过3个月的历史数据，支持原始采集颗粒度（5分钟)的对比分析。</w:t>
            </w:r>
          </w:p>
          <w:p w14:paraId="21743D21">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主机管理：支持系统拓扑图，一张图可以展现所有主机承载的数据库、中间件和标准应用之间的实时状态监控，为主机监控提供全景视图。</w:t>
            </w:r>
          </w:p>
          <w:p w14:paraId="6619D406">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▲提供操作系统的CPU、内存、流量、存储进行涨势分析，主动识别涨势过快的设备。（要求提供功能截图）</w:t>
            </w:r>
          </w:p>
          <w:p w14:paraId="1344B665">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支持IPMI方式监控主流国产服务器厂商的硬件，监控内容包括温度、电源、风扇、电压等硬件状态；</w:t>
            </w:r>
          </w:p>
          <w:p w14:paraId="2A9697E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数据库管理：支持ODBC和JDBC取数方式取数，对SQLServer、Oracle、Sybase、Mysql、Informix、DB2、神通、瀚高等数据库的各项运行参数进行监控；</w:t>
            </w:r>
          </w:p>
          <w:p w14:paraId="2AE763E7">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支持对于各个数据库实时运行状态的实时统计，包含数据库会话数、死锁数实时排行，支持对表空间大小和会话数、缓存信息、锁信息进行重点监管。</w:t>
            </w:r>
          </w:p>
          <w:p w14:paraId="1CE07E44">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支持Oracle Rac 的管理，支持集群分成操作系统、clusterware、实例方式展现，支持动态数据对比，检测各个承载主机的性能表现</w:t>
            </w:r>
          </w:p>
          <w:p w14:paraId="4EF7F7CB">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中间件管理：中间件管理必须支持对 WEBLogic、Tuxedo、WebSphere、EAServer、Cognos、MQ、Apache、Tomcat、Jboss、IIS、TongWeb、中创、TAS 等中间件实时监控。</w:t>
            </w:r>
          </w:p>
          <w:p w14:paraId="5E939D5A">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支持图形化方式显示应用的承载主机状态和应用的基本性能信息，同时展示相关的运维负责人和联系方式。</w:t>
            </w:r>
          </w:p>
          <w:p w14:paraId="2B0B35C0">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标准应用管理：支持FTP、SFTP、HTTP、HTTPS、POP3、SMTP、DHCP、JVM、Exchange的监控。</w:t>
            </w:r>
          </w:p>
          <w:p w14:paraId="06E6AB3A">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网络管理：系统能支持各大设备厂商的各型号设备，支持多厂商设备组成的混合网络自动发现。拓扑图的生成必须支持网络设备的SNMP V1、V2、V3这三个版本的混和生成，并能对SNMP V3设备进行管理；要求在拓扑图上快速定位IP地址的接入端口，包括服务器IP和PC机IP，并且通过图标进行显示。拓扑图设备间的连线除直线形式外，还可支持以折线、合并线等线型，并可将网络拓扑按照线路图、地域分布图、逻辑关系图等方式呈现；拓扑图线路支持带有流动效果方式展现，支持定义虚实线、粗细、速度等线形设置。；支持在拓扑图上直接调用webssh工具，访问设备和主机。允许保存上一次登陆使用账号密码。支持查询接入IP的历史变更情况查询。支持异常接入终端的告警通知，可以针对未规划设备、未分配IP、未在指定位置接入等多种异常进行自动检测。支持网络拓扑中快速定位PC，并以下标方式显示其使用人信息</w:t>
            </w:r>
          </w:p>
          <w:p w14:paraId="6EA68C42">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虚拟化管理：实现宿主机配置、状态、性能信息的一体化管理。实现虚拟机配置、状态、性能信息的一体化管理。要求以图形化方式展现虚拟化拓扑，显示宿主机、虚拟机、虚拟网络、数据存储关系，动态显示管理对象负载、告警。</w:t>
            </w:r>
          </w:p>
          <w:p w14:paraId="1CDBD59C">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存储管理：支持存储设备硬件管理，以统一的视图展现被管的各个硬件子项的运行详情，清晰展现各个管理设备的各类型管理状态，并以颜色显著标示出现问题的硬件类型；涉及到磁盘阵列的电源、电池、风扇、温度、磁盘、控制器等各个关键硬件信息；支持存储设备性能管理，提供LUN读IOPS TOP排行；提供LUN写IOPS TOP排行；提供LUN 总 IOPS TOP 排行；提供LUN的总传输字节数TOP 排行； 提供按照传输流量的存储线路排行</w:t>
            </w:r>
          </w:p>
          <w:p w14:paraId="7A207BB7">
            <w:pPr>
              <w:widowControl/>
              <w:shd w:val="clear"/>
              <w:jc w:val="left"/>
              <w:rPr>
                <w:rFonts w:hint="eastAsia" w:ascii="仿宋" w:hAnsi="仿宋" w:eastAsia="仿宋" w:cs="仿宋"/>
                <w:color w:val="auto"/>
                <w:szCs w:val="21"/>
                <w:highlight w:val="none"/>
              </w:rPr>
            </w:pPr>
            <w:r>
              <w:rPr>
                <w:rFonts w:hint="eastAsia" w:ascii="仿宋" w:hAnsi="仿宋" w:eastAsia="仿宋" w:cs="仿宋"/>
                <w:color w:val="auto"/>
                <w:kern w:val="0"/>
                <w:sz w:val="24"/>
                <w:highlight w:val="none"/>
              </w:rPr>
              <w:t>知识库管理：支持自定义知识库的分类。新增知识时，支持对知识设置共享范围，公有知识对所有人可见，私有知识可按人员选定。对于非知识库管理员提交的知识有知识库的审核功能。知识库可在各服务管理流程中被直接引用，支持知识的引用次数统计。</w:t>
            </w:r>
          </w:p>
        </w:tc>
        <w:tc>
          <w:tcPr>
            <w:tcW w:w="874" w:type="dxa"/>
            <w:shd w:val="clear" w:color="000000" w:fill="FFFFFF"/>
            <w:vAlign w:val="center"/>
          </w:tcPr>
          <w:p w14:paraId="10A97E87">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4FE3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2DE58A44">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896" w:type="dxa"/>
            <w:shd w:val="clear" w:color="000000" w:fill="FFFFFF"/>
            <w:vAlign w:val="center"/>
          </w:tcPr>
          <w:p w14:paraId="552FEFCC">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内外专网终端防非法外联技术参数（</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设备）</w:t>
            </w:r>
          </w:p>
        </w:tc>
        <w:tc>
          <w:tcPr>
            <w:tcW w:w="754" w:type="dxa"/>
            <w:shd w:val="clear" w:color="000000" w:fill="FFFFFF"/>
            <w:vAlign w:val="center"/>
          </w:tcPr>
          <w:p w14:paraId="0FC649CB">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套</w:t>
            </w:r>
          </w:p>
        </w:tc>
        <w:tc>
          <w:tcPr>
            <w:tcW w:w="5573" w:type="dxa"/>
            <w:gridSpan w:val="2"/>
            <w:shd w:val="clear" w:color="auto" w:fill="auto"/>
            <w:vAlign w:val="bottom"/>
          </w:tcPr>
          <w:p w14:paraId="16087629">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性能要求：网络层吞吐量（大包）：≥3Gb，带宽性能：≥250Mb，新建连接数：≥30000，最大并发连接数：2000000。</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硬件要求：规格：≥1U，内存大小：≥8G，硬盘容量：≥500G HDD，电源：单电源，接口：≥4千兆电口，≥2个combo口。</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特征库数量：产品支持应用特征库数量不低于7100+，提供产品界面截图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精细化控制：支持用户上网应用的精细化控制，例如微信的：“微信”“微信语音”“微信发消息”“微信收消息”“微信登录”“微信发文件”“微信收文件”并提供web配置截图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支持移动终端发现管理，可一键添加为信任终端、发现终端后可邮件告警/冻结等，支持趋势图呈现移动终端接入趋势及列表详情等</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用户画像：支持用户虚拟身份画像，以时间轴的形式展示用户上网行为轨迹；支持单用户全天行为分析报表，一个界面同时展示用户名、用户组、在线时长、虚拟身份（如QQ号码、微博账号等）、日志关联情况、全天流量使用分布、网站访问类别分布、全天关键网络行为轴等信息，支持对单用户进行网站访问质量检测，提供web界面截图（</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文件缓存：支持文件缓存，支持安卓和IOS形式的文件，主动缓存文件形式包含APP应用等，提供web配置截图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资产梳理：支持对内网资产的IP、用户、部门、操作系统、重要程度、可用服务、是否可信进行统一梳理，发现问题资产支持阻断IP，提供产品截图</w:t>
            </w:r>
          </w:p>
        </w:tc>
        <w:tc>
          <w:tcPr>
            <w:tcW w:w="874" w:type="dxa"/>
            <w:shd w:val="clear" w:color="000000" w:fill="FFFFFF"/>
            <w:vAlign w:val="center"/>
          </w:tcPr>
          <w:p w14:paraId="4A49C466">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2C74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12DF5A00">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896" w:type="dxa"/>
            <w:shd w:val="clear" w:color="000000" w:fill="FFFFFF"/>
            <w:vAlign w:val="center"/>
          </w:tcPr>
          <w:p w14:paraId="4900D66B">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内外网专网政务网及一公司防火墙  （</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设备）</w:t>
            </w:r>
          </w:p>
        </w:tc>
        <w:tc>
          <w:tcPr>
            <w:tcW w:w="754" w:type="dxa"/>
            <w:shd w:val="clear" w:color="000000" w:fill="FFFFFF"/>
            <w:vAlign w:val="center"/>
          </w:tcPr>
          <w:p w14:paraId="08EF7DC9">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14:paraId="5A941CFB">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性能要求：网络层吞吐量：≥6Gbps。TCP新建连接速率：≥200w。 TCP并发连接数：≥5w。</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硬件要求：≥4个千兆电口和4个千兆光口,冗余电源,≥2个扩展槽位</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NAT功能：支持NAT44、NAT46、NAT64、NAT66</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VPN：可基于每个SSL VPN用户的会话连接数、连接时间和流量阀值进行细颗粒度的管控。（提供功能截图）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支持IPsec VPN智能选路，根据隧道质量调度流量。（提供功能截图）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应用识别：支持至少9000条以上的应用识别，且提示风险类型及风险级别，便于用户根据实际情况进行上网行为管理。（提供截图）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安全策略：支持基于域名的安全策略模糊匹配（提供功能截图）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策略风险调优，支持安全策略优化分析，支持策略数冗余及命中分析，支持基于应用风险的自动批量和手动逐条策略调优，可根据流量、应用、风险类型等细粒度展示，并给出总体安全评分，便于用户更好的管理安全策略。（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加密流量检测：支持HTTPS加密流量的安全检测，支持TCP代理和SSL代理，且代理策略中可同时配置多类过滤条件，具体包括：源安全域、目的安全域、源地址、目的地址、用户和服务。一类过滤条件可以配置多个匹配项（提供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虚拟化能力：所投设备须支持虚拟防火墙功能：支持虚拟防火墙的创建、启动、关闭、删除功能；可独立分配CPU/内存等计算资源；虚拟防火墙可独立管理，独立保存配置；虚拟防火墙具备独立会话管理、NAT、路由等功能。上述功能要求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支持Context+VRF二级虚拟化技术，支持CPU、内存、存储等硬件资源划分的完全虚拟化</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支持vSys虚拟防火墙技术，可以将一台物理设备虚拟成N台相互独立的虚拟设备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产品资质：所投产品须具备国芯证明材料</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具备中国网络安全审查技术与认证中心颁发的EAL4增强级认证证书</w:t>
            </w:r>
          </w:p>
        </w:tc>
        <w:tc>
          <w:tcPr>
            <w:tcW w:w="874" w:type="dxa"/>
            <w:shd w:val="clear" w:color="000000" w:fill="FFFFFF"/>
            <w:vAlign w:val="center"/>
          </w:tcPr>
          <w:p w14:paraId="25D46314">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BE3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35941A1C">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896" w:type="dxa"/>
            <w:shd w:val="clear" w:color="000000" w:fill="FFFFFF"/>
            <w:vAlign w:val="center"/>
          </w:tcPr>
          <w:p w14:paraId="0030C840">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流控交换机（</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设备）</w:t>
            </w:r>
          </w:p>
        </w:tc>
        <w:tc>
          <w:tcPr>
            <w:tcW w:w="754" w:type="dxa"/>
            <w:shd w:val="clear" w:color="000000" w:fill="FFFFFF"/>
            <w:vAlign w:val="center"/>
          </w:tcPr>
          <w:p w14:paraId="6E021CEB">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6</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14:paraId="0D4B88D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1.交换容量≥672Gbps，包转发率≥171Mpps，以官网所列最低参数为准，提供官网清晰截图及链接证明；</w:t>
            </w:r>
          </w:p>
          <w:p w14:paraId="334E8F30">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2.≥28个10/100/1000Base-T以太网端口，≥8个万兆 SFP+，提供设备官网截图和链接证明；</w:t>
            </w:r>
          </w:p>
          <w:p w14:paraId="7B90D0E5">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▲3.CPU和LSW要求国产化，提供国产测试报告</w:t>
            </w:r>
          </w:p>
          <w:p w14:paraId="738A78F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▲4.支持硬件BFD，支持BFD 3ms最小探测间隔，</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p>
          <w:p w14:paraId="35AF9140">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5.支持IPv4静态路由、RIP、OSPF</w:t>
            </w:r>
          </w:p>
          <w:p w14:paraId="173CA10A">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6.支持IPv6静态路由、OSPFv3及加密</w:t>
            </w:r>
          </w:p>
          <w:p w14:paraId="4E854CD3">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7.支持SP、WRR等队列调度方式</w:t>
            </w:r>
          </w:p>
          <w:p w14:paraId="146AB61B">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三年质保</w:t>
            </w:r>
          </w:p>
        </w:tc>
        <w:tc>
          <w:tcPr>
            <w:tcW w:w="874" w:type="dxa"/>
            <w:shd w:val="clear" w:color="000000" w:fill="FFFFFF"/>
            <w:vAlign w:val="center"/>
          </w:tcPr>
          <w:p w14:paraId="72F5F3B2">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7713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0A00C21E">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896" w:type="dxa"/>
            <w:shd w:val="clear" w:color="000000" w:fill="FFFFFF"/>
            <w:vAlign w:val="center"/>
          </w:tcPr>
          <w:p w14:paraId="3F488196">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内网核心交换机（国产）</w:t>
            </w:r>
          </w:p>
        </w:tc>
        <w:tc>
          <w:tcPr>
            <w:tcW w:w="754" w:type="dxa"/>
            <w:shd w:val="clear" w:color="000000" w:fill="FFFFFF"/>
            <w:vAlign w:val="center"/>
          </w:tcPr>
          <w:p w14:paraId="47DFAC9B">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14:paraId="42AFA2E2">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采用国产化芯片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交换容量≥76.8Tbps，包转发率≥57600Mpps，若官网存在两个指标，以官网所列最低参数为准；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配置冗余主控，冗余电源，≥72千兆电口≥20千兆光口≥4万兆光口，≥6个业务槽位</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▲支持FW防火墙和IPS防火墙业务卡，</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支持横向虚拟化技术，具备四虚一</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支持16条40G堆叠链路，堆叠带宽能达到双向1.28T，</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支持VxLAN ，能够实现基于IPv4/IPv6的VxLAN二三层互通（包括分布式网关或集中式网关），支持VxLAN OAM ping 和 tracert，</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支持融合AC功能，无需额外配置单独硬件，在交换机上实现对AP的接入控制和管理，有线无线用户的统一认证管理，</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▲支持内置智能图形化管理功能，对于下联设备具备统一管理的功能，能够通过图形化界面对组内设备进行配置文件一键下发，对拓扑内的设备或设备组批量进行版本升级，</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p>
        </w:tc>
        <w:tc>
          <w:tcPr>
            <w:tcW w:w="874" w:type="dxa"/>
            <w:shd w:val="clear" w:color="000000" w:fill="FFFFFF"/>
            <w:vAlign w:val="center"/>
          </w:tcPr>
          <w:p w14:paraId="7BE0DB37">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4376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383F5D81">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w:t>
            </w:r>
          </w:p>
        </w:tc>
        <w:tc>
          <w:tcPr>
            <w:tcW w:w="896" w:type="dxa"/>
            <w:shd w:val="clear" w:color="000000" w:fill="FFFFFF"/>
            <w:vAlign w:val="center"/>
          </w:tcPr>
          <w:p w14:paraId="42787DFB">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外网核心交换机（国产）</w:t>
            </w:r>
          </w:p>
        </w:tc>
        <w:tc>
          <w:tcPr>
            <w:tcW w:w="754" w:type="dxa"/>
            <w:shd w:val="clear" w:color="000000" w:fill="FFFFFF"/>
            <w:vAlign w:val="center"/>
          </w:tcPr>
          <w:p w14:paraId="205BB76E">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14:paraId="39B23145">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采用国产化芯片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交换容量≥76.8Tbps，包转发率≥57600Mpps，若官网存在两个指标，以官网所列最低参数为准；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配置冗余主控，冗余电源，≥24千兆电口≥20千兆光口≥4万兆光口，≥6个业务槽位</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▲支持FW防火墙和IPS防火墙业务卡，</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支持横向虚拟化技术，具备四虚一</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支持16条40G堆叠链路，堆叠带宽能达到双向1.28T，</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支持VxLAN ，能够实现基于IPv4/IPv6的VxLAN二三层互通（包括分布式网关或集中式网关），支持VxLAN OAM ping 和 tracert，</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支持融合AC功能，无需额外配置单独硬件，在交换机上实现对AP的接入控制和管理，有线无线用户的统一认证管理，</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▲支持内置智能图形化管理功能，对于下联设备具备统一管理的功能，能够通过图形化界面对组内设备进行配置文件一键下发，对拓扑内的设备或设备组批量进行版本升级，</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p>
        </w:tc>
        <w:tc>
          <w:tcPr>
            <w:tcW w:w="874" w:type="dxa"/>
            <w:shd w:val="clear" w:color="000000" w:fill="FFFFFF"/>
            <w:vAlign w:val="center"/>
          </w:tcPr>
          <w:p w14:paraId="500F7A13">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557D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59D459A0">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896" w:type="dxa"/>
            <w:shd w:val="clear" w:color="000000" w:fill="FFFFFF"/>
            <w:vAlign w:val="center"/>
          </w:tcPr>
          <w:p w14:paraId="78C0EDF4">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48口交换机（国产）</w:t>
            </w:r>
          </w:p>
        </w:tc>
        <w:tc>
          <w:tcPr>
            <w:tcW w:w="754" w:type="dxa"/>
            <w:shd w:val="clear" w:color="000000" w:fill="FFFFFF"/>
            <w:vAlign w:val="center"/>
          </w:tcPr>
          <w:p w14:paraId="06EDB87D">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4</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14:paraId="347F71FB">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采用国产化芯片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交换容量≥672Gbps，转发性能≥207Mpps，提供官网截图证明</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≥48个10/100/1000Base-T自适应以太网接口，6个万兆SFP+接口，左右通风</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支持静态路由，RIP，RIPng,OSPF,等价路由,VRRP/VRRPv3</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支持集群或堆叠多虚一技术（4台），实现单一界面管理多台设备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支持6个万兆口堆叠</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支持ECA(加密流量分析)</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VOQ功能</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CPU保护</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所有端口线速转发</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端口平均时延小于 2us</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硬件BFD 3ms最小间隔</w:t>
            </w:r>
          </w:p>
        </w:tc>
        <w:tc>
          <w:tcPr>
            <w:tcW w:w="874" w:type="dxa"/>
            <w:shd w:val="clear" w:color="000000" w:fill="FFFFFF"/>
            <w:vAlign w:val="center"/>
          </w:tcPr>
          <w:p w14:paraId="7A9A6BB3">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90F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5AD04B66">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w:t>
            </w:r>
          </w:p>
        </w:tc>
        <w:tc>
          <w:tcPr>
            <w:tcW w:w="896" w:type="dxa"/>
            <w:shd w:val="clear" w:color="000000" w:fill="FFFFFF"/>
            <w:vAlign w:val="center"/>
          </w:tcPr>
          <w:p w14:paraId="31B24B15">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专网交换机（国产）</w:t>
            </w:r>
          </w:p>
        </w:tc>
        <w:tc>
          <w:tcPr>
            <w:tcW w:w="754" w:type="dxa"/>
            <w:shd w:val="clear" w:color="000000" w:fill="FFFFFF"/>
            <w:vAlign w:val="center"/>
          </w:tcPr>
          <w:p w14:paraId="51D5F5BD">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14:paraId="09097260">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采用国产化芯片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交换容量≥≥248Gbps，转发性能≥120Mpps，提供官网截图证明</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主控转发合一</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端口≥ 8*10GE 且 ≥ 29*GE电</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支持静态路由，RIP，RIPng,OSPF,等价路由,VRRP/VRRPv3</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支持虚拟化特性，将物理上两台设备虚拟化成一台逻辑设备，</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支持在一个物理网络上实现多个逻辑拓扑，指定不同业务流量走不同的逻辑拓扑路由转发，</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随流检测技术，</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支持记录终端用户访问互联网的日志，包括：用户名、源/目的IP地址、时间、访问的域名、URL等，</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p>
        </w:tc>
        <w:tc>
          <w:tcPr>
            <w:tcW w:w="874" w:type="dxa"/>
            <w:shd w:val="clear" w:color="000000" w:fill="FFFFFF"/>
            <w:vAlign w:val="center"/>
          </w:tcPr>
          <w:p w14:paraId="7C899876">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1A7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71EEE0C4">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896" w:type="dxa"/>
            <w:shd w:val="clear" w:color="000000" w:fill="FFFFFF"/>
            <w:vAlign w:val="center"/>
          </w:tcPr>
          <w:p w14:paraId="5035A51D">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信息系统安全等级保护测评</w:t>
            </w:r>
          </w:p>
        </w:tc>
        <w:tc>
          <w:tcPr>
            <w:tcW w:w="754" w:type="dxa"/>
            <w:shd w:val="clear" w:color="000000" w:fill="FFFFFF"/>
            <w:vAlign w:val="center"/>
          </w:tcPr>
          <w:p w14:paraId="35D0E360">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14:paraId="6A923983">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等保二级，根据国家网络安全等级保护相关标准，实施方对信息系统安全等级保护测评，并出具该系统的等级保护测评报告。</w:t>
            </w:r>
          </w:p>
        </w:tc>
        <w:tc>
          <w:tcPr>
            <w:tcW w:w="874" w:type="dxa"/>
            <w:shd w:val="clear" w:color="000000" w:fill="FFFFFF"/>
            <w:vAlign w:val="center"/>
          </w:tcPr>
          <w:p w14:paraId="48FCD3E6">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05D2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58A9FE0B">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w:t>
            </w:r>
          </w:p>
        </w:tc>
        <w:tc>
          <w:tcPr>
            <w:tcW w:w="896" w:type="dxa"/>
            <w:shd w:val="clear" w:color="000000" w:fill="FFFFFF"/>
            <w:vAlign w:val="center"/>
          </w:tcPr>
          <w:p w14:paraId="46D97A93">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等保一体机（</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设备）</w:t>
            </w:r>
          </w:p>
        </w:tc>
        <w:tc>
          <w:tcPr>
            <w:tcW w:w="754" w:type="dxa"/>
            <w:shd w:val="clear" w:color="000000" w:fill="FFFFFF"/>
            <w:vAlign w:val="center"/>
          </w:tcPr>
          <w:p w14:paraId="2EB062F8">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套</w:t>
            </w:r>
          </w:p>
        </w:tc>
        <w:tc>
          <w:tcPr>
            <w:tcW w:w="5573" w:type="dxa"/>
            <w:gridSpan w:val="2"/>
            <w:shd w:val="clear" w:color="000000" w:fill="FFFFFF"/>
            <w:vAlign w:val="center"/>
          </w:tcPr>
          <w:p w14:paraId="5411AD10">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高度2U，千兆电口≥8个，USB接口≥2个，Console口≥1个，扩展槽≥3个；硬盘≥4T；内存≥96G，350W冗余电源；</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首页支持查看账号、产品、方案、待办事项等项目的数量信息，同时能以列表形式展示月订单、待办事项、账户明细等信息</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一、安全运营：</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支持风险资产TOP5、攻击源地区TOP5、攻击类型TO5等信息的图表化呈现，进行不同安全级别的综合判定</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二、报表中心</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支持以自定义周期方式生成综合分析报表和资源运行报表，报表内容可自定义，其中综合分析报表包括安全分析、资产分析、告警分析等内容，资源运行报表包括资源使用情况、运行情况等内容</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三、日志中心</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1）支持提供包括下一代防火墙、Web应用防火墙、堡垒机、数据库审计、日志审计等安全组件的日志展示界面</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一、资源管理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可查看等保一体机所有安全组件的在线/离线状态，cpu、内存、磁盘使用率，流入带宽趋势、流出带宽趋势等信息</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二、组件管理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1）支持对安全组件进行全生命周期管理，包括安全模块创建、开机、扩容、重启、关机、删除等操作</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2）支持安全组件的流量编排，可按需对流量的来源与目标节点进行策略配置，实现安全模块先后顺序与是否启用的灵活调整</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一、监控可视化</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支持提供监控概览页面，直观呈现组件数量、总CPU核数与使用率、总内存与使用率、总磁盘空间与使用率等信息</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二、智能告警</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1）支持告警列表展示，内容至少包括告警时间、告警规则、告警类型、告警等级、区域等内容，并能按照区域、告警类型、告警等级进行筛选与批量删除等操作</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三、网络拓扑</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1）支持以拖拽的方式进行拓扑的编辑与展示，内置多种拓扑模板</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2）支持拓扑的导入与导出，支持格式至少包括PNG、Json文件</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1）支持防护资产列表展示，根据资产状态划分为高风险、中风险、低风险、比较安全，根据资产价值划分为核心、重要、一般、边缘、未知</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2）支持对安全组件进行策略分析，策略分析内容包括隐藏策略、冗余策略、过期策略、合并策略、未命中策略</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1）支持三权分立</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2）支持创建平台角色，并对角色的菜单权限与操作权限进行自定义设置</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3）支持平台操作审计，对用户名称、IP、操作内容、操作结果、时间等进行展示与查询，并支持操作日志的导出</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▲1）平台内的虚拟磁盘支持内核级 I/O 加速，将虚拟磁盘的 I/O 驱动从用户态迁移到内核态，支持异步 I/O 加速功能（</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▲2）平台支持 B/S 和 C/S 两种架构的安全虚拟机控制台，且 C/S 客户端无任何授权限制，支持将本地文件托拉拽到安全虚拟机内部且支持和本地共享粘贴板（</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▲3）平台具备数据中心全局服务器损坏恢复能力，数据中心内服务器发生不可恢复灾难时，通过存储池容灾功能即可立即恢复对应业务虚拟机（</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▲4）平台支持对接远端存储时，可配置对接存储的 IP 以及端口号、是否启用 iSER 协议，为保护数据安全，可支持单向和双向验证 CHAP 身份信息（</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▲5）平台支持配置和一键部署大数据集群，快速提供大数据集群服务，管理平台支持以大数据镜像方式创建 manager 和 worker 节点，并支持配置大数据服务 CPU、内存、磁盘规格和磁盘数量（</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lang w:eastAsia="zh-CN"/>
              </w:rPr>
              <w:t>复印件，加盖投标人公章</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1）具备公安部第三研究所颁发的《云应用安全可信认证》</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▲2）具备与飞腾、鲲鹏、海光芯片的兼容性证明</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▲5）具备与麒麟操作系统的兼容性证明</w:t>
            </w:r>
          </w:p>
        </w:tc>
        <w:tc>
          <w:tcPr>
            <w:tcW w:w="874" w:type="dxa"/>
            <w:shd w:val="clear" w:color="000000" w:fill="FFFFFF"/>
            <w:vAlign w:val="center"/>
          </w:tcPr>
          <w:p w14:paraId="3A606F28">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bl>
    <w:p w14:paraId="30ECA2A1">
      <w:pPr>
        <w:pStyle w:val="33"/>
        <w:shd w:val="clea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highlight w:val="none"/>
        </w:rPr>
        <w:t>二、质保期：原厂三年。</w:t>
      </w:r>
    </w:p>
    <w:p w14:paraId="55FB2646">
      <w:pPr>
        <w:shd w:val="clea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三、费用和履约保证金</w:t>
      </w:r>
    </w:p>
    <w:p w14:paraId="3B93D0B6">
      <w:pPr>
        <w:pStyle w:val="33"/>
        <w:shd w:val="clea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highlight w:val="none"/>
        </w:rPr>
        <w:t>与公交集团及第一、第二、第三公司分别签订合同，根据中标结果由4家单位平均分摊费用。合同签订后十天内，统一向公交集团提交1%的履约保证金。在质保期结束后退还。</w:t>
      </w:r>
    </w:p>
    <w:p w14:paraId="1355DBE8">
      <w:pPr>
        <w:shd w:val="clea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四、付款方式：</w:t>
      </w:r>
      <w:r>
        <w:rPr>
          <w:rFonts w:hint="eastAsia" w:ascii="仿宋" w:hAnsi="仿宋" w:eastAsia="仿宋" w:cs="仿宋"/>
          <w:b w:val="0"/>
          <w:bCs w:val="0"/>
          <w:color w:val="auto"/>
          <w:sz w:val="24"/>
          <w:highlight w:val="none"/>
        </w:rPr>
        <w:t>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0842279D">
      <w:pPr>
        <w:shd w:val="clear"/>
        <w:spacing w:line="44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设备部分：设备到货后支付40%，安装验收合格支付40%，竣工验收一年后支付15%，竣工验收二年后支付3%，质保到期后支付2%。</w:t>
      </w:r>
    </w:p>
    <w:p w14:paraId="0910F4D5">
      <w:pPr>
        <w:shd w:val="clear"/>
        <w:tabs>
          <w:tab w:val="left" w:pos="3870"/>
          <w:tab w:val="left" w:pos="4085"/>
        </w:tabs>
        <w:spacing w:line="360" w:lineRule="auto"/>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服务部分（三年均付）：合同签订后支付第一年费用的40%，第一年服务期满后支付第一年费用的60%、第二年费用的40%；第二年服务期满后支付第二年费用的60%、第三年费用的40%；第三年服务期满后支付第三年费用的60%。</w:t>
      </w:r>
      <w:r>
        <w:rPr>
          <w:rFonts w:hint="eastAsia" w:ascii="仿宋" w:hAnsi="仿宋" w:eastAsia="仿宋" w:cs="仿宋"/>
          <w:bCs/>
          <w:color w:val="auto"/>
          <w:sz w:val="24"/>
          <w:highlight w:val="none"/>
        </w:rPr>
        <w:t xml:space="preserve"> </w:t>
      </w:r>
    </w:p>
    <w:p w14:paraId="268D90A4">
      <w:pPr>
        <w:shd w:val="clear"/>
        <w:tabs>
          <w:tab w:val="left" w:pos="3870"/>
          <w:tab w:val="left" w:pos="4085"/>
        </w:tabs>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五、其他要求</w:t>
      </w:r>
    </w:p>
    <w:p w14:paraId="232963D8">
      <w:pPr>
        <w:pStyle w:val="33"/>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1.中标单位提供的产品必须是招标文件和合同规定的产品，其技术指标、型号须符合相关要求。</w:t>
      </w:r>
    </w:p>
    <w:p w14:paraId="5C4C9D6C">
      <w:pPr>
        <w:pStyle w:val="33"/>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2.中标单位不得将采购产品转包给其他供应商，否则视为违约，并将追究其违约责任，招标人有权解除采购合同，所造成的损失由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highlight w:val="none"/>
        </w:rPr>
        <w:t>承担。</w:t>
      </w:r>
    </w:p>
    <w:p w14:paraId="3BFE5A0D">
      <w:pPr>
        <w:pStyle w:val="33"/>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3.如本合同采购产品在合同履约过程中出现产品更新等情况，须由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highlight w:val="none"/>
        </w:rPr>
        <w:t>先提出更换要求，并提供充分理由或依据，经招标</w:t>
      </w:r>
      <w:r>
        <w:rPr>
          <w:rFonts w:hint="eastAsia" w:ascii="仿宋" w:hAnsi="仿宋" w:eastAsia="仿宋" w:cs="仿宋"/>
          <w:color w:val="auto"/>
          <w:sz w:val="24"/>
          <w:highlight w:val="none"/>
          <w:lang w:eastAsia="zh-CN"/>
        </w:rPr>
        <w:t>人</w:t>
      </w:r>
      <w:r>
        <w:rPr>
          <w:rFonts w:hint="eastAsia" w:ascii="仿宋" w:hAnsi="仿宋" w:eastAsia="仿宋" w:cs="仿宋"/>
          <w:color w:val="auto"/>
          <w:sz w:val="24"/>
          <w:highlight w:val="none"/>
        </w:rPr>
        <w:t>审批同意后，方可更换替代性能参数指标比原采购产品高的其他产品，但产品价格不变。</w:t>
      </w:r>
    </w:p>
    <w:p w14:paraId="33E74550">
      <w:pPr>
        <w:pStyle w:val="33"/>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highlight w:val="none"/>
        </w:rPr>
        <w:t>应确保产品质量，所有产品均需符合国家产品的有关技术规范和质量标准，保质期最低为原厂3年。</w:t>
      </w:r>
    </w:p>
    <w:p w14:paraId="7A63ADDB">
      <w:pPr>
        <w:pStyle w:val="33"/>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5.</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highlight w:val="none"/>
        </w:rPr>
        <w:t>应保证设备经正确安装、正常运转和保养，保证其保质期内应具有满意的</w:t>
      </w:r>
      <w:r>
        <w:rPr>
          <w:rFonts w:hint="eastAsia" w:ascii="仿宋" w:hAnsi="仿宋" w:eastAsia="仿宋" w:cs="仿宋"/>
          <w:color w:val="auto"/>
          <w:sz w:val="24"/>
          <w:highlight w:val="none"/>
        </w:rPr>
        <w:t>性能，如出现损坏等情况，应无条件维修或更换。</w:t>
      </w:r>
    </w:p>
    <w:p w14:paraId="7430D354">
      <w:pPr>
        <w:pStyle w:val="33"/>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highlight w:val="none"/>
        </w:rPr>
        <w:t>不能交付货物，招标</w:t>
      </w:r>
      <w:r>
        <w:rPr>
          <w:rFonts w:hint="eastAsia" w:ascii="仿宋" w:hAnsi="仿宋" w:eastAsia="仿宋" w:cs="仿宋"/>
          <w:color w:val="auto"/>
          <w:sz w:val="24"/>
          <w:highlight w:val="none"/>
          <w:lang w:eastAsia="zh-CN"/>
        </w:rPr>
        <w:t>人</w:t>
      </w:r>
      <w:r>
        <w:rPr>
          <w:rFonts w:hint="eastAsia" w:ascii="仿宋" w:hAnsi="仿宋" w:eastAsia="仿宋" w:cs="仿宋"/>
          <w:color w:val="auto"/>
          <w:sz w:val="24"/>
          <w:highlight w:val="none"/>
        </w:rPr>
        <w:t>有权扣留全部履约保证金；同时支付合同款总价5%的违约金。</w:t>
      </w:r>
    </w:p>
    <w:p w14:paraId="0E7824D8">
      <w:pPr>
        <w:pStyle w:val="33"/>
        <w:shd w:val="clea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highlight w:val="none"/>
        </w:rPr>
        <w:t>逾期交付货物的，每逾期1天，偿付逾期交货部分货物货款的0.5%的滞纳金，如逾期交货15天，招标方</w:t>
      </w:r>
      <w:r>
        <w:rPr>
          <w:rFonts w:hint="eastAsia" w:ascii="仿宋" w:hAnsi="仿宋" w:eastAsia="仿宋" w:cs="仿宋"/>
          <w:color w:val="auto"/>
          <w:sz w:val="24"/>
          <w:highlight w:val="none"/>
          <w:lang w:eastAsia="zh-CN"/>
        </w:rPr>
        <w:t>人</w:t>
      </w:r>
      <w:r>
        <w:rPr>
          <w:rFonts w:hint="eastAsia" w:ascii="仿宋" w:hAnsi="仿宋" w:eastAsia="仿宋" w:cs="仿宋"/>
          <w:color w:val="auto"/>
          <w:sz w:val="24"/>
          <w:highlight w:val="none"/>
        </w:rPr>
        <w:t>有权解除合同，并由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highlight w:val="none"/>
        </w:rPr>
        <w:t>承担所造成的损失。</w:t>
      </w:r>
    </w:p>
    <w:p w14:paraId="4F6996DD">
      <w:pPr>
        <w:keepNext w:val="0"/>
        <w:keepLines w:val="0"/>
        <w:pageBreakBefore w:val="0"/>
        <w:widowControl w:val="0"/>
        <w:shd w:val="clear"/>
        <w:kinsoku/>
        <w:wordWrap/>
        <w:overflowPunct/>
        <w:topLinePunct w:val="0"/>
        <w:bidi w:val="0"/>
        <w:adjustRightInd w:val="0"/>
        <w:snapToGrid/>
        <w:spacing w:line="440" w:lineRule="exact"/>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8.如遇不可抗因素导致下次招标延期，本次</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highlight w:val="none"/>
        </w:rPr>
        <w:t>可顺延履约至下一期招标完成。</w:t>
      </w:r>
    </w:p>
    <w:p w14:paraId="5B17D529">
      <w:pPr>
        <w:shd w:val="clear"/>
        <w:spacing w:line="360" w:lineRule="auto"/>
        <w:outlineLvl w:val="0"/>
        <w:rPr>
          <w:rFonts w:ascii="仿宋" w:hAnsi="仿宋" w:eastAsia="仿宋" w:cs="仿宋"/>
          <w:b/>
          <w:color w:val="auto"/>
          <w:sz w:val="36"/>
          <w:szCs w:val="36"/>
          <w:highlight w:val="none"/>
        </w:rPr>
      </w:pPr>
    </w:p>
    <w:p w14:paraId="71D8053A">
      <w:pPr>
        <w:shd w:val="clea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69D77D6C">
      <w:pPr>
        <w:shd w:val="clea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第四部分拟签订的合同文本</w:t>
      </w:r>
    </w:p>
    <w:p w14:paraId="07B5E5F4">
      <w:pPr>
        <w:shd w:val="clea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288B534E">
      <w:pPr>
        <w:shd w:val="clear"/>
        <w:spacing w:line="480" w:lineRule="auto"/>
        <w:jc w:val="center"/>
        <w:rPr>
          <w:rFonts w:ascii="仿宋" w:hAnsi="仿宋" w:eastAsia="仿宋" w:cs="仿宋"/>
          <w:b/>
          <w:color w:val="auto"/>
          <w:sz w:val="28"/>
          <w:szCs w:val="28"/>
          <w:highlight w:val="none"/>
        </w:rPr>
      </w:pPr>
    </w:p>
    <w:p w14:paraId="2135058C">
      <w:pPr>
        <w:shd w:val="clear"/>
        <w:spacing w:line="480" w:lineRule="auto"/>
        <w:jc w:val="center"/>
        <w:rPr>
          <w:rFonts w:ascii="仿宋" w:hAnsi="仿宋" w:eastAsia="仿宋" w:cs="仿宋"/>
          <w:b/>
          <w:color w:val="auto"/>
          <w:sz w:val="24"/>
          <w:highlight w:val="none"/>
        </w:rPr>
      </w:pPr>
    </w:p>
    <w:p w14:paraId="5B471B90">
      <w:pPr>
        <w:shd w:val="clear"/>
        <w:spacing w:line="480" w:lineRule="auto"/>
        <w:jc w:val="center"/>
        <w:rPr>
          <w:rFonts w:ascii="仿宋" w:hAnsi="仿宋" w:eastAsia="仿宋" w:cs="仿宋"/>
          <w:b/>
          <w:color w:val="auto"/>
          <w:sz w:val="24"/>
          <w:highlight w:val="none"/>
        </w:rPr>
      </w:pPr>
    </w:p>
    <w:p w14:paraId="1008FA96">
      <w:pPr>
        <w:shd w:val="clea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14:paraId="425B8227">
      <w:pPr>
        <w:shd w:val="clea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0E808123">
      <w:pPr>
        <w:pStyle w:val="701"/>
        <w:shd w:val="clear"/>
        <w:ind w:left="0" w:leftChars="0" w:firstLine="0" w:firstLineChars="0"/>
        <w:rPr>
          <w:rFonts w:ascii="仿宋" w:hAnsi="仿宋" w:eastAsia="仿宋" w:cs="仿宋"/>
          <w:color w:val="auto"/>
          <w:szCs w:val="24"/>
          <w:highlight w:val="none"/>
        </w:rPr>
      </w:pPr>
    </w:p>
    <w:p w14:paraId="5FE1D971">
      <w:pPr>
        <w:pStyle w:val="701"/>
        <w:shd w:val="clear"/>
        <w:jc w:val="center"/>
        <w:rPr>
          <w:rFonts w:ascii="仿宋" w:hAnsi="仿宋" w:eastAsia="仿宋" w:cs="仿宋"/>
          <w:color w:val="auto"/>
          <w:szCs w:val="24"/>
          <w:highlight w:val="none"/>
        </w:rPr>
      </w:pPr>
    </w:p>
    <w:p w14:paraId="7A347A65">
      <w:pPr>
        <w:pStyle w:val="701"/>
        <w:shd w:val="clear"/>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第一部分合同书</w:t>
      </w:r>
    </w:p>
    <w:p w14:paraId="4EBED602">
      <w:pPr>
        <w:pStyle w:val="701"/>
        <w:shd w:val="clear"/>
        <w:rPr>
          <w:rFonts w:ascii="仿宋" w:hAnsi="仿宋" w:eastAsia="仿宋" w:cs="仿宋"/>
          <w:color w:val="auto"/>
          <w:szCs w:val="24"/>
          <w:highlight w:val="none"/>
        </w:rPr>
      </w:pPr>
    </w:p>
    <w:p w14:paraId="66B3E37B">
      <w:pPr>
        <w:pStyle w:val="701"/>
        <w:shd w:val="clear"/>
        <w:rPr>
          <w:rFonts w:ascii="仿宋" w:hAnsi="仿宋" w:eastAsia="仿宋" w:cs="仿宋"/>
          <w:color w:val="auto"/>
          <w:szCs w:val="24"/>
          <w:highlight w:val="none"/>
        </w:rPr>
      </w:pPr>
    </w:p>
    <w:p w14:paraId="41B70664">
      <w:pPr>
        <w:shd w:val="clear"/>
        <w:spacing w:before="120" w:line="22" w:lineRule="atLeast"/>
        <w:rPr>
          <w:rFonts w:ascii="仿宋" w:hAnsi="仿宋" w:eastAsia="仿宋" w:cs="仿宋"/>
          <w:color w:val="auto"/>
          <w:sz w:val="24"/>
          <w:highlight w:val="none"/>
        </w:rPr>
      </w:pPr>
    </w:p>
    <w:p w14:paraId="74B4E01E">
      <w:pPr>
        <w:shd w:val="clea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6E8A5A49">
      <w:pPr>
        <w:pStyle w:val="598"/>
        <w:shd w:val="clear"/>
        <w:spacing w:before="120" w:line="22" w:lineRule="atLeast"/>
        <w:rPr>
          <w:rFonts w:ascii="仿宋" w:hAnsi="仿宋" w:eastAsia="仿宋" w:cs="仿宋"/>
          <w:color w:val="auto"/>
          <w:szCs w:val="24"/>
          <w:highlight w:val="none"/>
        </w:rPr>
      </w:pPr>
    </w:p>
    <w:p w14:paraId="560E68E1">
      <w:pPr>
        <w:pStyle w:val="598"/>
        <w:shd w:val="clear"/>
        <w:spacing w:before="120" w:line="22" w:lineRule="atLeast"/>
        <w:rPr>
          <w:rFonts w:ascii="仿宋" w:hAnsi="仿宋" w:eastAsia="仿宋" w:cs="仿宋"/>
          <w:color w:val="auto"/>
          <w:szCs w:val="24"/>
          <w:highlight w:val="none"/>
        </w:rPr>
      </w:pPr>
    </w:p>
    <w:p w14:paraId="70FBC764">
      <w:pPr>
        <w:shd w:val="clear"/>
        <w:rPr>
          <w:rFonts w:ascii="仿宋" w:hAnsi="仿宋" w:eastAsia="仿宋" w:cs="仿宋"/>
          <w:color w:val="auto"/>
          <w:sz w:val="24"/>
          <w:highlight w:val="none"/>
        </w:rPr>
      </w:pPr>
    </w:p>
    <w:p w14:paraId="30271155">
      <w:pPr>
        <w:shd w:val="clea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3436B738">
      <w:pPr>
        <w:shd w:val="clear"/>
        <w:spacing w:before="120" w:line="22" w:lineRule="atLeast"/>
        <w:rPr>
          <w:rFonts w:ascii="仿宋" w:hAnsi="仿宋" w:eastAsia="仿宋" w:cs="仿宋"/>
          <w:color w:val="auto"/>
          <w:sz w:val="24"/>
          <w:highlight w:val="none"/>
        </w:rPr>
      </w:pPr>
    </w:p>
    <w:p w14:paraId="7668EBEE">
      <w:pPr>
        <w:shd w:val="clea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4BC9888B">
      <w:pPr>
        <w:shd w:val="clear"/>
        <w:spacing w:before="120" w:line="22" w:lineRule="atLeast"/>
        <w:rPr>
          <w:rFonts w:ascii="仿宋" w:hAnsi="仿宋" w:eastAsia="仿宋" w:cs="仿宋"/>
          <w:color w:val="auto"/>
          <w:sz w:val="24"/>
          <w:highlight w:val="none"/>
        </w:rPr>
      </w:pPr>
    </w:p>
    <w:p w14:paraId="4BACD8E5">
      <w:pPr>
        <w:shd w:val="clea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49E04078">
      <w:pPr>
        <w:shd w:val="clear"/>
        <w:spacing w:before="120" w:line="22" w:lineRule="atLeast"/>
        <w:rPr>
          <w:rFonts w:ascii="仿宋" w:hAnsi="仿宋" w:eastAsia="仿宋" w:cs="仿宋"/>
          <w:color w:val="auto"/>
          <w:sz w:val="24"/>
          <w:highlight w:val="none"/>
        </w:rPr>
      </w:pPr>
    </w:p>
    <w:p w14:paraId="4D6ADDC9">
      <w:pPr>
        <w:shd w:val="clea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38930C1F">
      <w:pPr>
        <w:widowControl/>
        <w:shd w:val="clear"/>
        <w:jc w:val="left"/>
        <w:rPr>
          <w:rFonts w:ascii="仿宋" w:hAnsi="仿宋" w:eastAsia="仿宋" w:cs="仿宋"/>
          <w:color w:val="auto"/>
          <w:kern w:val="0"/>
          <w:sz w:val="24"/>
          <w:highlight w:val="none"/>
        </w:rPr>
        <w:sectPr>
          <w:headerReference r:id="rId15" w:type="default"/>
          <w:footerReference r:id="rId16" w:type="default"/>
          <w:pgSz w:w="11907" w:h="16840"/>
          <w:pgMar w:top="1814" w:right="1474" w:bottom="1814" w:left="1474" w:header="851" w:footer="851" w:gutter="0"/>
          <w:pgBorders>
            <w:top w:val="none" w:sz="0" w:space="0"/>
            <w:left w:val="none" w:sz="0" w:space="0"/>
            <w:bottom w:val="none" w:sz="0" w:space="0"/>
            <w:right w:val="none" w:sz="0" w:space="0"/>
          </w:pgBorders>
          <w:pgNumType w:fmt="decimal"/>
          <w:cols w:space="720" w:num="1"/>
        </w:sectPr>
      </w:pPr>
    </w:p>
    <w:p w14:paraId="542FA69C">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ascii="仿宋" w:hAnsi="仿宋" w:eastAsia="仿宋" w:cs="仿宋"/>
          <w:color w:val="auto"/>
          <w:sz w:val="24"/>
          <w:highlight w:val="none"/>
          <w:u w:val="single"/>
        </w:rPr>
        <w:t xml:space="preserve">   （采购方式）  </w:t>
      </w:r>
      <w:r>
        <w:rPr>
          <w:rFonts w:hint="eastAsia" w:ascii="仿宋" w:hAnsi="仿宋" w:eastAsia="仿宋" w:cs="仿宋"/>
          <w:color w:val="auto"/>
          <w:sz w:val="24"/>
          <w:highlight w:val="none"/>
        </w:rPr>
        <w:t>对</w:t>
      </w:r>
      <w:r>
        <w:rPr>
          <w:rFonts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w:t>
      </w:r>
      <w:r>
        <w:rPr>
          <w:rFonts w:ascii="仿宋" w:hAnsi="仿宋" w:eastAsia="仿宋" w:cs="仿宋"/>
          <w:color w:val="auto"/>
          <w:sz w:val="24"/>
          <w:highlight w:val="none"/>
        </w:rPr>
        <w:t>10个工作日内，按照采购文件等确定的事项签订本合同。</w:t>
      </w:r>
    </w:p>
    <w:p w14:paraId="5818FB87">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ascii="仿宋" w:hAnsi="仿宋" w:eastAsia="仿宋" w:cs="仿宋"/>
          <w:color w:val="auto"/>
          <w:sz w:val="24"/>
          <w:highlight w:val="none"/>
          <w:u w:val="single"/>
        </w:rPr>
        <w:t xml:space="preserve">   （采购人）   </w:t>
      </w:r>
      <w:r>
        <w:rPr>
          <w:rFonts w:ascii="仿宋" w:hAnsi="仿宋" w:eastAsia="仿宋" w:cs="仿宋"/>
          <w:color w:val="auto"/>
          <w:sz w:val="24"/>
          <w:highlight w:val="none"/>
          <w:lang w:val="zh-CN"/>
        </w:rPr>
        <w:t>(以下简称：甲方)和</w:t>
      </w:r>
      <w:r>
        <w:rPr>
          <w:rFonts w:ascii="仿宋" w:hAnsi="仿宋" w:eastAsia="仿宋" w:cs="仿宋"/>
          <w:color w:val="auto"/>
          <w:sz w:val="24"/>
          <w:highlight w:val="none"/>
          <w:u w:val="single"/>
        </w:rPr>
        <w:t xml:space="preserve">   （中标或者成交供应商名称）   </w:t>
      </w:r>
      <w:r>
        <w:rPr>
          <w:rFonts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89EC64C">
      <w:pPr>
        <w:shd w:val="clear"/>
        <w:spacing w:line="560" w:lineRule="exact"/>
        <w:ind w:firstLine="482" w:firstLineChars="200"/>
        <w:outlineLvl w:val="0"/>
        <w:rPr>
          <w:rFonts w:ascii="仿宋" w:hAnsi="仿宋" w:eastAsia="仿宋" w:cs="仿宋"/>
          <w:b/>
          <w:color w:val="auto"/>
          <w:sz w:val="24"/>
          <w:highlight w:val="none"/>
        </w:rPr>
      </w:pPr>
      <w:bookmarkStart w:id="44" w:name="_Toc24059"/>
      <w:bookmarkStart w:id="45" w:name="_Toc2232"/>
      <w:bookmarkStart w:id="46" w:name="_Toc3029"/>
      <w:r>
        <w:rPr>
          <w:rFonts w:ascii="仿宋" w:hAnsi="仿宋" w:eastAsia="仿宋" w:cs="仿宋"/>
          <w:b/>
          <w:color w:val="auto"/>
          <w:sz w:val="24"/>
          <w:highlight w:val="none"/>
        </w:rPr>
        <w:t xml:space="preserve">1.1 </w:t>
      </w:r>
      <w:r>
        <w:rPr>
          <w:rFonts w:hint="eastAsia" w:ascii="仿宋" w:hAnsi="仿宋" w:eastAsia="仿宋" w:cs="仿宋"/>
          <w:b/>
          <w:color w:val="auto"/>
          <w:sz w:val="24"/>
          <w:highlight w:val="none"/>
        </w:rPr>
        <w:t>合同组成部分</w:t>
      </w:r>
      <w:bookmarkEnd w:id="44"/>
      <w:bookmarkEnd w:id="45"/>
      <w:bookmarkEnd w:id="46"/>
    </w:p>
    <w:p w14:paraId="41EB02A6">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C87A672">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1.1.1 </w:t>
      </w:r>
      <w:r>
        <w:rPr>
          <w:rFonts w:hint="eastAsia" w:ascii="仿宋" w:hAnsi="仿宋" w:eastAsia="仿宋" w:cs="仿宋"/>
          <w:color w:val="auto"/>
          <w:sz w:val="24"/>
          <w:highlight w:val="none"/>
        </w:rPr>
        <w:t>本合同及其补充合同、变更协议；</w:t>
      </w:r>
    </w:p>
    <w:p w14:paraId="185A16FA">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1.1.2 </w:t>
      </w:r>
      <w:r>
        <w:rPr>
          <w:rFonts w:hint="eastAsia" w:ascii="仿宋" w:hAnsi="仿宋" w:eastAsia="仿宋" w:cs="仿宋"/>
          <w:color w:val="auto"/>
          <w:sz w:val="24"/>
          <w:highlight w:val="none"/>
        </w:rPr>
        <w:t>中标或者成交通知书；</w:t>
      </w:r>
    </w:p>
    <w:p w14:paraId="13982935">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1.1.3 </w:t>
      </w:r>
      <w:r>
        <w:rPr>
          <w:rFonts w:hint="eastAsia" w:ascii="仿宋" w:hAnsi="仿宋" w:eastAsia="仿宋" w:cs="仿宋"/>
          <w:color w:val="auto"/>
          <w:sz w:val="24"/>
          <w:highlight w:val="none"/>
        </w:rPr>
        <w:t>投标或者响应文件（含澄清或者说明文件）；</w:t>
      </w:r>
    </w:p>
    <w:p w14:paraId="28B40511">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1.1.4 </w:t>
      </w:r>
      <w:r>
        <w:rPr>
          <w:rFonts w:hint="eastAsia" w:ascii="仿宋" w:hAnsi="仿宋" w:eastAsia="仿宋" w:cs="仿宋"/>
          <w:color w:val="auto"/>
          <w:sz w:val="24"/>
          <w:highlight w:val="none"/>
        </w:rPr>
        <w:t>采购文件（含澄清或者修改文件）；</w:t>
      </w:r>
    </w:p>
    <w:p w14:paraId="5289F444">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1.1.5 </w:t>
      </w:r>
      <w:r>
        <w:rPr>
          <w:rFonts w:hint="eastAsia" w:ascii="仿宋" w:hAnsi="仿宋" w:eastAsia="仿宋" w:cs="仿宋"/>
          <w:color w:val="auto"/>
          <w:sz w:val="24"/>
          <w:highlight w:val="none"/>
        </w:rPr>
        <w:t>其他相关采购文件。</w:t>
      </w:r>
    </w:p>
    <w:p w14:paraId="141C2A74">
      <w:pPr>
        <w:shd w:val="clear"/>
        <w:spacing w:line="560" w:lineRule="exact"/>
        <w:ind w:firstLine="482" w:firstLineChars="200"/>
        <w:outlineLvl w:val="0"/>
        <w:rPr>
          <w:rFonts w:ascii="仿宋" w:hAnsi="仿宋" w:eastAsia="仿宋" w:cs="仿宋"/>
          <w:b/>
          <w:color w:val="auto"/>
          <w:sz w:val="24"/>
          <w:highlight w:val="none"/>
        </w:rPr>
      </w:pPr>
      <w:bookmarkStart w:id="47" w:name="_Toc24300"/>
      <w:bookmarkStart w:id="48" w:name="_Toc21295"/>
      <w:bookmarkStart w:id="49" w:name="_Toc27126"/>
      <w:r>
        <w:rPr>
          <w:rFonts w:ascii="仿宋" w:hAnsi="仿宋" w:eastAsia="仿宋" w:cs="仿宋"/>
          <w:b/>
          <w:color w:val="auto"/>
          <w:sz w:val="24"/>
          <w:highlight w:val="none"/>
        </w:rPr>
        <w:t xml:space="preserve">1.2 </w:t>
      </w:r>
      <w:r>
        <w:rPr>
          <w:rFonts w:hint="eastAsia" w:ascii="仿宋" w:hAnsi="仿宋" w:eastAsia="仿宋" w:cs="仿宋"/>
          <w:b/>
          <w:color w:val="auto"/>
          <w:sz w:val="24"/>
          <w:highlight w:val="none"/>
        </w:rPr>
        <w:t>货物</w:t>
      </w:r>
      <w:bookmarkEnd w:id="47"/>
      <w:bookmarkEnd w:id="48"/>
      <w:bookmarkEnd w:id="49"/>
    </w:p>
    <w:p w14:paraId="2024E506">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1.2.1 </w:t>
      </w:r>
      <w:r>
        <w:rPr>
          <w:rFonts w:hint="eastAsia" w:ascii="仿宋" w:hAnsi="仿宋" w:eastAsia="仿宋" w:cs="仿宋"/>
          <w:color w:val="auto"/>
          <w:sz w:val="24"/>
          <w:highlight w:val="none"/>
        </w:rPr>
        <w:t>货物名称、品牌、规格型号、花色：；</w:t>
      </w:r>
    </w:p>
    <w:p w14:paraId="430A6318">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1.2.2 </w:t>
      </w:r>
      <w:r>
        <w:rPr>
          <w:rFonts w:hint="eastAsia" w:ascii="仿宋" w:hAnsi="仿宋" w:eastAsia="仿宋" w:cs="仿宋"/>
          <w:color w:val="auto"/>
          <w:sz w:val="24"/>
          <w:highlight w:val="none"/>
        </w:rPr>
        <w:t>货物数量：；</w:t>
      </w:r>
    </w:p>
    <w:p w14:paraId="6FC9A455">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1.2.3 </w:t>
      </w:r>
      <w:r>
        <w:rPr>
          <w:rFonts w:hint="eastAsia" w:ascii="仿宋" w:hAnsi="仿宋" w:eastAsia="仿宋" w:cs="仿宋"/>
          <w:color w:val="auto"/>
          <w:sz w:val="24"/>
          <w:highlight w:val="none"/>
        </w:rPr>
        <w:t>货物质量：</w:t>
      </w:r>
      <w:r>
        <w:rPr>
          <w:rFonts w:hint="eastAsia" w:ascii="仿宋" w:hAnsi="仿宋" w:eastAsia="仿宋" w:cs="仿宋"/>
          <w:color w:val="auto"/>
          <w:sz w:val="24"/>
          <w:highlight w:val="none"/>
          <w:u w:val="single"/>
        </w:rPr>
        <w:t>　　　　　　　　　</w:t>
      </w:r>
      <w:r>
        <w:rPr>
          <w:rFonts w:ascii="仿宋" w:hAnsi="仿宋" w:eastAsia="仿宋" w:cs="仿宋"/>
          <w:color w:val="auto"/>
          <w:sz w:val="24"/>
          <w:highlight w:val="none"/>
          <w:u w:val="single"/>
        </w:rPr>
        <w:t xml:space="preserve">                      　      ；</w:t>
      </w:r>
    </w:p>
    <w:p w14:paraId="528C98C2">
      <w:pPr>
        <w:shd w:val="clear"/>
        <w:spacing w:line="560" w:lineRule="exact"/>
        <w:ind w:firstLine="482" w:firstLineChars="200"/>
        <w:outlineLvl w:val="0"/>
        <w:rPr>
          <w:rFonts w:ascii="仿宋" w:hAnsi="仿宋" w:eastAsia="仿宋" w:cs="仿宋"/>
          <w:b/>
          <w:color w:val="auto"/>
          <w:sz w:val="24"/>
          <w:highlight w:val="none"/>
        </w:rPr>
      </w:pPr>
      <w:bookmarkStart w:id="50" w:name="_Toc21631"/>
      <w:bookmarkStart w:id="51" w:name="_Toc23292"/>
      <w:bookmarkStart w:id="52" w:name="_Toc21551"/>
      <w:r>
        <w:rPr>
          <w:rFonts w:ascii="仿宋" w:hAnsi="仿宋" w:eastAsia="仿宋" w:cs="仿宋"/>
          <w:b/>
          <w:color w:val="auto"/>
          <w:sz w:val="24"/>
          <w:highlight w:val="none"/>
        </w:rPr>
        <w:t xml:space="preserve">1.3 </w:t>
      </w:r>
      <w:r>
        <w:rPr>
          <w:rFonts w:hint="eastAsia" w:ascii="仿宋" w:hAnsi="仿宋" w:eastAsia="仿宋" w:cs="仿宋"/>
          <w:b/>
          <w:color w:val="auto"/>
          <w:sz w:val="24"/>
          <w:highlight w:val="none"/>
        </w:rPr>
        <w:t>价款</w:t>
      </w:r>
      <w:bookmarkEnd w:id="50"/>
      <w:bookmarkEnd w:id="51"/>
      <w:bookmarkEnd w:id="52"/>
    </w:p>
    <w:p w14:paraId="65A58E3E">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本合同总价（含税）为：￥元（大写：元人民币）。</w:t>
      </w:r>
    </w:p>
    <w:p w14:paraId="48CA294E">
      <w:pPr>
        <w:shd w:val="clea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6E9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DCC8506">
            <w:pPr>
              <w:pStyle w:val="319"/>
              <w:shd w:val="clear"/>
              <w:autoSpaceDE w:val="0"/>
              <w:autoSpaceDN w:val="0"/>
              <w:spacing w:line="56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37A137B">
            <w:pPr>
              <w:pStyle w:val="319"/>
              <w:shd w:val="clear"/>
              <w:autoSpaceDE w:val="0"/>
              <w:autoSpaceDN w:val="0"/>
              <w:spacing w:line="560" w:lineRule="exact"/>
              <w:ind w:firstLine="200"/>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B3F0824">
            <w:pPr>
              <w:pStyle w:val="319"/>
              <w:shd w:val="clear"/>
              <w:autoSpaceDE w:val="0"/>
              <w:autoSpaceDN w:val="0"/>
              <w:spacing w:line="56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3A3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CC43EF0">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A16A606">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2F9CE43">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14:paraId="5BB8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B5AE678">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AA95CCA">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A7B8D78">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14:paraId="6580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B14D67B">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504D6A5">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D12C6C2">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14:paraId="52CD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BF26F47">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2FC2BB3">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BEEF15D">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r w14:paraId="299F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672B76E">
            <w:pPr>
              <w:pStyle w:val="319"/>
              <w:shd w:val="clear"/>
              <w:spacing w:line="560" w:lineRule="exact"/>
              <w:ind w:firstLine="200"/>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A129F20">
            <w:pPr>
              <w:pStyle w:val="319"/>
              <w:keepNext/>
              <w:keepLines/>
              <w:shd w:val="clear"/>
              <w:tabs>
                <w:tab w:val="left" w:pos="432"/>
              </w:tabs>
              <w:spacing w:line="560" w:lineRule="exact"/>
              <w:ind w:firstLine="200"/>
              <w:jc w:val="center"/>
              <w:textAlignment w:val="center"/>
              <w:outlineLvl w:val="0"/>
              <w:rPr>
                <w:rFonts w:ascii="仿宋" w:hAnsi="仿宋" w:eastAsia="仿宋" w:cs="仿宋"/>
                <w:color w:val="auto"/>
                <w:sz w:val="24"/>
                <w:szCs w:val="24"/>
                <w:highlight w:val="none"/>
              </w:rPr>
            </w:pPr>
          </w:p>
        </w:tc>
      </w:tr>
    </w:tbl>
    <w:p w14:paraId="3C28A29C">
      <w:pPr>
        <w:pStyle w:val="958"/>
        <w:shd w:val="clear"/>
        <w:spacing w:before="0" w:beforeAutospacing="0" w:after="0" w:afterAutospacing="0" w:line="360" w:lineRule="auto"/>
        <w:ind w:firstLine="480"/>
        <w:rPr>
          <w:rFonts w:ascii="仿宋" w:hAnsi="仿宋" w:eastAsia="仿宋" w:cs="仿宋"/>
          <w:b/>
          <w:color w:val="auto"/>
          <w:highlight w:val="none"/>
        </w:rPr>
      </w:pPr>
      <w:bookmarkStart w:id="53" w:name="_Toc22618"/>
      <w:bookmarkStart w:id="54" w:name="_Toc10340"/>
      <w:bookmarkStart w:id="55" w:name="_Toc1814"/>
      <w:r>
        <w:rPr>
          <w:rFonts w:ascii="仿宋" w:hAnsi="仿宋" w:eastAsia="仿宋" w:cs="仿宋"/>
          <w:b/>
          <w:color w:val="auto"/>
          <w:highlight w:val="none"/>
        </w:rPr>
        <w:t>1.4履约保证金</w:t>
      </w:r>
    </w:p>
    <w:p w14:paraId="088B6DFF">
      <w:pPr>
        <w:pStyle w:val="958"/>
        <w:shd w:val="clear"/>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乙方（是</w:t>
      </w:r>
      <w:r>
        <w:rPr>
          <w:rFonts w:ascii="仿宋" w:hAnsi="仿宋" w:eastAsia="仿宋" w:cs="仿宋"/>
          <w:color w:val="auto"/>
          <w:highlight w:val="none"/>
        </w:rPr>
        <w:t>/否）需要支付履约保证金。若需要支付履约保证金的，则：</w:t>
      </w:r>
    </w:p>
    <w:p w14:paraId="544BF1E2">
      <w:pPr>
        <w:shd w:val="clear"/>
        <w:spacing w:line="560" w:lineRule="exact"/>
        <w:ind w:firstLine="480" w:firstLineChars="200"/>
        <w:outlineLvl w:val="0"/>
        <w:rPr>
          <w:rFonts w:ascii="仿宋" w:hAnsi="仿宋" w:eastAsia="仿宋" w:cs="仿宋"/>
          <w:color w:val="auto"/>
          <w:kern w:val="0"/>
          <w:sz w:val="24"/>
          <w:highlight w:val="none"/>
        </w:rPr>
      </w:pPr>
      <w:r>
        <w:rPr>
          <w:rFonts w:ascii="仿宋" w:hAnsi="仿宋" w:eastAsia="仿宋" w:cs="仿宋"/>
          <w:color w:val="auto"/>
          <w:kern w:val="0"/>
          <w:sz w:val="24"/>
          <w:highlight w:val="none"/>
        </w:rPr>
        <w:t>1.4.1履约保证金的比例为合同金额的%；</w:t>
      </w:r>
    </w:p>
    <w:p w14:paraId="38FD50DE">
      <w:pPr>
        <w:shd w:val="clear"/>
        <w:spacing w:line="560" w:lineRule="exact"/>
        <w:ind w:firstLine="480" w:firstLineChars="200"/>
        <w:outlineLvl w:val="0"/>
        <w:rPr>
          <w:rFonts w:ascii="仿宋" w:hAnsi="仿宋" w:eastAsia="仿宋" w:cs="仿宋"/>
          <w:color w:val="auto"/>
          <w:kern w:val="0"/>
          <w:sz w:val="24"/>
          <w:highlight w:val="none"/>
        </w:rPr>
      </w:pPr>
      <w:r>
        <w:rPr>
          <w:rFonts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2C9BF860">
      <w:pPr>
        <w:pStyle w:val="4"/>
        <w:shd w:val="clear"/>
        <w:tabs>
          <w:tab w:val="clear" w:pos="432"/>
        </w:tabs>
        <w:spacing w:line="560" w:lineRule="exact"/>
        <w:ind w:left="0" w:firstLine="480" w:firstLineChars="200"/>
        <w:rPr>
          <w:rFonts w:ascii="仿宋" w:eastAsia="仿宋" w:cs="仿宋"/>
          <w:color w:val="auto"/>
          <w:highlight w:val="none"/>
          <w:lang w:val="en-US"/>
        </w:rPr>
      </w:pPr>
      <w:r>
        <w:rPr>
          <w:rFonts w:ascii="仿宋" w:eastAsia="仿宋" w:cs="仿宋"/>
          <w:b w:val="0"/>
          <w:bCs w:val="0"/>
          <w:color w:val="auto"/>
          <w:kern w:val="0"/>
          <w:sz w:val="24"/>
          <w:szCs w:val="24"/>
          <w:highlight w:val="none"/>
          <w:lang w:val="en-US"/>
        </w:rPr>
        <w:t xml:space="preserve">1.4.3 </w:t>
      </w:r>
      <w:r>
        <w:rPr>
          <w:rFonts w:hint="eastAsia" w:ascii="仿宋" w:eastAsia="仿宋" w:cs="仿宋"/>
          <w:b w:val="0"/>
          <w:bCs w:val="0"/>
          <w:color w:val="auto"/>
          <w:kern w:val="0"/>
          <w:sz w:val="24"/>
          <w:szCs w:val="24"/>
          <w:highlight w:val="none"/>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F82DB7A">
      <w:pPr>
        <w:shd w:val="clear"/>
        <w:spacing w:line="560" w:lineRule="exact"/>
        <w:ind w:firstLine="480" w:firstLineChars="200"/>
        <w:outlineLvl w:val="0"/>
        <w:rPr>
          <w:rFonts w:ascii="仿宋" w:hAnsi="仿宋" w:eastAsia="仿宋" w:cs="仿宋"/>
          <w:color w:val="auto"/>
          <w:highlight w:val="none"/>
        </w:rPr>
      </w:pPr>
      <w:r>
        <w:rPr>
          <w:rFonts w:ascii="仿宋" w:hAnsi="仿宋" w:eastAsia="仿宋" w:cs="仿宋"/>
          <w:color w:val="auto"/>
          <w:kern w:val="0"/>
          <w:sz w:val="24"/>
          <w:highlight w:val="none"/>
        </w:rPr>
        <w:t xml:space="preserve">1.4.4 </w:t>
      </w:r>
      <w:r>
        <w:rPr>
          <w:rFonts w:hint="eastAsia" w:ascii="仿宋" w:hAnsi="仿宋" w:eastAsia="仿宋" w:cs="仿宋"/>
          <w:color w:val="auto"/>
          <w:kern w:val="0"/>
          <w:sz w:val="24"/>
          <w:highlight w:val="none"/>
        </w:rPr>
        <w:t>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ascii="仿宋" w:hAnsi="仿宋" w:eastAsia="仿宋" w:cs="仿宋"/>
          <w:color w:val="auto"/>
          <w:kern w:val="0"/>
          <w:sz w:val="24"/>
          <w:highlight w:val="none"/>
        </w:rPr>
        <w:t>%计算，最高限额为本合同履约保证金的 %。</w:t>
      </w:r>
    </w:p>
    <w:p w14:paraId="1EEDE945">
      <w:pPr>
        <w:shd w:val="clear"/>
        <w:spacing w:line="560" w:lineRule="exact"/>
        <w:ind w:firstLine="482" w:firstLineChars="200"/>
        <w:outlineLvl w:val="0"/>
        <w:rPr>
          <w:rFonts w:ascii="仿宋" w:hAnsi="仿宋" w:eastAsia="仿宋" w:cs="仿宋"/>
          <w:b/>
          <w:color w:val="auto"/>
          <w:sz w:val="24"/>
          <w:highlight w:val="none"/>
        </w:rPr>
      </w:pPr>
      <w:r>
        <w:rPr>
          <w:rFonts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14:paraId="602D4A0D">
      <w:pPr>
        <w:pStyle w:val="958"/>
        <w:shd w:val="clear"/>
        <w:spacing w:before="0" w:beforeAutospacing="0" w:after="0" w:afterAutospacing="0" w:line="360" w:lineRule="auto"/>
        <w:ind w:firstLine="480"/>
        <w:rPr>
          <w:rFonts w:ascii="仿宋" w:hAnsi="仿宋" w:eastAsia="仿宋" w:cs="仿宋"/>
          <w:color w:val="auto"/>
          <w:highlight w:val="none"/>
        </w:rPr>
      </w:pPr>
      <w:r>
        <w:rPr>
          <w:rFonts w:hint="eastAsia" w:ascii="仿宋" w:hAnsi="仿宋" w:eastAsia="仿宋" w:cs="仿宋"/>
          <w:color w:val="auto"/>
          <w:highlight w:val="none"/>
        </w:rPr>
        <w:t>甲方（是</w:t>
      </w:r>
      <w:r>
        <w:rPr>
          <w:rFonts w:ascii="仿宋" w:hAnsi="仿宋" w:eastAsia="仿宋" w:cs="仿宋"/>
          <w:color w:val="auto"/>
          <w:highlight w:val="none"/>
        </w:rPr>
        <w:t>/否）需要支付预付款。若需要支付预付款的，则：</w:t>
      </w:r>
    </w:p>
    <w:p w14:paraId="7F4480C9">
      <w:pPr>
        <w:shd w:val="clear"/>
        <w:spacing w:line="56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2B8D9852">
      <w:pPr>
        <w:pStyle w:val="958"/>
        <w:shd w:val="clear"/>
        <w:spacing w:before="0" w:beforeAutospacing="0" w:after="0" w:afterAutospacing="0" w:line="360" w:lineRule="auto"/>
        <w:ind w:firstLine="480"/>
        <w:rPr>
          <w:rFonts w:ascii="仿宋" w:hAnsi="仿宋" w:eastAsia="仿宋" w:cs="仿宋"/>
          <w:color w:val="auto"/>
          <w:highlight w:val="none"/>
        </w:rPr>
      </w:pPr>
      <w:r>
        <w:rPr>
          <w:rFonts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3B1EBF17">
      <w:pPr>
        <w:pStyle w:val="958"/>
        <w:shd w:val="clear"/>
        <w:spacing w:before="0" w:beforeAutospacing="0" w:after="0" w:afterAutospacing="0" w:line="360" w:lineRule="auto"/>
        <w:ind w:firstLine="480"/>
        <w:rPr>
          <w:rFonts w:ascii="仿宋" w:hAnsi="仿宋" w:eastAsia="仿宋" w:cs="仿宋"/>
          <w:color w:val="auto"/>
          <w:highlight w:val="none"/>
          <w:u w:val="single"/>
        </w:rPr>
      </w:pPr>
      <w:r>
        <w:rPr>
          <w:rFonts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6812D031">
      <w:pPr>
        <w:pStyle w:val="958"/>
        <w:shd w:val="clear"/>
        <w:spacing w:before="0" w:beforeAutospacing="0" w:after="0" w:afterAutospacing="0" w:line="360" w:lineRule="auto"/>
        <w:ind w:firstLine="480"/>
        <w:rPr>
          <w:rFonts w:ascii="仿宋" w:hAnsi="仿宋" w:eastAsia="仿宋" w:cs="仿宋"/>
          <w:b/>
          <w:bCs/>
          <w:color w:val="auto"/>
          <w:highlight w:val="none"/>
        </w:rPr>
      </w:pPr>
      <w:r>
        <w:rPr>
          <w:rFonts w:ascii="仿宋" w:hAnsi="仿宋" w:eastAsia="仿宋" w:cs="仿宋"/>
          <w:b/>
          <w:bCs/>
          <w:color w:val="auto"/>
          <w:highlight w:val="none"/>
        </w:rPr>
        <w:t>1.6资金支付</w:t>
      </w:r>
    </w:p>
    <w:p w14:paraId="2BA483F4">
      <w:pPr>
        <w:pStyle w:val="958"/>
        <w:shd w:val="clear"/>
        <w:spacing w:before="0" w:beforeAutospacing="0" w:after="0" w:afterAutospacing="0" w:line="360" w:lineRule="auto"/>
        <w:ind w:firstLine="480"/>
        <w:rPr>
          <w:rFonts w:ascii="仿宋" w:hAnsi="仿宋" w:eastAsia="仿宋" w:cs="仿宋"/>
          <w:color w:val="auto"/>
          <w:highlight w:val="none"/>
        </w:rPr>
      </w:pPr>
      <w:r>
        <w:rPr>
          <w:rFonts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70770BA">
      <w:pPr>
        <w:shd w:val="clear"/>
        <w:spacing w:line="560" w:lineRule="exact"/>
        <w:ind w:firstLine="480" w:firstLineChars="200"/>
        <w:outlineLvl w:val="0"/>
        <w:rPr>
          <w:rFonts w:ascii="仿宋" w:hAnsi="仿宋" w:eastAsia="仿宋" w:cs="仿宋"/>
          <w:color w:val="auto"/>
          <w:sz w:val="24"/>
          <w:highlight w:val="none"/>
        </w:rPr>
      </w:pPr>
      <w:r>
        <w:rPr>
          <w:rFonts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B62873">
      <w:pPr>
        <w:shd w:val="clear"/>
        <w:spacing w:line="560" w:lineRule="exact"/>
        <w:ind w:firstLine="482" w:firstLineChars="200"/>
        <w:outlineLvl w:val="0"/>
        <w:rPr>
          <w:rFonts w:ascii="仿宋" w:hAnsi="仿宋" w:eastAsia="仿宋" w:cs="仿宋"/>
          <w:b/>
          <w:color w:val="auto"/>
          <w:sz w:val="24"/>
          <w:highlight w:val="none"/>
        </w:rPr>
      </w:pPr>
      <w:bookmarkStart w:id="56" w:name="_Toc32071"/>
      <w:bookmarkStart w:id="57" w:name="_Toc2846"/>
      <w:bookmarkStart w:id="58" w:name="_Toc19304"/>
      <w:r>
        <w:rPr>
          <w:rFonts w:ascii="仿宋" w:hAnsi="仿宋" w:eastAsia="仿宋" w:cs="仿宋"/>
          <w:b/>
          <w:color w:val="auto"/>
          <w:sz w:val="24"/>
          <w:highlight w:val="none"/>
        </w:rPr>
        <w:t>1.7货物交付期限、地点和方式</w:t>
      </w:r>
      <w:bookmarkEnd w:id="56"/>
      <w:bookmarkEnd w:id="57"/>
      <w:bookmarkEnd w:id="58"/>
    </w:p>
    <w:p w14:paraId="55A1170D">
      <w:pPr>
        <w:shd w:val="clear"/>
        <w:spacing w:line="560" w:lineRule="exact"/>
        <w:ind w:firstLine="480" w:firstLineChars="200"/>
        <w:rPr>
          <w:rFonts w:ascii="仿宋" w:hAnsi="仿宋" w:eastAsia="仿宋" w:cs="仿宋"/>
          <w:color w:val="auto"/>
          <w:sz w:val="24"/>
          <w:highlight w:val="none"/>
          <w:u w:val="single"/>
        </w:rPr>
      </w:pPr>
      <w:r>
        <w:rPr>
          <w:rFonts w:ascii="仿宋" w:hAnsi="仿宋" w:eastAsia="仿宋" w:cs="仿宋"/>
          <w:color w:val="auto"/>
          <w:sz w:val="24"/>
          <w:highlight w:val="none"/>
        </w:rPr>
        <w:t xml:space="preserve">1.7.1 </w:t>
      </w:r>
      <w:r>
        <w:rPr>
          <w:rFonts w:hint="eastAsia" w:ascii="仿宋" w:hAnsi="仿宋" w:eastAsia="仿宋" w:cs="仿宋"/>
          <w:color w:val="auto"/>
          <w:sz w:val="24"/>
          <w:highlight w:val="none"/>
        </w:rPr>
        <w:t>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E6C982A">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1.7.2 </w:t>
      </w:r>
      <w:r>
        <w:rPr>
          <w:rFonts w:hint="eastAsia" w:ascii="仿宋" w:hAnsi="仿宋" w:eastAsia="仿宋" w:cs="仿宋"/>
          <w:color w:val="auto"/>
          <w:sz w:val="24"/>
          <w:highlight w:val="none"/>
        </w:rPr>
        <w:t>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BE053D">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1.7.3 </w:t>
      </w:r>
      <w:r>
        <w:rPr>
          <w:rFonts w:hint="eastAsia" w:ascii="仿宋" w:hAnsi="仿宋" w:eastAsia="仿宋" w:cs="仿宋"/>
          <w:color w:val="auto"/>
          <w:sz w:val="24"/>
          <w:highlight w:val="none"/>
        </w:rPr>
        <w:t>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13F007D">
      <w:pPr>
        <w:shd w:val="clear"/>
        <w:spacing w:line="560" w:lineRule="exact"/>
        <w:ind w:firstLine="482" w:firstLineChars="200"/>
        <w:outlineLvl w:val="0"/>
        <w:rPr>
          <w:rFonts w:ascii="仿宋" w:hAnsi="仿宋" w:eastAsia="仿宋" w:cs="仿宋"/>
          <w:b/>
          <w:color w:val="auto"/>
          <w:sz w:val="24"/>
          <w:highlight w:val="none"/>
        </w:rPr>
      </w:pPr>
      <w:bookmarkStart w:id="59" w:name="_Toc21423"/>
      <w:bookmarkStart w:id="60" w:name="_Toc27250"/>
      <w:bookmarkStart w:id="61" w:name="_Toc19554"/>
      <w:r>
        <w:rPr>
          <w:rFonts w:ascii="仿宋" w:hAnsi="仿宋" w:eastAsia="仿宋" w:cs="仿宋"/>
          <w:b/>
          <w:color w:val="auto"/>
          <w:sz w:val="24"/>
          <w:highlight w:val="none"/>
        </w:rPr>
        <w:t>1.8违约责任</w:t>
      </w:r>
      <w:bookmarkEnd w:id="59"/>
      <w:bookmarkEnd w:id="60"/>
      <w:bookmarkEnd w:id="61"/>
    </w:p>
    <w:p w14:paraId="0EE4811C">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1.8.1 </w:t>
      </w:r>
      <w:r>
        <w:rPr>
          <w:rFonts w:hint="eastAsia" w:ascii="仿宋" w:hAnsi="仿宋" w:eastAsia="仿宋" w:cs="仿宋"/>
          <w:color w:val="auto"/>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s="仿宋"/>
          <w:color w:val="auto"/>
          <w:sz w:val="24"/>
          <w:highlight w:val="none"/>
        </w:rPr>
        <w:t>%计算，最高限额为本合同总价的%；迟延交付货物的违约金计算数额达到前述最高限额之日起，甲方有权在要求乙方支付违约金的同时，书面通知乙方解除本合同；</w:t>
      </w:r>
    </w:p>
    <w:p w14:paraId="5F9849DF">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1.8.2 </w:t>
      </w:r>
      <w:r>
        <w:rPr>
          <w:rFonts w:hint="eastAsia" w:ascii="仿宋" w:hAnsi="仿宋" w:eastAsia="仿宋" w:cs="仿宋"/>
          <w:color w:val="auto"/>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s="仿宋"/>
          <w:color w:val="auto"/>
          <w:sz w:val="24"/>
          <w:highlight w:val="none"/>
        </w:rPr>
        <w:t>%计算，最高限额为本合同总价的%；迟延付款的违约金计算数额达到前述最高限额之日起，乙方有权在要求甲方支付违约金的同时，书面通知甲方解除本合同；</w:t>
      </w:r>
    </w:p>
    <w:p w14:paraId="33C30317">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1.8.3 </w:t>
      </w:r>
      <w:r>
        <w:rPr>
          <w:rFonts w:hint="eastAsia" w:ascii="仿宋" w:hAnsi="仿宋" w:eastAsia="仿宋" w:cs="仿宋"/>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41952E">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1.8.4 </w:t>
      </w:r>
      <w:r>
        <w:rPr>
          <w:rFonts w:hint="eastAsia" w:ascii="仿宋" w:hAnsi="仿宋" w:eastAsia="仿宋" w:cs="仿宋"/>
          <w:color w:val="auto"/>
          <w:sz w:val="24"/>
          <w:highlight w:val="none"/>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9D3F062">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1.8.5如果出现采购监督管理部门在处理投诉事项期间，书面通知甲方暂停采购活动的情形，或者询问或质疑事项可能影响中标或者成交结果的，导致甲方中止履行合同的情形，均不视为甲方违约。</w:t>
      </w:r>
    </w:p>
    <w:p w14:paraId="4010E688">
      <w:pPr>
        <w:shd w:val="clear"/>
        <w:spacing w:line="560" w:lineRule="exact"/>
        <w:ind w:left="-420" w:leftChars="-200" w:right="-420" w:rightChars="-200" w:firstLine="960" w:firstLineChars="400"/>
        <w:rPr>
          <w:rFonts w:ascii="仿宋" w:hAnsi="仿宋" w:eastAsia="仿宋" w:cs="仿宋"/>
          <w:color w:val="auto"/>
          <w:highlight w:val="none"/>
        </w:rPr>
      </w:pPr>
      <w:r>
        <w:rPr>
          <w:rFonts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2F415336">
      <w:pPr>
        <w:shd w:val="clear"/>
        <w:spacing w:line="560" w:lineRule="exact"/>
        <w:ind w:firstLine="482" w:firstLineChars="200"/>
        <w:outlineLvl w:val="0"/>
        <w:rPr>
          <w:rFonts w:ascii="仿宋" w:hAnsi="仿宋" w:eastAsia="仿宋" w:cs="仿宋"/>
          <w:b/>
          <w:color w:val="auto"/>
          <w:sz w:val="24"/>
          <w:highlight w:val="none"/>
        </w:rPr>
      </w:pPr>
      <w:bookmarkStart w:id="62" w:name="_Toc28375"/>
      <w:bookmarkStart w:id="63" w:name="_Toc16021"/>
      <w:bookmarkStart w:id="64" w:name="_Toc15583"/>
      <w:r>
        <w:rPr>
          <w:rFonts w:ascii="仿宋" w:hAnsi="仿宋" w:eastAsia="仿宋" w:cs="仿宋"/>
          <w:b/>
          <w:color w:val="auto"/>
          <w:sz w:val="24"/>
          <w:highlight w:val="none"/>
        </w:rPr>
        <w:t>1.9合同争议的解决</w:t>
      </w:r>
      <w:bookmarkEnd w:id="62"/>
      <w:bookmarkEnd w:id="63"/>
      <w:bookmarkEnd w:id="64"/>
    </w:p>
    <w:p w14:paraId="217EA312">
      <w:pPr>
        <w:shd w:val="clear"/>
        <w:spacing w:line="560" w:lineRule="exact"/>
        <w:ind w:left="-61" w:leftChars="-29" w:right="-420" w:rightChars="-200" w:firstLine="480" w:firstLineChars="200"/>
        <w:rPr>
          <w:rFonts w:hint="eastAsia" w:ascii="仿宋" w:hAnsi="仿宋" w:eastAsia="仿宋" w:cs="仿宋"/>
          <w:color w:val="auto"/>
          <w:sz w:val="24"/>
          <w:highlight w:val="none"/>
          <w:lang w:eastAsia="zh-CN"/>
        </w:rPr>
      </w:pPr>
      <w:bookmarkStart w:id="65" w:name="_Toc11173"/>
      <w:bookmarkStart w:id="66" w:name="_Toc15322"/>
      <w:bookmarkStart w:id="67" w:name="_Toc7245"/>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5EA88C67">
      <w:pPr>
        <w:shd w:val="clear"/>
        <w:spacing w:line="560" w:lineRule="exact"/>
        <w:ind w:firstLine="482" w:firstLineChars="200"/>
        <w:outlineLvl w:val="0"/>
        <w:rPr>
          <w:rFonts w:ascii="仿宋" w:hAnsi="仿宋" w:eastAsia="仿宋" w:cs="仿宋"/>
          <w:b/>
          <w:color w:val="auto"/>
          <w:sz w:val="24"/>
          <w:highlight w:val="none"/>
        </w:rPr>
      </w:pPr>
      <w:r>
        <w:rPr>
          <w:rFonts w:ascii="仿宋" w:hAnsi="仿宋" w:eastAsia="仿宋" w:cs="仿宋"/>
          <w:b/>
          <w:color w:val="auto"/>
          <w:sz w:val="24"/>
          <w:highlight w:val="none"/>
        </w:rPr>
        <w:t xml:space="preserve">2.0 </w:t>
      </w:r>
      <w:r>
        <w:rPr>
          <w:rFonts w:hint="eastAsia" w:ascii="仿宋" w:hAnsi="仿宋" w:eastAsia="仿宋" w:cs="仿宋"/>
          <w:b/>
          <w:color w:val="auto"/>
          <w:sz w:val="24"/>
          <w:highlight w:val="none"/>
        </w:rPr>
        <w:t>合同生效</w:t>
      </w:r>
      <w:bookmarkEnd w:id="65"/>
      <w:bookmarkEnd w:id="66"/>
      <w:bookmarkEnd w:id="67"/>
    </w:p>
    <w:p w14:paraId="0A7EFF01">
      <w:pPr>
        <w:shd w:val="clear"/>
        <w:spacing w:line="56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A2D9609">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8FBC27">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统一社会信用代码：统一社会信用代码或身份证号码：</w:t>
      </w:r>
    </w:p>
    <w:p w14:paraId="08CEDEF6">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住所：住所：</w:t>
      </w:r>
    </w:p>
    <w:p w14:paraId="481ABA0C">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法定代表人或法定代表人</w:t>
      </w:r>
    </w:p>
    <w:p w14:paraId="1AC604EF">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授权代表（签字）：</w:t>
      </w:r>
      <w:r>
        <w:rPr>
          <w:rFonts w:ascii="仿宋" w:hAnsi="仿宋" w:eastAsia="仿宋" w:cs="仿宋"/>
          <w:color w:val="auto"/>
          <w:sz w:val="24"/>
          <w:highlight w:val="none"/>
          <w:lang w:val="zh-CN"/>
        </w:rPr>
        <w:t xml:space="preserve">                        或授权代表（签字）: </w:t>
      </w:r>
    </w:p>
    <w:p w14:paraId="40290A87">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联系人：联系人：</w:t>
      </w:r>
    </w:p>
    <w:p w14:paraId="0A050070">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约定送达地址：约定送达地址：</w:t>
      </w:r>
    </w:p>
    <w:p w14:paraId="34ECB3E8">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邮政编码：邮政编码：</w:t>
      </w:r>
    </w:p>
    <w:p w14:paraId="7FD03A45">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电话</w:t>
      </w:r>
      <w:r>
        <w:rPr>
          <w:rFonts w:ascii="仿宋" w:hAnsi="仿宋" w:eastAsia="仿宋" w:cs="仿宋"/>
          <w:color w:val="auto"/>
          <w:sz w:val="24"/>
          <w:highlight w:val="none"/>
          <w:lang w:val="zh-CN"/>
        </w:rPr>
        <w:t xml:space="preserve">:                                    电话: </w:t>
      </w:r>
    </w:p>
    <w:p w14:paraId="3BC21EB6">
      <w:pPr>
        <w:shd w:val="clea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w:t>
      </w:r>
      <w:r>
        <w:rPr>
          <w:rFonts w:ascii="仿宋" w:hAnsi="仿宋" w:eastAsia="仿宋" w:cs="仿宋"/>
          <w:color w:val="auto"/>
          <w:sz w:val="24"/>
          <w:highlight w:val="none"/>
          <w:lang w:val="zh-CN"/>
        </w:rPr>
        <w:t xml:space="preserve">:                                    </w:t>
      </w:r>
      <w:r>
        <w:rPr>
          <w:rFonts w:hint="eastAsia" w:ascii="仿宋" w:hAnsi="仿宋" w:eastAsia="仿宋" w:cs="仿宋"/>
          <w:color w:val="auto"/>
          <w:sz w:val="24"/>
          <w:highlight w:val="none"/>
          <w:lang w:val="zh-CN"/>
        </w:rPr>
        <w:t>传真</w:t>
      </w:r>
      <w:r>
        <w:rPr>
          <w:rFonts w:ascii="仿宋" w:hAnsi="仿宋" w:eastAsia="仿宋" w:cs="仿宋"/>
          <w:color w:val="auto"/>
          <w:sz w:val="24"/>
          <w:highlight w:val="none"/>
          <w:lang w:val="zh-CN"/>
        </w:rPr>
        <w:t>:</w:t>
      </w:r>
    </w:p>
    <w:p w14:paraId="17F362B9">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电子邮箱：电子邮箱：</w:t>
      </w:r>
    </w:p>
    <w:p w14:paraId="428E8D5B">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ascii="仿宋" w:hAnsi="仿宋" w:eastAsia="仿宋" w:cs="仿宋"/>
          <w:color w:val="auto"/>
          <w:sz w:val="24"/>
          <w:highlight w:val="none"/>
        </w:rPr>
        <w:t xml:space="preserve">                               开户银行： </w:t>
      </w:r>
    </w:p>
    <w:p w14:paraId="5BDC1A1B">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开户名称：</w:t>
      </w:r>
      <w:r>
        <w:rPr>
          <w:rFonts w:ascii="仿宋" w:hAnsi="仿宋" w:eastAsia="仿宋" w:cs="仿宋"/>
          <w:color w:val="auto"/>
          <w:sz w:val="24"/>
          <w:highlight w:val="none"/>
        </w:rPr>
        <w:t xml:space="preserve">                               开户名称： </w:t>
      </w:r>
    </w:p>
    <w:p w14:paraId="798E15F6">
      <w:pPr>
        <w:shd w:val="clea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16D89D45">
      <w:pPr>
        <w:pStyle w:val="701"/>
        <w:shd w:val="clear"/>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第二部分合同一般条款</w:t>
      </w:r>
    </w:p>
    <w:p w14:paraId="5B45F692">
      <w:pPr>
        <w:shd w:val="clear"/>
        <w:spacing w:line="560" w:lineRule="exact"/>
        <w:ind w:firstLine="482" w:firstLineChars="200"/>
        <w:outlineLvl w:val="0"/>
        <w:rPr>
          <w:rFonts w:ascii="仿宋" w:hAnsi="仿宋" w:eastAsia="仿宋" w:cs="仿宋"/>
          <w:b/>
          <w:color w:val="auto"/>
          <w:sz w:val="24"/>
          <w:highlight w:val="none"/>
        </w:rPr>
      </w:pPr>
      <w:bookmarkStart w:id="68" w:name="_Ref467378499"/>
      <w:bookmarkStart w:id="69" w:name="_Ref467379094"/>
      <w:bookmarkStart w:id="70" w:name="_Ref467378404"/>
      <w:bookmarkStart w:id="71" w:name="_Ref467379225"/>
      <w:bookmarkStart w:id="72" w:name="_Ref467379101"/>
      <w:bookmarkStart w:id="73" w:name="_Ref467379109"/>
      <w:bookmarkStart w:id="74" w:name="_Toc487900349"/>
      <w:bookmarkStart w:id="75" w:name="_Toc16917"/>
      <w:bookmarkStart w:id="76" w:name="_Ref467379214"/>
      <w:bookmarkStart w:id="77" w:name="_Ref467379195"/>
      <w:bookmarkStart w:id="78" w:name="_Toc19614"/>
      <w:bookmarkStart w:id="79" w:name="_Toc279701240"/>
      <w:bookmarkStart w:id="80" w:name="_Toc28763"/>
      <w:bookmarkStart w:id="81" w:name="_Ref467378463"/>
      <w:bookmarkStart w:id="82" w:name="_Toc259093669"/>
      <w:bookmarkStart w:id="83" w:name="_Ref467379205"/>
      <w:r>
        <w:rPr>
          <w:rFonts w:ascii="仿宋" w:hAnsi="仿宋" w:eastAsia="仿宋" w:cs="仿宋"/>
          <w:b/>
          <w:color w:val="auto"/>
          <w:sz w:val="24"/>
          <w:highlight w:val="none"/>
        </w:rPr>
        <w:t xml:space="preserve">2.1 </w:t>
      </w:r>
      <w:r>
        <w:rPr>
          <w:rFonts w:hint="eastAsia" w:ascii="仿宋" w:hAnsi="仿宋" w:eastAsia="仿宋" w:cs="仿宋"/>
          <w:b/>
          <w:color w:val="auto"/>
          <w:sz w:val="24"/>
          <w:highlight w:val="none"/>
        </w:rPr>
        <w:t>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11F3027">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A83D93E">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2.1.1 </w:t>
      </w:r>
      <w:r>
        <w:rPr>
          <w:rFonts w:hint="eastAsia" w:ascii="仿宋" w:hAnsi="仿宋" w:eastAsia="仿宋" w:cs="仿宋"/>
          <w:color w:val="auto"/>
          <w:sz w:val="24"/>
          <w:highlight w:val="none"/>
        </w:rPr>
        <w:t>“合同”系指采购人和中标或成交供应商签订的载明双方当事人所达成的协议，并包括所有的附件、附录和构成合同的其他文件。</w:t>
      </w:r>
    </w:p>
    <w:p w14:paraId="4C4AAFC0">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2.1.2 </w:t>
      </w:r>
      <w:r>
        <w:rPr>
          <w:rFonts w:hint="eastAsia" w:ascii="仿宋" w:hAnsi="仿宋" w:eastAsia="仿宋" w:cs="仿宋"/>
          <w:color w:val="auto"/>
          <w:sz w:val="24"/>
          <w:highlight w:val="none"/>
        </w:rPr>
        <w:t>“合同价”系指根据合同约定，中标或成交供应商在完全履行合同义务后，采购人应支付给中标或成交供应商的价格。</w:t>
      </w:r>
    </w:p>
    <w:p w14:paraId="1327936D">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2.1.3 </w:t>
      </w:r>
      <w:r>
        <w:rPr>
          <w:rFonts w:hint="eastAsia" w:ascii="仿宋" w:hAnsi="仿宋" w:eastAsia="仿宋" w:cs="仿宋"/>
          <w:color w:val="auto"/>
          <w:sz w:val="24"/>
          <w:highlight w:val="none"/>
        </w:rPr>
        <w:t>“货物”系指中标或成交供应商根据合同约定应向采购人交付的一切各种形态和种类的物品，包括原材料、燃料、设备、机械、仪表、备件、计算机软件、产品等，并包括工具、手册等其他相关资料。</w:t>
      </w:r>
    </w:p>
    <w:p w14:paraId="283A23B9">
      <w:pPr>
        <w:shd w:val="clear"/>
        <w:spacing w:line="560" w:lineRule="exact"/>
        <w:ind w:firstLine="480" w:firstLineChars="200"/>
        <w:rPr>
          <w:rFonts w:ascii="仿宋" w:hAnsi="仿宋" w:eastAsia="仿宋" w:cs="仿宋"/>
          <w:color w:val="auto"/>
          <w:sz w:val="24"/>
          <w:highlight w:val="none"/>
        </w:rPr>
      </w:pPr>
      <w:bookmarkStart w:id="84" w:name="_Ref467378840"/>
      <w:r>
        <w:rPr>
          <w:rFonts w:ascii="仿宋" w:hAnsi="仿宋" w:eastAsia="仿宋" w:cs="仿宋"/>
          <w:color w:val="auto"/>
          <w:sz w:val="24"/>
          <w:highlight w:val="none"/>
        </w:rPr>
        <w:t xml:space="preserve">2.1.4 </w:t>
      </w:r>
      <w:r>
        <w:rPr>
          <w:rFonts w:hint="eastAsia" w:ascii="仿宋" w:hAnsi="仿宋" w:eastAsia="仿宋" w:cs="仿宋"/>
          <w:color w:val="auto"/>
          <w:sz w:val="24"/>
          <w:highlight w:val="none"/>
        </w:rPr>
        <w:t>“甲方”系指与中标或成交供应商签署合同的采购人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14:paraId="2FC3FDBE">
      <w:pPr>
        <w:shd w:val="clear"/>
        <w:spacing w:line="560" w:lineRule="exact"/>
        <w:ind w:firstLine="480" w:firstLineChars="200"/>
        <w:rPr>
          <w:rFonts w:ascii="仿宋" w:hAnsi="仿宋" w:eastAsia="仿宋" w:cs="仿宋"/>
          <w:color w:val="auto"/>
          <w:sz w:val="24"/>
          <w:highlight w:val="none"/>
        </w:rPr>
      </w:pPr>
      <w:bookmarkStart w:id="85" w:name="_Ref467379400"/>
      <w:r>
        <w:rPr>
          <w:rFonts w:ascii="仿宋" w:hAnsi="仿宋" w:eastAsia="仿宋" w:cs="仿宋"/>
          <w:color w:val="auto"/>
          <w:sz w:val="24"/>
          <w:highlight w:val="none"/>
        </w:rPr>
        <w:t xml:space="preserve">2.1.5 </w:t>
      </w:r>
      <w:r>
        <w:rPr>
          <w:rFonts w:hint="eastAsia" w:ascii="仿宋" w:hAnsi="仿宋" w:eastAsia="仿宋" w:cs="仿宋"/>
          <w:color w:val="auto"/>
          <w:sz w:val="24"/>
          <w:highlight w:val="none"/>
        </w:rPr>
        <w:t>“乙方”系指根据合同约定交付货物的中标或成交供应商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；两个以上的自然人、法人或者其他组织组成一个联合体，以一个供应商的身份共同参加采购的，联合体各方均应为乙方或者与乙方相同地位的合同当事人，并就合同约定的事项对甲方承担连带责任。</w:t>
      </w:r>
    </w:p>
    <w:p w14:paraId="74F43E87">
      <w:pPr>
        <w:shd w:val="clear"/>
        <w:spacing w:line="560" w:lineRule="exact"/>
        <w:ind w:firstLine="480" w:firstLineChars="200"/>
        <w:rPr>
          <w:rFonts w:ascii="仿宋" w:hAnsi="仿宋" w:eastAsia="仿宋" w:cs="仿宋"/>
          <w:color w:val="auto"/>
          <w:sz w:val="24"/>
          <w:highlight w:val="none"/>
        </w:rPr>
      </w:pPr>
      <w:bookmarkStart w:id="86" w:name="_Ref467379436"/>
      <w:r>
        <w:rPr>
          <w:rFonts w:ascii="仿宋" w:hAnsi="仿宋" w:eastAsia="仿宋" w:cs="仿宋"/>
          <w:color w:val="auto"/>
          <w:sz w:val="24"/>
          <w:highlight w:val="none"/>
        </w:rPr>
        <w:t xml:space="preserve">2.1.6 </w:t>
      </w:r>
      <w:r>
        <w:rPr>
          <w:rFonts w:hint="eastAsia" w:ascii="仿宋" w:hAnsi="仿宋" w:eastAsia="仿宋" w:cs="仿宋"/>
          <w:color w:val="auto"/>
          <w:sz w:val="24"/>
          <w:highlight w:val="none"/>
        </w:rPr>
        <w:t>“现场”系指合同约定货物将要运至或者安装的地点。</w:t>
      </w:r>
      <w:bookmarkEnd w:id="86"/>
    </w:p>
    <w:p w14:paraId="6F2BFE01">
      <w:pPr>
        <w:shd w:val="clear"/>
        <w:spacing w:line="560" w:lineRule="exact"/>
        <w:ind w:firstLine="482" w:firstLineChars="200"/>
        <w:outlineLvl w:val="0"/>
        <w:rPr>
          <w:rFonts w:ascii="仿宋" w:hAnsi="仿宋" w:eastAsia="仿宋" w:cs="仿宋"/>
          <w:b/>
          <w:color w:val="auto"/>
          <w:sz w:val="24"/>
          <w:highlight w:val="none"/>
        </w:rPr>
      </w:pPr>
      <w:bookmarkStart w:id="87" w:name="_Toc27635"/>
      <w:bookmarkStart w:id="88" w:name="_Toc487900350"/>
      <w:bookmarkStart w:id="89" w:name="_Toc259093670"/>
      <w:bookmarkStart w:id="90" w:name="_Toc13336"/>
      <w:bookmarkStart w:id="91" w:name="_Toc279701241"/>
      <w:bookmarkStart w:id="92" w:name="_Toc32504"/>
      <w:r>
        <w:rPr>
          <w:rFonts w:ascii="仿宋" w:hAnsi="仿宋" w:eastAsia="仿宋" w:cs="仿宋"/>
          <w:b/>
          <w:color w:val="auto"/>
          <w:sz w:val="24"/>
          <w:highlight w:val="none"/>
        </w:rPr>
        <w:t xml:space="preserve">2.2 </w:t>
      </w:r>
      <w:r>
        <w:rPr>
          <w:rFonts w:hint="eastAsia" w:ascii="仿宋" w:hAnsi="仿宋" w:eastAsia="仿宋" w:cs="仿宋"/>
          <w:b/>
          <w:color w:val="auto"/>
          <w:sz w:val="24"/>
          <w:highlight w:val="none"/>
        </w:rPr>
        <w:t>技术规范</w:t>
      </w:r>
      <w:bookmarkEnd w:id="87"/>
      <w:bookmarkEnd w:id="88"/>
      <w:bookmarkEnd w:id="89"/>
      <w:bookmarkEnd w:id="90"/>
      <w:bookmarkEnd w:id="91"/>
      <w:bookmarkEnd w:id="92"/>
    </w:p>
    <w:p w14:paraId="4D195451">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w:t>
      </w:r>
      <w:r>
        <w:rPr>
          <w:rFonts w:ascii="仿宋" w:hAnsi="仿宋" w:eastAsia="仿宋" w:cs="仿宋"/>
          <w:color w:val="auto"/>
          <w:sz w:val="24"/>
          <w:highlight w:val="none"/>
        </w:rPr>
        <w:t>(如果有的话)及其技术规范偏差表(如果被甲方接受的话)相一致；如果采购文件中没有技术规范的相应说明，那么应以国家有关部门最新颁布的相应标准和规范为准。</w:t>
      </w:r>
    </w:p>
    <w:p w14:paraId="0451E762">
      <w:pPr>
        <w:shd w:val="clear"/>
        <w:spacing w:line="560" w:lineRule="exact"/>
        <w:ind w:firstLine="482" w:firstLineChars="200"/>
        <w:outlineLvl w:val="0"/>
        <w:rPr>
          <w:rFonts w:ascii="仿宋" w:hAnsi="仿宋" w:eastAsia="仿宋" w:cs="仿宋"/>
          <w:b/>
          <w:color w:val="auto"/>
          <w:sz w:val="24"/>
          <w:highlight w:val="none"/>
        </w:rPr>
      </w:pPr>
      <w:bookmarkStart w:id="93" w:name="_Toc487900351"/>
      <w:bookmarkStart w:id="94" w:name="_Toc279701242"/>
      <w:bookmarkStart w:id="95" w:name="_Toc9829"/>
      <w:bookmarkStart w:id="96" w:name="_Toc27853"/>
      <w:bookmarkStart w:id="97" w:name="_Toc259093671"/>
      <w:bookmarkStart w:id="98" w:name="_Toc31634"/>
      <w:r>
        <w:rPr>
          <w:rFonts w:ascii="仿宋" w:hAnsi="仿宋" w:eastAsia="仿宋" w:cs="仿宋"/>
          <w:b/>
          <w:color w:val="auto"/>
          <w:sz w:val="24"/>
          <w:highlight w:val="none"/>
        </w:rPr>
        <w:t xml:space="preserve">2.3 </w:t>
      </w:r>
      <w:r>
        <w:rPr>
          <w:rFonts w:hint="eastAsia" w:ascii="仿宋" w:hAnsi="仿宋" w:eastAsia="仿宋" w:cs="仿宋"/>
          <w:b/>
          <w:color w:val="auto"/>
          <w:sz w:val="24"/>
          <w:highlight w:val="none"/>
        </w:rPr>
        <w:t>知识产权</w:t>
      </w:r>
      <w:bookmarkEnd w:id="93"/>
      <w:bookmarkEnd w:id="94"/>
      <w:bookmarkEnd w:id="95"/>
      <w:bookmarkEnd w:id="96"/>
      <w:bookmarkEnd w:id="97"/>
      <w:bookmarkEnd w:id="98"/>
    </w:p>
    <w:p w14:paraId="33A34BBC">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2.3.1 </w:t>
      </w:r>
      <w:r>
        <w:rPr>
          <w:rFonts w:hint="eastAsia" w:ascii="仿宋" w:hAnsi="仿宋" w:eastAsia="仿宋" w:cs="仿宋"/>
          <w:color w:val="auto"/>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5D996A4">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58F5AE">
      <w:pPr>
        <w:shd w:val="clear"/>
        <w:spacing w:line="560" w:lineRule="exact"/>
        <w:ind w:firstLine="482" w:firstLineChars="200"/>
        <w:outlineLvl w:val="0"/>
        <w:rPr>
          <w:rFonts w:ascii="仿宋" w:hAnsi="仿宋" w:eastAsia="仿宋" w:cs="仿宋"/>
          <w:b/>
          <w:color w:val="auto"/>
          <w:sz w:val="24"/>
          <w:highlight w:val="none"/>
        </w:rPr>
      </w:pPr>
      <w:bookmarkStart w:id="99" w:name="_Toc29149"/>
      <w:bookmarkStart w:id="100" w:name="_Toc4194"/>
      <w:bookmarkStart w:id="101" w:name="_Toc11932"/>
      <w:r>
        <w:rPr>
          <w:rFonts w:ascii="仿宋" w:hAnsi="仿宋" w:eastAsia="仿宋" w:cs="仿宋"/>
          <w:b/>
          <w:color w:val="auto"/>
          <w:sz w:val="24"/>
          <w:highlight w:val="none"/>
        </w:rPr>
        <w:t xml:space="preserve">2.4 </w:t>
      </w:r>
      <w:r>
        <w:rPr>
          <w:rFonts w:hint="eastAsia" w:ascii="仿宋" w:hAnsi="仿宋" w:eastAsia="仿宋" w:cs="仿宋"/>
          <w:b/>
          <w:color w:val="auto"/>
          <w:sz w:val="24"/>
          <w:highlight w:val="none"/>
        </w:rPr>
        <w:t>包装和装运</w:t>
      </w:r>
      <w:bookmarkEnd w:id="99"/>
      <w:bookmarkEnd w:id="100"/>
      <w:bookmarkEnd w:id="101"/>
    </w:p>
    <w:p w14:paraId="27F61D7D">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w:t>
      </w:r>
      <w:r>
        <w:rPr>
          <w:rFonts w:ascii="仿宋" w:hAnsi="仿宋" w:eastAsia="仿宋" w:cs="仿宋"/>
          <w:color w:val="auto"/>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01A64E7">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CC6DE95">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2.4.3 </w:t>
      </w:r>
      <w:r>
        <w:rPr>
          <w:rFonts w:hint="eastAsia" w:ascii="仿宋" w:hAnsi="仿宋" w:eastAsia="仿宋" w:cs="仿宋"/>
          <w:color w:val="auto"/>
          <w:sz w:val="24"/>
          <w:highlight w:val="none"/>
        </w:rPr>
        <w:t>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BA765B">
      <w:pPr>
        <w:shd w:val="clear"/>
        <w:spacing w:line="560" w:lineRule="exact"/>
        <w:ind w:firstLine="482" w:firstLineChars="200"/>
        <w:outlineLvl w:val="0"/>
        <w:rPr>
          <w:rFonts w:ascii="仿宋" w:hAnsi="仿宋" w:eastAsia="仿宋" w:cs="仿宋"/>
          <w:b/>
          <w:color w:val="auto"/>
          <w:sz w:val="24"/>
          <w:highlight w:val="none"/>
        </w:rPr>
      </w:pPr>
      <w:bookmarkStart w:id="102" w:name="_Ref467379536"/>
      <w:bookmarkStart w:id="103" w:name="_Ref467378591"/>
      <w:bookmarkStart w:id="104" w:name="_Ref467378541"/>
      <w:bookmarkStart w:id="105" w:name="_Toc487900354"/>
      <w:bookmarkStart w:id="106" w:name="_Ref467379542"/>
      <w:bookmarkStart w:id="107" w:name="_Toc259093674"/>
      <w:bookmarkStart w:id="108" w:name="_Toc279701245"/>
      <w:bookmarkStart w:id="109" w:name="_Ref467379527"/>
      <w:bookmarkStart w:id="110" w:name="_Toc19074"/>
      <w:bookmarkStart w:id="111" w:name="_Toc30272"/>
      <w:bookmarkStart w:id="112" w:name="_Toc26182"/>
      <w:r>
        <w:rPr>
          <w:rFonts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ascii="仿宋" w:hAnsi="仿宋" w:eastAsia="仿宋" w:cs="仿宋"/>
          <w:b/>
          <w:color w:val="auto"/>
          <w:sz w:val="24"/>
          <w:highlight w:val="none"/>
        </w:rPr>
        <w:t xml:space="preserve">5 </w:t>
      </w:r>
      <w:r>
        <w:rPr>
          <w:rFonts w:hint="eastAsia" w:ascii="仿宋" w:hAnsi="仿宋" w:eastAsia="仿宋" w:cs="仿宋"/>
          <w:b/>
          <w:color w:val="auto"/>
          <w:sz w:val="24"/>
          <w:highlight w:val="none"/>
        </w:rPr>
        <w:t>履约检查和问题反馈</w:t>
      </w:r>
      <w:bookmarkEnd w:id="110"/>
      <w:bookmarkEnd w:id="111"/>
      <w:bookmarkEnd w:id="112"/>
    </w:p>
    <w:p w14:paraId="7DB379DE">
      <w:pPr>
        <w:shd w:val="clear"/>
        <w:spacing w:line="560" w:lineRule="exact"/>
        <w:ind w:firstLine="480" w:firstLineChars="200"/>
        <w:rPr>
          <w:rFonts w:ascii="仿宋" w:hAnsi="仿宋" w:eastAsia="仿宋" w:cs="仿宋"/>
          <w:color w:val="auto"/>
          <w:sz w:val="24"/>
          <w:highlight w:val="none"/>
        </w:rPr>
      </w:pPr>
      <w:bookmarkStart w:id="113" w:name="_Ref467379657"/>
      <w:r>
        <w:rPr>
          <w:rFonts w:ascii="仿宋" w:hAnsi="仿宋" w:eastAsia="仿宋" w:cs="仿宋"/>
          <w:color w:val="auto"/>
          <w:sz w:val="24"/>
          <w:highlight w:val="none"/>
        </w:rPr>
        <w:t>2.5.1</w:t>
      </w:r>
      <w:bookmarkEnd w:id="113"/>
      <w:bookmarkStart w:id="114" w:name="_Toc186431854"/>
      <w:bookmarkStart w:id="115" w:name="_Toc259093676"/>
      <w:bookmarkStart w:id="116" w:name="_Toc279701247"/>
      <w:bookmarkStart w:id="117" w:name="_Ref467379793"/>
      <w:bookmarkStart w:id="118" w:name="_Toc487900357"/>
      <w:bookmarkStart w:id="119"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78ACD5B7">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2.5.2 </w:t>
      </w:r>
      <w:r>
        <w:rPr>
          <w:rFonts w:hint="eastAsia" w:ascii="仿宋" w:hAnsi="仿宋" w:eastAsia="仿宋" w:cs="仿宋"/>
          <w:color w:val="auto"/>
          <w:sz w:val="24"/>
          <w:highlight w:val="none"/>
        </w:rPr>
        <w:t>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14:paraId="05415C7A">
      <w:pPr>
        <w:shd w:val="clear"/>
        <w:spacing w:line="560" w:lineRule="exact"/>
        <w:ind w:firstLine="482" w:firstLineChars="200"/>
        <w:outlineLvl w:val="0"/>
        <w:rPr>
          <w:rFonts w:ascii="仿宋" w:hAnsi="仿宋" w:eastAsia="仿宋" w:cs="仿宋"/>
          <w:b/>
          <w:color w:val="auto"/>
          <w:sz w:val="24"/>
          <w:highlight w:val="none"/>
        </w:rPr>
      </w:pPr>
      <w:bookmarkStart w:id="121" w:name="_Toc487900358"/>
      <w:bookmarkStart w:id="122" w:name="_Ref467379923"/>
      <w:bookmarkStart w:id="123" w:name="_Toc279701248"/>
      <w:bookmarkStart w:id="124" w:name="_Toc259093677"/>
      <w:bookmarkStart w:id="125" w:name="_Ref467379863"/>
      <w:bookmarkStart w:id="126" w:name="_Ref467379852"/>
      <w:bookmarkStart w:id="127" w:name="_Toc16110"/>
      <w:bookmarkStart w:id="128" w:name="_Toc3225"/>
      <w:bookmarkStart w:id="129" w:name="_Toc774"/>
      <w:r>
        <w:rPr>
          <w:rFonts w:ascii="仿宋" w:hAnsi="仿宋" w:eastAsia="仿宋" w:cs="仿宋"/>
          <w:b/>
          <w:color w:val="auto"/>
          <w:sz w:val="24"/>
          <w:highlight w:val="none"/>
        </w:rPr>
        <w:t xml:space="preserve">2.6 </w:t>
      </w:r>
      <w:r>
        <w:rPr>
          <w:rFonts w:hint="eastAsia" w:ascii="仿宋" w:hAnsi="仿宋" w:eastAsia="仿宋" w:cs="仿宋"/>
          <w:b/>
          <w:color w:val="auto"/>
          <w:sz w:val="24"/>
          <w:highlight w:val="none"/>
        </w:rPr>
        <w:t>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14:paraId="157CD235">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2.6.1 </w:t>
      </w:r>
      <w:r>
        <w:rPr>
          <w:rFonts w:hint="eastAsia" w:ascii="仿宋" w:hAnsi="仿宋" w:eastAsia="仿宋" w:cs="仿宋"/>
          <w:color w:val="auto"/>
          <w:sz w:val="24"/>
          <w:highlight w:val="none"/>
        </w:rPr>
        <w:t>乙方有权依据合同约定和项目需要，向甲方了解有关情况，调阅有关资料等，甲方应予积极配合；</w:t>
      </w:r>
    </w:p>
    <w:p w14:paraId="50F7338D">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2.6.2 </w:t>
      </w:r>
      <w:r>
        <w:rPr>
          <w:rFonts w:hint="eastAsia" w:ascii="仿宋" w:hAnsi="仿宋" w:eastAsia="仿宋" w:cs="仿宋"/>
          <w:color w:val="auto"/>
          <w:sz w:val="24"/>
          <w:highlight w:val="none"/>
        </w:rPr>
        <w:t>乙方有义务妥善保管和保护由甲方提供的前款信息和资料等；</w:t>
      </w:r>
    </w:p>
    <w:p w14:paraId="36FC35A9">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2.6.3 </w:t>
      </w:r>
      <w:r>
        <w:rPr>
          <w:rFonts w:hint="eastAsia" w:ascii="仿宋" w:hAnsi="仿宋" w:eastAsia="仿宋" w:cs="仿宋"/>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BF88AD4">
      <w:pPr>
        <w:shd w:val="clear"/>
        <w:spacing w:line="560" w:lineRule="exact"/>
        <w:ind w:firstLine="482" w:firstLineChars="200"/>
        <w:outlineLvl w:val="0"/>
        <w:rPr>
          <w:rFonts w:ascii="仿宋" w:hAnsi="仿宋" w:eastAsia="仿宋" w:cs="仿宋"/>
          <w:b/>
          <w:color w:val="auto"/>
          <w:sz w:val="24"/>
          <w:highlight w:val="none"/>
        </w:rPr>
      </w:pPr>
      <w:bookmarkStart w:id="130" w:name="_Toc7860"/>
      <w:r>
        <w:rPr>
          <w:rFonts w:ascii="仿宋" w:hAnsi="仿宋" w:eastAsia="仿宋" w:cs="仿宋"/>
          <w:b/>
          <w:color w:val="auto"/>
          <w:sz w:val="24"/>
          <w:highlight w:val="none"/>
        </w:rPr>
        <w:t xml:space="preserve">2.7 </w:t>
      </w:r>
      <w:r>
        <w:rPr>
          <w:rFonts w:hint="eastAsia" w:ascii="仿宋" w:hAnsi="仿宋" w:eastAsia="仿宋" w:cs="仿宋"/>
          <w:b/>
          <w:color w:val="auto"/>
          <w:sz w:val="24"/>
          <w:highlight w:val="none"/>
        </w:rPr>
        <w:t>质量保证</w:t>
      </w:r>
      <w:bookmarkEnd w:id="130"/>
    </w:p>
    <w:p w14:paraId="74804E17">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2.7.1 </w:t>
      </w:r>
      <w:r>
        <w:rPr>
          <w:rFonts w:hint="eastAsia" w:ascii="仿宋" w:hAnsi="仿宋" w:eastAsia="仿宋" w:cs="仿宋"/>
          <w:color w:val="auto"/>
          <w:sz w:val="24"/>
          <w:highlight w:val="none"/>
        </w:rPr>
        <w:t>乙方应建立和完善履行合同的内部质量保证体系，并提供相关内部规章制度给甲方，以便甲方进行监督检查；</w:t>
      </w:r>
    </w:p>
    <w:p w14:paraId="39DED7A4">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2.7.2 </w:t>
      </w:r>
      <w:r>
        <w:rPr>
          <w:rFonts w:hint="eastAsia" w:ascii="仿宋" w:hAnsi="仿宋" w:eastAsia="仿宋" w:cs="仿宋"/>
          <w:color w:val="auto"/>
          <w:sz w:val="24"/>
          <w:highlight w:val="none"/>
        </w:rPr>
        <w:t>乙方应保证履行合同的人员数量和素质、软件和硬件设备的配置、场地、环境和设施等满足全面履行合同的要求，并应接受甲方的监督检查。</w:t>
      </w:r>
    </w:p>
    <w:p w14:paraId="4B3897A5">
      <w:pPr>
        <w:shd w:val="clear"/>
        <w:spacing w:line="560" w:lineRule="exact"/>
        <w:ind w:firstLine="482" w:firstLineChars="200"/>
        <w:outlineLvl w:val="0"/>
        <w:rPr>
          <w:rFonts w:ascii="仿宋" w:hAnsi="仿宋" w:eastAsia="仿宋" w:cs="仿宋"/>
          <w:b/>
          <w:color w:val="auto"/>
          <w:sz w:val="24"/>
          <w:highlight w:val="none"/>
        </w:rPr>
      </w:pPr>
      <w:bookmarkStart w:id="131" w:name="_Toc17244"/>
      <w:bookmarkStart w:id="132" w:name="_Toc259093681"/>
      <w:bookmarkStart w:id="133" w:name="_Toc487900362"/>
      <w:bookmarkStart w:id="134" w:name="_Toc279701252"/>
      <w:r>
        <w:rPr>
          <w:rFonts w:ascii="仿宋" w:hAnsi="仿宋" w:eastAsia="仿宋" w:cs="仿宋"/>
          <w:b/>
          <w:color w:val="auto"/>
          <w:sz w:val="24"/>
          <w:highlight w:val="none"/>
        </w:rPr>
        <w:t xml:space="preserve">2.8 </w:t>
      </w:r>
      <w:r>
        <w:rPr>
          <w:rFonts w:hint="eastAsia" w:ascii="仿宋" w:hAnsi="仿宋" w:eastAsia="仿宋" w:cs="仿宋"/>
          <w:b/>
          <w:color w:val="auto"/>
          <w:sz w:val="24"/>
          <w:highlight w:val="none"/>
        </w:rPr>
        <w:t>货物的风险负担</w:t>
      </w:r>
      <w:bookmarkEnd w:id="131"/>
    </w:p>
    <w:p w14:paraId="4C689887">
      <w:pPr>
        <w:shd w:val="clea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90D9D54">
      <w:pPr>
        <w:shd w:val="clear"/>
        <w:spacing w:line="560" w:lineRule="exact"/>
        <w:ind w:firstLine="482" w:firstLineChars="200"/>
        <w:outlineLvl w:val="0"/>
        <w:rPr>
          <w:rFonts w:ascii="仿宋" w:hAnsi="仿宋" w:eastAsia="仿宋" w:cs="仿宋"/>
          <w:b/>
          <w:color w:val="auto"/>
          <w:sz w:val="24"/>
          <w:highlight w:val="none"/>
        </w:rPr>
      </w:pPr>
      <w:bookmarkStart w:id="135" w:name="_Toc14055"/>
      <w:r>
        <w:rPr>
          <w:rFonts w:ascii="仿宋" w:hAnsi="仿宋" w:eastAsia="仿宋" w:cs="仿宋"/>
          <w:b/>
          <w:color w:val="auto"/>
          <w:sz w:val="24"/>
          <w:highlight w:val="none"/>
        </w:rPr>
        <w:t xml:space="preserve">2.9 </w:t>
      </w:r>
      <w:r>
        <w:rPr>
          <w:rFonts w:hint="eastAsia" w:ascii="仿宋" w:hAnsi="仿宋" w:eastAsia="仿宋" w:cs="仿宋"/>
          <w:b/>
          <w:color w:val="auto"/>
          <w:sz w:val="24"/>
          <w:highlight w:val="none"/>
        </w:rPr>
        <w:t>延迟交货</w:t>
      </w:r>
      <w:bookmarkEnd w:id="132"/>
      <w:bookmarkEnd w:id="133"/>
      <w:bookmarkEnd w:id="134"/>
      <w:bookmarkEnd w:id="135"/>
    </w:p>
    <w:p w14:paraId="31C75969">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B02ACF1">
      <w:pPr>
        <w:shd w:val="clear"/>
        <w:spacing w:line="560" w:lineRule="exact"/>
        <w:ind w:firstLine="482" w:firstLineChars="200"/>
        <w:outlineLvl w:val="0"/>
        <w:rPr>
          <w:rFonts w:ascii="仿宋" w:hAnsi="仿宋" w:eastAsia="仿宋" w:cs="仿宋"/>
          <w:b/>
          <w:color w:val="auto"/>
          <w:sz w:val="24"/>
          <w:highlight w:val="none"/>
        </w:rPr>
      </w:pPr>
      <w:bookmarkStart w:id="136" w:name="_Toc7502"/>
      <w:bookmarkStart w:id="137" w:name="_Toc487900364"/>
      <w:bookmarkStart w:id="138" w:name="_Toc259093683"/>
      <w:bookmarkStart w:id="139" w:name="_Toc279701254"/>
      <w:bookmarkStart w:id="140" w:name="_Ref467378121"/>
      <w:r>
        <w:rPr>
          <w:rFonts w:ascii="仿宋" w:hAnsi="仿宋" w:eastAsia="仿宋" w:cs="仿宋"/>
          <w:b/>
          <w:color w:val="auto"/>
          <w:sz w:val="24"/>
          <w:highlight w:val="none"/>
        </w:rPr>
        <w:t xml:space="preserve">2.10 </w:t>
      </w:r>
      <w:r>
        <w:rPr>
          <w:rFonts w:hint="eastAsia" w:ascii="仿宋" w:hAnsi="仿宋" w:eastAsia="仿宋" w:cs="仿宋"/>
          <w:b/>
          <w:color w:val="auto"/>
          <w:sz w:val="24"/>
          <w:highlight w:val="none"/>
        </w:rPr>
        <w:t>合同变更</w:t>
      </w:r>
      <w:bookmarkEnd w:id="136"/>
    </w:p>
    <w:p w14:paraId="4860FAB4">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487900369"/>
      <w:bookmarkStart w:id="142" w:name="_Toc259093688"/>
      <w:bookmarkStart w:id="143" w:name="_Toc279701259"/>
    </w:p>
    <w:p w14:paraId="0389A0D6">
      <w:pPr>
        <w:shd w:val="clear"/>
        <w:spacing w:line="560" w:lineRule="exact"/>
        <w:ind w:firstLine="482" w:firstLineChars="200"/>
        <w:outlineLvl w:val="0"/>
        <w:rPr>
          <w:rFonts w:ascii="仿宋" w:hAnsi="仿宋" w:eastAsia="仿宋" w:cs="仿宋"/>
          <w:b/>
          <w:color w:val="auto"/>
          <w:sz w:val="24"/>
          <w:highlight w:val="none"/>
        </w:rPr>
      </w:pPr>
      <w:bookmarkStart w:id="144" w:name="_Toc22955"/>
      <w:bookmarkStart w:id="145" w:name="_Toc15237"/>
      <w:bookmarkStart w:id="146" w:name="_Toc10366"/>
      <w:r>
        <w:rPr>
          <w:rFonts w:ascii="仿宋" w:hAnsi="仿宋" w:eastAsia="仿宋" w:cs="仿宋"/>
          <w:b/>
          <w:color w:val="auto"/>
          <w:sz w:val="24"/>
          <w:highlight w:val="none"/>
        </w:rPr>
        <w:t xml:space="preserve">2.11 </w:t>
      </w:r>
      <w:r>
        <w:rPr>
          <w:rFonts w:hint="eastAsia" w:ascii="仿宋" w:hAnsi="仿宋" w:eastAsia="仿宋" w:cs="仿宋"/>
          <w:b/>
          <w:color w:val="auto"/>
          <w:sz w:val="24"/>
          <w:highlight w:val="none"/>
        </w:rPr>
        <w:t>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14:paraId="2FFEB666">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888A0FB">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2.11.2乙方采取分包方式履行合同的，甲方可直接向分包供应商支付款项。</w:t>
      </w:r>
    </w:p>
    <w:p w14:paraId="1B199B0C">
      <w:pPr>
        <w:shd w:val="clear"/>
        <w:spacing w:line="560" w:lineRule="exact"/>
        <w:ind w:firstLine="482" w:firstLineChars="200"/>
        <w:outlineLvl w:val="0"/>
        <w:rPr>
          <w:rFonts w:ascii="仿宋" w:hAnsi="仿宋" w:eastAsia="仿宋" w:cs="仿宋"/>
          <w:b/>
          <w:color w:val="auto"/>
          <w:sz w:val="24"/>
          <w:highlight w:val="none"/>
        </w:rPr>
      </w:pPr>
      <w:bookmarkStart w:id="147" w:name="_Toc14066"/>
      <w:bookmarkStart w:id="148" w:name="_Toc13566"/>
      <w:bookmarkStart w:id="149" w:name="_Toc16508"/>
      <w:r>
        <w:rPr>
          <w:rFonts w:ascii="仿宋" w:hAnsi="仿宋" w:eastAsia="仿宋" w:cs="仿宋"/>
          <w:b/>
          <w:color w:val="auto"/>
          <w:sz w:val="24"/>
          <w:highlight w:val="none"/>
        </w:rPr>
        <w:t xml:space="preserve">2.12 </w:t>
      </w:r>
      <w:r>
        <w:rPr>
          <w:rFonts w:hint="eastAsia" w:ascii="仿宋" w:hAnsi="仿宋" w:eastAsia="仿宋" w:cs="仿宋"/>
          <w:b/>
          <w:color w:val="auto"/>
          <w:sz w:val="24"/>
          <w:highlight w:val="none"/>
        </w:rPr>
        <w:t>不可抗力</w:t>
      </w:r>
      <w:bookmarkEnd w:id="147"/>
      <w:bookmarkEnd w:id="148"/>
      <w:bookmarkEnd w:id="149"/>
    </w:p>
    <w:p w14:paraId="3EC2BF79">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5B68048">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2.12.2 </w:t>
      </w:r>
      <w:r>
        <w:rPr>
          <w:rFonts w:hint="eastAsia" w:ascii="仿宋" w:hAnsi="仿宋" w:eastAsia="仿宋" w:cs="仿宋"/>
          <w:color w:val="auto"/>
          <w:sz w:val="24"/>
          <w:highlight w:val="none"/>
        </w:rPr>
        <w:t>因不可抗力致使不能实现合同目的的，当事人可以解除合同；</w:t>
      </w:r>
    </w:p>
    <w:p w14:paraId="322A528E">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2.12.3 </w:t>
      </w:r>
      <w:r>
        <w:rPr>
          <w:rFonts w:hint="eastAsia" w:ascii="仿宋" w:hAnsi="仿宋" w:eastAsia="仿宋" w:cs="仿宋"/>
          <w:color w:val="auto"/>
          <w:sz w:val="24"/>
          <w:highlight w:val="none"/>
        </w:rPr>
        <w:t>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B2347E4">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6871F6D">
      <w:pPr>
        <w:shd w:val="clear"/>
        <w:spacing w:line="560" w:lineRule="exact"/>
        <w:ind w:firstLine="482" w:firstLineChars="200"/>
        <w:outlineLvl w:val="0"/>
        <w:rPr>
          <w:rFonts w:ascii="仿宋" w:hAnsi="仿宋" w:eastAsia="仿宋" w:cs="仿宋"/>
          <w:b/>
          <w:color w:val="auto"/>
          <w:sz w:val="24"/>
          <w:highlight w:val="none"/>
        </w:rPr>
      </w:pPr>
      <w:bookmarkStart w:id="150" w:name="_Toc279701255"/>
      <w:bookmarkStart w:id="151" w:name="_Toc6969"/>
      <w:bookmarkStart w:id="152" w:name="_Toc487900365"/>
      <w:bookmarkStart w:id="153" w:name="_Toc259093684"/>
      <w:bookmarkStart w:id="154" w:name="_Toc689"/>
      <w:bookmarkStart w:id="155" w:name="_Toc30676"/>
      <w:r>
        <w:rPr>
          <w:rFonts w:ascii="仿宋" w:hAnsi="仿宋" w:eastAsia="仿宋" w:cs="仿宋"/>
          <w:b/>
          <w:color w:val="auto"/>
          <w:sz w:val="24"/>
          <w:highlight w:val="none"/>
        </w:rPr>
        <w:t xml:space="preserve">2.13 </w:t>
      </w:r>
      <w:r>
        <w:rPr>
          <w:rFonts w:hint="eastAsia" w:ascii="仿宋" w:hAnsi="仿宋" w:eastAsia="仿宋" w:cs="仿宋"/>
          <w:b/>
          <w:color w:val="auto"/>
          <w:sz w:val="24"/>
          <w:highlight w:val="none"/>
        </w:rPr>
        <w:t>税费</w:t>
      </w:r>
      <w:bookmarkEnd w:id="150"/>
      <w:bookmarkEnd w:id="151"/>
      <w:bookmarkEnd w:id="152"/>
      <w:bookmarkEnd w:id="153"/>
      <w:bookmarkEnd w:id="154"/>
      <w:bookmarkEnd w:id="155"/>
    </w:p>
    <w:p w14:paraId="179E4D63">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9AD3BDB">
      <w:pPr>
        <w:shd w:val="clear"/>
        <w:spacing w:line="560" w:lineRule="exact"/>
        <w:ind w:firstLine="482" w:firstLineChars="200"/>
        <w:outlineLvl w:val="0"/>
        <w:rPr>
          <w:rFonts w:ascii="仿宋" w:hAnsi="仿宋" w:eastAsia="仿宋" w:cs="仿宋"/>
          <w:b/>
          <w:color w:val="auto"/>
          <w:sz w:val="24"/>
          <w:highlight w:val="none"/>
        </w:rPr>
      </w:pPr>
      <w:bookmarkStart w:id="156" w:name="_Toc7102"/>
      <w:bookmarkStart w:id="157" w:name="_Toc259093687"/>
      <w:bookmarkStart w:id="158" w:name="_Toc8298"/>
      <w:bookmarkStart w:id="159" w:name="_Toc16959"/>
      <w:bookmarkStart w:id="160" w:name="_Toc487900368"/>
      <w:bookmarkStart w:id="161" w:name="_Toc279701258"/>
      <w:r>
        <w:rPr>
          <w:rFonts w:ascii="仿宋" w:hAnsi="仿宋" w:eastAsia="仿宋" w:cs="仿宋"/>
          <w:b/>
          <w:color w:val="auto"/>
          <w:sz w:val="24"/>
          <w:highlight w:val="none"/>
        </w:rPr>
        <w:t>2.14乙方破产</w:t>
      </w:r>
      <w:bookmarkEnd w:id="156"/>
      <w:bookmarkEnd w:id="157"/>
      <w:bookmarkEnd w:id="158"/>
      <w:bookmarkEnd w:id="159"/>
      <w:bookmarkEnd w:id="160"/>
      <w:bookmarkEnd w:id="161"/>
    </w:p>
    <w:p w14:paraId="29330042">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9347260">
      <w:pPr>
        <w:shd w:val="clear"/>
        <w:spacing w:line="560" w:lineRule="exact"/>
        <w:ind w:firstLine="482" w:firstLineChars="200"/>
        <w:outlineLvl w:val="0"/>
        <w:rPr>
          <w:rFonts w:ascii="仿宋" w:hAnsi="仿宋" w:eastAsia="仿宋" w:cs="仿宋"/>
          <w:b/>
          <w:color w:val="auto"/>
          <w:sz w:val="24"/>
          <w:highlight w:val="none"/>
        </w:rPr>
      </w:pPr>
      <w:bookmarkStart w:id="162" w:name="_Toc6134"/>
      <w:bookmarkStart w:id="163" w:name="_Toc15387"/>
      <w:bookmarkStart w:id="164" w:name="_Toc29333"/>
      <w:r>
        <w:rPr>
          <w:rFonts w:ascii="仿宋" w:hAnsi="仿宋" w:eastAsia="仿宋" w:cs="仿宋"/>
          <w:b/>
          <w:color w:val="auto"/>
          <w:sz w:val="24"/>
          <w:highlight w:val="none"/>
        </w:rPr>
        <w:t xml:space="preserve">2.15 </w:t>
      </w:r>
      <w:r>
        <w:rPr>
          <w:rFonts w:hint="eastAsia" w:ascii="仿宋" w:hAnsi="仿宋" w:eastAsia="仿宋" w:cs="仿宋"/>
          <w:b/>
          <w:color w:val="auto"/>
          <w:sz w:val="24"/>
          <w:highlight w:val="none"/>
        </w:rPr>
        <w:t>合同中止、终止</w:t>
      </w:r>
      <w:bookmarkEnd w:id="162"/>
      <w:bookmarkEnd w:id="163"/>
      <w:bookmarkEnd w:id="164"/>
    </w:p>
    <w:p w14:paraId="7344B96B">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2.15.1 </w:t>
      </w:r>
      <w:r>
        <w:rPr>
          <w:rFonts w:hint="eastAsia" w:ascii="仿宋" w:hAnsi="仿宋" w:eastAsia="仿宋" w:cs="仿宋"/>
          <w:color w:val="auto"/>
          <w:sz w:val="24"/>
          <w:highlight w:val="none"/>
        </w:rPr>
        <w:t>双方当事人不得擅自中止或者终止合同；</w:t>
      </w:r>
    </w:p>
    <w:p w14:paraId="15E995F1">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71D86A03">
      <w:pPr>
        <w:shd w:val="clear"/>
        <w:spacing w:line="560" w:lineRule="exact"/>
        <w:ind w:firstLine="482" w:firstLineChars="200"/>
        <w:outlineLvl w:val="0"/>
        <w:rPr>
          <w:rFonts w:ascii="仿宋" w:hAnsi="仿宋" w:eastAsia="仿宋" w:cs="仿宋"/>
          <w:b/>
          <w:color w:val="auto"/>
          <w:sz w:val="24"/>
          <w:highlight w:val="none"/>
        </w:rPr>
      </w:pPr>
      <w:bookmarkStart w:id="165" w:name="_Toc1125"/>
      <w:bookmarkStart w:id="166" w:name="_Toc6596"/>
      <w:bookmarkStart w:id="167" w:name="_Toc14563"/>
      <w:r>
        <w:rPr>
          <w:rFonts w:ascii="仿宋" w:hAnsi="仿宋" w:eastAsia="仿宋" w:cs="仿宋"/>
          <w:b/>
          <w:color w:val="auto"/>
          <w:sz w:val="24"/>
          <w:highlight w:val="none"/>
        </w:rPr>
        <w:t>2.16检验和验收</w:t>
      </w:r>
      <w:bookmarkEnd w:id="165"/>
      <w:bookmarkEnd w:id="166"/>
      <w:bookmarkEnd w:id="167"/>
    </w:p>
    <w:p w14:paraId="4D773FDF">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47A6F1D9">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C828007">
      <w:pPr>
        <w:shd w:val="clea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2.16.3 </w:t>
      </w:r>
      <w:r>
        <w:rPr>
          <w:rFonts w:hint="eastAsia" w:ascii="仿宋" w:hAnsi="仿宋" w:eastAsia="仿宋" w:cs="仿宋"/>
          <w:color w:val="auto"/>
          <w:sz w:val="24"/>
          <w:highlight w:val="none"/>
        </w:rPr>
        <w:t>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14:paraId="04D073D4">
      <w:pPr>
        <w:shd w:val="clear"/>
        <w:spacing w:line="560" w:lineRule="exact"/>
        <w:ind w:firstLine="482" w:firstLineChars="200"/>
        <w:outlineLvl w:val="0"/>
        <w:rPr>
          <w:rFonts w:ascii="仿宋" w:hAnsi="仿宋" w:eastAsia="仿宋" w:cs="仿宋"/>
          <w:b/>
          <w:color w:val="auto"/>
          <w:sz w:val="24"/>
          <w:highlight w:val="none"/>
        </w:rPr>
      </w:pPr>
      <w:bookmarkStart w:id="168" w:name="_Toc259093690"/>
      <w:bookmarkStart w:id="169" w:name="_Toc487900371"/>
      <w:bookmarkStart w:id="170" w:name="_Toc279701261"/>
      <w:bookmarkStart w:id="171" w:name="_Toc19604"/>
      <w:bookmarkStart w:id="172" w:name="_Toc11284"/>
      <w:bookmarkStart w:id="173" w:name="_Toc25182"/>
      <w:r>
        <w:rPr>
          <w:rFonts w:ascii="仿宋" w:hAnsi="仿宋" w:eastAsia="仿宋" w:cs="仿宋"/>
          <w:b/>
          <w:color w:val="auto"/>
          <w:sz w:val="24"/>
          <w:highlight w:val="none"/>
        </w:rPr>
        <w:t xml:space="preserve">2.17 </w:t>
      </w:r>
      <w:r>
        <w:rPr>
          <w:rFonts w:hint="eastAsia" w:ascii="仿宋" w:hAnsi="仿宋" w:eastAsia="仿宋" w:cs="仿宋"/>
          <w:b/>
          <w:color w:val="auto"/>
          <w:sz w:val="24"/>
          <w:highlight w:val="none"/>
        </w:rPr>
        <w:t>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14:paraId="705F5CFB">
      <w:pPr>
        <w:shd w:val="clear"/>
        <w:spacing w:line="560" w:lineRule="exact"/>
        <w:ind w:firstLine="480" w:firstLineChars="200"/>
        <w:rPr>
          <w:rFonts w:ascii="仿宋" w:hAnsi="仿宋" w:eastAsia="仿宋" w:cs="仿宋"/>
          <w:color w:val="auto"/>
          <w:sz w:val="24"/>
          <w:highlight w:val="none"/>
        </w:rPr>
      </w:pPr>
      <w:bookmarkStart w:id="174" w:name="_Toc6698"/>
      <w:bookmarkStart w:id="175" w:name="_Toc3135"/>
      <w:bookmarkStart w:id="176" w:name="_Toc487900372"/>
      <w:bookmarkStart w:id="177" w:name="_Toc279701262"/>
      <w:bookmarkStart w:id="178" w:name="_Toc259093691"/>
      <w:r>
        <w:rPr>
          <w:rFonts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14:paraId="037BD3E1">
      <w:pPr>
        <w:shd w:val="clear"/>
        <w:spacing w:line="560" w:lineRule="exact"/>
        <w:ind w:firstLine="480" w:firstLineChars="200"/>
        <w:rPr>
          <w:rFonts w:ascii="仿宋" w:hAnsi="仿宋" w:eastAsia="仿宋" w:cs="仿宋"/>
          <w:color w:val="auto"/>
          <w:sz w:val="24"/>
          <w:highlight w:val="none"/>
        </w:rPr>
      </w:pPr>
      <w:bookmarkStart w:id="179" w:name="_Toc23128"/>
      <w:bookmarkStart w:id="180" w:name="_Toc23294"/>
      <w:r>
        <w:rPr>
          <w:rFonts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1EAA0EEA">
      <w:pPr>
        <w:shd w:val="clear"/>
        <w:spacing w:line="560" w:lineRule="exact"/>
        <w:ind w:firstLine="482" w:firstLineChars="200"/>
        <w:outlineLvl w:val="0"/>
        <w:rPr>
          <w:rFonts w:ascii="仿宋" w:hAnsi="仿宋" w:eastAsia="仿宋" w:cs="仿宋"/>
          <w:b/>
          <w:color w:val="auto"/>
          <w:sz w:val="24"/>
          <w:highlight w:val="none"/>
        </w:rPr>
      </w:pPr>
      <w:bookmarkStart w:id="181" w:name="_Toc18540"/>
      <w:bookmarkStart w:id="182" w:name="_Toc30599"/>
      <w:bookmarkStart w:id="183" w:name="_Toc4355"/>
      <w:r>
        <w:rPr>
          <w:rFonts w:ascii="仿宋" w:hAnsi="仿宋" w:eastAsia="仿宋" w:cs="仿宋"/>
          <w:b/>
          <w:color w:val="auto"/>
          <w:sz w:val="24"/>
          <w:highlight w:val="none"/>
        </w:rPr>
        <w:t xml:space="preserve">2.18 </w:t>
      </w:r>
      <w:r>
        <w:rPr>
          <w:rFonts w:hint="eastAsia" w:ascii="仿宋" w:hAnsi="仿宋" w:eastAsia="仿宋" w:cs="仿宋"/>
          <w:b/>
          <w:color w:val="auto"/>
          <w:sz w:val="24"/>
          <w:highlight w:val="none"/>
        </w:rPr>
        <w:t>计量单位</w:t>
      </w:r>
      <w:bookmarkEnd w:id="176"/>
      <w:bookmarkEnd w:id="177"/>
      <w:bookmarkEnd w:id="178"/>
      <w:bookmarkEnd w:id="181"/>
      <w:bookmarkEnd w:id="182"/>
      <w:bookmarkEnd w:id="183"/>
    </w:p>
    <w:p w14:paraId="02383417">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w:t>
      </w:r>
      <w:r>
        <w:rPr>
          <w:rFonts w:ascii="仿宋" w:hAnsi="仿宋" w:eastAsia="仿宋" w:cs="仿宋"/>
          <w:color w:val="auto"/>
          <w:sz w:val="24"/>
          <w:highlight w:val="none"/>
        </w:rPr>
        <w:t>,合同的计量单位均使用国家法定计量单位。</w:t>
      </w:r>
    </w:p>
    <w:p w14:paraId="753257A2">
      <w:pPr>
        <w:shd w:val="clear"/>
        <w:spacing w:line="560" w:lineRule="exact"/>
        <w:ind w:firstLine="482" w:firstLineChars="200"/>
        <w:outlineLvl w:val="0"/>
        <w:rPr>
          <w:rFonts w:ascii="仿宋" w:hAnsi="仿宋" w:eastAsia="仿宋" w:cs="仿宋"/>
          <w:b/>
          <w:color w:val="auto"/>
          <w:sz w:val="24"/>
          <w:highlight w:val="none"/>
        </w:rPr>
      </w:pPr>
      <w:bookmarkStart w:id="184" w:name="_Toc487900373"/>
      <w:bookmarkStart w:id="185" w:name="_Toc279701263"/>
      <w:bookmarkStart w:id="186" w:name="_Toc10330"/>
      <w:bookmarkStart w:id="187" w:name="_Toc18567"/>
      <w:bookmarkStart w:id="188" w:name="_Toc12773"/>
      <w:bookmarkStart w:id="189" w:name="_Toc259093692"/>
      <w:r>
        <w:rPr>
          <w:rFonts w:ascii="仿宋" w:hAnsi="仿宋" w:eastAsia="仿宋" w:cs="仿宋"/>
          <w:b/>
          <w:color w:val="auto"/>
          <w:sz w:val="24"/>
          <w:highlight w:val="none"/>
        </w:rPr>
        <w:t xml:space="preserve">2.19 </w:t>
      </w:r>
      <w:r>
        <w:rPr>
          <w:rFonts w:hint="eastAsia" w:ascii="仿宋" w:hAnsi="仿宋" w:eastAsia="仿宋" w:cs="仿宋"/>
          <w:b/>
          <w:color w:val="auto"/>
          <w:sz w:val="24"/>
          <w:highlight w:val="none"/>
        </w:rPr>
        <w:t>合同使用的文字和适用的法律</w:t>
      </w:r>
      <w:bookmarkEnd w:id="184"/>
      <w:bookmarkEnd w:id="185"/>
      <w:bookmarkEnd w:id="186"/>
      <w:bookmarkEnd w:id="187"/>
      <w:bookmarkEnd w:id="188"/>
      <w:bookmarkEnd w:id="189"/>
    </w:p>
    <w:p w14:paraId="69B09EA3">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2.19.1 </w:t>
      </w:r>
      <w:r>
        <w:rPr>
          <w:rFonts w:hint="eastAsia" w:ascii="仿宋" w:hAnsi="仿宋" w:eastAsia="仿宋" w:cs="仿宋"/>
          <w:color w:val="auto"/>
          <w:sz w:val="24"/>
          <w:highlight w:val="none"/>
        </w:rPr>
        <w:t>合同使用汉语书就、变更和解释；</w:t>
      </w:r>
    </w:p>
    <w:p w14:paraId="7BB00962">
      <w:pPr>
        <w:shd w:val="clear"/>
        <w:spacing w:line="56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2.19.2 </w:t>
      </w:r>
      <w:r>
        <w:rPr>
          <w:rFonts w:hint="eastAsia" w:ascii="仿宋" w:hAnsi="仿宋" w:eastAsia="仿宋" w:cs="仿宋"/>
          <w:color w:val="auto"/>
          <w:sz w:val="24"/>
          <w:highlight w:val="none"/>
        </w:rPr>
        <w:t>合同适用中华人民共和国法律。</w:t>
      </w:r>
    </w:p>
    <w:p w14:paraId="1D5CE0BB">
      <w:pPr>
        <w:shd w:val="clear"/>
        <w:spacing w:line="560" w:lineRule="exact"/>
        <w:ind w:firstLine="482" w:firstLineChars="200"/>
        <w:outlineLvl w:val="0"/>
        <w:rPr>
          <w:rFonts w:ascii="仿宋" w:hAnsi="仿宋" w:eastAsia="仿宋" w:cs="仿宋"/>
          <w:b/>
          <w:color w:val="auto"/>
          <w:sz w:val="24"/>
          <w:highlight w:val="none"/>
        </w:rPr>
      </w:pPr>
      <w:bookmarkStart w:id="190" w:name="_Toc19890"/>
      <w:bookmarkStart w:id="191" w:name="_Toc14001"/>
      <w:bookmarkStart w:id="192" w:name="_Toc6885"/>
      <w:r>
        <w:rPr>
          <w:rFonts w:ascii="仿宋" w:hAnsi="仿宋" w:eastAsia="仿宋" w:cs="仿宋"/>
          <w:b/>
          <w:color w:val="auto"/>
          <w:sz w:val="24"/>
          <w:highlight w:val="none"/>
        </w:rPr>
        <w:t xml:space="preserve">2.20 </w:t>
      </w:r>
      <w:r>
        <w:rPr>
          <w:rFonts w:hint="eastAsia" w:ascii="仿宋" w:hAnsi="仿宋" w:eastAsia="仿宋" w:cs="仿宋"/>
          <w:b/>
          <w:color w:val="auto"/>
          <w:sz w:val="24"/>
          <w:highlight w:val="none"/>
        </w:rPr>
        <w:t>合同份数</w:t>
      </w:r>
      <w:bookmarkEnd w:id="190"/>
      <w:bookmarkEnd w:id="191"/>
      <w:bookmarkEnd w:id="192"/>
    </w:p>
    <w:p w14:paraId="7EE2B6E2">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D1CF09B">
      <w:pPr>
        <w:shd w:val="clear"/>
        <w:adjustRightInd/>
        <w:spacing w:line="360" w:lineRule="auto"/>
        <w:ind w:firstLine="480" w:firstLineChars="200"/>
        <w:jc w:val="center"/>
        <w:outlineLvl w:val="0"/>
        <w:rPr>
          <w:rFonts w:ascii="仿宋" w:hAnsi="仿宋" w:eastAsia="仿宋" w:cs="仿宋"/>
          <w:b/>
          <w:color w:val="auto"/>
          <w:highlight w:val="none"/>
        </w:rPr>
      </w:pPr>
      <w:r>
        <w:rPr>
          <w:rFonts w:ascii="仿宋" w:hAnsi="仿宋" w:eastAsia="仿宋" w:cs="仿宋"/>
          <w:color w:val="auto"/>
          <w:sz w:val="24"/>
          <w:highlight w:val="none"/>
        </w:rPr>
        <w:br w:type="page"/>
      </w:r>
      <w:r>
        <w:rPr>
          <w:rFonts w:hint="eastAsia" w:ascii="仿宋" w:hAnsi="仿宋" w:eastAsia="仿宋" w:cs="仿宋"/>
          <w:b/>
          <w:color w:val="auto"/>
          <w:sz w:val="24"/>
          <w:highlight w:val="none"/>
        </w:rPr>
        <w:t>第三部分合同专用条款</w:t>
      </w:r>
    </w:p>
    <w:p w14:paraId="76EA9BF4">
      <w:pPr>
        <w:shd w:val="clea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21"/>
        <w:gridCol w:w="7993"/>
      </w:tblGrid>
      <w:tr w14:paraId="2721A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1021" w:type="dxa"/>
            <w:tcBorders>
              <w:left w:val="single" w:color="auto" w:sz="4" w:space="0"/>
            </w:tcBorders>
            <w:vAlign w:val="center"/>
          </w:tcPr>
          <w:p w14:paraId="14B20331">
            <w:pPr>
              <w:shd w:val="clear"/>
              <w:autoSpaceDE w:val="0"/>
              <w:autoSpaceDN w:val="0"/>
              <w:spacing w:line="440" w:lineRule="exact"/>
              <w:jc w:val="center"/>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条款号</w:t>
            </w:r>
          </w:p>
        </w:tc>
        <w:tc>
          <w:tcPr>
            <w:tcW w:w="7993" w:type="dxa"/>
            <w:vAlign w:val="center"/>
          </w:tcPr>
          <w:p w14:paraId="414ECD86">
            <w:pPr>
              <w:shd w:val="clear"/>
              <w:autoSpaceDE w:val="0"/>
              <w:autoSpaceDN w:val="0"/>
              <w:spacing w:line="440" w:lineRule="exact"/>
              <w:jc w:val="center"/>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约定内容</w:t>
            </w:r>
          </w:p>
        </w:tc>
      </w:tr>
      <w:tr w14:paraId="423E2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389FA2E1">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1.4.2</w:t>
            </w:r>
          </w:p>
        </w:tc>
        <w:tc>
          <w:tcPr>
            <w:tcW w:w="7993" w:type="dxa"/>
            <w:vAlign w:val="center"/>
          </w:tcPr>
          <w:p w14:paraId="29C301F9">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497DF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6BC12AF8">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1.5.1</w:t>
            </w:r>
          </w:p>
        </w:tc>
        <w:tc>
          <w:tcPr>
            <w:tcW w:w="7993" w:type="dxa"/>
            <w:vAlign w:val="center"/>
          </w:tcPr>
          <w:p w14:paraId="5060A883">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76767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7E975A5E">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1.5.2</w:t>
            </w:r>
          </w:p>
        </w:tc>
        <w:tc>
          <w:tcPr>
            <w:tcW w:w="7993" w:type="dxa"/>
            <w:vAlign w:val="center"/>
          </w:tcPr>
          <w:p w14:paraId="5BC8CD1D">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1A55B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4F77C9F5">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1.5.3</w:t>
            </w:r>
          </w:p>
        </w:tc>
        <w:tc>
          <w:tcPr>
            <w:tcW w:w="7993" w:type="dxa"/>
            <w:vAlign w:val="center"/>
          </w:tcPr>
          <w:p w14:paraId="2DC7EDA7">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12921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06EA6E98">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1.6.2</w:t>
            </w:r>
          </w:p>
        </w:tc>
        <w:tc>
          <w:tcPr>
            <w:tcW w:w="7993" w:type="dxa"/>
            <w:vAlign w:val="center"/>
          </w:tcPr>
          <w:p w14:paraId="1CE58BFE">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040D5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408AAADE">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1.7.1</w:t>
            </w:r>
          </w:p>
        </w:tc>
        <w:tc>
          <w:tcPr>
            <w:tcW w:w="7993" w:type="dxa"/>
            <w:vAlign w:val="center"/>
          </w:tcPr>
          <w:p w14:paraId="392B46FD">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02137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33DD7BD1">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1.7.2</w:t>
            </w:r>
          </w:p>
        </w:tc>
        <w:tc>
          <w:tcPr>
            <w:tcW w:w="7993" w:type="dxa"/>
            <w:vAlign w:val="center"/>
          </w:tcPr>
          <w:p w14:paraId="21B0F0B7">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2601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6CDA9816">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1.7.3</w:t>
            </w:r>
          </w:p>
        </w:tc>
        <w:tc>
          <w:tcPr>
            <w:tcW w:w="7993" w:type="dxa"/>
            <w:vAlign w:val="center"/>
          </w:tcPr>
          <w:p w14:paraId="75278274">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3831A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32E6D436">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1.8.6</w:t>
            </w:r>
          </w:p>
        </w:tc>
        <w:tc>
          <w:tcPr>
            <w:tcW w:w="7993" w:type="dxa"/>
            <w:vAlign w:val="center"/>
          </w:tcPr>
          <w:p w14:paraId="004AC7DB">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3316C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0BACE8FC">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2.3.2</w:t>
            </w:r>
          </w:p>
        </w:tc>
        <w:tc>
          <w:tcPr>
            <w:tcW w:w="7993" w:type="dxa"/>
            <w:vAlign w:val="center"/>
          </w:tcPr>
          <w:p w14:paraId="5C1D0C87">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51337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6C5AE942">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2.4.1</w:t>
            </w:r>
          </w:p>
        </w:tc>
        <w:tc>
          <w:tcPr>
            <w:tcW w:w="7993" w:type="dxa"/>
            <w:vAlign w:val="center"/>
          </w:tcPr>
          <w:p w14:paraId="4020612B">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264B7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3932CD2">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2.4.3</w:t>
            </w:r>
          </w:p>
        </w:tc>
        <w:tc>
          <w:tcPr>
            <w:tcW w:w="7993" w:type="dxa"/>
            <w:vAlign w:val="center"/>
          </w:tcPr>
          <w:p w14:paraId="7141F942">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2C7BB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9593251">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2.8</w:t>
            </w:r>
          </w:p>
        </w:tc>
        <w:tc>
          <w:tcPr>
            <w:tcW w:w="7993" w:type="dxa"/>
          </w:tcPr>
          <w:p w14:paraId="7FE46D65">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5AD8C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4A633B29">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2.12.3</w:t>
            </w:r>
          </w:p>
        </w:tc>
        <w:tc>
          <w:tcPr>
            <w:tcW w:w="7993" w:type="dxa"/>
            <w:vAlign w:val="center"/>
          </w:tcPr>
          <w:p w14:paraId="158F753D">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27B4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17E85D89">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2.12.4</w:t>
            </w:r>
          </w:p>
        </w:tc>
        <w:tc>
          <w:tcPr>
            <w:tcW w:w="7993" w:type="dxa"/>
            <w:vAlign w:val="center"/>
          </w:tcPr>
          <w:p w14:paraId="40F5E990">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28A7D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64DD688B">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2.16.1</w:t>
            </w:r>
          </w:p>
        </w:tc>
        <w:tc>
          <w:tcPr>
            <w:tcW w:w="7993" w:type="dxa"/>
            <w:vAlign w:val="center"/>
          </w:tcPr>
          <w:p w14:paraId="22BC1120">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344CE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021" w:type="dxa"/>
            <w:tcBorders>
              <w:left w:val="single" w:color="auto" w:sz="4" w:space="0"/>
            </w:tcBorders>
            <w:vAlign w:val="center"/>
          </w:tcPr>
          <w:p w14:paraId="5B6D1479">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2.16.3</w:t>
            </w:r>
          </w:p>
        </w:tc>
        <w:tc>
          <w:tcPr>
            <w:tcW w:w="7993" w:type="dxa"/>
            <w:vAlign w:val="center"/>
          </w:tcPr>
          <w:p w14:paraId="071BD946">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r w14:paraId="151F9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21" w:type="dxa"/>
            <w:tcBorders>
              <w:left w:val="single" w:color="auto" w:sz="4" w:space="0"/>
            </w:tcBorders>
            <w:vAlign w:val="center"/>
          </w:tcPr>
          <w:p w14:paraId="6DA76FC2">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2.20</w:t>
            </w:r>
          </w:p>
        </w:tc>
        <w:tc>
          <w:tcPr>
            <w:tcW w:w="7993" w:type="dxa"/>
            <w:vAlign w:val="center"/>
          </w:tcPr>
          <w:p w14:paraId="5A52EBB5">
            <w:pPr>
              <w:keepNext/>
              <w:keepLines/>
              <w:shd w:val="clear"/>
              <w:tabs>
                <w:tab w:val="left" w:pos="900"/>
              </w:tabs>
              <w:spacing w:line="440" w:lineRule="exact"/>
              <w:contextualSpacing/>
              <w:jc w:val="center"/>
              <w:textAlignment w:val="center"/>
              <w:rPr>
                <w:rFonts w:ascii="仿宋" w:hAnsi="仿宋" w:eastAsia="仿宋" w:cs="仿宋"/>
                <w:color w:val="auto"/>
                <w:sz w:val="24"/>
                <w:highlight w:val="none"/>
              </w:rPr>
            </w:pPr>
          </w:p>
        </w:tc>
      </w:tr>
    </w:tbl>
    <w:p w14:paraId="4DAE58D2">
      <w:pPr>
        <w:shd w:val="clear"/>
        <w:spacing w:line="440" w:lineRule="exact"/>
        <w:contextualSpacing/>
        <w:rPr>
          <w:rFonts w:ascii="仿宋" w:hAnsi="仿宋" w:eastAsia="仿宋" w:cs="仿宋"/>
          <w:color w:val="auto"/>
          <w:highlight w:val="none"/>
        </w:rPr>
      </w:pPr>
    </w:p>
    <w:p w14:paraId="4C5B1195">
      <w:pPr>
        <w:shd w:val="clear"/>
        <w:spacing w:line="360" w:lineRule="auto"/>
        <w:jc w:val="center"/>
        <w:rPr>
          <w:rFonts w:ascii="仿宋" w:hAnsi="仿宋" w:eastAsia="仿宋" w:cs="仿宋"/>
          <w:b/>
          <w:color w:val="auto"/>
          <w:sz w:val="36"/>
          <w:szCs w:val="36"/>
          <w:highlight w:val="none"/>
        </w:rPr>
      </w:pPr>
    </w:p>
    <w:p w14:paraId="7F3AFF3A">
      <w:pPr>
        <w:pStyle w:val="80"/>
        <w:shd w:val="clear"/>
        <w:rPr>
          <w:color w:val="auto"/>
          <w:highlight w:val="none"/>
        </w:rPr>
      </w:pPr>
    </w:p>
    <w:p w14:paraId="1BFAC870">
      <w:pPr>
        <w:pStyle w:val="81"/>
        <w:shd w:val="clear"/>
        <w:rPr>
          <w:rFonts w:eastAsia="仿宋"/>
          <w:color w:val="auto"/>
          <w:highlight w:val="none"/>
        </w:rPr>
      </w:pPr>
    </w:p>
    <w:p w14:paraId="45A7511B">
      <w:pPr>
        <w:shd w:val="clea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BFC7815">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14:paraId="6137767C">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1、评标方法：</w:t>
      </w:r>
    </w:p>
    <w:p w14:paraId="2D59F648">
      <w:pPr>
        <w:shd w:val="clear"/>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6FEFBC6">
      <w:pPr>
        <w:shd w:val="clear"/>
        <w:spacing w:line="440" w:lineRule="exact"/>
        <w:ind w:firstLine="472" w:firstLineChars="196"/>
        <w:jc w:val="left"/>
        <w:rPr>
          <w:rFonts w:ascii="仿宋" w:hAnsi="仿宋" w:eastAsia="仿宋" w:cs="仿宋"/>
          <w:b/>
          <w:color w:val="auto"/>
          <w:sz w:val="24"/>
          <w:highlight w:val="none"/>
        </w:rPr>
      </w:pPr>
      <w:r>
        <w:rPr>
          <w:rFonts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92A85E">
      <w:pPr>
        <w:shd w:val="clea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2565414">
      <w:pPr>
        <w:shd w:val="clear"/>
        <w:spacing w:line="440" w:lineRule="exact"/>
        <w:jc w:val="left"/>
        <w:rPr>
          <w:rFonts w:ascii="仿宋" w:hAnsi="仿宋" w:eastAsia="仿宋" w:cs="仿宋"/>
          <w:color w:val="auto"/>
          <w:sz w:val="24"/>
          <w:highlight w:val="none"/>
        </w:rPr>
      </w:pPr>
      <w:r>
        <w:rPr>
          <w:rFonts w:ascii="仿宋" w:hAnsi="仿宋" w:eastAsia="仿宋" w:cs="仿宋"/>
          <w:b/>
          <w:color w:val="auto"/>
          <w:sz w:val="24"/>
          <w:highlight w:val="none"/>
        </w:rPr>
        <w:t>2.评分标准：</w:t>
      </w:r>
      <w:r>
        <w:rPr>
          <w:rFonts w:hint="eastAsia" w:ascii="仿宋" w:hAnsi="仿宋" w:eastAsia="仿宋" w:cs="仿宋"/>
          <w:color w:val="auto"/>
          <w:sz w:val="24"/>
          <w:highlight w:val="none"/>
        </w:rPr>
        <w:t>共</w:t>
      </w:r>
      <w:r>
        <w:rPr>
          <w:rFonts w:ascii="仿宋" w:hAnsi="仿宋" w:eastAsia="仿宋" w:cs="仿宋"/>
          <w:color w:val="auto"/>
          <w:sz w:val="24"/>
          <w:highlight w:val="none"/>
        </w:rPr>
        <w:t>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w:t>
      </w:r>
      <w:r>
        <w:rPr>
          <w:rFonts w:ascii="仿宋" w:hAnsi="仿宋" w:eastAsia="仿宋" w:cs="仿宋"/>
          <w:color w:val="auto"/>
          <w:sz w:val="24"/>
          <w:highlight w:val="none"/>
        </w:rPr>
        <w:t>2位）。</w:t>
      </w:r>
    </w:p>
    <w:p w14:paraId="32046C6C">
      <w:pPr>
        <w:shd w:val="clear"/>
        <w:spacing w:line="440" w:lineRule="exact"/>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p w14:paraId="326F5CC1">
      <w:pPr>
        <w:shd w:val="clear"/>
        <w:spacing w:line="440" w:lineRule="exact"/>
        <w:rPr>
          <w:rFonts w:hint="eastAsia" w:ascii="仿宋" w:hAnsi="仿宋" w:eastAsia="仿宋" w:cs="仿宋"/>
          <w:b/>
          <w:bCs/>
          <w:iCs/>
          <w:color w:val="auto"/>
          <w:sz w:val="24"/>
          <w:highlight w:val="none"/>
          <w:bdr w:val="single" w:color="000000" w:sz="4" w:space="0"/>
          <w:lang w:val="en-US" w:eastAsia="zh-CN" w:bidi="ar-SA"/>
        </w:rPr>
      </w:pPr>
      <w:r>
        <w:rPr>
          <w:rFonts w:hint="eastAsia" w:ascii="仿宋" w:hAnsi="仿宋" w:eastAsia="仿宋" w:cs="仿宋"/>
          <w:b/>
          <w:bCs/>
          <w:iCs/>
          <w:color w:val="auto"/>
          <w:sz w:val="24"/>
          <w:highlight w:val="none"/>
          <w:bdr w:val="single" w:color="000000" w:sz="4" w:space="0"/>
          <w:lang w:eastAsia="zh-CN" w:bidi="ar-SA"/>
        </w:rPr>
        <w:t>标项一</w:t>
      </w:r>
    </w:p>
    <w:tbl>
      <w:tblPr>
        <w:tblStyle w:val="62"/>
        <w:tblW w:w="8862" w:type="dxa"/>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185"/>
        <w:gridCol w:w="5941"/>
        <w:gridCol w:w="913"/>
      </w:tblGrid>
      <w:tr w14:paraId="5B8B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23" w:type="dxa"/>
            <w:vAlign w:val="center"/>
          </w:tcPr>
          <w:p w14:paraId="2A1FB86B">
            <w:pPr>
              <w:keepNext w:val="0"/>
              <w:keepLines w:val="0"/>
              <w:pageBreakBefore w:val="0"/>
              <w:widowControl/>
              <w:shd w:val="clear"/>
              <w:kinsoku/>
              <w:wordWrap/>
              <w:overflowPunct/>
              <w:topLinePunct w:val="0"/>
              <w:autoSpaceDE/>
              <w:autoSpaceDN/>
              <w:bidi w:val="0"/>
              <w:adjustRightInd/>
              <w:snapToGrid w:val="0"/>
              <w:spacing w:line="288" w:lineRule="auto"/>
              <w:jc w:val="center"/>
              <w:textAlignment w:val="auto"/>
              <w:rPr>
                <w:rFonts w:ascii="仿宋" w:hAnsi="仿宋" w:eastAsia="仿宋" w:cs="仿宋"/>
                <w:b/>
                <w:bCs/>
                <w:color w:val="auto"/>
                <w:sz w:val="24"/>
                <w:highlight w:val="none"/>
              </w:rPr>
            </w:pPr>
            <w:r>
              <w:rPr>
                <w:rFonts w:hint="eastAsia" w:ascii="仿宋" w:hAnsi="仿宋" w:eastAsia="仿宋" w:cs="仿宋"/>
                <w:b/>
                <w:bCs/>
                <w:color w:val="auto"/>
                <w:kern w:val="0"/>
                <w:sz w:val="24"/>
                <w:szCs w:val="24"/>
                <w:highlight w:val="none"/>
              </w:rPr>
              <w:t>序号</w:t>
            </w:r>
          </w:p>
        </w:tc>
        <w:tc>
          <w:tcPr>
            <w:tcW w:w="1185" w:type="dxa"/>
            <w:vAlign w:val="center"/>
          </w:tcPr>
          <w:p w14:paraId="0DEE49A5">
            <w:pPr>
              <w:keepNext w:val="0"/>
              <w:keepLines w:val="0"/>
              <w:pageBreakBefore w:val="0"/>
              <w:widowControl/>
              <w:shd w:val="clear"/>
              <w:kinsoku/>
              <w:wordWrap/>
              <w:overflowPunct/>
              <w:topLinePunct w:val="0"/>
              <w:autoSpaceDE/>
              <w:autoSpaceDN/>
              <w:bidi w:val="0"/>
              <w:adjustRightInd/>
              <w:snapToGrid w:val="0"/>
              <w:spacing w:line="288" w:lineRule="auto"/>
              <w:jc w:val="center"/>
              <w:textAlignment w:val="auto"/>
              <w:rPr>
                <w:rFonts w:ascii="仿宋" w:hAnsi="仿宋" w:eastAsia="仿宋" w:cs="仿宋"/>
                <w:b/>
                <w:bCs/>
                <w:color w:val="auto"/>
                <w:sz w:val="24"/>
                <w:highlight w:val="none"/>
              </w:rPr>
            </w:pPr>
            <w:r>
              <w:rPr>
                <w:rFonts w:hint="eastAsia" w:ascii="仿宋" w:hAnsi="仿宋" w:eastAsia="仿宋" w:cs="仿宋"/>
                <w:b/>
                <w:bCs/>
                <w:color w:val="auto"/>
                <w:kern w:val="0"/>
                <w:sz w:val="24"/>
                <w:szCs w:val="24"/>
                <w:highlight w:val="none"/>
              </w:rPr>
              <w:t>评分项</w:t>
            </w:r>
          </w:p>
        </w:tc>
        <w:tc>
          <w:tcPr>
            <w:tcW w:w="5941" w:type="dxa"/>
            <w:vAlign w:val="center"/>
          </w:tcPr>
          <w:p w14:paraId="04FB0230">
            <w:pPr>
              <w:keepNext w:val="0"/>
              <w:keepLines w:val="0"/>
              <w:pageBreakBefore w:val="0"/>
              <w:widowControl/>
              <w:shd w:val="clear"/>
              <w:kinsoku/>
              <w:wordWrap/>
              <w:overflowPunct/>
              <w:topLinePunct w:val="0"/>
              <w:autoSpaceDE/>
              <w:autoSpaceDN/>
              <w:bidi w:val="0"/>
              <w:adjustRightInd/>
              <w:snapToGrid w:val="0"/>
              <w:spacing w:line="288" w:lineRule="auto"/>
              <w:jc w:val="center"/>
              <w:textAlignment w:val="auto"/>
              <w:rPr>
                <w:rFonts w:ascii="仿宋" w:hAnsi="仿宋" w:eastAsia="仿宋" w:cs="仿宋"/>
                <w:b/>
                <w:bCs/>
                <w:color w:val="auto"/>
                <w:sz w:val="24"/>
                <w:highlight w:val="none"/>
              </w:rPr>
            </w:pPr>
            <w:r>
              <w:rPr>
                <w:rFonts w:hint="eastAsia" w:ascii="仿宋" w:hAnsi="仿宋" w:eastAsia="仿宋" w:cs="仿宋"/>
                <w:b/>
                <w:bCs/>
                <w:color w:val="auto"/>
                <w:kern w:val="0"/>
                <w:sz w:val="24"/>
                <w:szCs w:val="24"/>
                <w:highlight w:val="none"/>
              </w:rPr>
              <w:t>评审依据及标准</w:t>
            </w:r>
          </w:p>
        </w:tc>
        <w:tc>
          <w:tcPr>
            <w:tcW w:w="913" w:type="dxa"/>
            <w:vAlign w:val="center"/>
          </w:tcPr>
          <w:p w14:paraId="7A068767">
            <w:pPr>
              <w:keepNext w:val="0"/>
              <w:keepLines w:val="0"/>
              <w:pageBreakBefore w:val="0"/>
              <w:widowControl/>
              <w:shd w:val="clear"/>
              <w:kinsoku/>
              <w:wordWrap/>
              <w:overflowPunct/>
              <w:topLinePunct w:val="0"/>
              <w:autoSpaceDE/>
              <w:autoSpaceDN/>
              <w:bidi w:val="0"/>
              <w:adjustRightInd/>
              <w:snapToGrid w:val="0"/>
              <w:spacing w:line="288" w:lineRule="auto"/>
              <w:jc w:val="center"/>
              <w:textAlignment w:val="auto"/>
              <w:rPr>
                <w:rFonts w:ascii="仿宋" w:hAnsi="仿宋" w:eastAsia="仿宋" w:cs="仿宋"/>
                <w:b/>
                <w:bCs/>
                <w:color w:val="auto"/>
                <w:sz w:val="24"/>
                <w:highlight w:val="none"/>
              </w:rPr>
            </w:pPr>
            <w:r>
              <w:rPr>
                <w:rFonts w:hint="eastAsia" w:ascii="仿宋" w:hAnsi="仿宋" w:eastAsia="仿宋" w:cs="仿宋"/>
                <w:b/>
                <w:bCs/>
                <w:color w:val="auto"/>
                <w:kern w:val="0"/>
                <w:sz w:val="24"/>
                <w:szCs w:val="24"/>
                <w:highlight w:val="none"/>
              </w:rPr>
              <w:t>分值</w:t>
            </w:r>
          </w:p>
        </w:tc>
      </w:tr>
      <w:tr w14:paraId="7F4A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23" w:type="dxa"/>
            <w:vAlign w:val="center"/>
          </w:tcPr>
          <w:p w14:paraId="1B3A314F">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185" w:type="dxa"/>
            <w:vAlign w:val="center"/>
          </w:tcPr>
          <w:p w14:paraId="54787B0E">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企业业绩</w:t>
            </w:r>
          </w:p>
        </w:tc>
        <w:tc>
          <w:tcPr>
            <w:tcW w:w="5941" w:type="dxa"/>
            <w:vAlign w:val="center"/>
          </w:tcPr>
          <w:p w14:paraId="23A511F5">
            <w:pPr>
              <w:keepNext w:val="0"/>
              <w:keepLines w:val="0"/>
              <w:pageBreakBefore w:val="0"/>
              <w:widowControl/>
              <w:shd w:val="clear"/>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投标人自2021年7月1日以来（以合同签订时间为准）完成的同类案例，每有一个得1</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分，最高得3分。</w:t>
            </w:r>
          </w:p>
          <w:p w14:paraId="33895713">
            <w:pPr>
              <w:keepNext w:val="0"/>
              <w:keepLines w:val="0"/>
              <w:pageBreakBefore w:val="0"/>
              <w:widowControl/>
              <w:shd w:val="clear"/>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注：</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每个案例提供合同和验收报告的复印件，并加盖投标人公章。</w:t>
            </w:r>
          </w:p>
          <w:p w14:paraId="4DBE3EFE">
            <w:pPr>
              <w:keepNext w:val="0"/>
              <w:keepLines w:val="0"/>
              <w:pageBreakBefore w:val="0"/>
              <w:widowControl/>
              <w:shd w:val="clear"/>
              <w:kinsoku/>
              <w:wordWrap/>
              <w:overflowPunct/>
              <w:topLinePunct w:val="0"/>
              <w:autoSpaceDE/>
              <w:autoSpaceDN/>
              <w:bidi w:val="0"/>
              <w:adjustRightInd/>
              <w:spacing w:line="288" w:lineRule="auto"/>
              <w:jc w:val="left"/>
              <w:textAlignment w:val="auto"/>
              <w:rPr>
                <w:rFonts w:ascii="仿宋" w:hAnsi="仿宋" w:eastAsia="仿宋" w:cs="仿宋"/>
                <w:color w:val="auto"/>
                <w:sz w:val="24"/>
                <w:highlight w:val="none"/>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.投标产品为省级以上主管部门认定的首台套产品，自纳入《省推广应用指导目录》起三年内参加政府采购活动，视同已具备相应销售业绩，业绩分为满分。</w:t>
            </w:r>
          </w:p>
        </w:tc>
        <w:tc>
          <w:tcPr>
            <w:tcW w:w="913" w:type="dxa"/>
            <w:vAlign w:val="center"/>
          </w:tcPr>
          <w:p w14:paraId="592CDD9B">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3分</w:t>
            </w:r>
          </w:p>
        </w:tc>
      </w:tr>
      <w:tr w14:paraId="6F3D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823" w:type="dxa"/>
            <w:vAlign w:val="center"/>
          </w:tcPr>
          <w:p w14:paraId="29BF3ADE">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185" w:type="dxa"/>
            <w:vAlign w:val="center"/>
          </w:tcPr>
          <w:p w14:paraId="1FF7745C">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企业证书</w:t>
            </w:r>
          </w:p>
        </w:tc>
        <w:tc>
          <w:tcPr>
            <w:tcW w:w="5941" w:type="dxa"/>
            <w:vAlign w:val="center"/>
          </w:tcPr>
          <w:p w14:paraId="39EAE34E">
            <w:pPr>
              <w:widowControl/>
              <w:shd w:val="clear"/>
              <w:adjustRightInd/>
              <w:spacing w:line="3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1.投标人具有中华人民共和国基础电信业务经营许可证证书的得2分；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2.投标人具有</w:t>
            </w:r>
            <w:r>
              <w:rPr>
                <w:rFonts w:hint="eastAsia" w:ascii="仿宋_GB2312" w:hAnsi="仿宋" w:eastAsia="仿宋_GB2312" w:cs="仿宋"/>
                <w:color w:val="auto"/>
                <w:kern w:val="0"/>
                <w:sz w:val="24"/>
                <w:highlight w:val="none"/>
              </w:rPr>
              <w:t>中华人民共和国增值电信业务经营许可证</w:t>
            </w:r>
            <w:r>
              <w:rPr>
                <w:rFonts w:hint="eastAsia" w:ascii="仿宋" w:hAnsi="仿宋" w:eastAsia="仿宋" w:cs="仿宋"/>
                <w:color w:val="auto"/>
                <w:kern w:val="0"/>
                <w:sz w:val="24"/>
                <w:highlight w:val="none"/>
              </w:rPr>
              <w:t>证书的得2分。</w:t>
            </w:r>
          </w:p>
          <w:p w14:paraId="6D9814D1">
            <w:pPr>
              <w:shd w:val="clear"/>
              <w:adjustRightInd/>
              <w:spacing w:line="3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注：以上证书均须提供相关证书证明材料</w:t>
            </w:r>
            <w:r>
              <w:rPr>
                <w:rFonts w:hint="eastAsia" w:ascii="仿宋" w:hAnsi="仿宋" w:eastAsia="仿宋" w:cs="仿宋"/>
                <w:color w:val="auto"/>
                <w:sz w:val="24"/>
                <w:highlight w:val="none"/>
                <w:lang w:eastAsia="zh-CN"/>
              </w:rPr>
              <w:t>复印件，</w:t>
            </w:r>
            <w:r>
              <w:rPr>
                <w:rFonts w:hint="eastAsia" w:ascii="仿宋" w:hAnsi="仿宋" w:eastAsia="仿宋" w:cs="仿宋"/>
                <w:color w:val="auto"/>
                <w:kern w:val="0"/>
                <w:sz w:val="24"/>
                <w:highlight w:val="none"/>
              </w:rPr>
              <w:t>并加盖投标人公章，否则不得分。</w:t>
            </w:r>
          </w:p>
        </w:tc>
        <w:tc>
          <w:tcPr>
            <w:tcW w:w="913" w:type="dxa"/>
            <w:vAlign w:val="center"/>
          </w:tcPr>
          <w:p w14:paraId="0A37ECB6">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4分</w:t>
            </w:r>
          </w:p>
        </w:tc>
      </w:tr>
      <w:tr w14:paraId="6A8D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3" w:type="dxa"/>
            <w:vAlign w:val="center"/>
          </w:tcPr>
          <w:p w14:paraId="1B300DCE">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185" w:type="dxa"/>
            <w:vAlign w:val="center"/>
          </w:tcPr>
          <w:p w14:paraId="574D9C19">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企业信誉</w:t>
            </w:r>
          </w:p>
        </w:tc>
        <w:tc>
          <w:tcPr>
            <w:tcW w:w="5941" w:type="dxa"/>
            <w:vAlign w:val="center"/>
          </w:tcPr>
          <w:p w14:paraId="69302279">
            <w:pPr>
              <w:widowControl/>
              <w:shd w:val="clear"/>
              <w:adjustRightInd/>
              <w:spacing w:line="3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根据投标人获奖情况、信誉情况、认证情况等由评委综合打分，0-3分(需提供相关证明</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并加盖投标人公章，未提供不得分)。</w:t>
            </w:r>
          </w:p>
        </w:tc>
        <w:tc>
          <w:tcPr>
            <w:tcW w:w="913" w:type="dxa"/>
            <w:vAlign w:val="center"/>
          </w:tcPr>
          <w:p w14:paraId="6AF30291">
            <w:pPr>
              <w:widowControl/>
              <w:shd w:val="clear"/>
              <w:adjustRightInd/>
              <w:spacing w:line="3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3分</w:t>
            </w:r>
          </w:p>
        </w:tc>
      </w:tr>
      <w:tr w14:paraId="104A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23" w:type="dxa"/>
            <w:vMerge w:val="restart"/>
            <w:vAlign w:val="center"/>
          </w:tcPr>
          <w:p w14:paraId="016D2940">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185" w:type="dxa"/>
            <w:vMerge w:val="restart"/>
            <w:vAlign w:val="center"/>
          </w:tcPr>
          <w:p w14:paraId="2B70AD92">
            <w:pPr>
              <w:widowControl/>
              <w:shd w:val="clear"/>
              <w:adjustRightInd/>
              <w:spacing w:line="300" w:lineRule="exact"/>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项目   负责人</w:t>
            </w:r>
          </w:p>
        </w:tc>
        <w:tc>
          <w:tcPr>
            <w:tcW w:w="5941" w:type="dxa"/>
            <w:vAlign w:val="center"/>
          </w:tcPr>
          <w:p w14:paraId="20DF2950">
            <w:pPr>
              <w:numPr>
                <w:ilvl w:val="0"/>
                <w:numId w:val="0"/>
              </w:numPr>
              <w:shd w:val="clear"/>
              <w:adjustRightInd/>
              <w:rPr>
                <w:rFonts w:ascii="仿宋" w:hAnsi="仿宋" w:eastAsia="仿宋" w:cs="仿宋"/>
                <w:b/>
                <w:bCs/>
                <w:color w:val="auto"/>
                <w:sz w:val="24"/>
                <w:highlight w:val="none"/>
              </w:rPr>
            </w:pPr>
            <w:r>
              <w:rPr>
                <w:rFonts w:hint="eastAsia" w:ascii="仿宋" w:hAnsi="仿宋" w:eastAsia="仿宋" w:cs="仿宋"/>
                <w:color w:val="auto"/>
                <w:kern w:val="0"/>
                <w:sz w:val="24"/>
                <w:highlight w:val="none"/>
              </w:rPr>
              <w:t>投标人项目负责人具有信息系统项目管理师高级证书、网络工程师、信息通信技术高级工程师、互联网技术（中级）证书，每提供1类证书得1分，最高得4分</w:t>
            </w:r>
            <w:r>
              <w:rPr>
                <w:rFonts w:hint="eastAsia" w:ascii="仿宋" w:hAnsi="仿宋" w:eastAsia="仿宋" w:cs="仿宋"/>
                <w:color w:val="auto"/>
                <w:sz w:val="24"/>
                <w:highlight w:val="none"/>
              </w:rPr>
              <w:t>。（需提供职称证书的</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s="仿宋"/>
                <w:color w:val="auto"/>
                <w:kern w:val="0"/>
                <w:sz w:val="24"/>
                <w:highlight w:val="none"/>
              </w:rPr>
              <w:t>同时，证书持有人必须为投标单位或其分公司正式员工，需提供投标人单位的社保证明</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s="仿宋"/>
                <w:color w:val="auto"/>
                <w:kern w:val="0"/>
                <w:sz w:val="24"/>
                <w:highlight w:val="none"/>
              </w:rPr>
              <w:t>，否则本项不得分。</w:t>
            </w:r>
          </w:p>
        </w:tc>
        <w:tc>
          <w:tcPr>
            <w:tcW w:w="913" w:type="dxa"/>
            <w:vAlign w:val="center"/>
          </w:tcPr>
          <w:p w14:paraId="2A96EC3F">
            <w:pPr>
              <w:widowControl/>
              <w:shd w:val="clear"/>
              <w:adjustRightInd/>
              <w:spacing w:line="3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分</w:t>
            </w:r>
          </w:p>
        </w:tc>
      </w:tr>
      <w:tr w14:paraId="4A79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3" w:type="dxa"/>
            <w:vMerge w:val="restart"/>
            <w:vAlign w:val="center"/>
          </w:tcPr>
          <w:p w14:paraId="6BA4127E">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185" w:type="dxa"/>
            <w:vAlign w:val="center"/>
          </w:tcPr>
          <w:p w14:paraId="75E97AE3">
            <w:pPr>
              <w:widowControl/>
              <w:shd w:val="clea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项目组 成员</w:t>
            </w:r>
          </w:p>
        </w:tc>
        <w:tc>
          <w:tcPr>
            <w:tcW w:w="5941" w:type="dxa"/>
            <w:vAlign w:val="center"/>
          </w:tcPr>
          <w:p w14:paraId="027F8338">
            <w:pPr>
              <w:widowControl/>
              <w:shd w:val="clear"/>
              <w:adjustRightInd/>
              <w:spacing w:line="3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团队技术人员能力：具有系统集成项目管理工程师中级及以上、软件设计师中级及以上、网络工程师中级及以上的，通讯中级证书（互联网技术），信息安全保障人员认证证书（CISAW），每提供１类证书得１分，最高5分，一人多证不重复计分。</w:t>
            </w:r>
            <w:r>
              <w:rPr>
                <w:rFonts w:hint="eastAsia" w:ascii="仿宋" w:hAnsi="仿宋" w:eastAsia="仿宋" w:cs="仿宋"/>
                <w:color w:val="auto"/>
                <w:kern w:val="0"/>
                <w:sz w:val="24"/>
                <w:szCs w:val="24"/>
                <w:highlight w:val="none"/>
              </w:rPr>
              <w:t>（以上证书在投标文件中提供</w:t>
            </w:r>
            <w:r>
              <w:rPr>
                <w:rFonts w:hint="eastAsia" w:ascii="仿宋" w:hAnsi="仿宋" w:eastAsia="仿宋" w:cs="仿宋"/>
                <w:color w:val="auto"/>
                <w:sz w:val="24"/>
                <w:szCs w:val="24"/>
                <w:highlight w:val="none"/>
                <w:lang w:eastAsia="zh-CN"/>
              </w:rPr>
              <w:t>复印件，</w:t>
            </w:r>
            <w:r>
              <w:rPr>
                <w:rFonts w:hint="eastAsia" w:ascii="仿宋" w:hAnsi="仿宋" w:eastAsia="仿宋" w:cs="仿宋"/>
                <w:color w:val="auto"/>
                <w:sz w:val="24"/>
                <w:szCs w:val="24"/>
                <w:highlight w:val="none"/>
              </w:rPr>
              <w:t>并加盖投标人公章</w:t>
            </w:r>
            <w:r>
              <w:rPr>
                <w:rFonts w:hint="eastAsia" w:ascii="仿宋" w:hAnsi="仿宋" w:eastAsia="仿宋" w:cs="仿宋"/>
                <w:color w:val="auto"/>
                <w:kern w:val="0"/>
                <w:sz w:val="24"/>
                <w:szCs w:val="24"/>
                <w:highlight w:val="none"/>
              </w:rPr>
              <w:t>；证书持有人必须为投标单位或其分公司正式员工，</w:t>
            </w:r>
            <w:r>
              <w:rPr>
                <w:rFonts w:hint="eastAsia" w:ascii="仿宋" w:hAnsi="仿宋" w:eastAsia="仿宋" w:cs="仿宋"/>
                <w:color w:val="auto"/>
                <w:kern w:val="0"/>
                <w:sz w:val="24"/>
                <w:highlight w:val="none"/>
              </w:rPr>
              <w:t>需提供投标人单位的社保证明</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s="仿宋"/>
                <w:color w:val="auto"/>
                <w:kern w:val="0"/>
                <w:sz w:val="24"/>
                <w:szCs w:val="24"/>
                <w:highlight w:val="none"/>
              </w:rPr>
              <w:t>）</w:t>
            </w:r>
          </w:p>
        </w:tc>
        <w:tc>
          <w:tcPr>
            <w:tcW w:w="913" w:type="dxa"/>
            <w:vAlign w:val="center"/>
          </w:tcPr>
          <w:p w14:paraId="70C5D3DB">
            <w:pPr>
              <w:widowControl/>
              <w:shd w:val="clear"/>
              <w:adjustRightInd/>
              <w:spacing w:line="3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5分</w:t>
            </w:r>
          </w:p>
        </w:tc>
      </w:tr>
      <w:tr w14:paraId="121D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3" w:type="dxa"/>
            <w:vMerge w:val="continue"/>
            <w:vAlign w:val="center"/>
          </w:tcPr>
          <w:p w14:paraId="42932139">
            <w:pPr>
              <w:widowControl/>
              <w:shd w:val="clear"/>
              <w:adjustRightInd/>
              <w:spacing w:line="300" w:lineRule="exact"/>
              <w:jc w:val="center"/>
              <w:rPr>
                <w:rFonts w:ascii="仿宋" w:hAnsi="仿宋" w:eastAsia="仿宋" w:cs="仿宋"/>
                <w:color w:val="auto"/>
                <w:sz w:val="24"/>
                <w:highlight w:val="none"/>
              </w:rPr>
            </w:pPr>
          </w:p>
        </w:tc>
        <w:tc>
          <w:tcPr>
            <w:tcW w:w="1185" w:type="dxa"/>
            <w:vMerge w:val="restart"/>
            <w:vAlign w:val="center"/>
          </w:tcPr>
          <w:p w14:paraId="30D14079">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实施方案</w:t>
            </w:r>
          </w:p>
        </w:tc>
        <w:tc>
          <w:tcPr>
            <w:tcW w:w="5941" w:type="dxa"/>
            <w:shd w:val="clear" w:color="auto" w:fill="auto"/>
            <w:vAlign w:val="center"/>
          </w:tcPr>
          <w:p w14:paraId="7BCB18A0">
            <w:pPr>
              <w:shd w:val="clear"/>
              <w:rPr>
                <w:rFonts w:ascii="仿宋" w:hAnsi="仿宋" w:eastAsia="仿宋" w:cs="仿宋"/>
                <w:color w:val="auto"/>
                <w:sz w:val="24"/>
                <w:highlight w:val="none"/>
              </w:rPr>
            </w:pPr>
            <w:r>
              <w:rPr>
                <w:rFonts w:hint="eastAsia" w:ascii="仿宋" w:hAnsi="仿宋" w:eastAsia="仿宋" w:cs="仿宋"/>
                <w:color w:val="auto"/>
                <w:kern w:val="0"/>
                <w:sz w:val="24"/>
                <w:highlight w:val="none"/>
              </w:rPr>
              <w:t>针对本项目的实施人员安排，0-</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分，未提供不得分。</w:t>
            </w:r>
          </w:p>
        </w:tc>
        <w:tc>
          <w:tcPr>
            <w:tcW w:w="913" w:type="dxa"/>
            <w:shd w:val="clear" w:color="auto" w:fill="auto"/>
            <w:vAlign w:val="center"/>
          </w:tcPr>
          <w:p w14:paraId="6F27CCFD">
            <w:pPr>
              <w:shd w:val="clea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r>
      <w:tr w14:paraId="7964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3" w:type="dxa"/>
            <w:vMerge w:val="continue"/>
            <w:vAlign w:val="center"/>
          </w:tcPr>
          <w:p w14:paraId="7285E0EC">
            <w:pPr>
              <w:widowControl/>
              <w:shd w:val="clear"/>
              <w:adjustRightInd/>
              <w:spacing w:line="300" w:lineRule="exact"/>
              <w:jc w:val="center"/>
              <w:rPr>
                <w:rFonts w:ascii="仿宋" w:hAnsi="仿宋" w:eastAsia="仿宋" w:cs="仿宋"/>
                <w:color w:val="auto"/>
                <w:sz w:val="24"/>
                <w:highlight w:val="none"/>
              </w:rPr>
            </w:pPr>
          </w:p>
        </w:tc>
        <w:tc>
          <w:tcPr>
            <w:tcW w:w="1185" w:type="dxa"/>
            <w:vMerge w:val="continue"/>
            <w:vAlign w:val="center"/>
          </w:tcPr>
          <w:p w14:paraId="5D998ADD">
            <w:pPr>
              <w:widowControl/>
              <w:shd w:val="clear"/>
              <w:jc w:val="center"/>
              <w:rPr>
                <w:rFonts w:hint="eastAsia" w:ascii="仿宋" w:hAnsi="仿宋" w:eastAsia="仿宋" w:cs="仿宋"/>
                <w:color w:val="auto"/>
                <w:kern w:val="0"/>
                <w:sz w:val="24"/>
                <w:highlight w:val="none"/>
              </w:rPr>
            </w:pPr>
          </w:p>
        </w:tc>
        <w:tc>
          <w:tcPr>
            <w:tcW w:w="5941" w:type="dxa"/>
            <w:shd w:val="clear" w:color="auto" w:fill="auto"/>
            <w:vAlign w:val="center"/>
          </w:tcPr>
          <w:p w14:paraId="203C5455">
            <w:pPr>
              <w:shd w:val="clea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针对本项目的工期进度计划，0-</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分，未提供不得分。</w:t>
            </w:r>
          </w:p>
        </w:tc>
        <w:tc>
          <w:tcPr>
            <w:tcW w:w="913" w:type="dxa"/>
            <w:shd w:val="clear" w:color="auto" w:fill="auto"/>
            <w:vAlign w:val="center"/>
          </w:tcPr>
          <w:p w14:paraId="2D3C3D66">
            <w:pPr>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r>
      <w:tr w14:paraId="783A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3" w:type="dxa"/>
            <w:vMerge w:val="continue"/>
            <w:vAlign w:val="center"/>
          </w:tcPr>
          <w:p w14:paraId="00C50F05">
            <w:pPr>
              <w:shd w:val="clear"/>
              <w:jc w:val="center"/>
              <w:rPr>
                <w:rFonts w:ascii="仿宋" w:hAnsi="仿宋" w:eastAsia="仿宋" w:cs="仿宋"/>
                <w:color w:val="auto"/>
                <w:highlight w:val="none"/>
              </w:rPr>
            </w:pPr>
          </w:p>
        </w:tc>
        <w:tc>
          <w:tcPr>
            <w:tcW w:w="1185" w:type="dxa"/>
            <w:vMerge w:val="continue"/>
            <w:vAlign w:val="center"/>
          </w:tcPr>
          <w:p w14:paraId="69502343">
            <w:pPr>
              <w:shd w:val="clear"/>
              <w:jc w:val="center"/>
              <w:rPr>
                <w:rFonts w:ascii="仿宋" w:hAnsi="仿宋" w:eastAsia="仿宋" w:cs="仿宋"/>
                <w:color w:val="auto"/>
                <w:sz w:val="24"/>
                <w:highlight w:val="none"/>
              </w:rPr>
            </w:pPr>
          </w:p>
        </w:tc>
        <w:tc>
          <w:tcPr>
            <w:tcW w:w="5941" w:type="dxa"/>
            <w:shd w:val="clear" w:color="auto" w:fill="auto"/>
            <w:vAlign w:val="center"/>
          </w:tcPr>
          <w:p w14:paraId="36284F35">
            <w:pPr>
              <w:shd w:val="clear"/>
              <w:rPr>
                <w:rFonts w:ascii="仿宋" w:hAnsi="仿宋" w:eastAsia="仿宋" w:cs="仿宋"/>
                <w:color w:val="auto"/>
                <w:sz w:val="24"/>
                <w:highlight w:val="none"/>
              </w:rPr>
            </w:pPr>
            <w:r>
              <w:rPr>
                <w:rFonts w:hint="eastAsia" w:ascii="仿宋" w:hAnsi="仿宋" w:eastAsia="仿宋" w:cs="仿宋"/>
                <w:color w:val="auto"/>
                <w:kern w:val="0"/>
                <w:sz w:val="24"/>
                <w:highlight w:val="none"/>
              </w:rPr>
              <w:t>对招标项目的重点、难点问题的认识及其对策措施，0-5分，未提供不得分。</w:t>
            </w:r>
          </w:p>
        </w:tc>
        <w:tc>
          <w:tcPr>
            <w:tcW w:w="913" w:type="dxa"/>
            <w:shd w:val="clear" w:color="auto" w:fill="auto"/>
            <w:vAlign w:val="center"/>
          </w:tcPr>
          <w:p w14:paraId="4D5D3EE6">
            <w:pPr>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w:t>
            </w:r>
          </w:p>
        </w:tc>
      </w:tr>
      <w:tr w14:paraId="093B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23" w:type="dxa"/>
            <w:vMerge w:val="continue"/>
            <w:vAlign w:val="center"/>
          </w:tcPr>
          <w:p w14:paraId="5EFFCB25">
            <w:pPr>
              <w:shd w:val="clear"/>
              <w:jc w:val="center"/>
              <w:rPr>
                <w:rFonts w:ascii="仿宋" w:hAnsi="仿宋" w:eastAsia="仿宋" w:cs="仿宋"/>
                <w:color w:val="auto"/>
                <w:kern w:val="0"/>
                <w:sz w:val="24"/>
                <w:highlight w:val="none"/>
              </w:rPr>
            </w:pPr>
          </w:p>
        </w:tc>
        <w:tc>
          <w:tcPr>
            <w:tcW w:w="1185" w:type="dxa"/>
            <w:vMerge w:val="continue"/>
            <w:vAlign w:val="center"/>
          </w:tcPr>
          <w:p w14:paraId="4C708AAE">
            <w:pPr>
              <w:shd w:val="clear"/>
              <w:jc w:val="center"/>
              <w:rPr>
                <w:rFonts w:ascii="仿宋" w:hAnsi="仿宋" w:eastAsia="仿宋" w:cs="仿宋"/>
                <w:color w:val="auto"/>
                <w:kern w:val="0"/>
                <w:sz w:val="24"/>
                <w:highlight w:val="none"/>
              </w:rPr>
            </w:pPr>
          </w:p>
        </w:tc>
        <w:tc>
          <w:tcPr>
            <w:tcW w:w="5941" w:type="dxa"/>
            <w:shd w:val="clear" w:color="auto" w:fill="auto"/>
            <w:vAlign w:val="center"/>
          </w:tcPr>
          <w:p w14:paraId="30F2DF91">
            <w:pPr>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质量保证措施，0-</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分，未提供不得分。</w:t>
            </w:r>
          </w:p>
        </w:tc>
        <w:tc>
          <w:tcPr>
            <w:tcW w:w="913" w:type="dxa"/>
            <w:shd w:val="clear" w:color="auto" w:fill="auto"/>
            <w:vAlign w:val="center"/>
          </w:tcPr>
          <w:p w14:paraId="13040DF0">
            <w:pPr>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r>
      <w:tr w14:paraId="704C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23" w:type="dxa"/>
            <w:vMerge w:val="continue"/>
            <w:vAlign w:val="center"/>
          </w:tcPr>
          <w:p w14:paraId="10130436">
            <w:pPr>
              <w:shd w:val="clear"/>
              <w:jc w:val="center"/>
              <w:rPr>
                <w:rFonts w:ascii="仿宋" w:hAnsi="仿宋" w:eastAsia="仿宋" w:cs="仿宋"/>
                <w:color w:val="auto"/>
                <w:kern w:val="0"/>
                <w:sz w:val="24"/>
                <w:highlight w:val="none"/>
              </w:rPr>
            </w:pPr>
          </w:p>
        </w:tc>
        <w:tc>
          <w:tcPr>
            <w:tcW w:w="1185" w:type="dxa"/>
            <w:vMerge w:val="continue"/>
            <w:vAlign w:val="center"/>
          </w:tcPr>
          <w:p w14:paraId="7CCBF911">
            <w:pPr>
              <w:shd w:val="clear"/>
              <w:jc w:val="center"/>
              <w:rPr>
                <w:rFonts w:ascii="仿宋" w:hAnsi="仿宋" w:eastAsia="仿宋" w:cs="仿宋"/>
                <w:color w:val="auto"/>
                <w:kern w:val="0"/>
                <w:sz w:val="24"/>
                <w:highlight w:val="none"/>
              </w:rPr>
            </w:pPr>
          </w:p>
        </w:tc>
        <w:tc>
          <w:tcPr>
            <w:tcW w:w="5941" w:type="dxa"/>
            <w:shd w:val="clear" w:color="auto" w:fill="auto"/>
            <w:vAlign w:val="center"/>
          </w:tcPr>
          <w:p w14:paraId="09593A3E">
            <w:pPr>
              <w:shd w:val="clea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进度保证措施</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0-</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分，未提供不得分。</w:t>
            </w:r>
          </w:p>
        </w:tc>
        <w:tc>
          <w:tcPr>
            <w:tcW w:w="913" w:type="dxa"/>
            <w:shd w:val="clear" w:color="auto" w:fill="auto"/>
            <w:vAlign w:val="center"/>
          </w:tcPr>
          <w:p w14:paraId="4513ACFF">
            <w:pPr>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r>
      <w:tr w14:paraId="276D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23" w:type="dxa"/>
            <w:vMerge w:val="continue"/>
            <w:vAlign w:val="center"/>
          </w:tcPr>
          <w:p w14:paraId="611CBC65">
            <w:pPr>
              <w:shd w:val="clear"/>
              <w:jc w:val="center"/>
              <w:rPr>
                <w:rFonts w:ascii="仿宋" w:hAnsi="仿宋" w:eastAsia="仿宋" w:cs="仿宋"/>
                <w:color w:val="auto"/>
                <w:kern w:val="0"/>
                <w:sz w:val="24"/>
                <w:highlight w:val="none"/>
              </w:rPr>
            </w:pPr>
          </w:p>
        </w:tc>
        <w:tc>
          <w:tcPr>
            <w:tcW w:w="1185" w:type="dxa"/>
            <w:vMerge w:val="continue"/>
            <w:vAlign w:val="center"/>
          </w:tcPr>
          <w:p w14:paraId="340F54FB">
            <w:pPr>
              <w:shd w:val="clear"/>
              <w:jc w:val="center"/>
              <w:rPr>
                <w:rFonts w:ascii="仿宋" w:hAnsi="仿宋" w:eastAsia="仿宋" w:cs="仿宋"/>
                <w:color w:val="auto"/>
                <w:kern w:val="0"/>
                <w:sz w:val="24"/>
                <w:highlight w:val="none"/>
              </w:rPr>
            </w:pPr>
          </w:p>
        </w:tc>
        <w:tc>
          <w:tcPr>
            <w:tcW w:w="5941" w:type="dxa"/>
            <w:shd w:val="clear" w:color="auto" w:fill="auto"/>
            <w:vAlign w:val="center"/>
          </w:tcPr>
          <w:p w14:paraId="14033F14">
            <w:pPr>
              <w:shd w:val="clea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安全保证措施</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0-</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分，未提供不得分。</w:t>
            </w:r>
          </w:p>
        </w:tc>
        <w:tc>
          <w:tcPr>
            <w:tcW w:w="913" w:type="dxa"/>
            <w:shd w:val="clear" w:color="auto" w:fill="auto"/>
            <w:vAlign w:val="center"/>
          </w:tcPr>
          <w:p w14:paraId="68E31280">
            <w:pPr>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w:t>
            </w:r>
          </w:p>
        </w:tc>
      </w:tr>
      <w:tr w14:paraId="55CE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vMerge w:val="continue"/>
            <w:vAlign w:val="center"/>
          </w:tcPr>
          <w:p w14:paraId="6E31DFF4">
            <w:pPr>
              <w:shd w:val="clear"/>
              <w:jc w:val="center"/>
              <w:rPr>
                <w:rFonts w:ascii="仿宋" w:hAnsi="仿宋" w:eastAsia="仿宋" w:cs="仿宋"/>
                <w:color w:val="auto"/>
                <w:kern w:val="0"/>
                <w:sz w:val="24"/>
                <w:highlight w:val="none"/>
              </w:rPr>
            </w:pPr>
          </w:p>
        </w:tc>
        <w:tc>
          <w:tcPr>
            <w:tcW w:w="1185" w:type="dxa"/>
            <w:vMerge w:val="continue"/>
            <w:vAlign w:val="center"/>
          </w:tcPr>
          <w:p w14:paraId="1B512E5A">
            <w:pPr>
              <w:shd w:val="clear"/>
              <w:jc w:val="center"/>
              <w:rPr>
                <w:rFonts w:ascii="仿宋" w:hAnsi="仿宋" w:eastAsia="仿宋" w:cs="仿宋"/>
                <w:color w:val="auto"/>
                <w:kern w:val="0"/>
                <w:sz w:val="24"/>
                <w:highlight w:val="none"/>
              </w:rPr>
            </w:pPr>
          </w:p>
        </w:tc>
        <w:tc>
          <w:tcPr>
            <w:tcW w:w="5941" w:type="dxa"/>
            <w:shd w:val="clear" w:color="auto" w:fill="auto"/>
            <w:vAlign w:val="center"/>
          </w:tcPr>
          <w:p w14:paraId="67E7F81C">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针对本项目的安装调试及验收措施，0-5分，未提供不得分。</w:t>
            </w:r>
          </w:p>
        </w:tc>
        <w:tc>
          <w:tcPr>
            <w:tcW w:w="913" w:type="dxa"/>
            <w:shd w:val="clear" w:color="auto" w:fill="auto"/>
            <w:vAlign w:val="center"/>
          </w:tcPr>
          <w:p w14:paraId="35D22418">
            <w:pPr>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w:t>
            </w:r>
          </w:p>
        </w:tc>
      </w:tr>
      <w:tr w14:paraId="5014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vMerge w:val="continue"/>
            <w:vAlign w:val="center"/>
          </w:tcPr>
          <w:p w14:paraId="31ABFEE4">
            <w:pPr>
              <w:widowControl/>
              <w:shd w:val="clear"/>
              <w:adjustRightInd/>
              <w:spacing w:line="300" w:lineRule="exact"/>
              <w:jc w:val="center"/>
              <w:rPr>
                <w:rFonts w:ascii="仿宋" w:hAnsi="仿宋" w:eastAsia="仿宋" w:cs="仿宋"/>
                <w:color w:val="auto"/>
                <w:sz w:val="24"/>
                <w:highlight w:val="none"/>
              </w:rPr>
            </w:pPr>
          </w:p>
        </w:tc>
        <w:tc>
          <w:tcPr>
            <w:tcW w:w="1185" w:type="dxa"/>
            <w:vMerge w:val="restart"/>
            <w:vAlign w:val="center"/>
          </w:tcPr>
          <w:p w14:paraId="7D6B52F7">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工期保障及售后服务</w:t>
            </w:r>
          </w:p>
        </w:tc>
        <w:tc>
          <w:tcPr>
            <w:tcW w:w="5941" w:type="dxa"/>
            <w:shd w:val="clear" w:color="auto" w:fill="auto"/>
            <w:vAlign w:val="center"/>
          </w:tcPr>
          <w:p w14:paraId="142A6FF1">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针对本项目的工期保障措施，0-5分，未提供不得分。</w:t>
            </w:r>
          </w:p>
        </w:tc>
        <w:tc>
          <w:tcPr>
            <w:tcW w:w="913" w:type="dxa"/>
            <w:shd w:val="clear" w:color="auto" w:fill="auto"/>
            <w:vAlign w:val="center"/>
          </w:tcPr>
          <w:p w14:paraId="14A89BEF">
            <w:pPr>
              <w:widowControl/>
              <w:shd w:val="clear"/>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5分</w:t>
            </w:r>
          </w:p>
        </w:tc>
      </w:tr>
      <w:tr w14:paraId="23C3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823" w:type="dxa"/>
            <w:vMerge w:val="continue"/>
            <w:vAlign w:val="center"/>
          </w:tcPr>
          <w:p w14:paraId="11325767">
            <w:pPr>
              <w:widowControl/>
              <w:shd w:val="clear"/>
              <w:jc w:val="center"/>
              <w:rPr>
                <w:rFonts w:ascii="仿宋" w:hAnsi="仿宋" w:eastAsia="仿宋" w:cs="仿宋"/>
                <w:color w:val="auto"/>
                <w:highlight w:val="none"/>
              </w:rPr>
            </w:pPr>
          </w:p>
        </w:tc>
        <w:tc>
          <w:tcPr>
            <w:tcW w:w="1185" w:type="dxa"/>
            <w:vMerge w:val="continue"/>
            <w:vAlign w:val="center"/>
          </w:tcPr>
          <w:p w14:paraId="769AAE57">
            <w:pPr>
              <w:widowControl/>
              <w:shd w:val="clear"/>
              <w:jc w:val="center"/>
              <w:rPr>
                <w:rFonts w:ascii="仿宋" w:hAnsi="仿宋" w:eastAsia="仿宋" w:cs="仿宋"/>
                <w:color w:val="auto"/>
                <w:sz w:val="24"/>
                <w:highlight w:val="none"/>
              </w:rPr>
            </w:pPr>
          </w:p>
        </w:tc>
        <w:tc>
          <w:tcPr>
            <w:tcW w:w="5941" w:type="dxa"/>
            <w:shd w:val="clear" w:color="auto" w:fill="auto"/>
            <w:vAlign w:val="center"/>
          </w:tcPr>
          <w:p w14:paraId="7630265E">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针对本项目的培训计划及培训成效保障措施进行打分0-5分，未提供不得分。</w:t>
            </w:r>
          </w:p>
        </w:tc>
        <w:tc>
          <w:tcPr>
            <w:tcW w:w="913" w:type="dxa"/>
            <w:shd w:val="clear" w:color="auto" w:fill="auto"/>
            <w:vAlign w:val="center"/>
          </w:tcPr>
          <w:p w14:paraId="1796B91D">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5分</w:t>
            </w:r>
          </w:p>
        </w:tc>
      </w:tr>
      <w:tr w14:paraId="1F33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3" w:type="dxa"/>
            <w:vMerge w:val="continue"/>
            <w:vAlign w:val="center"/>
          </w:tcPr>
          <w:p w14:paraId="2EA827EA">
            <w:pPr>
              <w:widowControl/>
              <w:shd w:val="clear"/>
              <w:jc w:val="center"/>
              <w:rPr>
                <w:rFonts w:ascii="仿宋" w:hAnsi="仿宋" w:eastAsia="仿宋" w:cs="仿宋"/>
                <w:color w:val="auto"/>
                <w:kern w:val="0"/>
                <w:sz w:val="24"/>
                <w:highlight w:val="none"/>
              </w:rPr>
            </w:pPr>
          </w:p>
        </w:tc>
        <w:tc>
          <w:tcPr>
            <w:tcW w:w="1185" w:type="dxa"/>
            <w:vMerge w:val="continue"/>
            <w:vAlign w:val="center"/>
          </w:tcPr>
          <w:p w14:paraId="2273AD3B">
            <w:pPr>
              <w:widowControl/>
              <w:shd w:val="clear"/>
              <w:jc w:val="center"/>
              <w:rPr>
                <w:rFonts w:ascii="仿宋" w:hAnsi="仿宋" w:eastAsia="仿宋" w:cs="仿宋"/>
                <w:color w:val="auto"/>
                <w:kern w:val="0"/>
                <w:sz w:val="24"/>
                <w:highlight w:val="none"/>
              </w:rPr>
            </w:pPr>
          </w:p>
        </w:tc>
        <w:tc>
          <w:tcPr>
            <w:tcW w:w="5941" w:type="dxa"/>
            <w:shd w:val="clear" w:color="auto" w:fill="auto"/>
            <w:vAlign w:val="center"/>
          </w:tcPr>
          <w:p w14:paraId="5537DEF1">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售后服务网点设置：投标人应提供售后服务机构名称、联系电话等清单，并提供房产证明</w:t>
            </w:r>
            <w:r>
              <w:rPr>
                <w:rFonts w:hint="eastAsia" w:ascii="仿宋" w:hAnsi="仿宋" w:eastAsia="仿宋" w:cs="仿宋"/>
                <w:color w:val="auto"/>
                <w:kern w:val="0"/>
                <w:sz w:val="24"/>
                <w:highlight w:val="none"/>
                <w:lang w:eastAsia="zh-CN"/>
              </w:rPr>
              <w:t>或租赁</w:t>
            </w:r>
            <w:r>
              <w:rPr>
                <w:rFonts w:hint="eastAsia" w:ascii="仿宋" w:hAnsi="仿宋" w:eastAsia="仿宋" w:cs="仿宋"/>
                <w:color w:val="auto"/>
                <w:kern w:val="0"/>
                <w:sz w:val="24"/>
                <w:highlight w:val="none"/>
              </w:rPr>
              <w:t>合同等证明材料。每个得1分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最高得分2分。</w:t>
            </w:r>
          </w:p>
          <w:p w14:paraId="3B1DA2F3">
            <w:pPr>
              <w:pStyle w:val="79"/>
              <w:shd w:val="clear"/>
              <w:spacing w:line="240" w:lineRule="auto"/>
              <w:ind w:firstLine="0" w:firstLineChars="0"/>
              <w:rPr>
                <w:rFonts w:ascii="仿宋" w:hAnsi="仿宋" w:eastAsia="仿宋" w:cs="仿宋"/>
                <w:color w:val="auto"/>
                <w:szCs w:val="24"/>
                <w:highlight w:val="none"/>
              </w:rPr>
            </w:pPr>
            <w:r>
              <w:rPr>
                <w:rFonts w:hint="eastAsia" w:ascii="仿宋" w:hAnsi="仿宋" w:eastAsia="仿宋" w:cs="仿宋"/>
                <w:color w:val="auto"/>
                <w:kern w:val="0"/>
                <w:szCs w:val="24"/>
                <w:highlight w:val="none"/>
              </w:rPr>
              <w:t>售后响应时限：项目维修或保养的及时性，承诺接到招标人通知后1小时内到岗的得</w:t>
            </w:r>
            <w:r>
              <w:rPr>
                <w:rFonts w:hint="eastAsia" w:ascii="仿宋" w:hAnsi="仿宋" w:eastAsia="仿宋" w:cs="仿宋"/>
                <w:color w:val="auto"/>
                <w:kern w:val="0"/>
                <w:szCs w:val="24"/>
                <w:highlight w:val="none"/>
                <w:lang w:val="en-US" w:eastAsia="zh-CN"/>
              </w:rPr>
              <w:t>3</w:t>
            </w:r>
            <w:r>
              <w:rPr>
                <w:rFonts w:hint="eastAsia" w:ascii="仿宋" w:hAnsi="仿宋" w:eastAsia="仿宋" w:cs="仿宋"/>
                <w:color w:val="auto"/>
                <w:kern w:val="0"/>
                <w:szCs w:val="24"/>
                <w:highlight w:val="none"/>
              </w:rPr>
              <w:t>分，2小时内到岗的得2分，3小时内到岗的得1分。</w:t>
            </w:r>
          </w:p>
        </w:tc>
        <w:tc>
          <w:tcPr>
            <w:tcW w:w="913" w:type="dxa"/>
            <w:shd w:val="clear" w:color="auto" w:fill="auto"/>
            <w:vAlign w:val="center"/>
          </w:tcPr>
          <w:p w14:paraId="1E738665">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5分</w:t>
            </w:r>
          </w:p>
        </w:tc>
      </w:tr>
      <w:tr w14:paraId="425B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trPr>
        <w:tc>
          <w:tcPr>
            <w:tcW w:w="823" w:type="dxa"/>
            <w:vMerge w:val="continue"/>
            <w:vAlign w:val="center"/>
          </w:tcPr>
          <w:p w14:paraId="357FD336">
            <w:pPr>
              <w:widowControl/>
              <w:shd w:val="clear"/>
              <w:jc w:val="center"/>
              <w:rPr>
                <w:rFonts w:ascii="仿宋" w:hAnsi="仿宋" w:eastAsia="仿宋" w:cs="仿宋"/>
                <w:color w:val="auto"/>
                <w:kern w:val="0"/>
                <w:sz w:val="24"/>
                <w:highlight w:val="none"/>
              </w:rPr>
            </w:pPr>
          </w:p>
        </w:tc>
        <w:tc>
          <w:tcPr>
            <w:tcW w:w="1185" w:type="dxa"/>
            <w:vMerge w:val="continue"/>
            <w:vAlign w:val="center"/>
          </w:tcPr>
          <w:p w14:paraId="5C4ECAD9">
            <w:pPr>
              <w:widowControl/>
              <w:shd w:val="clear"/>
              <w:jc w:val="center"/>
              <w:rPr>
                <w:rFonts w:ascii="仿宋" w:hAnsi="仿宋" w:eastAsia="仿宋" w:cs="仿宋"/>
                <w:color w:val="auto"/>
                <w:kern w:val="0"/>
                <w:sz w:val="24"/>
                <w:highlight w:val="none"/>
              </w:rPr>
            </w:pPr>
          </w:p>
        </w:tc>
        <w:tc>
          <w:tcPr>
            <w:tcW w:w="5941" w:type="dxa"/>
            <w:shd w:val="clear" w:color="auto" w:fill="auto"/>
            <w:vAlign w:val="center"/>
          </w:tcPr>
          <w:p w14:paraId="01006541">
            <w:pPr>
              <w:pStyle w:val="79"/>
              <w:shd w:val="clear"/>
              <w:spacing w:line="240" w:lineRule="auto"/>
              <w:ind w:firstLine="0" w:firstLineChars="0"/>
              <w:rPr>
                <w:rFonts w:ascii="仿宋" w:hAnsi="仿宋" w:eastAsia="仿宋" w:cs="仿宋"/>
                <w:color w:val="auto"/>
                <w:kern w:val="0"/>
                <w:highlight w:val="none"/>
              </w:rPr>
            </w:pPr>
            <w:r>
              <w:rPr>
                <w:rFonts w:hint="eastAsia" w:ascii="仿宋" w:hAnsi="仿宋" w:eastAsia="仿宋" w:cs="仿宋"/>
                <w:color w:val="auto"/>
                <w:kern w:val="0"/>
                <w:highlight w:val="none"/>
              </w:rPr>
              <w:t>施工团队</w:t>
            </w:r>
            <w:r>
              <w:rPr>
                <w:rFonts w:hint="eastAsia" w:ascii="仿宋" w:hAnsi="仿宋" w:eastAsia="仿宋" w:cs="仿宋"/>
                <w:color w:val="auto"/>
                <w:kern w:val="0"/>
                <w:highlight w:val="none"/>
                <w:lang w:eastAsia="zh-CN"/>
              </w:rPr>
              <w:t>每</w:t>
            </w:r>
            <w:r>
              <w:rPr>
                <w:rFonts w:hint="eastAsia" w:ascii="仿宋" w:hAnsi="仿宋" w:eastAsia="仿宋" w:cs="仿宋"/>
                <w:color w:val="auto"/>
                <w:kern w:val="0"/>
                <w:highlight w:val="none"/>
              </w:rPr>
              <w:t>具有</w:t>
            </w:r>
            <w:r>
              <w:rPr>
                <w:rFonts w:hint="eastAsia" w:ascii="仿宋" w:hAnsi="仿宋" w:eastAsia="仿宋" w:cs="仿宋"/>
                <w:color w:val="auto"/>
                <w:kern w:val="0"/>
                <w:highlight w:val="none"/>
                <w:lang w:eastAsia="zh-CN"/>
              </w:rPr>
              <w:t>一本</w:t>
            </w:r>
            <w:r>
              <w:rPr>
                <w:rFonts w:hint="eastAsia" w:ascii="仿宋" w:hAnsi="仿宋" w:eastAsia="仿宋" w:cs="仿宋"/>
                <w:color w:val="auto"/>
                <w:kern w:val="0"/>
                <w:highlight w:val="none"/>
              </w:rPr>
              <w:t>电工证</w:t>
            </w:r>
            <w:r>
              <w:rPr>
                <w:rFonts w:hint="eastAsia" w:ascii="仿宋" w:hAnsi="仿宋" w:eastAsia="仿宋" w:cs="仿宋"/>
                <w:color w:val="auto"/>
                <w:kern w:val="0"/>
                <w:highlight w:val="none"/>
                <w:lang w:eastAsia="zh-CN"/>
              </w:rPr>
              <w:t>得</w:t>
            </w:r>
            <w:r>
              <w:rPr>
                <w:rFonts w:hint="eastAsia" w:ascii="仿宋" w:hAnsi="仿宋" w:eastAsia="仿宋" w:cs="仿宋"/>
                <w:color w:val="auto"/>
                <w:kern w:val="0"/>
                <w:highlight w:val="none"/>
                <w:lang w:val="en-US" w:eastAsia="zh-CN"/>
              </w:rPr>
              <w:t>1</w:t>
            </w:r>
            <w:r>
              <w:rPr>
                <w:rFonts w:hint="eastAsia" w:ascii="仿宋" w:hAnsi="仿宋" w:eastAsia="仿宋" w:cs="仿宋"/>
                <w:color w:val="auto"/>
                <w:kern w:val="0"/>
                <w:highlight w:val="none"/>
                <w:lang w:eastAsia="zh-CN"/>
              </w:rPr>
              <w:t>分，最高得</w:t>
            </w:r>
            <w:r>
              <w:rPr>
                <w:rFonts w:hint="eastAsia" w:ascii="仿宋" w:hAnsi="仿宋" w:eastAsia="仿宋" w:cs="仿宋"/>
                <w:color w:val="auto"/>
                <w:kern w:val="0"/>
                <w:highlight w:val="none"/>
                <w:lang w:val="en-US" w:eastAsia="zh-CN"/>
              </w:rPr>
              <w:t>2分</w:t>
            </w:r>
            <w:r>
              <w:rPr>
                <w:rFonts w:hint="eastAsia" w:ascii="仿宋" w:hAnsi="仿宋" w:eastAsia="仿宋" w:cs="仿宋"/>
                <w:color w:val="auto"/>
                <w:kern w:val="0"/>
                <w:highlight w:val="none"/>
                <w:lang w:eastAsia="zh-CN"/>
              </w:rPr>
              <w:t>；每具有一本</w:t>
            </w:r>
            <w:r>
              <w:rPr>
                <w:rFonts w:hint="eastAsia" w:ascii="仿宋" w:hAnsi="仿宋" w:eastAsia="仿宋" w:cs="仿宋"/>
                <w:color w:val="auto"/>
                <w:kern w:val="0"/>
                <w:highlight w:val="none"/>
              </w:rPr>
              <w:t>登高证</w:t>
            </w:r>
            <w:r>
              <w:rPr>
                <w:rFonts w:hint="eastAsia" w:ascii="仿宋" w:hAnsi="仿宋" w:eastAsia="仿宋" w:cs="仿宋"/>
                <w:color w:val="auto"/>
                <w:kern w:val="0"/>
                <w:highlight w:val="none"/>
                <w:lang w:eastAsia="zh-CN"/>
              </w:rPr>
              <w:t>得</w:t>
            </w:r>
            <w:r>
              <w:rPr>
                <w:rFonts w:hint="eastAsia" w:ascii="仿宋" w:hAnsi="仿宋" w:eastAsia="仿宋" w:cs="仿宋"/>
                <w:color w:val="auto"/>
                <w:kern w:val="0"/>
                <w:highlight w:val="none"/>
                <w:lang w:val="en-US" w:eastAsia="zh-CN"/>
              </w:rPr>
              <w:t>1分</w:t>
            </w:r>
            <w:r>
              <w:rPr>
                <w:rFonts w:hint="eastAsia" w:ascii="仿宋" w:hAnsi="仿宋" w:eastAsia="仿宋" w:cs="仿宋"/>
                <w:color w:val="auto"/>
                <w:kern w:val="0"/>
                <w:highlight w:val="none"/>
                <w:lang w:eastAsia="zh-CN"/>
              </w:rPr>
              <w:t>，最高得</w:t>
            </w:r>
            <w:r>
              <w:rPr>
                <w:rFonts w:hint="eastAsia" w:ascii="仿宋" w:hAnsi="仿宋" w:eastAsia="仿宋" w:cs="仿宋"/>
                <w:color w:val="auto"/>
                <w:kern w:val="0"/>
                <w:highlight w:val="none"/>
                <w:lang w:val="en-US" w:eastAsia="zh-CN"/>
              </w:rPr>
              <w:t>2分</w:t>
            </w:r>
            <w:r>
              <w:rPr>
                <w:rFonts w:hint="eastAsia" w:ascii="仿宋" w:hAnsi="仿宋" w:eastAsia="仿宋" w:cs="仿宋"/>
                <w:color w:val="auto"/>
                <w:kern w:val="0"/>
                <w:highlight w:val="none"/>
                <w:lang w:eastAsia="zh-CN"/>
              </w:rPr>
              <w:t>；具有</w:t>
            </w:r>
            <w:r>
              <w:rPr>
                <w:rFonts w:hint="eastAsia" w:ascii="仿宋" w:hAnsi="仿宋" w:eastAsia="仿宋" w:cs="仿宋"/>
                <w:color w:val="auto"/>
                <w:highlight w:val="none"/>
              </w:rPr>
              <w:t>轻型非载货专项作业车(登高车)</w:t>
            </w:r>
            <w:r>
              <w:rPr>
                <w:rFonts w:hint="eastAsia" w:ascii="仿宋" w:hAnsi="仿宋" w:eastAsia="仿宋" w:cs="仿宋"/>
                <w:color w:val="auto"/>
                <w:highlight w:val="none"/>
                <w:lang w:eastAsia="zh-CN"/>
              </w:rPr>
              <w:t>得</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分</w:t>
            </w:r>
            <w:r>
              <w:rPr>
                <w:rFonts w:hint="eastAsia" w:ascii="仿宋" w:hAnsi="仿宋" w:eastAsia="仿宋" w:cs="仿宋"/>
                <w:color w:val="auto"/>
                <w:kern w:val="0"/>
                <w:highlight w:val="none"/>
              </w:rPr>
              <w:t>。（以上证书在投标技术文件中提供</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s="仿宋"/>
                <w:color w:val="auto"/>
                <w:kern w:val="0"/>
                <w:highlight w:val="none"/>
              </w:rPr>
              <w:t>；证书持有人必须为投标单位或其分公司正式员工，</w:t>
            </w:r>
            <w:r>
              <w:rPr>
                <w:rFonts w:hint="eastAsia" w:ascii="仿宋" w:hAnsi="仿宋" w:eastAsia="仿宋" w:cs="仿宋"/>
                <w:color w:val="auto"/>
                <w:kern w:val="0"/>
                <w:sz w:val="24"/>
                <w:highlight w:val="none"/>
              </w:rPr>
              <w:t>需提供投标人单位的社保证明</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s="仿宋"/>
                <w:color w:val="auto"/>
                <w:kern w:val="0"/>
                <w:highlight w:val="none"/>
              </w:rPr>
              <w:t>；车辆需</w:t>
            </w:r>
            <w:r>
              <w:rPr>
                <w:rFonts w:hint="eastAsia" w:ascii="仿宋" w:hAnsi="仿宋" w:eastAsia="仿宋" w:cs="仿宋"/>
                <w:color w:val="auto"/>
                <w:kern w:val="0"/>
                <w:highlight w:val="none"/>
                <w:lang w:eastAsia="zh-CN"/>
              </w:rPr>
              <w:t>提供</w:t>
            </w:r>
            <w:r>
              <w:rPr>
                <w:rFonts w:hint="eastAsia" w:ascii="仿宋" w:hAnsi="仿宋" w:eastAsia="仿宋" w:cs="仿宋"/>
                <w:color w:val="auto"/>
                <w:kern w:val="0"/>
                <w:highlight w:val="none"/>
              </w:rPr>
              <w:t>行驶证</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s="仿宋"/>
                <w:color w:val="auto"/>
                <w:kern w:val="0"/>
                <w:highlight w:val="none"/>
              </w:rPr>
              <w:t>）</w:t>
            </w:r>
          </w:p>
        </w:tc>
        <w:tc>
          <w:tcPr>
            <w:tcW w:w="913" w:type="dxa"/>
            <w:shd w:val="clear" w:color="auto" w:fill="auto"/>
            <w:vAlign w:val="center"/>
          </w:tcPr>
          <w:p w14:paraId="06D28830">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5分</w:t>
            </w:r>
          </w:p>
        </w:tc>
      </w:tr>
      <w:tr w14:paraId="212E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823" w:type="dxa"/>
            <w:vAlign w:val="center"/>
          </w:tcPr>
          <w:p w14:paraId="3D7DA6B4">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w:t>
            </w:r>
          </w:p>
        </w:tc>
        <w:tc>
          <w:tcPr>
            <w:tcW w:w="1185" w:type="dxa"/>
            <w:vAlign w:val="center"/>
          </w:tcPr>
          <w:p w14:paraId="42505866">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网络建设</w:t>
            </w:r>
          </w:p>
        </w:tc>
        <w:tc>
          <w:tcPr>
            <w:tcW w:w="5941" w:type="dxa"/>
            <w:shd w:val="clear" w:color="auto" w:fill="auto"/>
            <w:vAlign w:val="center"/>
          </w:tcPr>
          <w:p w14:paraId="52CE2D44">
            <w:pPr>
              <w:pStyle w:val="79"/>
              <w:shd w:val="clear"/>
              <w:spacing w:line="240" w:lineRule="auto"/>
              <w:ind w:firstLine="0" w:firstLineChars="0"/>
              <w:rPr>
                <w:rFonts w:ascii="仿宋" w:hAnsi="仿宋" w:eastAsia="仿宋" w:cs="仿宋"/>
                <w:color w:val="auto"/>
                <w:kern w:val="0"/>
                <w:szCs w:val="24"/>
                <w:highlight w:val="none"/>
              </w:rPr>
            </w:pPr>
            <w:r>
              <w:rPr>
                <w:rFonts w:hint="eastAsia" w:ascii="仿宋" w:hAnsi="仿宋" w:eastAsia="仿宋" w:cs="仿宋"/>
                <w:color w:val="auto"/>
                <w:kern w:val="0"/>
                <w:szCs w:val="24"/>
                <w:highlight w:val="none"/>
              </w:rPr>
              <w:t>本项目数据传输网络为运营商光纤网络，投标人具有自有线路（以提供基础电信业务经营许可证</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s="仿宋"/>
                <w:color w:val="auto"/>
                <w:kern w:val="0"/>
                <w:szCs w:val="24"/>
                <w:highlight w:val="none"/>
              </w:rPr>
              <w:t>），</w:t>
            </w:r>
            <w:r>
              <w:rPr>
                <w:rFonts w:hint="eastAsia" w:ascii="仿宋" w:hAnsi="仿宋" w:eastAsia="仿宋" w:cs="仿宋"/>
                <w:color w:val="auto"/>
                <w:kern w:val="0"/>
                <w:szCs w:val="24"/>
                <w:highlight w:val="none"/>
                <w:lang w:eastAsia="zh-CN"/>
              </w:rPr>
              <w:t>或者</w:t>
            </w:r>
            <w:r>
              <w:rPr>
                <w:rFonts w:hint="eastAsia" w:ascii="仿宋" w:hAnsi="仿宋" w:eastAsia="仿宋" w:cs="仿宋"/>
                <w:color w:val="auto"/>
                <w:highlight w:val="none"/>
              </w:rPr>
              <w:t>非运营商提供</w:t>
            </w:r>
            <w:r>
              <w:rPr>
                <w:rFonts w:hint="eastAsia" w:ascii="仿宋" w:hAnsi="仿宋" w:eastAsia="仿宋" w:cs="仿宋"/>
                <w:color w:val="auto"/>
                <w:highlight w:val="none"/>
                <w:lang w:eastAsia="zh-CN"/>
              </w:rPr>
              <w:t>相关服务内容的</w:t>
            </w:r>
            <w:r>
              <w:rPr>
                <w:rFonts w:hint="eastAsia" w:ascii="仿宋" w:hAnsi="仿宋" w:eastAsia="仿宋" w:cs="仿宋"/>
                <w:color w:val="auto"/>
                <w:highlight w:val="none"/>
              </w:rPr>
              <w:t>承诺函（格式自拟）</w:t>
            </w:r>
            <w:r>
              <w:rPr>
                <w:rFonts w:hint="eastAsia" w:ascii="仿宋" w:hAnsi="仿宋" w:eastAsia="仿宋" w:cs="仿宋"/>
                <w:color w:val="auto"/>
                <w:highlight w:val="none"/>
                <w:lang w:eastAsia="zh-CN"/>
              </w:rPr>
              <w:t>的</w:t>
            </w:r>
            <w:r>
              <w:rPr>
                <w:rFonts w:hint="eastAsia" w:ascii="仿宋" w:hAnsi="仿宋" w:eastAsia="仿宋" w:cs="仿宋"/>
                <w:color w:val="auto"/>
                <w:highlight w:val="none"/>
              </w:rPr>
              <w:t>，得</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分。</w:t>
            </w:r>
          </w:p>
        </w:tc>
        <w:tc>
          <w:tcPr>
            <w:tcW w:w="913" w:type="dxa"/>
            <w:shd w:val="clear" w:color="auto" w:fill="auto"/>
            <w:vAlign w:val="center"/>
          </w:tcPr>
          <w:p w14:paraId="0DABA17A">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5分</w:t>
            </w:r>
          </w:p>
        </w:tc>
      </w:tr>
      <w:tr w14:paraId="21F6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3" w:type="dxa"/>
            <w:vAlign w:val="center"/>
          </w:tcPr>
          <w:p w14:paraId="4A34EA82">
            <w:pPr>
              <w:widowControl/>
              <w:shd w:val="clear"/>
              <w:adjustRightInd/>
              <w:spacing w:line="30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185" w:type="dxa"/>
            <w:vAlign w:val="center"/>
          </w:tcPr>
          <w:p w14:paraId="4605B680">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优惠措施</w:t>
            </w:r>
          </w:p>
        </w:tc>
        <w:tc>
          <w:tcPr>
            <w:tcW w:w="5941" w:type="dxa"/>
            <w:vAlign w:val="center"/>
          </w:tcPr>
          <w:p w14:paraId="27BB24D7">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根据投标人承诺的其他实质性优惠条件进行打分得2分。</w:t>
            </w:r>
          </w:p>
        </w:tc>
        <w:tc>
          <w:tcPr>
            <w:tcW w:w="913" w:type="dxa"/>
            <w:vAlign w:val="center"/>
          </w:tcPr>
          <w:p w14:paraId="1EC034F1">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2分</w:t>
            </w:r>
          </w:p>
        </w:tc>
      </w:tr>
    </w:tbl>
    <w:p w14:paraId="0ABBF96D">
      <w:pPr>
        <w:pStyle w:val="24"/>
        <w:shd w:val="clear"/>
        <w:ind w:firstLine="0"/>
        <w:rPr>
          <w:rFonts w:ascii="仿宋" w:hAnsi="仿宋" w:eastAsia="仿宋" w:cs="仿宋"/>
          <w:color w:val="auto"/>
          <w:highlight w:val="none"/>
          <w:lang w:val="en-US"/>
        </w:rPr>
      </w:pPr>
      <w:r>
        <w:rPr>
          <w:rFonts w:hint="eastAsia" w:ascii="仿宋" w:hAnsi="仿宋" w:eastAsia="仿宋" w:cs="仿宋"/>
          <w:b/>
          <w:bCs/>
          <w:iCs/>
          <w:color w:val="auto"/>
          <w:highlight w:val="none"/>
          <w:bdr w:val="single" w:color="000000" w:sz="4" w:space="0"/>
        </w:rPr>
        <w:t>标项二</w:t>
      </w:r>
    </w:p>
    <w:tbl>
      <w:tblPr>
        <w:tblStyle w:val="62"/>
        <w:tblW w:w="8832"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185"/>
        <w:gridCol w:w="5941"/>
        <w:gridCol w:w="913"/>
      </w:tblGrid>
      <w:tr w14:paraId="584F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tcBorders>
              <w:top w:val="single" w:color="auto" w:sz="4" w:space="0"/>
              <w:left w:val="single" w:color="auto" w:sz="4" w:space="0"/>
              <w:bottom w:val="single" w:color="auto" w:sz="4" w:space="0"/>
              <w:right w:val="single" w:color="auto" w:sz="4" w:space="0"/>
            </w:tcBorders>
            <w:vAlign w:val="center"/>
          </w:tcPr>
          <w:p w14:paraId="56028A23">
            <w:pPr>
              <w:keepNext w:val="0"/>
              <w:keepLines w:val="0"/>
              <w:pageBreakBefore w:val="0"/>
              <w:widowControl/>
              <w:shd w:val="clear"/>
              <w:kinsoku/>
              <w:wordWrap/>
              <w:overflowPunct/>
              <w:topLinePunct w:val="0"/>
              <w:autoSpaceDE/>
              <w:autoSpaceDN/>
              <w:bidi w:val="0"/>
              <w:adjustRightInd/>
              <w:snapToGrid w:val="0"/>
              <w:spacing w:line="288" w:lineRule="auto"/>
              <w:jc w:val="center"/>
              <w:textAlignment w:val="auto"/>
              <w:rPr>
                <w:rFonts w:ascii="仿宋" w:hAnsi="仿宋" w:eastAsia="仿宋" w:cs="仿宋"/>
                <w:color w:val="auto"/>
                <w:sz w:val="24"/>
                <w:highlight w:val="none"/>
              </w:rPr>
            </w:pPr>
            <w:r>
              <w:rPr>
                <w:rFonts w:hint="eastAsia" w:ascii="仿宋" w:hAnsi="仿宋" w:eastAsia="仿宋" w:cs="仿宋"/>
                <w:b/>
                <w:bCs/>
                <w:color w:val="auto"/>
                <w:kern w:val="0"/>
                <w:sz w:val="24"/>
                <w:szCs w:val="24"/>
                <w:highlight w:val="none"/>
              </w:rPr>
              <w:t>序号</w:t>
            </w:r>
          </w:p>
        </w:tc>
        <w:tc>
          <w:tcPr>
            <w:tcW w:w="1185" w:type="dxa"/>
            <w:tcBorders>
              <w:top w:val="single" w:color="auto" w:sz="4" w:space="0"/>
              <w:left w:val="single" w:color="auto" w:sz="4" w:space="0"/>
              <w:bottom w:val="single" w:color="auto" w:sz="4" w:space="0"/>
              <w:right w:val="single" w:color="auto" w:sz="4" w:space="0"/>
            </w:tcBorders>
            <w:vAlign w:val="center"/>
          </w:tcPr>
          <w:p w14:paraId="69ECF618">
            <w:pPr>
              <w:keepNext w:val="0"/>
              <w:keepLines w:val="0"/>
              <w:pageBreakBefore w:val="0"/>
              <w:widowControl/>
              <w:shd w:val="clear"/>
              <w:kinsoku/>
              <w:wordWrap/>
              <w:overflowPunct/>
              <w:topLinePunct w:val="0"/>
              <w:autoSpaceDE/>
              <w:autoSpaceDN/>
              <w:bidi w:val="0"/>
              <w:adjustRightInd/>
              <w:snapToGrid w:val="0"/>
              <w:spacing w:line="288" w:lineRule="auto"/>
              <w:jc w:val="center"/>
              <w:textAlignment w:val="auto"/>
              <w:rPr>
                <w:rFonts w:ascii="仿宋" w:hAnsi="仿宋" w:eastAsia="仿宋" w:cs="仿宋"/>
                <w:color w:val="auto"/>
                <w:kern w:val="0"/>
                <w:sz w:val="24"/>
                <w:highlight w:val="none"/>
              </w:rPr>
            </w:pPr>
            <w:r>
              <w:rPr>
                <w:rFonts w:hint="eastAsia" w:ascii="仿宋" w:hAnsi="仿宋" w:eastAsia="仿宋" w:cs="仿宋"/>
                <w:b/>
                <w:bCs/>
                <w:color w:val="auto"/>
                <w:kern w:val="0"/>
                <w:sz w:val="24"/>
                <w:szCs w:val="24"/>
                <w:highlight w:val="none"/>
              </w:rPr>
              <w:t>评分项</w:t>
            </w:r>
          </w:p>
        </w:tc>
        <w:tc>
          <w:tcPr>
            <w:tcW w:w="5941" w:type="dxa"/>
            <w:tcBorders>
              <w:top w:val="single" w:color="auto" w:sz="4" w:space="0"/>
              <w:left w:val="single" w:color="auto" w:sz="4" w:space="0"/>
              <w:bottom w:val="single" w:color="auto" w:sz="4" w:space="0"/>
              <w:right w:val="single" w:color="auto" w:sz="4" w:space="0"/>
            </w:tcBorders>
            <w:vAlign w:val="center"/>
          </w:tcPr>
          <w:p w14:paraId="4E4E84CA">
            <w:pPr>
              <w:keepNext w:val="0"/>
              <w:keepLines w:val="0"/>
              <w:pageBreakBefore w:val="0"/>
              <w:widowControl/>
              <w:shd w:val="clear"/>
              <w:kinsoku/>
              <w:wordWrap/>
              <w:overflowPunct/>
              <w:topLinePunct w:val="0"/>
              <w:autoSpaceDE/>
              <w:autoSpaceDN/>
              <w:bidi w:val="0"/>
              <w:adjustRightInd/>
              <w:snapToGrid w:val="0"/>
              <w:spacing w:line="288" w:lineRule="auto"/>
              <w:jc w:val="center"/>
              <w:textAlignment w:val="auto"/>
              <w:rPr>
                <w:rFonts w:ascii="仿宋" w:hAnsi="仿宋" w:eastAsia="仿宋" w:cs="仿宋"/>
                <w:color w:val="auto"/>
                <w:kern w:val="0"/>
                <w:sz w:val="24"/>
                <w:highlight w:val="none"/>
              </w:rPr>
            </w:pPr>
            <w:r>
              <w:rPr>
                <w:rFonts w:hint="eastAsia" w:ascii="仿宋" w:hAnsi="仿宋" w:eastAsia="仿宋" w:cs="仿宋"/>
                <w:b/>
                <w:bCs/>
                <w:color w:val="auto"/>
                <w:kern w:val="0"/>
                <w:sz w:val="24"/>
                <w:szCs w:val="24"/>
                <w:highlight w:val="none"/>
              </w:rPr>
              <w:t>评审依据及标准</w:t>
            </w:r>
          </w:p>
        </w:tc>
        <w:tc>
          <w:tcPr>
            <w:tcW w:w="913" w:type="dxa"/>
            <w:tcBorders>
              <w:top w:val="single" w:color="auto" w:sz="4" w:space="0"/>
              <w:left w:val="single" w:color="auto" w:sz="4" w:space="0"/>
              <w:bottom w:val="single" w:color="auto" w:sz="4" w:space="0"/>
              <w:right w:val="single" w:color="auto" w:sz="4" w:space="0"/>
            </w:tcBorders>
            <w:vAlign w:val="center"/>
          </w:tcPr>
          <w:p w14:paraId="0B553A8D">
            <w:pPr>
              <w:keepNext w:val="0"/>
              <w:keepLines w:val="0"/>
              <w:pageBreakBefore w:val="0"/>
              <w:widowControl/>
              <w:shd w:val="clear"/>
              <w:kinsoku/>
              <w:wordWrap/>
              <w:overflowPunct/>
              <w:topLinePunct w:val="0"/>
              <w:autoSpaceDE/>
              <w:autoSpaceDN/>
              <w:bidi w:val="0"/>
              <w:adjustRightInd/>
              <w:snapToGrid w:val="0"/>
              <w:spacing w:line="288" w:lineRule="auto"/>
              <w:jc w:val="center"/>
              <w:textAlignment w:val="auto"/>
              <w:rPr>
                <w:rFonts w:ascii="仿宋" w:hAnsi="仿宋" w:eastAsia="仿宋" w:cs="仿宋"/>
                <w:color w:val="auto"/>
                <w:kern w:val="0"/>
                <w:sz w:val="24"/>
                <w:highlight w:val="none"/>
              </w:rPr>
            </w:pPr>
            <w:r>
              <w:rPr>
                <w:rFonts w:hint="eastAsia" w:ascii="仿宋" w:hAnsi="仿宋" w:eastAsia="仿宋" w:cs="仿宋"/>
                <w:b/>
                <w:bCs/>
                <w:color w:val="auto"/>
                <w:kern w:val="0"/>
                <w:sz w:val="24"/>
                <w:szCs w:val="24"/>
                <w:highlight w:val="none"/>
              </w:rPr>
              <w:t>分值</w:t>
            </w:r>
          </w:p>
        </w:tc>
      </w:tr>
      <w:tr w14:paraId="789C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tcBorders>
              <w:top w:val="single" w:color="auto" w:sz="4" w:space="0"/>
              <w:left w:val="single" w:color="auto" w:sz="4" w:space="0"/>
              <w:bottom w:val="single" w:color="auto" w:sz="4" w:space="0"/>
              <w:right w:val="single" w:color="auto" w:sz="4" w:space="0"/>
            </w:tcBorders>
            <w:vAlign w:val="center"/>
          </w:tcPr>
          <w:p w14:paraId="4B38650B">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185" w:type="dxa"/>
            <w:tcBorders>
              <w:top w:val="single" w:color="auto" w:sz="4" w:space="0"/>
              <w:left w:val="single" w:color="auto" w:sz="4" w:space="0"/>
              <w:bottom w:val="single" w:color="auto" w:sz="4" w:space="0"/>
              <w:right w:val="single" w:color="auto" w:sz="4" w:space="0"/>
            </w:tcBorders>
            <w:vAlign w:val="center"/>
          </w:tcPr>
          <w:p w14:paraId="44C93787">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企业业绩</w:t>
            </w:r>
          </w:p>
        </w:tc>
        <w:tc>
          <w:tcPr>
            <w:tcW w:w="5941" w:type="dxa"/>
            <w:tcBorders>
              <w:top w:val="single" w:color="auto" w:sz="4" w:space="0"/>
              <w:left w:val="single" w:color="auto" w:sz="4" w:space="0"/>
              <w:bottom w:val="single" w:color="auto" w:sz="4" w:space="0"/>
              <w:right w:val="single" w:color="auto" w:sz="4" w:space="0"/>
            </w:tcBorders>
            <w:vAlign w:val="center"/>
          </w:tcPr>
          <w:p w14:paraId="39C94E7F">
            <w:pPr>
              <w:keepNext w:val="0"/>
              <w:keepLines w:val="0"/>
              <w:pageBreakBefore w:val="0"/>
              <w:widowControl/>
              <w:shd w:val="clear"/>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投标人自2021年7月1日以来（以合同签订时间为准）完成的同类案例，每有一个得1</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分，最高得3分。</w:t>
            </w:r>
          </w:p>
          <w:p w14:paraId="5B223659">
            <w:pPr>
              <w:keepNext w:val="0"/>
              <w:keepLines w:val="0"/>
              <w:pageBreakBefore w:val="0"/>
              <w:widowControl/>
              <w:shd w:val="clear"/>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注：</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每个案例提供合同和验收报告的复印件，并加盖投标人公章。</w:t>
            </w:r>
          </w:p>
          <w:p w14:paraId="6ED6090B">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.投标产品为省级以上主管部门认定的首台套产品，自纳入《省推广应用指导目录》起三年内参加政府采购活动，视同已具备相应销售业绩，业绩分为满分。</w:t>
            </w:r>
          </w:p>
        </w:tc>
        <w:tc>
          <w:tcPr>
            <w:tcW w:w="913" w:type="dxa"/>
            <w:tcBorders>
              <w:top w:val="single" w:color="auto" w:sz="4" w:space="0"/>
              <w:left w:val="single" w:color="auto" w:sz="4" w:space="0"/>
              <w:bottom w:val="single" w:color="auto" w:sz="4" w:space="0"/>
              <w:right w:val="single" w:color="auto" w:sz="4" w:space="0"/>
            </w:tcBorders>
            <w:vAlign w:val="center"/>
          </w:tcPr>
          <w:p w14:paraId="61C76D19">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3分</w:t>
            </w:r>
          </w:p>
        </w:tc>
      </w:tr>
      <w:tr w14:paraId="36AF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tcBorders>
              <w:top w:val="single" w:color="auto" w:sz="4" w:space="0"/>
              <w:left w:val="single" w:color="auto" w:sz="4" w:space="0"/>
              <w:bottom w:val="single" w:color="auto" w:sz="4" w:space="0"/>
              <w:right w:val="single" w:color="auto" w:sz="4" w:space="0"/>
            </w:tcBorders>
            <w:vAlign w:val="center"/>
          </w:tcPr>
          <w:p w14:paraId="6BEF6673">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185" w:type="dxa"/>
            <w:tcBorders>
              <w:top w:val="single" w:color="auto" w:sz="4" w:space="0"/>
              <w:left w:val="single" w:color="auto" w:sz="4" w:space="0"/>
              <w:bottom w:val="single" w:color="auto" w:sz="4" w:space="0"/>
              <w:right w:val="single" w:color="auto" w:sz="4" w:space="0"/>
            </w:tcBorders>
            <w:vAlign w:val="center"/>
          </w:tcPr>
          <w:p w14:paraId="040261B3">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企业证书</w:t>
            </w:r>
          </w:p>
        </w:tc>
        <w:tc>
          <w:tcPr>
            <w:tcW w:w="5941" w:type="dxa"/>
            <w:tcBorders>
              <w:top w:val="single" w:color="auto" w:sz="4" w:space="0"/>
              <w:left w:val="single" w:color="auto" w:sz="4" w:space="0"/>
              <w:bottom w:val="single" w:color="auto" w:sz="4" w:space="0"/>
              <w:right w:val="single" w:color="auto" w:sz="4" w:space="0"/>
            </w:tcBorders>
            <w:vAlign w:val="center"/>
          </w:tcPr>
          <w:p w14:paraId="7963002A">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1.投标人具有信息安全服务资质</w:t>
            </w:r>
            <w:r>
              <w:rPr>
                <w:rFonts w:hint="eastAsia" w:ascii="仿宋" w:hAnsi="仿宋" w:eastAsia="仿宋" w:cs="仿宋"/>
                <w:color w:val="auto"/>
                <w:kern w:val="0"/>
                <w:sz w:val="24"/>
                <w:highlight w:val="none"/>
                <w:lang w:eastAsia="zh-CN"/>
              </w:rPr>
              <w:t>三</w:t>
            </w:r>
            <w:r>
              <w:rPr>
                <w:rFonts w:hint="eastAsia" w:ascii="仿宋" w:hAnsi="仿宋" w:eastAsia="仿宋" w:cs="仿宋"/>
                <w:color w:val="auto"/>
                <w:kern w:val="0"/>
                <w:sz w:val="24"/>
                <w:highlight w:val="none"/>
              </w:rPr>
              <w:t>级（含）以上的得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分，无不得分。</w:t>
            </w:r>
          </w:p>
          <w:p w14:paraId="3002D51B">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.投标人具有电子与智能化工程专业承包壹级证书的得</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分，具有电子与智能化工程专业承包贰级证书的得</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分，无不得分。</w:t>
            </w:r>
          </w:p>
          <w:p w14:paraId="6B0E2857">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注：以上证书均须提供相关证书证明材料</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s="仿宋"/>
                <w:color w:val="auto"/>
                <w:kern w:val="0"/>
                <w:sz w:val="24"/>
                <w:highlight w:val="none"/>
              </w:rPr>
              <w:t>，否则不得分。</w:t>
            </w:r>
          </w:p>
        </w:tc>
        <w:tc>
          <w:tcPr>
            <w:tcW w:w="913" w:type="dxa"/>
            <w:tcBorders>
              <w:top w:val="single" w:color="auto" w:sz="4" w:space="0"/>
              <w:left w:val="single" w:color="auto" w:sz="4" w:space="0"/>
              <w:bottom w:val="single" w:color="auto" w:sz="4" w:space="0"/>
              <w:right w:val="single" w:color="auto" w:sz="4" w:space="0"/>
            </w:tcBorders>
            <w:vAlign w:val="center"/>
          </w:tcPr>
          <w:p w14:paraId="4841C40C">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6分</w:t>
            </w:r>
          </w:p>
        </w:tc>
      </w:tr>
      <w:tr w14:paraId="6D88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93" w:type="dxa"/>
            <w:tcBorders>
              <w:top w:val="single" w:color="auto" w:sz="4" w:space="0"/>
              <w:left w:val="single" w:color="auto" w:sz="4" w:space="0"/>
              <w:bottom w:val="single" w:color="auto" w:sz="4" w:space="0"/>
              <w:right w:val="single" w:color="auto" w:sz="4" w:space="0"/>
            </w:tcBorders>
            <w:vAlign w:val="center"/>
          </w:tcPr>
          <w:p w14:paraId="2092CDAC">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185" w:type="dxa"/>
            <w:tcBorders>
              <w:top w:val="single" w:color="auto" w:sz="4" w:space="0"/>
              <w:left w:val="single" w:color="auto" w:sz="4" w:space="0"/>
              <w:bottom w:val="single" w:color="auto" w:sz="4" w:space="0"/>
              <w:right w:val="single" w:color="auto" w:sz="4" w:space="0"/>
            </w:tcBorders>
            <w:vAlign w:val="center"/>
          </w:tcPr>
          <w:p w14:paraId="39BAD286">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项目负责人</w:t>
            </w:r>
          </w:p>
        </w:tc>
        <w:tc>
          <w:tcPr>
            <w:tcW w:w="5941" w:type="dxa"/>
            <w:tcBorders>
              <w:top w:val="single" w:color="auto" w:sz="4" w:space="0"/>
              <w:left w:val="single" w:color="auto" w:sz="4" w:space="0"/>
              <w:bottom w:val="single" w:color="auto" w:sz="4" w:space="0"/>
              <w:right w:val="single" w:color="auto" w:sz="4" w:space="0"/>
            </w:tcBorders>
            <w:vAlign w:val="center"/>
          </w:tcPr>
          <w:p w14:paraId="7E47CA29">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项目负责人具有机电</w:t>
            </w:r>
            <w:r>
              <w:rPr>
                <w:rFonts w:hint="eastAsia" w:ascii="仿宋" w:hAnsi="仿宋" w:eastAsia="仿宋" w:cs="仿宋"/>
                <w:color w:val="auto"/>
                <w:kern w:val="0"/>
                <w:sz w:val="24"/>
                <w:highlight w:val="none"/>
                <w:lang w:eastAsia="zh-CN"/>
              </w:rPr>
              <w:t>二级及以上</w:t>
            </w:r>
            <w:r>
              <w:rPr>
                <w:rFonts w:hint="eastAsia" w:ascii="仿宋" w:hAnsi="仿宋" w:eastAsia="仿宋" w:cs="仿宋"/>
                <w:color w:val="auto"/>
                <w:kern w:val="0"/>
                <w:sz w:val="24"/>
                <w:highlight w:val="none"/>
              </w:rPr>
              <w:t>注册建造师、信息系统项目管理师、高级工程师、安全生产考核证书（B证），每提供1类证书得1分，最高得4分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(提供职称证书的</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s="仿宋"/>
                <w:color w:val="auto"/>
                <w:kern w:val="0"/>
                <w:sz w:val="24"/>
                <w:highlight w:val="none"/>
              </w:rPr>
              <w:t>，未提供不得分)同时，证书持有人必须为投标单位或其分公司正式员工，需提供项目负责人在投标人单位的社保证明</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s="仿宋"/>
                <w:color w:val="auto"/>
                <w:kern w:val="0"/>
                <w:sz w:val="24"/>
                <w:highlight w:val="none"/>
              </w:rPr>
              <w:t>，否则本项不得分。</w:t>
            </w:r>
          </w:p>
        </w:tc>
        <w:tc>
          <w:tcPr>
            <w:tcW w:w="913" w:type="dxa"/>
            <w:tcBorders>
              <w:top w:val="single" w:color="auto" w:sz="4" w:space="0"/>
              <w:left w:val="single" w:color="auto" w:sz="4" w:space="0"/>
              <w:bottom w:val="single" w:color="auto" w:sz="4" w:space="0"/>
              <w:right w:val="single" w:color="auto" w:sz="4" w:space="0"/>
            </w:tcBorders>
            <w:vAlign w:val="center"/>
          </w:tcPr>
          <w:p w14:paraId="5A5841D2">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分</w:t>
            </w:r>
          </w:p>
        </w:tc>
      </w:tr>
      <w:tr w14:paraId="7F7A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tcBorders>
              <w:top w:val="single" w:color="auto" w:sz="4" w:space="0"/>
              <w:left w:val="single" w:color="auto" w:sz="4" w:space="0"/>
              <w:bottom w:val="single" w:color="auto" w:sz="4" w:space="0"/>
              <w:right w:val="single" w:color="auto" w:sz="4" w:space="0"/>
            </w:tcBorders>
            <w:vAlign w:val="center"/>
          </w:tcPr>
          <w:p w14:paraId="78A01702">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185" w:type="dxa"/>
            <w:tcBorders>
              <w:top w:val="single" w:color="auto" w:sz="4" w:space="0"/>
              <w:left w:val="single" w:color="auto" w:sz="4" w:space="0"/>
              <w:bottom w:val="single" w:color="auto" w:sz="4" w:space="0"/>
              <w:right w:val="single" w:color="auto" w:sz="4" w:space="0"/>
            </w:tcBorders>
            <w:vAlign w:val="center"/>
          </w:tcPr>
          <w:p w14:paraId="666243F7">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项目组成员</w:t>
            </w:r>
          </w:p>
        </w:tc>
        <w:tc>
          <w:tcPr>
            <w:tcW w:w="5941" w:type="dxa"/>
            <w:tcBorders>
              <w:top w:val="single" w:color="auto" w:sz="4" w:space="0"/>
              <w:left w:val="single" w:color="auto" w:sz="4" w:space="0"/>
              <w:bottom w:val="single" w:color="auto" w:sz="4" w:space="0"/>
              <w:right w:val="single" w:color="auto" w:sz="4" w:space="0"/>
            </w:tcBorders>
            <w:vAlign w:val="center"/>
          </w:tcPr>
          <w:p w14:paraId="731886DC">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项目组成员中具有信息技术、软件或网络方面工程师职称及以上得1分，最多得5分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szCs w:val="24"/>
                <w:highlight w:val="none"/>
              </w:rPr>
              <w:t>（以上证书在投标文件中提供</w:t>
            </w:r>
            <w:r>
              <w:rPr>
                <w:rFonts w:hint="eastAsia" w:ascii="仿宋" w:hAnsi="仿宋" w:eastAsia="仿宋" w:cs="仿宋"/>
                <w:color w:val="auto"/>
                <w:sz w:val="24"/>
                <w:szCs w:val="24"/>
                <w:highlight w:val="none"/>
                <w:lang w:eastAsia="zh-CN"/>
              </w:rPr>
              <w:t>复印件，</w:t>
            </w:r>
            <w:r>
              <w:rPr>
                <w:rFonts w:hint="eastAsia" w:ascii="仿宋" w:hAnsi="仿宋" w:eastAsia="仿宋" w:cs="仿宋"/>
                <w:color w:val="auto"/>
                <w:sz w:val="24"/>
                <w:szCs w:val="24"/>
                <w:highlight w:val="none"/>
              </w:rPr>
              <w:t>并加盖投标人公章</w:t>
            </w:r>
            <w:r>
              <w:rPr>
                <w:rFonts w:hint="eastAsia" w:ascii="仿宋" w:hAnsi="仿宋" w:eastAsia="仿宋" w:cs="仿宋"/>
                <w:color w:val="auto"/>
                <w:kern w:val="0"/>
                <w:sz w:val="24"/>
                <w:szCs w:val="24"/>
                <w:highlight w:val="none"/>
              </w:rPr>
              <w:t>；证书持有人必须为投标单位或其分公司正式员工，</w:t>
            </w:r>
            <w:r>
              <w:rPr>
                <w:rFonts w:hint="eastAsia" w:ascii="仿宋" w:hAnsi="仿宋" w:eastAsia="仿宋" w:cs="仿宋"/>
                <w:color w:val="auto"/>
                <w:kern w:val="0"/>
                <w:sz w:val="24"/>
                <w:highlight w:val="none"/>
              </w:rPr>
              <w:t>需提供投标人单位的社保证明</w:t>
            </w:r>
            <w:r>
              <w:rPr>
                <w:rFonts w:hint="eastAsia" w:ascii="仿宋" w:hAnsi="仿宋" w:eastAsia="仿宋" w:cs="仿宋"/>
                <w:color w:val="auto"/>
                <w:sz w:val="24"/>
                <w:highlight w:val="none"/>
                <w:lang w:eastAsia="zh-CN"/>
              </w:rPr>
              <w:t>复印件，</w:t>
            </w:r>
            <w:r>
              <w:rPr>
                <w:rFonts w:hint="eastAsia" w:ascii="仿宋" w:hAnsi="仿宋" w:eastAsia="仿宋" w:cs="仿宋"/>
                <w:color w:val="auto"/>
                <w:sz w:val="24"/>
                <w:highlight w:val="none"/>
              </w:rPr>
              <w:t>并加盖投标人公章</w:t>
            </w:r>
            <w:r>
              <w:rPr>
                <w:rFonts w:hint="eastAsia" w:ascii="仿宋" w:hAnsi="仿宋" w:eastAsia="仿宋" w:cs="仿宋"/>
                <w:color w:val="auto"/>
                <w:kern w:val="0"/>
                <w:sz w:val="24"/>
                <w:szCs w:val="24"/>
                <w:highlight w:val="none"/>
              </w:rPr>
              <w:t>）</w:t>
            </w:r>
          </w:p>
        </w:tc>
        <w:tc>
          <w:tcPr>
            <w:tcW w:w="913" w:type="dxa"/>
            <w:tcBorders>
              <w:top w:val="single" w:color="auto" w:sz="4" w:space="0"/>
              <w:left w:val="single" w:color="auto" w:sz="4" w:space="0"/>
              <w:bottom w:val="single" w:color="auto" w:sz="4" w:space="0"/>
              <w:right w:val="single" w:color="auto" w:sz="4" w:space="0"/>
            </w:tcBorders>
            <w:vAlign w:val="center"/>
          </w:tcPr>
          <w:p w14:paraId="36B43431">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5分</w:t>
            </w:r>
          </w:p>
        </w:tc>
      </w:tr>
      <w:tr w14:paraId="1167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tcBorders>
              <w:top w:val="single" w:color="auto" w:sz="4" w:space="0"/>
              <w:left w:val="single" w:color="auto" w:sz="4" w:space="0"/>
              <w:bottom w:val="single" w:color="auto" w:sz="4" w:space="0"/>
              <w:right w:val="single" w:color="auto" w:sz="4" w:space="0"/>
            </w:tcBorders>
            <w:vAlign w:val="center"/>
          </w:tcPr>
          <w:p w14:paraId="23CB19E0">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185" w:type="dxa"/>
            <w:tcBorders>
              <w:top w:val="single" w:color="auto" w:sz="4" w:space="0"/>
              <w:left w:val="single" w:color="auto" w:sz="4" w:space="0"/>
              <w:bottom w:val="single" w:color="auto" w:sz="4" w:space="0"/>
              <w:right w:val="single" w:color="auto" w:sz="4" w:space="0"/>
            </w:tcBorders>
            <w:vAlign w:val="center"/>
          </w:tcPr>
          <w:p w14:paraId="3B53FC17">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产品性能</w:t>
            </w:r>
          </w:p>
        </w:tc>
        <w:tc>
          <w:tcPr>
            <w:tcW w:w="5941" w:type="dxa"/>
            <w:tcBorders>
              <w:top w:val="single" w:color="auto" w:sz="4" w:space="0"/>
              <w:left w:val="single" w:color="auto" w:sz="4" w:space="0"/>
              <w:bottom w:val="single" w:color="auto" w:sz="4" w:space="0"/>
              <w:right w:val="single" w:color="auto" w:sz="4" w:space="0"/>
            </w:tcBorders>
            <w:vAlign w:val="center"/>
          </w:tcPr>
          <w:p w14:paraId="6D4EEB30">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完全满足招标文件中技术参数指标项目要求的，得基本分15分。打“▲”的需提供相应证明材料，若未提供、不对应或不充分的视同负偏离，如出现负偏离，每一项扣3分；其他指标出现负偏离的，每一项扣1分；扣完为止。</w:t>
            </w:r>
          </w:p>
          <w:p w14:paraId="63A32A2C">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注：如有国产要求的设备需符合国产要求，否则依无效内容进行扣分。</w:t>
            </w:r>
          </w:p>
        </w:tc>
        <w:tc>
          <w:tcPr>
            <w:tcW w:w="913" w:type="dxa"/>
            <w:tcBorders>
              <w:top w:val="single" w:color="auto" w:sz="4" w:space="0"/>
              <w:left w:val="single" w:color="auto" w:sz="4" w:space="0"/>
              <w:bottom w:val="single" w:color="auto" w:sz="4" w:space="0"/>
              <w:right w:val="single" w:color="auto" w:sz="4" w:space="0"/>
            </w:tcBorders>
            <w:vAlign w:val="center"/>
          </w:tcPr>
          <w:p w14:paraId="5D50252B">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15分</w:t>
            </w:r>
          </w:p>
        </w:tc>
      </w:tr>
      <w:tr w14:paraId="0E40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vMerge w:val="restart"/>
            <w:tcBorders>
              <w:top w:val="single" w:color="auto" w:sz="4" w:space="0"/>
              <w:left w:val="single" w:color="auto" w:sz="4" w:space="0"/>
              <w:right w:val="single" w:color="auto" w:sz="4" w:space="0"/>
            </w:tcBorders>
            <w:vAlign w:val="center"/>
          </w:tcPr>
          <w:p w14:paraId="1AB17695">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185" w:type="dxa"/>
            <w:vMerge w:val="restart"/>
            <w:tcBorders>
              <w:top w:val="single" w:color="auto" w:sz="4" w:space="0"/>
              <w:left w:val="single" w:color="auto" w:sz="4" w:space="0"/>
              <w:right w:val="single" w:color="auto" w:sz="4" w:space="0"/>
            </w:tcBorders>
            <w:vAlign w:val="center"/>
          </w:tcPr>
          <w:p w14:paraId="78C5072F">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服务方案</w:t>
            </w:r>
          </w:p>
        </w:tc>
        <w:tc>
          <w:tcPr>
            <w:tcW w:w="5941" w:type="dxa"/>
            <w:tcBorders>
              <w:top w:val="single" w:color="auto" w:sz="4" w:space="0"/>
              <w:left w:val="single" w:color="auto" w:sz="4" w:space="0"/>
              <w:bottom w:val="single" w:color="auto" w:sz="4" w:space="0"/>
              <w:right w:val="single" w:color="auto" w:sz="4" w:space="0"/>
            </w:tcBorders>
            <w:vAlign w:val="center"/>
          </w:tcPr>
          <w:p w14:paraId="0D89A61C">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对本项目</w:t>
            </w:r>
            <w:r>
              <w:rPr>
                <w:rFonts w:hint="eastAsia" w:ascii="仿宋" w:hAnsi="仿宋" w:eastAsia="仿宋" w:cs="仿宋"/>
                <w:color w:val="auto"/>
                <w:kern w:val="0"/>
                <w:sz w:val="24"/>
                <w:highlight w:val="none"/>
                <w:lang w:eastAsia="zh-CN"/>
              </w:rPr>
              <w:t>的</w:t>
            </w:r>
            <w:r>
              <w:rPr>
                <w:rFonts w:hint="eastAsia" w:ascii="仿宋" w:hAnsi="仿宋" w:eastAsia="仿宋" w:cs="仿宋"/>
                <w:color w:val="auto"/>
                <w:kern w:val="0"/>
                <w:sz w:val="24"/>
                <w:highlight w:val="none"/>
              </w:rPr>
              <w:t>目标分析方案。0-</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14:paraId="0AD5C0AE">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w:t>
            </w:r>
          </w:p>
        </w:tc>
      </w:tr>
      <w:tr w14:paraId="6425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vMerge w:val="continue"/>
            <w:tcBorders>
              <w:left w:val="single" w:color="auto" w:sz="4" w:space="0"/>
              <w:right w:val="single" w:color="auto" w:sz="4" w:space="0"/>
            </w:tcBorders>
            <w:vAlign w:val="center"/>
          </w:tcPr>
          <w:p w14:paraId="7FE9473C">
            <w:pPr>
              <w:widowControl/>
              <w:shd w:val="clear"/>
              <w:adjustRightInd/>
              <w:spacing w:line="300" w:lineRule="exact"/>
              <w:jc w:val="center"/>
              <w:rPr>
                <w:rFonts w:hint="eastAsia" w:ascii="仿宋" w:hAnsi="仿宋" w:eastAsia="仿宋" w:cs="仿宋"/>
                <w:color w:val="auto"/>
                <w:sz w:val="24"/>
                <w:highlight w:val="none"/>
              </w:rPr>
            </w:pPr>
          </w:p>
        </w:tc>
        <w:tc>
          <w:tcPr>
            <w:tcW w:w="1185" w:type="dxa"/>
            <w:vMerge w:val="continue"/>
            <w:tcBorders>
              <w:left w:val="single" w:color="auto" w:sz="4" w:space="0"/>
              <w:right w:val="single" w:color="auto" w:sz="4" w:space="0"/>
            </w:tcBorders>
            <w:vAlign w:val="center"/>
          </w:tcPr>
          <w:p w14:paraId="54F51DD2">
            <w:pPr>
              <w:widowControl/>
              <w:shd w:val="clear"/>
              <w:jc w:val="center"/>
              <w:rPr>
                <w:rFonts w:hint="eastAsia" w:ascii="仿宋" w:hAnsi="仿宋" w:eastAsia="仿宋" w:cs="仿宋"/>
                <w:color w:val="auto"/>
                <w:kern w:val="0"/>
                <w:sz w:val="24"/>
                <w:highlight w:val="none"/>
              </w:rPr>
            </w:pPr>
          </w:p>
        </w:tc>
        <w:tc>
          <w:tcPr>
            <w:tcW w:w="5941" w:type="dxa"/>
            <w:tcBorders>
              <w:top w:val="single" w:color="auto" w:sz="4" w:space="0"/>
              <w:left w:val="single" w:color="auto" w:sz="4" w:space="0"/>
              <w:bottom w:val="single" w:color="auto" w:sz="4" w:space="0"/>
              <w:right w:val="single" w:color="auto" w:sz="4" w:space="0"/>
            </w:tcBorders>
            <w:vAlign w:val="center"/>
          </w:tcPr>
          <w:p w14:paraId="34359A85">
            <w:pPr>
              <w:widowControl/>
              <w:shd w:val="clea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对本项目</w:t>
            </w:r>
            <w:r>
              <w:rPr>
                <w:rFonts w:hint="eastAsia" w:ascii="仿宋" w:hAnsi="仿宋" w:eastAsia="仿宋" w:cs="仿宋"/>
                <w:color w:val="auto"/>
                <w:kern w:val="0"/>
                <w:sz w:val="24"/>
                <w:highlight w:val="none"/>
                <w:lang w:eastAsia="zh-CN"/>
              </w:rPr>
              <w:t>的</w:t>
            </w:r>
            <w:r>
              <w:rPr>
                <w:rFonts w:hint="eastAsia" w:ascii="仿宋" w:hAnsi="仿宋" w:eastAsia="仿宋" w:cs="仿宋"/>
                <w:color w:val="auto"/>
                <w:kern w:val="0"/>
                <w:sz w:val="24"/>
                <w:highlight w:val="none"/>
              </w:rPr>
              <w:t>功能性需求分析方案。0-</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14:paraId="1C2E38D7">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r>
      <w:tr w14:paraId="444E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vMerge w:val="continue"/>
            <w:tcBorders>
              <w:left w:val="single" w:color="auto" w:sz="4" w:space="0"/>
              <w:right w:val="single" w:color="auto" w:sz="4" w:space="0"/>
            </w:tcBorders>
            <w:vAlign w:val="center"/>
          </w:tcPr>
          <w:p w14:paraId="740A74DF">
            <w:pPr>
              <w:widowControl/>
              <w:shd w:val="clear"/>
              <w:adjustRightInd/>
              <w:spacing w:line="300" w:lineRule="exact"/>
              <w:jc w:val="center"/>
              <w:rPr>
                <w:rFonts w:hint="eastAsia" w:ascii="仿宋" w:hAnsi="仿宋" w:eastAsia="仿宋" w:cs="仿宋"/>
                <w:color w:val="auto"/>
                <w:sz w:val="24"/>
                <w:highlight w:val="none"/>
              </w:rPr>
            </w:pPr>
          </w:p>
        </w:tc>
        <w:tc>
          <w:tcPr>
            <w:tcW w:w="1185" w:type="dxa"/>
            <w:vMerge w:val="continue"/>
            <w:tcBorders>
              <w:left w:val="single" w:color="auto" w:sz="4" w:space="0"/>
              <w:right w:val="single" w:color="auto" w:sz="4" w:space="0"/>
            </w:tcBorders>
            <w:vAlign w:val="center"/>
          </w:tcPr>
          <w:p w14:paraId="4DD92496">
            <w:pPr>
              <w:widowControl/>
              <w:shd w:val="clear"/>
              <w:jc w:val="center"/>
              <w:rPr>
                <w:rFonts w:hint="eastAsia" w:ascii="仿宋" w:hAnsi="仿宋" w:eastAsia="仿宋" w:cs="仿宋"/>
                <w:color w:val="auto"/>
                <w:kern w:val="0"/>
                <w:sz w:val="24"/>
                <w:highlight w:val="none"/>
              </w:rPr>
            </w:pPr>
          </w:p>
        </w:tc>
        <w:tc>
          <w:tcPr>
            <w:tcW w:w="5941" w:type="dxa"/>
            <w:tcBorders>
              <w:top w:val="single" w:color="auto" w:sz="4" w:space="0"/>
              <w:left w:val="single" w:color="auto" w:sz="4" w:space="0"/>
              <w:bottom w:val="single" w:color="auto" w:sz="4" w:space="0"/>
              <w:right w:val="single" w:color="auto" w:sz="4" w:space="0"/>
            </w:tcBorders>
            <w:vAlign w:val="center"/>
          </w:tcPr>
          <w:p w14:paraId="7E724BC9">
            <w:pPr>
              <w:widowControl/>
              <w:shd w:val="clea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对本项目</w:t>
            </w:r>
            <w:r>
              <w:rPr>
                <w:rFonts w:hint="eastAsia" w:ascii="仿宋" w:hAnsi="仿宋" w:eastAsia="仿宋" w:cs="仿宋"/>
                <w:color w:val="auto"/>
                <w:kern w:val="0"/>
                <w:sz w:val="24"/>
                <w:highlight w:val="none"/>
                <w:lang w:eastAsia="zh-CN"/>
              </w:rPr>
              <w:t>的</w:t>
            </w:r>
            <w:r>
              <w:rPr>
                <w:rFonts w:hint="eastAsia" w:ascii="仿宋" w:hAnsi="仿宋" w:eastAsia="仿宋" w:cs="仿宋"/>
                <w:color w:val="auto"/>
                <w:kern w:val="0"/>
                <w:sz w:val="24"/>
                <w:highlight w:val="none"/>
              </w:rPr>
              <w:t>性能需求分析方案。0-</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14:paraId="0512942D">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r>
      <w:tr w14:paraId="3CAE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vMerge w:val="continue"/>
            <w:tcBorders>
              <w:left w:val="single" w:color="auto" w:sz="4" w:space="0"/>
              <w:right w:val="single" w:color="auto" w:sz="4" w:space="0"/>
            </w:tcBorders>
            <w:vAlign w:val="center"/>
          </w:tcPr>
          <w:p w14:paraId="03F4F8E5">
            <w:pPr>
              <w:widowControl/>
              <w:shd w:val="clear"/>
              <w:adjustRightInd/>
              <w:spacing w:line="300" w:lineRule="exact"/>
              <w:jc w:val="center"/>
              <w:rPr>
                <w:rFonts w:ascii="仿宋" w:hAnsi="仿宋" w:eastAsia="仿宋" w:cs="仿宋"/>
                <w:color w:val="auto"/>
                <w:sz w:val="24"/>
                <w:highlight w:val="none"/>
              </w:rPr>
            </w:pPr>
          </w:p>
        </w:tc>
        <w:tc>
          <w:tcPr>
            <w:tcW w:w="1185" w:type="dxa"/>
            <w:vMerge w:val="continue"/>
            <w:tcBorders>
              <w:left w:val="single" w:color="auto" w:sz="4" w:space="0"/>
              <w:right w:val="single" w:color="auto" w:sz="4" w:space="0"/>
            </w:tcBorders>
            <w:vAlign w:val="center"/>
          </w:tcPr>
          <w:p w14:paraId="7E83B1C6">
            <w:pPr>
              <w:widowControl/>
              <w:shd w:val="clear"/>
              <w:jc w:val="center"/>
              <w:rPr>
                <w:rFonts w:ascii="仿宋" w:hAnsi="仿宋" w:eastAsia="仿宋" w:cs="仿宋"/>
                <w:color w:val="auto"/>
                <w:kern w:val="0"/>
                <w:sz w:val="24"/>
                <w:highlight w:val="none"/>
              </w:rPr>
            </w:pPr>
          </w:p>
        </w:tc>
        <w:tc>
          <w:tcPr>
            <w:tcW w:w="5941" w:type="dxa"/>
            <w:tcBorders>
              <w:top w:val="single" w:color="auto" w:sz="4" w:space="0"/>
              <w:left w:val="single" w:color="auto" w:sz="4" w:space="0"/>
              <w:bottom w:val="single" w:color="auto" w:sz="4" w:space="0"/>
              <w:right w:val="single" w:color="auto" w:sz="4" w:space="0"/>
            </w:tcBorders>
            <w:vAlign w:val="center"/>
          </w:tcPr>
          <w:p w14:paraId="0FAE1F6D">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对本项目的重点、难点问题的认识及对策措施。0-</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14:paraId="25B79645">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w:t>
            </w:r>
          </w:p>
        </w:tc>
      </w:tr>
      <w:tr w14:paraId="7B9F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vMerge w:val="continue"/>
            <w:tcBorders>
              <w:left w:val="single" w:color="auto" w:sz="4" w:space="0"/>
              <w:right w:val="single" w:color="auto" w:sz="4" w:space="0"/>
            </w:tcBorders>
            <w:vAlign w:val="center"/>
          </w:tcPr>
          <w:p w14:paraId="6CD7A512">
            <w:pPr>
              <w:widowControl/>
              <w:shd w:val="clear"/>
              <w:adjustRightInd/>
              <w:spacing w:line="300" w:lineRule="exact"/>
              <w:jc w:val="center"/>
              <w:rPr>
                <w:rFonts w:ascii="仿宋" w:hAnsi="仿宋" w:eastAsia="仿宋" w:cs="仿宋"/>
                <w:color w:val="auto"/>
                <w:sz w:val="24"/>
                <w:highlight w:val="none"/>
              </w:rPr>
            </w:pPr>
          </w:p>
        </w:tc>
        <w:tc>
          <w:tcPr>
            <w:tcW w:w="1185" w:type="dxa"/>
            <w:vMerge w:val="continue"/>
            <w:tcBorders>
              <w:left w:val="single" w:color="auto" w:sz="4" w:space="0"/>
              <w:right w:val="single" w:color="auto" w:sz="4" w:space="0"/>
            </w:tcBorders>
            <w:vAlign w:val="center"/>
          </w:tcPr>
          <w:p w14:paraId="12B19A32">
            <w:pPr>
              <w:widowControl/>
              <w:shd w:val="clear"/>
              <w:jc w:val="center"/>
              <w:rPr>
                <w:rFonts w:ascii="仿宋" w:hAnsi="仿宋" w:eastAsia="仿宋" w:cs="仿宋"/>
                <w:color w:val="auto"/>
                <w:kern w:val="0"/>
                <w:sz w:val="24"/>
                <w:highlight w:val="none"/>
              </w:rPr>
            </w:pPr>
          </w:p>
        </w:tc>
        <w:tc>
          <w:tcPr>
            <w:tcW w:w="5941" w:type="dxa"/>
            <w:tcBorders>
              <w:top w:val="single" w:color="auto" w:sz="4" w:space="0"/>
              <w:left w:val="single" w:color="auto" w:sz="4" w:space="0"/>
              <w:bottom w:val="single" w:color="auto" w:sz="4" w:space="0"/>
              <w:right w:val="single" w:color="auto" w:sz="4" w:space="0"/>
            </w:tcBorders>
            <w:vAlign w:val="center"/>
          </w:tcPr>
          <w:p w14:paraId="3461A914">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质量保证措施。0-</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14:paraId="2C5B65BB">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r>
      <w:tr w14:paraId="77CD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vMerge w:val="continue"/>
            <w:tcBorders>
              <w:left w:val="single" w:color="auto" w:sz="4" w:space="0"/>
              <w:right w:val="single" w:color="auto" w:sz="4" w:space="0"/>
            </w:tcBorders>
            <w:vAlign w:val="center"/>
          </w:tcPr>
          <w:p w14:paraId="67C1D3EB">
            <w:pPr>
              <w:widowControl/>
              <w:shd w:val="clear"/>
              <w:adjustRightInd/>
              <w:spacing w:line="300" w:lineRule="exact"/>
              <w:jc w:val="center"/>
              <w:rPr>
                <w:rFonts w:ascii="仿宋" w:hAnsi="仿宋" w:eastAsia="仿宋" w:cs="仿宋"/>
                <w:color w:val="auto"/>
                <w:sz w:val="24"/>
                <w:highlight w:val="none"/>
              </w:rPr>
            </w:pPr>
          </w:p>
        </w:tc>
        <w:tc>
          <w:tcPr>
            <w:tcW w:w="1185" w:type="dxa"/>
            <w:vMerge w:val="continue"/>
            <w:tcBorders>
              <w:left w:val="single" w:color="auto" w:sz="4" w:space="0"/>
              <w:right w:val="single" w:color="auto" w:sz="4" w:space="0"/>
            </w:tcBorders>
            <w:vAlign w:val="center"/>
          </w:tcPr>
          <w:p w14:paraId="3087344E">
            <w:pPr>
              <w:widowControl/>
              <w:shd w:val="clear"/>
              <w:jc w:val="center"/>
              <w:rPr>
                <w:rFonts w:ascii="仿宋" w:hAnsi="仿宋" w:eastAsia="仿宋" w:cs="仿宋"/>
                <w:color w:val="auto"/>
                <w:kern w:val="0"/>
                <w:sz w:val="24"/>
                <w:highlight w:val="none"/>
              </w:rPr>
            </w:pPr>
          </w:p>
        </w:tc>
        <w:tc>
          <w:tcPr>
            <w:tcW w:w="5941" w:type="dxa"/>
            <w:tcBorders>
              <w:top w:val="single" w:color="auto" w:sz="4" w:space="0"/>
              <w:left w:val="single" w:color="auto" w:sz="4" w:space="0"/>
              <w:bottom w:val="single" w:color="auto" w:sz="4" w:space="0"/>
              <w:right w:val="single" w:color="auto" w:sz="4" w:space="0"/>
            </w:tcBorders>
            <w:vAlign w:val="center"/>
          </w:tcPr>
          <w:p w14:paraId="43B9AA7E">
            <w:pPr>
              <w:widowControl/>
              <w:shd w:val="clea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进度保证措施。0-</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14:paraId="6B2510AE">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w:t>
            </w:r>
          </w:p>
        </w:tc>
      </w:tr>
      <w:tr w14:paraId="3E03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vMerge w:val="continue"/>
            <w:tcBorders>
              <w:left w:val="single" w:color="auto" w:sz="4" w:space="0"/>
              <w:right w:val="single" w:color="auto" w:sz="4" w:space="0"/>
            </w:tcBorders>
            <w:vAlign w:val="center"/>
          </w:tcPr>
          <w:p w14:paraId="6FC5675F">
            <w:pPr>
              <w:widowControl/>
              <w:shd w:val="clear"/>
              <w:adjustRightInd/>
              <w:spacing w:line="300" w:lineRule="exact"/>
              <w:jc w:val="center"/>
              <w:rPr>
                <w:rFonts w:ascii="仿宋" w:hAnsi="仿宋" w:eastAsia="仿宋" w:cs="仿宋"/>
                <w:color w:val="auto"/>
                <w:sz w:val="24"/>
                <w:highlight w:val="none"/>
              </w:rPr>
            </w:pPr>
          </w:p>
        </w:tc>
        <w:tc>
          <w:tcPr>
            <w:tcW w:w="1185" w:type="dxa"/>
            <w:vMerge w:val="continue"/>
            <w:tcBorders>
              <w:left w:val="single" w:color="auto" w:sz="4" w:space="0"/>
              <w:right w:val="single" w:color="auto" w:sz="4" w:space="0"/>
            </w:tcBorders>
            <w:vAlign w:val="center"/>
          </w:tcPr>
          <w:p w14:paraId="0032DDD9">
            <w:pPr>
              <w:widowControl/>
              <w:shd w:val="clear"/>
              <w:jc w:val="center"/>
              <w:rPr>
                <w:rFonts w:ascii="仿宋" w:hAnsi="仿宋" w:eastAsia="仿宋" w:cs="仿宋"/>
                <w:color w:val="auto"/>
                <w:kern w:val="0"/>
                <w:sz w:val="24"/>
                <w:highlight w:val="none"/>
              </w:rPr>
            </w:pPr>
          </w:p>
        </w:tc>
        <w:tc>
          <w:tcPr>
            <w:tcW w:w="5941" w:type="dxa"/>
            <w:tcBorders>
              <w:top w:val="single" w:color="auto" w:sz="4" w:space="0"/>
              <w:left w:val="single" w:color="auto" w:sz="4" w:space="0"/>
              <w:bottom w:val="single" w:color="auto" w:sz="4" w:space="0"/>
              <w:right w:val="single" w:color="auto" w:sz="4" w:space="0"/>
            </w:tcBorders>
            <w:vAlign w:val="center"/>
          </w:tcPr>
          <w:p w14:paraId="713554EA">
            <w:pPr>
              <w:widowControl/>
              <w:shd w:val="clea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安全保证措施。0-</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14:paraId="30E279F8">
            <w:pPr>
              <w:widowControl/>
              <w:shd w:val="clear"/>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w:t>
            </w:r>
          </w:p>
        </w:tc>
      </w:tr>
      <w:tr w14:paraId="5515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vMerge w:val="continue"/>
            <w:tcBorders>
              <w:left w:val="single" w:color="auto" w:sz="4" w:space="0"/>
              <w:right w:val="single" w:color="auto" w:sz="4" w:space="0"/>
            </w:tcBorders>
            <w:vAlign w:val="center"/>
          </w:tcPr>
          <w:p w14:paraId="7C98FC79">
            <w:pPr>
              <w:widowControl/>
              <w:shd w:val="clear"/>
              <w:adjustRightInd/>
              <w:spacing w:line="300" w:lineRule="exact"/>
              <w:jc w:val="center"/>
              <w:rPr>
                <w:rFonts w:ascii="仿宋" w:hAnsi="仿宋" w:eastAsia="仿宋" w:cs="仿宋"/>
                <w:color w:val="auto"/>
                <w:sz w:val="24"/>
                <w:highlight w:val="none"/>
              </w:rPr>
            </w:pPr>
          </w:p>
        </w:tc>
        <w:tc>
          <w:tcPr>
            <w:tcW w:w="1185" w:type="dxa"/>
            <w:vMerge w:val="continue"/>
            <w:tcBorders>
              <w:left w:val="single" w:color="auto" w:sz="4" w:space="0"/>
              <w:right w:val="single" w:color="auto" w:sz="4" w:space="0"/>
            </w:tcBorders>
            <w:vAlign w:val="center"/>
          </w:tcPr>
          <w:p w14:paraId="25BD1DC5">
            <w:pPr>
              <w:widowControl/>
              <w:shd w:val="clear"/>
              <w:jc w:val="center"/>
              <w:rPr>
                <w:rFonts w:ascii="仿宋" w:hAnsi="仿宋" w:eastAsia="仿宋" w:cs="仿宋"/>
                <w:color w:val="auto"/>
                <w:kern w:val="0"/>
                <w:sz w:val="24"/>
                <w:highlight w:val="none"/>
              </w:rPr>
            </w:pPr>
          </w:p>
        </w:tc>
        <w:tc>
          <w:tcPr>
            <w:tcW w:w="5941" w:type="dxa"/>
            <w:tcBorders>
              <w:top w:val="single" w:color="auto" w:sz="4" w:space="0"/>
              <w:left w:val="single" w:color="auto" w:sz="4" w:space="0"/>
              <w:bottom w:val="single" w:color="auto" w:sz="4" w:space="0"/>
              <w:right w:val="single" w:color="auto" w:sz="4" w:space="0"/>
            </w:tcBorders>
            <w:vAlign w:val="center"/>
          </w:tcPr>
          <w:p w14:paraId="32882771">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项目验收方案和保证措施</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0-</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14:paraId="7C03B706">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w:t>
            </w:r>
          </w:p>
        </w:tc>
      </w:tr>
      <w:tr w14:paraId="5EA7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vMerge w:val="continue"/>
            <w:tcBorders>
              <w:left w:val="single" w:color="auto" w:sz="4" w:space="0"/>
              <w:right w:val="single" w:color="auto" w:sz="4" w:space="0"/>
            </w:tcBorders>
            <w:vAlign w:val="center"/>
          </w:tcPr>
          <w:p w14:paraId="76E93B19">
            <w:pPr>
              <w:widowControl/>
              <w:shd w:val="clear"/>
              <w:adjustRightInd/>
              <w:spacing w:line="300" w:lineRule="exact"/>
              <w:jc w:val="center"/>
              <w:rPr>
                <w:rFonts w:ascii="仿宋" w:hAnsi="仿宋" w:eastAsia="仿宋" w:cs="仿宋"/>
                <w:color w:val="auto"/>
                <w:sz w:val="24"/>
                <w:highlight w:val="none"/>
              </w:rPr>
            </w:pPr>
          </w:p>
        </w:tc>
        <w:tc>
          <w:tcPr>
            <w:tcW w:w="1185" w:type="dxa"/>
            <w:vMerge w:val="continue"/>
            <w:tcBorders>
              <w:left w:val="single" w:color="auto" w:sz="4" w:space="0"/>
              <w:right w:val="single" w:color="auto" w:sz="4" w:space="0"/>
            </w:tcBorders>
            <w:vAlign w:val="center"/>
          </w:tcPr>
          <w:p w14:paraId="1465833A">
            <w:pPr>
              <w:widowControl/>
              <w:shd w:val="clear"/>
              <w:jc w:val="center"/>
              <w:rPr>
                <w:rFonts w:ascii="仿宋" w:hAnsi="仿宋" w:eastAsia="仿宋" w:cs="仿宋"/>
                <w:color w:val="auto"/>
                <w:kern w:val="0"/>
                <w:sz w:val="24"/>
                <w:highlight w:val="none"/>
              </w:rPr>
            </w:pPr>
          </w:p>
        </w:tc>
        <w:tc>
          <w:tcPr>
            <w:tcW w:w="5941" w:type="dxa"/>
            <w:tcBorders>
              <w:top w:val="single" w:color="auto" w:sz="4" w:space="0"/>
              <w:left w:val="single" w:color="auto" w:sz="4" w:space="0"/>
              <w:bottom w:val="single" w:color="auto" w:sz="4" w:space="0"/>
              <w:right w:val="single" w:color="auto" w:sz="4" w:space="0"/>
            </w:tcBorders>
            <w:vAlign w:val="center"/>
          </w:tcPr>
          <w:p w14:paraId="5F3849C0">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后续服务方案，包括服务响应、故障修复等</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0-</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14:paraId="05EC73DF">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w:t>
            </w:r>
          </w:p>
        </w:tc>
      </w:tr>
      <w:tr w14:paraId="45E6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vMerge w:val="continue"/>
            <w:tcBorders>
              <w:left w:val="single" w:color="auto" w:sz="4" w:space="0"/>
              <w:bottom w:val="single" w:color="auto" w:sz="4" w:space="0"/>
              <w:right w:val="single" w:color="auto" w:sz="4" w:space="0"/>
            </w:tcBorders>
            <w:vAlign w:val="center"/>
          </w:tcPr>
          <w:p w14:paraId="1F6E5E1D">
            <w:pPr>
              <w:widowControl/>
              <w:shd w:val="clear"/>
              <w:adjustRightInd/>
              <w:spacing w:line="300" w:lineRule="exact"/>
              <w:jc w:val="center"/>
              <w:rPr>
                <w:rFonts w:ascii="仿宋" w:hAnsi="仿宋" w:eastAsia="仿宋" w:cs="仿宋"/>
                <w:color w:val="auto"/>
                <w:sz w:val="24"/>
                <w:highlight w:val="none"/>
              </w:rPr>
            </w:pPr>
          </w:p>
        </w:tc>
        <w:tc>
          <w:tcPr>
            <w:tcW w:w="1185" w:type="dxa"/>
            <w:vMerge w:val="continue"/>
            <w:tcBorders>
              <w:left w:val="single" w:color="auto" w:sz="4" w:space="0"/>
              <w:bottom w:val="single" w:color="auto" w:sz="4" w:space="0"/>
              <w:right w:val="single" w:color="auto" w:sz="4" w:space="0"/>
            </w:tcBorders>
            <w:vAlign w:val="center"/>
          </w:tcPr>
          <w:p w14:paraId="3F703852">
            <w:pPr>
              <w:widowControl/>
              <w:shd w:val="clear"/>
              <w:jc w:val="center"/>
              <w:rPr>
                <w:rFonts w:ascii="仿宋" w:hAnsi="仿宋" w:eastAsia="仿宋" w:cs="仿宋"/>
                <w:color w:val="auto"/>
                <w:kern w:val="0"/>
                <w:sz w:val="24"/>
                <w:highlight w:val="none"/>
              </w:rPr>
            </w:pPr>
          </w:p>
        </w:tc>
        <w:tc>
          <w:tcPr>
            <w:tcW w:w="5941" w:type="dxa"/>
            <w:tcBorders>
              <w:top w:val="single" w:color="auto" w:sz="4" w:space="0"/>
              <w:left w:val="single" w:color="auto" w:sz="4" w:space="0"/>
              <w:bottom w:val="single" w:color="auto" w:sz="4" w:space="0"/>
              <w:right w:val="single" w:color="auto" w:sz="4" w:space="0"/>
            </w:tcBorders>
            <w:vAlign w:val="center"/>
          </w:tcPr>
          <w:p w14:paraId="090CB80A">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培训计划及培训成效保证措施。0-5分，未提供不得分。</w:t>
            </w:r>
          </w:p>
        </w:tc>
        <w:tc>
          <w:tcPr>
            <w:tcW w:w="913" w:type="dxa"/>
            <w:tcBorders>
              <w:top w:val="single" w:color="auto" w:sz="4" w:space="0"/>
              <w:left w:val="single" w:color="auto" w:sz="4" w:space="0"/>
              <w:bottom w:val="single" w:color="auto" w:sz="4" w:space="0"/>
              <w:right w:val="single" w:color="auto" w:sz="4" w:space="0"/>
            </w:tcBorders>
            <w:vAlign w:val="center"/>
          </w:tcPr>
          <w:p w14:paraId="6604CB7E">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5分</w:t>
            </w:r>
          </w:p>
        </w:tc>
      </w:tr>
      <w:tr w14:paraId="5DFA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93" w:type="dxa"/>
            <w:tcBorders>
              <w:top w:val="single" w:color="auto" w:sz="4" w:space="0"/>
              <w:left w:val="single" w:color="auto" w:sz="4" w:space="0"/>
              <w:bottom w:val="single" w:color="auto" w:sz="4" w:space="0"/>
              <w:right w:val="single" w:color="auto" w:sz="4" w:space="0"/>
            </w:tcBorders>
            <w:vAlign w:val="center"/>
          </w:tcPr>
          <w:p w14:paraId="47AD6327">
            <w:pPr>
              <w:widowControl/>
              <w:shd w:val="clear"/>
              <w:adjustRightInd/>
              <w:spacing w:line="3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185" w:type="dxa"/>
            <w:tcBorders>
              <w:top w:val="single" w:color="auto" w:sz="4" w:space="0"/>
              <w:left w:val="single" w:color="auto" w:sz="4" w:space="0"/>
              <w:bottom w:val="single" w:color="auto" w:sz="4" w:space="0"/>
              <w:right w:val="single" w:color="auto" w:sz="4" w:space="0"/>
            </w:tcBorders>
            <w:vAlign w:val="center"/>
          </w:tcPr>
          <w:p w14:paraId="7101462A">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优惠条件</w:t>
            </w:r>
          </w:p>
        </w:tc>
        <w:tc>
          <w:tcPr>
            <w:tcW w:w="5941" w:type="dxa"/>
            <w:tcBorders>
              <w:top w:val="single" w:color="auto" w:sz="4" w:space="0"/>
              <w:left w:val="single" w:color="auto" w:sz="4" w:space="0"/>
              <w:bottom w:val="single" w:color="auto" w:sz="4" w:space="0"/>
              <w:right w:val="single" w:color="auto" w:sz="4" w:space="0"/>
            </w:tcBorders>
            <w:vAlign w:val="center"/>
          </w:tcPr>
          <w:p w14:paraId="12178044">
            <w:pPr>
              <w:widowControl/>
              <w:shd w:val="clea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根据投标人承诺的其他实质性优惠条件进行打分得2分。</w:t>
            </w:r>
          </w:p>
        </w:tc>
        <w:tc>
          <w:tcPr>
            <w:tcW w:w="913" w:type="dxa"/>
            <w:tcBorders>
              <w:top w:val="single" w:color="auto" w:sz="4" w:space="0"/>
              <w:left w:val="single" w:color="auto" w:sz="4" w:space="0"/>
              <w:bottom w:val="single" w:color="auto" w:sz="4" w:space="0"/>
              <w:right w:val="single" w:color="auto" w:sz="4" w:space="0"/>
            </w:tcBorders>
            <w:vAlign w:val="center"/>
          </w:tcPr>
          <w:p w14:paraId="2EB0C79D">
            <w:pPr>
              <w:widowControl/>
              <w:shd w:val="clea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2分</w:t>
            </w:r>
          </w:p>
        </w:tc>
      </w:tr>
    </w:tbl>
    <w:p w14:paraId="5F7FE4AB">
      <w:pPr>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B001097">
      <w:pPr>
        <w:shd w:val="clear"/>
        <w:snapToGrid w:val="0"/>
        <w:spacing w:line="440" w:lineRule="exact"/>
        <w:rPr>
          <w:rFonts w:ascii="仿宋" w:hAnsi="仿宋" w:eastAsia="仿宋" w:cs="仿宋"/>
          <w:b/>
          <w:bCs/>
          <w:iCs/>
          <w:color w:val="auto"/>
          <w:sz w:val="24"/>
          <w:highlight w:val="none"/>
        </w:rPr>
      </w:pPr>
      <w:r>
        <w:rPr>
          <w:rFonts w:hint="eastAsia" w:ascii="仿宋" w:hAnsi="仿宋" w:eastAsia="仿宋" w:cs="仿宋"/>
          <w:color w:val="auto"/>
          <w:sz w:val="20"/>
          <w:szCs w:val="20"/>
          <w:highlight w:val="none"/>
          <w:shd w:val="clear" w:color="auto" w:fill="FFFFFF"/>
        </w:rPr>
        <w:t> </w:t>
      </w:r>
      <w:r>
        <w:rPr>
          <w:rFonts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bookmarkEnd w:id="41"/>
    <w:bookmarkEnd w:id="42"/>
    <w:p w14:paraId="7E71CBB8">
      <w:pPr>
        <w:pStyle w:val="15"/>
        <w:shd w:val="clear"/>
        <w:spacing w:line="420" w:lineRule="exact"/>
        <w:ind w:left="0" w:leftChars="0" w:firstLine="0" w:firstLineChars="0"/>
        <w:rPr>
          <w:rFonts w:hint="eastAsia" w:ascii="仿宋" w:hAnsi="仿宋" w:eastAsia="仿宋" w:cs="仿宋"/>
          <w:color w:val="auto"/>
          <w:sz w:val="24"/>
          <w:highlight w:val="none"/>
          <w:lang w:eastAsia="zh-CN" w:bidi="ar-SA"/>
        </w:rPr>
      </w:pPr>
      <w:r>
        <w:rPr>
          <w:rFonts w:hint="eastAsia" w:ascii="仿宋" w:hAnsi="仿宋" w:eastAsia="仿宋" w:cs="仿宋"/>
          <w:b/>
          <w:bCs/>
          <w:color w:val="auto"/>
          <w:sz w:val="24"/>
          <w:highlight w:val="none"/>
          <w:bdr w:val="single" w:color="000000" w:sz="4" w:space="0"/>
          <w:lang w:eastAsia="zh-CN" w:bidi="ar-SA"/>
        </w:rPr>
        <w:t>标项一、二</w:t>
      </w:r>
      <w:r>
        <w:rPr>
          <w:rFonts w:hint="eastAsia" w:ascii="仿宋" w:hAnsi="仿宋" w:eastAsia="仿宋" w:cs="仿宋"/>
          <w:color w:val="auto"/>
          <w:sz w:val="24"/>
          <w:highlight w:val="none"/>
          <w:lang w:eastAsia="zh-CN" w:bidi="ar-SA"/>
        </w:rPr>
        <w:t>：</w:t>
      </w:r>
    </w:p>
    <w:p w14:paraId="02ACDDB6">
      <w:pPr>
        <w:pStyle w:val="1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2.2.1评标基准价：即满足招标文件要求且投标价格最低的投标报价为评标基准价，其价格分为满分。</w:t>
      </w:r>
    </w:p>
    <w:p w14:paraId="10685907">
      <w:pPr>
        <w:pStyle w:val="1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2.2.2其他投标人的价格分统一按照下列公式计算：</w:t>
      </w:r>
    </w:p>
    <w:p w14:paraId="76047473">
      <w:pPr>
        <w:pStyle w:val="1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投标报价得分=(评标基准价／投标报价)×价格权值×100</w:t>
      </w:r>
    </w:p>
    <w:p w14:paraId="0638469B">
      <w:pPr>
        <w:pStyle w:val="15"/>
        <w:shd w:val="clear"/>
        <w:spacing w:line="420" w:lineRule="exact"/>
        <w:rPr>
          <w:rFonts w:hint="eastAsia" w:ascii="仿宋" w:hAnsi="仿宋" w:eastAsia="仿宋" w:cs="仿宋"/>
          <w:color w:val="auto"/>
          <w:sz w:val="24"/>
          <w:highlight w:val="none"/>
          <w:lang w:bidi="ar-SA"/>
        </w:rPr>
      </w:pPr>
      <w:r>
        <w:rPr>
          <w:rFonts w:hint="eastAsia" w:ascii="仿宋" w:hAnsi="仿宋" w:eastAsia="仿宋" w:cs="仿宋"/>
          <w:color w:val="auto"/>
          <w:sz w:val="24"/>
          <w:highlight w:val="none"/>
          <w:lang w:val="en-US" w:eastAsia="zh-CN" w:bidi="ar-SA"/>
        </w:rPr>
        <w:t>即：投标报价得分=(评标基准价／投标报价)×30</w:t>
      </w:r>
    </w:p>
    <w:p w14:paraId="470CE08C">
      <w:pPr>
        <w:widowControl/>
        <w:shd w:val="clear"/>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1A5BB86">
      <w:pPr>
        <w:widowControl/>
        <w:shd w:val="clear"/>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第六部分投标文件及其附件格式</w:t>
      </w:r>
    </w:p>
    <w:p w14:paraId="0BA5F9AB">
      <w:pPr>
        <w:shd w:val="clear"/>
        <w:spacing w:line="360" w:lineRule="auto"/>
        <w:jc w:val="center"/>
        <w:outlineLvl w:val="0"/>
        <w:rPr>
          <w:rFonts w:ascii="仿宋" w:hAnsi="仿宋" w:eastAsia="仿宋" w:cs="仿宋"/>
          <w:b/>
          <w:color w:val="auto"/>
          <w:kern w:val="0"/>
          <w:sz w:val="36"/>
          <w:szCs w:val="36"/>
          <w:highlight w:val="none"/>
        </w:rPr>
      </w:pPr>
    </w:p>
    <w:p w14:paraId="3CA2200D">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7F72D26">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F9EE4FB">
      <w:pPr>
        <w:shd w:val="clear"/>
        <w:spacing w:line="360" w:lineRule="auto"/>
        <w:jc w:val="center"/>
        <w:outlineLvl w:val="0"/>
        <w:rPr>
          <w:rFonts w:ascii="仿宋" w:hAnsi="仿宋" w:eastAsia="仿宋" w:cs="仿宋"/>
          <w:b/>
          <w:color w:val="auto"/>
          <w:kern w:val="0"/>
          <w:sz w:val="36"/>
          <w:szCs w:val="36"/>
          <w:highlight w:val="none"/>
        </w:rPr>
      </w:pPr>
    </w:p>
    <w:p w14:paraId="5308FE63">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1）符合参加采购活动应当具备的一般条件的承诺函……………（页码）</w:t>
      </w:r>
    </w:p>
    <w:p w14:paraId="400D2A56">
      <w:pPr>
        <w:shd w:val="clea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33F9552">
      <w:pPr>
        <w:pStyle w:val="23"/>
        <w:shd w:val="clear"/>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3）分包协议………………………………………………………………（页码）</w:t>
      </w:r>
    </w:p>
    <w:p w14:paraId="6301F1C2">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4）落实采购政策需满足的资格要求………………………………（页码）</w:t>
      </w:r>
    </w:p>
    <w:p w14:paraId="008329F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5）本项目的特定资格要求………………………………………………（页码）</w:t>
      </w:r>
    </w:p>
    <w:p w14:paraId="28CE5DAD">
      <w:pPr>
        <w:shd w:val="clear"/>
        <w:snapToGrid w:val="0"/>
        <w:spacing w:line="360" w:lineRule="auto"/>
        <w:rPr>
          <w:rFonts w:ascii="仿宋" w:hAnsi="仿宋" w:eastAsia="仿宋" w:cs="仿宋"/>
          <w:color w:val="auto"/>
          <w:sz w:val="24"/>
          <w:highlight w:val="none"/>
        </w:rPr>
      </w:pPr>
    </w:p>
    <w:p w14:paraId="4E57A400">
      <w:pPr>
        <w:shd w:val="clear"/>
        <w:snapToGrid w:val="0"/>
        <w:spacing w:line="360" w:lineRule="auto"/>
        <w:ind w:firstLine="480" w:firstLineChars="200"/>
        <w:rPr>
          <w:rFonts w:ascii="仿宋" w:hAnsi="仿宋" w:eastAsia="仿宋" w:cs="仿宋"/>
          <w:color w:val="auto"/>
          <w:sz w:val="24"/>
          <w:highlight w:val="none"/>
        </w:rPr>
      </w:pPr>
    </w:p>
    <w:p w14:paraId="4757E502">
      <w:pPr>
        <w:shd w:val="clear"/>
        <w:spacing w:line="360" w:lineRule="auto"/>
        <w:ind w:firstLine="480" w:firstLineChars="200"/>
        <w:rPr>
          <w:rFonts w:ascii="仿宋" w:hAnsi="仿宋" w:eastAsia="仿宋" w:cs="仿宋"/>
          <w:color w:val="auto"/>
          <w:sz w:val="24"/>
          <w:highlight w:val="none"/>
        </w:rPr>
      </w:pPr>
    </w:p>
    <w:p w14:paraId="3F1CC414">
      <w:pPr>
        <w:shd w:val="clear"/>
        <w:snapToGrid w:val="0"/>
        <w:spacing w:line="360" w:lineRule="auto"/>
        <w:ind w:right="480"/>
        <w:jc w:val="center"/>
        <w:rPr>
          <w:rFonts w:ascii="仿宋" w:hAnsi="仿宋" w:eastAsia="仿宋" w:cs="仿宋"/>
          <w:b/>
          <w:color w:val="auto"/>
          <w:kern w:val="0"/>
          <w:sz w:val="32"/>
          <w:szCs w:val="32"/>
          <w:highlight w:val="none"/>
        </w:rPr>
      </w:pPr>
      <w:r>
        <w:rPr>
          <w:rFonts w:ascii="仿宋" w:hAnsi="仿宋" w:eastAsia="仿宋" w:cs="仿宋"/>
          <w:color w:val="auto"/>
          <w:kern w:val="0"/>
          <w:sz w:val="24"/>
          <w:highlight w:val="none"/>
        </w:rPr>
        <w:br w:type="page"/>
      </w:r>
      <w:r>
        <w:rPr>
          <w:rFonts w:ascii="仿宋" w:hAnsi="仿宋" w:eastAsia="仿宋" w:cs="仿宋"/>
          <w:b/>
          <w:color w:val="auto"/>
          <w:kern w:val="0"/>
          <w:sz w:val="32"/>
          <w:szCs w:val="32"/>
          <w:highlight w:val="none"/>
        </w:rPr>
        <w:t xml:space="preserve">  一、符合参加采购活动应当具备的一般条件的承诺函</w:t>
      </w:r>
    </w:p>
    <w:p w14:paraId="1E46A8AF">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977EC46">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14:paraId="7C0E3D06">
      <w:pPr>
        <w:shd w:val="clea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C211990">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36091025">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2、具有良好的商业信誉和健全的财务会计制度； </w:t>
      </w:r>
    </w:p>
    <w:p w14:paraId="17AE095A">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3、具有履行合同所必需的设备和专业技术能力；</w:t>
      </w:r>
    </w:p>
    <w:p w14:paraId="5A6DCD2F">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4、有依法缴纳税收和社会保障资金的良好记录；</w:t>
      </w:r>
    </w:p>
    <w:p w14:paraId="6D644B44">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5、参加采购活动前三年内，在经营活动中没有重大违法记录；</w:t>
      </w:r>
    </w:p>
    <w:p w14:paraId="1018A90E">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6、具有法律、行政法规规定的其他条件。</w:t>
      </w:r>
    </w:p>
    <w:p w14:paraId="4E17540F">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t>
      </w:r>
      <w:r>
        <w:rPr>
          <w:rFonts w:ascii="仿宋" w:hAnsi="仿宋" w:eastAsia="仿宋" w:cs="仿宋"/>
          <w:color w:val="auto"/>
          <w:sz w:val="24"/>
          <w:highlight w:val="none"/>
        </w:rPr>
        <w:t>www.creditchina.gov.cn)、中国政府采购网（www.ccgp.gov.cn）列入失信被执行人、重大税收违法案件当事人名单、政府采购严重违法失信行为记录名单。</w:t>
      </w:r>
    </w:p>
    <w:p w14:paraId="0D4CCE81">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13496E4">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1、单位负责人为同一人或者存在直接控股、管理关系的不同供应商参加同一合同项下的采购活动的；</w:t>
      </w:r>
    </w:p>
    <w:p w14:paraId="1BCDA011">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2、为采购项目提供整体设计、规范编制或者项目管理、监理、检测等服务后再参加该采购项目的其他采购活动的。</w:t>
      </w:r>
    </w:p>
    <w:p w14:paraId="2B955D65">
      <w:pPr>
        <w:shd w:val="clea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w:t>
      </w:r>
      <w:r>
        <w:rPr>
          <w:rFonts w:ascii="仿宋" w:hAnsi="仿宋" w:eastAsia="仿宋" w:cs="仿宋"/>
          <w:color w:val="auto"/>
          <w:kern w:val="0"/>
          <w:sz w:val="24"/>
          <w:highlight w:val="none"/>
          <w:lang w:val="zh-CN"/>
        </w:rPr>
        <w:t>(电子签名)：</w:t>
      </w:r>
    </w:p>
    <w:p w14:paraId="23775F5C">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C69AC63">
      <w:pPr>
        <w:shd w:val="clear"/>
        <w:snapToGrid w:val="0"/>
        <w:spacing w:line="360" w:lineRule="auto"/>
        <w:ind w:right="480"/>
        <w:jc w:val="center"/>
        <w:rPr>
          <w:rFonts w:ascii="仿宋" w:hAnsi="仿宋" w:eastAsia="仿宋" w:cs="仿宋"/>
          <w:b/>
          <w:color w:val="auto"/>
          <w:kern w:val="0"/>
          <w:sz w:val="32"/>
          <w:szCs w:val="32"/>
          <w:highlight w:val="none"/>
        </w:rPr>
      </w:pPr>
    </w:p>
    <w:p w14:paraId="24A926E3">
      <w:pPr>
        <w:pStyle w:val="80"/>
        <w:shd w:val="clear"/>
        <w:rPr>
          <w:color w:val="auto"/>
          <w:highlight w:val="none"/>
        </w:rPr>
      </w:pPr>
    </w:p>
    <w:p w14:paraId="0CD5669C">
      <w:pPr>
        <w:pStyle w:val="81"/>
        <w:shd w:val="clear"/>
        <w:rPr>
          <w:rFonts w:eastAsia="仿宋"/>
          <w:color w:val="auto"/>
          <w:highlight w:val="none"/>
        </w:rPr>
      </w:pPr>
    </w:p>
    <w:p w14:paraId="3B3BD84D">
      <w:pPr>
        <w:shd w:val="clear"/>
        <w:rPr>
          <w:color w:val="auto"/>
          <w:highlight w:val="none"/>
        </w:rPr>
      </w:pPr>
    </w:p>
    <w:p w14:paraId="591C35BF">
      <w:pPr>
        <w:pStyle w:val="80"/>
        <w:shd w:val="clear"/>
        <w:rPr>
          <w:color w:val="auto"/>
          <w:highlight w:val="none"/>
        </w:rPr>
      </w:pPr>
    </w:p>
    <w:p w14:paraId="59EAD2AE">
      <w:pPr>
        <w:widowControl/>
        <w:shd w:val="clear"/>
        <w:spacing w:line="360" w:lineRule="auto"/>
        <w:jc w:val="center"/>
        <w:rPr>
          <w:rFonts w:hint="eastAsia" w:ascii="仿宋" w:hAnsi="仿宋" w:eastAsia="仿宋" w:cs="仿宋"/>
          <w:b/>
          <w:color w:val="auto"/>
          <w:kern w:val="0"/>
          <w:sz w:val="32"/>
          <w:szCs w:val="32"/>
          <w:highlight w:val="none"/>
        </w:rPr>
      </w:pPr>
    </w:p>
    <w:p w14:paraId="7A436E87">
      <w:pPr>
        <w:widowControl/>
        <w:shd w:val="clear"/>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280A317F">
      <w:pPr>
        <w:widowControl/>
        <w:shd w:val="clear"/>
        <w:spacing w:line="360" w:lineRule="auto"/>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4E4893D">
      <w:pPr>
        <w:pStyle w:val="80"/>
        <w:shd w:val="clear"/>
        <w:rPr>
          <w:color w:val="auto"/>
          <w:highlight w:val="none"/>
        </w:rPr>
      </w:pPr>
    </w:p>
    <w:p w14:paraId="4C46F708">
      <w:pPr>
        <w:shd w:val="clea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4F6591">
      <w:pPr>
        <w:widowControl/>
        <w:shd w:val="clear"/>
        <w:spacing w:line="360" w:lineRule="auto"/>
        <w:ind w:firstLine="361" w:firstLineChars="150"/>
        <w:jc w:val="left"/>
        <w:rPr>
          <w:rFonts w:ascii="仿宋" w:hAnsi="仿宋" w:eastAsia="仿宋" w:cs="仿宋"/>
          <w:b/>
          <w:color w:val="auto"/>
          <w:sz w:val="24"/>
          <w:highlight w:val="none"/>
        </w:rPr>
      </w:pPr>
      <w:r>
        <w:rPr>
          <w:rFonts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344CA66">
      <w:pPr>
        <w:shd w:val="clear"/>
        <w:snapToGrid w:val="0"/>
        <w:spacing w:line="360" w:lineRule="auto"/>
        <w:ind w:right="480"/>
        <w:jc w:val="center"/>
        <w:rPr>
          <w:rFonts w:ascii="仿宋" w:hAnsi="仿宋" w:eastAsia="仿宋" w:cs="仿宋"/>
          <w:b/>
          <w:color w:val="auto"/>
          <w:kern w:val="0"/>
          <w:sz w:val="32"/>
          <w:szCs w:val="32"/>
          <w:highlight w:val="none"/>
        </w:rPr>
      </w:pPr>
    </w:p>
    <w:p w14:paraId="582BB246">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14:paraId="34E56B48">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14:paraId="5320D8BC">
      <w:pPr>
        <w:shd w:val="clear"/>
        <w:snapToGrid w:val="0"/>
        <w:spacing w:before="50" w:after="50"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A</w:t>
      </w:r>
      <w:r>
        <w:rPr>
          <w:rFonts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0A83F6D">
      <w:pPr>
        <w:widowControl/>
        <w:shd w:val="clear"/>
        <w:spacing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ascii="仿宋" w:hAnsi="仿宋" w:eastAsia="仿宋" w:cs="仿宋"/>
          <w:color w:val="auto"/>
          <w:sz w:val="24"/>
          <w:highlight w:val="none"/>
        </w:rPr>
        <w:t>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14:paraId="48D9DC7E">
      <w:pPr>
        <w:shd w:val="clear"/>
        <w:spacing w:line="360" w:lineRule="auto"/>
        <w:ind w:firstLine="482" w:firstLineChars="200"/>
        <w:rPr>
          <w:rFonts w:ascii="仿宋" w:hAnsi="仿宋" w:eastAsia="仿宋" w:cs="仿宋"/>
          <w:color w:val="auto"/>
          <w:sz w:val="24"/>
          <w:highlight w:val="none"/>
        </w:rPr>
      </w:pPr>
      <w:r>
        <w:rPr>
          <w:rFonts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ascii="仿宋" w:hAnsi="仿宋" w:eastAsia="仿宋" w:cs="仿宋"/>
          <w:color w:val="auto"/>
          <w:sz w:val="24"/>
          <w:highlight w:val="none"/>
        </w:rPr>
        <w:t>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4979CC0">
      <w:pPr>
        <w:widowControl/>
        <w:shd w:val="clear"/>
        <w:spacing w:line="360" w:lineRule="auto"/>
        <w:ind w:left="150"/>
        <w:jc w:val="center"/>
        <w:rPr>
          <w:rFonts w:ascii="仿宋" w:hAnsi="仿宋" w:eastAsia="仿宋" w:cs="仿宋"/>
          <w:b/>
          <w:color w:val="auto"/>
          <w:kern w:val="0"/>
          <w:sz w:val="32"/>
          <w:szCs w:val="32"/>
          <w:highlight w:val="none"/>
        </w:rPr>
      </w:pPr>
    </w:p>
    <w:p w14:paraId="3053271F">
      <w:pPr>
        <w:widowControl/>
        <w:shd w:val="clear"/>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D0A04B6">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32567DB">
      <w:pPr>
        <w:shd w:val="clear"/>
        <w:spacing w:line="336" w:lineRule="auto"/>
        <w:jc w:val="center"/>
        <w:rPr>
          <w:rFonts w:ascii="仿宋" w:hAnsi="仿宋" w:eastAsia="仿宋" w:cs="仿宋"/>
          <w:b/>
          <w:color w:val="auto"/>
          <w:kern w:val="0"/>
          <w:sz w:val="36"/>
          <w:szCs w:val="36"/>
          <w:highlight w:val="none"/>
        </w:rPr>
      </w:pPr>
    </w:p>
    <w:p w14:paraId="65A7B242">
      <w:pPr>
        <w:shd w:val="clear"/>
        <w:spacing w:line="336" w:lineRule="auto"/>
        <w:jc w:val="center"/>
        <w:rPr>
          <w:rFonts w:ascii="仿宋" w:hAnsi="仿宋" w:eastAsia="仿宋" w:cs="仿宋"/>
          <w:b/>
          <w:color w:val="auto"/>
          <w:kern w:val="0"/>
          <w:sz w:val="36"/>
          <w:szCs w:val="36"/>
          <w:highlight w:val="none"/>
        </w:rPr>
      </w:pPr>
    </w:p>
    <w:p w14:paraId="627BED26">
      <w:pPr>
        <w:shd w:val="clea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2F6B894">
      <w:pPr>
        <w:shd w:val="clear"/>
        <w:spacing w:line="336" w:lineRule="auto"/>
        <w:jc w:val="center"/>
        <w:outlineLvl w:val="0"/>
        <w:rPr>
          <w:rFonts w:ascii="仿宋" w:hAnsi="仿宋" w:eastAsia="仿宋" w:cs="仿宋"/>
          <w:b/>
          <w:color w:val="auto"/>
          <w:kern w:val="0"/>
          <w:sz w:val="24"/>
          <w:highlight w:val="none"/>
        </w:rPr>
      </w:pPr>
    </w:p>
    <w:p w14:paraId="5399A499">
      <w:pPr>
        <w:shd w:val="clea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9DC939">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5AFBEF24">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（2）法定代表人授权书…………………………………………………………（页码）</w:t>
      </w:r>
      <w:r>
        <w:rPr>
          <w:rFonts w:hint="eastAsia" w:ascii="仿宋" w:eastAsia="仿宋" w:cs="仿宋_GB2312"/>
          <w:color w:val="auto"/>
          <w:highlight w:val="none"/>
          <w:lang w:val="zh-CN"/>
        </w:rPr>
        <w:t>）（3）</w:t>
      </w:r>
      <w:r>
        <w:rPr>
          <w:rFonts w:hint="eastAsia" w:ascii="仿宋" w:eastAsia="仿宋" w:cs="仿宋"/>
          <w:color w:val="auto"/>
          <w:highlight w:val="none"/>
        </w:rPr>
        <w:t>授权代表社保证明</w:t>
      </w:r>
      <w:r>
        <w:rPr>
          <w:rFonts w:hint="eastAsia" w:ascii="仿宋" w:eastAsia="仿宋" w:cs="仿宋_GB2312"/>
          <w:color w:val="auto"/>
          <w:highlight w:val="none"/>
          <w:lang w:val="zh-CN"/>
        </w:rPr>
        <w:t>…………</w:t>
      </w:r>
      <w:r>
        <w:rPr>
          <w:rFonts w:hint="eastAsia" w:ascii="仿宋" w:eastAsia="仿宋" w:cs="仿宋"/>
          <w:color w:val="auto"/>
          <w:highlight w:val="none"/>
        </w:rPr>
        <w:t>………………………………………………</w:t>
      </w:r>
      <w:r>
        <w:rPr>
          <w:rFonts w:hint="eastAsia" w:ascii="仿宋" w:eastAsia="仿宋" w:cs="仿宋_GB2312"/>
          <w:color w:val="auto"/>
          <w:highlight w:val="none"/>
          <w:lang w:val="zh-CN"/>
        </w:rPr>
        <w:t>…</w:t>
      </w:r>
      <w:r>
        <w:rPr>
          <w:rFonts w:hint="eastAsia" w:ascii="仿宋" w:eastAsia="仿宋" w:cs="仿宋"/>
          <w:color w:val="auto"/>
          <w:highlight w:val="none"/>
        </w:rPr>
        <w:t>（页码）</w:t>
      </w:r>
    </w:p>
    <w:p w14:paraId="12775D99">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26AF91D3">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7E20BC63">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491D5CAE">
      <w:pPr>
        <w:pStyle w:val="904"/>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（7）采购供应商廉洁自律承诺书</w:t>
      </w:r>
      <w:r>
        <w:rPr>
          <w:rFonts w:hint="eastAsia" w:ascii="仿宋" w:eastAsia="仿宋" w:cs="仿宋"/>
          <w:color w:val="auto"/>
          <w:highlight w:val="none"/>
        </w:rPr>
        <w:t>……………………………………………（页码）</w:t>
      </w:r>
    </w:p>
    <w:p w14:paraId="215E5F11">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25BCD16E">
      <w:pPr>
        <w:shd w:val="clea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9</w:t>
      </w:r>
      <w:r>
        <w:rPr>
          <w:rFonts w:hint="eastAsia" w:ascii="仿宋_GB2312" w:hAnsi="仿宋_GB2312" w:eastAsia="仿宋_GB2312" w:cs="仿宋_GB2312"/>
          <w:color w:val="auto"/>
          <w:kern w:val="0"/>
          <w:sz w:val="24"/>
          <w:highlight w:val="none"/>
        </w:rPr>
        <w:t>）技术解决方案………………………………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10E34645">
      <w:pPr>
        <w:shd w:val="clea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10</w:t>
      </w:r>
      <w:r>
        <w:rPr>
          <w:rFonts w:hint="eastAsia" w:ascii="仿宋_GB2312" w:hAnsi="仿宋_GB2312" w:eastAsia="仿宋_GB2312" w:cs="仿宋_GB2312"/>
          <w:color w:val="auto"/>
          <w:kern w:val="0"/>
          <w:sz w:val="24"/>
          <w:highlight w:val="none"/>
        </w:rPr>
        <w:t>）组织实施方案…………………………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1F63B529">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11</w:t>
      </w:r>
      <w:r>
        <w:rPr>
          <w:rFonts w:hint="eastAsia" w:ascii="仿宋_GB2312" w:hAnsi="仿宋_GB2312" w:eastAsia="仿宋_GB2312" w:cs="仿宋_GB2312"/>
          <w:color w:val="auto"/>
          <w:kern w:val="0"/>
          <w:sz w:val="24"/>
          <w:highlight w:val="none"/>
        </w:rPr>
        <w:t>）售后服务方案…………………………………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88814E8">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12</w:t>
      </w:r>
      <w:r>
        <w:rPr>
          <w:rFonts w:hint="eastAsia" w:ascii="仿宋_GB2312" w:hAnsi="仿宋_GB2312" w:eastAsia="仿宋_GB2312" w:cs="仿宋_GB2312"/>
          <w:color w:val="auto"/>
          <w:sz w:val="24"/>
          <w:highlight w:val="none"/>
        </w:rPr>
        <w:t>）供应商售后服务证明材料……………………………………………………（页码）</w:t>
      </w:r>
    </w:p>
    <w:p w14:paraId="55218ADA">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13</w:t>
      </w:r>
      <w:r>
        <w:rPr>
          <w:rFonts w:hint="eastAsia" w:ascii="仿宋_GB2312" w:hAnsi="仿宋_GB2312" w:eastAsia="仿宋_GB2312" w:cs="仿宋_GB2312"/>
          <w:color w:val="auto"/>
          <w:kern w:val="0"/>
          <w:sz w:val="24"/>
          <w:highlight w:val="none"/>
        </w:rPr>
        <w:t>）项目小组人员名单……………………………</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05A59F05">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6E06157">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3B1AE6E5">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3C56A55">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8FFAFA5">
      <w:pPr>
        <w:shd w:val="clea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4EA552F">
      <w:pPr>
        <w:shd w:val="clear"/>
        <w:snapToGrid w:val="0"/>
        <w:spacing w:line="360" w:lineRule="auto"/>
        <w:jc w:val="center"/>
        <w:rPr>
          <w:rFonts w:ascii="仿宋" w:hAnsi="仿宋" w:eastAsia="仿宋" w:cs="仿宋"/>
          <w:b/>
          <w:color w:val="auto"/>
          <w:kern w:val="0"/>
          <w:sz w:val="32"/>
          <w:szCs w:val="32"/>
          <w:highlight w:val="none"/>
          <w:lang w:val="zh-CN"/>
        </w:rPr>
      </w:pPr>
    </w:p>
    <w:p w14:paraId="13838212">
      <w:pPr>
        <w:shd w:val="clear"/>
        <w:snapToGrid w:val="0"/>
        <w:spacing w:line="360" w:lineRule="auto"/>
        <w:jc w:val="center"/>
        <w:rPr>
          <w:rFonts w:ascii="仿宋" w:hAnsi="仿宋" w:eastAsia="仿宋" w:cs="仿宋"/>
          <w:b/>
          <w:color w:val="auto"/>
          <w:kern w:val="0"/>
          <w:sz w:val="32"/>
          <w:szCs w:val="32"/>
          <w:highlight w:val="none"/>
          <w:lang w:val="zh-CN"/>
        </w:rPr>
      </w:pPr>
    </w:p>
    <w:p w14:paraId="515F5951">
      <w:pPr>
        <w:pStyle w:val="80"/>
        <w:shd w:val="clear"/>
        <w:rPr>
          <w:color w:val="auto"/>
          <w:highlight w:val="none"/>
          <w:lang w:val="zh-CN"/>
        </w:rPr>
      </w:pPr>
    </w:p>
    <w:p w14:paraId="1EA96A82">
      <w:pPr>
        <w:pStyle w:val="81"/>
        <w:shd w:val="clear"/>
        <w:rPr>
          <w:rFonts w:eastAsia="仿宋"/>
          <w:color w:val="auto"/>
          <w:highlight w:val="none"/>
          <w:lang w:val="zh-CN"/>
        </w:rPr>
      </w:pPr>
    </w:p>
    <w:p w14:paraId="379B6991">
      <w:pPr>
        <w:shd w:val="clear"/>
        <w:rPr>
          <w:color w:val="auto"/>
          <w:highlight w:val="none"/>
          <w:lang w:val="zh-CN"/>
        </w:rPr>
      </w:pPr>
    </w:p>
    <w:p w14:paraId="3B352032">
      <w:pPr>
        <w:shd w:val="clear"/>
        <w:snapToGrid w:val="0"/>
        <w:spacing w:line="360" w:lineRule="auto"/>
        <w:jc w:val="center"/>
        <w:rPr>
          <w:rFonts w:ascii="仿宋" w:hAnsi="仿宋" w:eastAsia="仿宋" w:cs="仿宋"/>
          <w:b/>
          <w:color w:val="auto"/>
          <w:kern w:val="0"/>
          <w:sz w:val="32"/>
          <w:szCs w:val="32"/>
          <w:highlight w:val="none"/>
          <w:lang w:val="zh-CN"/>
        </w:rPr>
      </w:pPr>
    </w:p>
    <w:p w14:paraId="365A7E8B">
      <w:pPr>
        <w:shd w:val="clear"/>
        <w:snapToGrid w:val="0"/>
        <w:spacing w:line="360" w:lineRule="auto"/>
        <w:jc w:val="center"/>
        <w:rPr>
          <w:rFonts w:ascii="仿宋" w:hAnsi="仿宋" w:eastAsia="仿宋" w:cs="仿宋"/>
          <w:b/>
          <w:color w:val="auto"/>
          <w:kern w:val="0"/>
          <w:sz w:val="32"/>
          <w:szCs w:val="32"/>
          <w:highlight w:val="none"/>
          <w:lang w:val="zh-CN"/>
        </w:rPr>
      </w:pPr>
    </w:p>
    <w:p w14:paraId="0EE18400">
      <w:pPr>
        <w:shd w:val="clear"/>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EEC92F7">
      <w:pPr>
        <w:pStyle w:val="396"/>
        <w:shd w:val="clear"/>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57929246">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w:t>
      </w:r>
      <w:r>
        <w:rPr>
          <w:rFonts w:ascii="仿宋" w:hAnsi="仿宋" w:eastAsia="仿宋" w:cs="仿宋"/>
          <w:b/>
          <w:color w:val="auto"/>
          <w:szCs w:val="24"/>
          <w:highlight w:val="none"/>
          <w:u w:val="single"/>
        </w:rPr>
        <w:t xml:space="preserve">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0034E853">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0CED2A13">
      <w:pPr>
        <w:pStyle w:val="12"/>
        <w:shd w:val="clear"/>
        <w:tabs>
          <w:tab w:val="clear" w:pos="1697"/>
        </w:tabs>
        <w:spacing w:after="120" w:line="336" w:lineRule="auto"/>
        <w:ind w:left="0" w:firstLine="480" w:firstLineChars="200"/>
        <w:rPr>
          <w:rFonts w:ascii="仿宋" w:hAnsi="仿宋" w:eastAsia="仿宋" w:cs="仿宋"/>
          <w:color w:val="auto"/>
          <w:szCs w:val="24"/>
          <w:highlight w:val="none"/>
        </w:rPr>
      </w:pPr>
      <w:r>
        <w:rPr>
          <w:rFonts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36A241C3">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2.我方承诺已经具备《中华人民共和国政府采购法》中规定的参加采购活动的供应商应当具备的条件。</w:t>
      </w:r>
    </w:p>
    <w:p w14:paraId="322D3B08">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E6CB5F7">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4.我方理解贵方将不受你们所收到的最低报价的约束。</w:t>
      </w:r>
    </w:p>
    <w:p w14:paraId="091EBD1A">
      <w:pPr>
        <w:pStyle w:val="12"/>
        <w:shd w:val="clear"/>
        <w:tabs>
          <w:tab w:val="clear" w:pos="1697"/>
        </w:tabs>
        <w:spacing w:after="120" w:line="336" w:lineRule="auto"/>
        <w:ind w:left="0" w:firstLine="480" w:firstLineChars="200"/>
        <w:rPr>
          <w:rFonts w:ascii="仿宋" w:hAnsi="仿宋" w:eastAsia="仿宋" w:cs="仿宋"/>
          <w:color w:val="auto"/>
          <w:szCs w:val="24"/>
          <w:highlight w:val="none"/>
        </w:rPr>
      </w:pPr>
      <w:r>
        <w:rPr>
          <w:rFonts w:ascii="仿宋" w:hAnsi="仿宋" w:eastAsia="仿宋" w:cs="仿宋"/>
          <w:color w:val="auto"/>
          <w:szCs w:val="24"/>
          <w:highlight w:val="none"/>
        </w:rPr>
        <w:t>5.本投标自开标之日（投标截止之日）起90天内有效。</w:t>
      </w:r>
    </w:p>
    <w:p w14:paraId="1A135CE8">
      <w:pPr>
        <w:pStyle w:val="396"/>
        <w:shd w:val="clear"/>
        <w:spacing w:after="120" w:line="336" w:lineRule="auto"/>
        <w:ind w:firstLine="480"/>
        <w:rPr>
          <w:rFonts w:ascii="仿宋" w:hAnsi="仿宋" w:eastAsia="仿宋" w:cs="仿宋"/>
          <w:color w:val="auto"/>
          <w:szCs w:val="24"/>
          <w:highlight w:val="none"/>
        </w:rPr>
      </w:pPr>
      <w:r>
        <w:rPr>
          <w:rFonts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89DA65F">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a)提供虚假材料谋取中标、成交的；</w:t>
      </w:r>
    </w:p>
    <w:p w14:paraId="791DCAF9">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b)采取不正当手段诋毁、排挤其他供应商的；</w:t>
      </w:r>
    </w:p>
    <w:p w14:paraId="60BF1154">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c)与采购人、其它供应商或者采购代理机构恶意串通的；</w:t>
      </w:r>
    </w:p>
    <w:p w14:paraId="626A1FFD">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d)向采购人、采购代理机构行贿或者提供其他不正当利益的；</w:t>
      </w:r>
    </w:p>
    <w:p w14:paraId="2A3FE078">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e)在招标采购过程中与采购人进行协商谈判的；</w:t>
      </w:r>
    </w:p>
    <w:p w14:paraId="317C68A8">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f)拒绝有关部门监督检查或提供虚假情况的。</w:t>
      </w:r>
    </w:p>
    <w:p w14:paraId="25C9C29A">
      <w:pPr>
        <w:shd w:val="clea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w:t>
      </w:r>
      <w:r>
        <w:rPr>
          <w:rFonts w:ascii="仿宋" w:hAnsi="仿宋" w:eastAsia="仿宋" w:cs="仿宋"/>
          <w:color w:val="auto"/>
          <w:sz w:val="24"/>
          <w:highlight w:val="none"/>
        </w:rPr>
        <w:t>a)至e)项情形之一的，中标、成交无效。</w:t>
      </w:r>
    </w:p>
    <w:p w14:paraId="532F2D16">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B03FD1B">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电话：传真：</w:t>
      </w:r>
    </w:p>
    <w:p w14:paraId="473B6238">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14:paraId="253FCC77">
      <w:pPr>
        <w:pStyle w:val="396"/>
        <w:shd w:val="clear"/>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w:t>
      </w:r>
      <w:r>
        <w:rPr>
          <w:rFonts w:ascii="仿宋" w:hAnsi="仿宋" w:eastAsia="仿宋" w:cs="仿宋"/>
          <w:color w:val="auto"/>
          <w:szCs w:val="24"/>
          <w:highlight w:val="none"/>
        </w:rPr>
        <w:t>(签字或盖章)：</w:t>
      </w:r>
    </w:p>
    <w:p w14:paraId="1ABE0625">
      <w:pPr>
        <w:shd w:val="clear"/>
        <w:snapToGrid w:val="0"/>
        <w:spacing w:line="336" w:lineRule="auto"/>
        <w:ind w:firstLine="480" w:firstLineChars="200"/>
        <w:jc w:val="left"/>
        <w:rPr>
          <w:rFonts w:ascii="仿宋" w:hAnsi="仿宋" w:eastAsia="仿宋" w:cs="仿宋"/>
          <w:color w:val="auto"/>
          <w:sz w:val="24"/>
          <w:highlight w:val="none"/>
        </w:rPr>
      </w:pPr>
    </w:p>
    <w:p w14:paraId="5BF25AF7">
      <w:pPr>
        <w:shd w:val="clea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投标人</w:t>
      </w:r>
      <w:r>
        <w:rPr>
          <w:rFonts w:ascii="仿宋" w:hAnsi="仿宋" w:eastAsia="仿宋" w:cs="仿宋"/>
          <w:color w:val="auto"/>
          <w:sz w:val="24"/>
          <w:highlight w:val="none"/>
        </w:rPr>
        <w:t xml:space="preserve">(电子签章)：　　　　　　　　　日期：  </w:t>
      </w:r>
    </w:p>
    <w:p w14:paraId="1A05F8A4">
      <w:pPr>
        <w:shd w:val="clear"/>
        <w:snapToGrid w:val="0"/>
        <w:spacing w:line="360" w:lineRule="auto"/>
        <w:jc w:val="center"/>
        <w:rPr>
          <w:rFonts w:ascii="仿宋" w:hAnsi="仿宋" w:eastAsia="仿宋" w:cs="仿宋"/>
          <w:b/>
          <w:color w:val="auto"/>
          <w:kern w:val="0"/>
          <w:sz w:val="32"/>
          <w:szCs w:val="32"/>
          <w:highlight w:val="none"/>
        </w:rPr>
      </w:pPr>
    </w:p>
    <w:p w14:paraId="75A4190E">
      <w:pPr>
        <w:shd w:val="clear"/>
        <w:snapToGrid w:val="0"/>
        <w:spacing w:line="360" w:lineRule="auto"/>
        <w:rPr>
          <w:rFonts w:ascii="仿宋" w:hAnsi="仿宋" w:eastAsia="仿宋" w:cs="仿宋"/>
          <w:color w:val="auto"/>
          <w:sz w:val="24"/>
          <w:highlight w:val="none"/>
        </w:rPr>
      </w:pPr>
    </w:p>
    <w:p w14:paraId="1E04364D">
      <w:pPr>
        <w:shd w:val="clear"/>
        <w:jc w:val="center"/>
        <w:rPr>
          <w:rFonts w:ascii="仿宋" w:hAnsi="仿宋" w:eastAsia="仿宋" w:cs="仿宋"/>
          <w:b/>
          <w:color w:val="auto"/>
          <w:kern w:val="0"/>
          <w:sz w:val="32"/>
          <w:szCs w:val="32"/>
          <w:highlight w:val="none"/>
        </w:rPr>
      </w:pPr>
    </w:p>
    <w:p w14:paraId="0BB59504">
      <w:pPr>
        <w:shd w:val="clear"/>
        <w:jc w:val="center"/>
        <w:rPr>
          <w:rFonts w:ascii="仿宋" w:hAnsi="仿宋" w:eastAsia="仿宋" w:cs="仿宋"/>
          <w:b/>
          <w:color w:val="auto"/>
          <w:kern w:val="0"/>
          <w:sz w:val="32"/>
          <w:szCs w:val="32"/>
          <w:highlight w:val="none"/>
        </w:rPr>
      </w:pPr>
    </w:p>
    <w:p w14:paraId="3650B6A7">
      <w:pPr>
        <w:shd w:val="clear"/>
        <w:jc w:val="center"/>
        <w:rPr>
          <w:rFonts w:ascii="仿宋" w:hAnsi="仿宋" w:eastAsia="仿宋" w:cs="仿宋"/>
          <w:b/>
          <w:color w:val="auto"/>
          <w:kern w:val="0"/>
          <w:sz w:val="32"/>
          <w:szCs w:val="32"/>
          <w:highlight w:val="none"/>
        </w:rPr>
      </w:pPr>
    </w:p>
    <w:p w14:paraId="00614E7D">
      <w:pPr>
        <w:shd w:val="clear"/>
        <w:jc w:val="center"/>
        <w:rPr>
          <w:rFonts w:ascii="仿宋" w:hAnsi="仿宋" w:eastAsia="仿宋" w:cs="仿宋"/>
          <w:b/>
          <w:color w:val="auto"/>
          <w:kern w:val="0"/>
          <w:sz w:val="32"/>
          <w:szCs w:val="32"/>
          <w:highlight w:val="none"/>
        </w:rPr>
      </w:pPr>
    </w:p>
    <w:p w14:paraId="412F5105">
      <w:pPr>
        <w:shd w:val="clear"/>
        <w:jc w:val="center"/>
        <w:rPr>
          <w:rFonts w:ascii="仿宋" w:hAnsi="仿宋" w:eastAsia="仿宋" w:cs="仿宋"/>
          <w:b/>
          <w:color w:val="auto"/>
          <w:kern w:val="0"/>
          <w:sz w:val="32"/>
          <w:szCs w:val="32"/>
          <w:highlight w:val="none"/>
        </w:rPr>
      </w:pPr>
    </w:p>
    <w:p w14:paraId="5D5DFD8E">
      <w:pPr>
        <w:shd w:val="clear"/>
        <w:jc w:val="center"/>
        <w:rPr>
          <w:rFonts w:ascii="仿宋" w:hAnsi="仿宋" w:eastAsia="仿宋" w:cs="仿宋"/>
          <w:b/>
          <w:color w:val="auto"/>
          <w:kern w:val="0"/>
          <w:sz w:val="32"/>
          <w:szCs w:val="32"/>
          <w:highlight w:val="none"/>
        </w:rPr>
      </w:pPr>
    </w:p>
    <w:p w14:paraId="1ACE8F2C">
      <w:pPr>
        <w:shd w:val="clear"/>
        <w:jc w:val="center"/>
        <w:rPr>
          <w:rFonts w:ascii="仿宋" w:hAnsi="仿宋" w:eastAsia="仿宋" w:cs="仿宋"/>
          <w:b/>
          <w:color w:val="auto"/>
          <w:kern w:val="0"/>
          <w:sz w:val="32"/>
          <w:szCs w:val="32"/>
          <w:highlight w:val="none"/>
        </w:rPr>
      </w:pPr>
    </w:p>
    <w:p w14:paraId="67760FB0">
      <w:pPr>
        <w:shd w:val="clear"/>
        <w:jc w:val="center"/>
        <w:rPr>
          <w:rFonts w:ascii="仿宋" w:hAnsi="仿宋" w:eastAsia="仿宋" w:cs="仿宋"/>
          <w:b/>
          <w:color w:val="auto"/>
          <w:kern w:val="0"/>
          <w:sz w:val="32"/>
          <w:szCs w:val="32"/>
          <w:highlight w:val="none"/>
        </w:rPr>
      </w:pPr>
    </w:p>
    <w:p w14:paraId="6FFC55E5">
      <w:pPr>
        <w:shd w:val="clear"/>
        <w:jc w:val="center"/>
        <w:rPr>
          <w:rFonts w:ascii="仿宋" w:hAnsi="仿宋" w:eastAsia="仿宋" w:cs="仿宋"/>
          <w:b/>
          <w:color w:val="auto"/>
          <w:kern w:val="0"/>
          <w:sz w:val="32"/>
          <w:szCs w:val="32"/>
          <w:highlight w:val="none"/>
        </w:rPr>
      </w:pPr>
    </w:p>
    <w:p w14:paraId="5FDE99CA">
      <w:pPr>
        <w:shd w:val="clear"/>
        <w:jc w:val="center"/>
        <w:rPr>
          <w:rFonts w:ascii="仿宋" w:hAnsi="仿宋" w:eastAsia="仿宋" w:cs="仿宋"/>
          <w:b/>
          <w:color w:val="auto"/>
          <w:kern w:val="0"/>
          <w:sz w:val="32"/>
          <w:szCs w:val="32"/>
          <w:highlight w:val="none"/>
        </w:rPr>
      </w:pPr>
    </w:p>
    <w:p w14:paraId="40812E54">
      <w:pPr>
        <w:shd w:val="clear"/>
        <w:jc w:val="center"/>
        <w:rPr>
          <w:rFonts w:ascii="仿宋" w:hAnsi="仿宋" w:eastAsia="仿宋" w:cs="仿宋"/>
          <w:b/>
          <w:color w:val="auto"/>
          <w:kern w:val="0"/>
          <w:sz w:val="32"/>
          <w:szCs w:val="32"/>
          <w:highlight w:val="none"/>
        </w:rPr>
      </w:pPr>
    </w:p>
    <w:p w14:paraId="3155779E">
      <w:pPr>
        <w:shd w:val="clear"/>
        <w:jc w:val="center"/>
        <w:rPr>
          <w:rFonts w:ascii="仿宋" w:hAnsi="仿宋" w:eastAsia="仿宋" w:cs="仿宋"/>
          <w:b/>
          <w:color w:val="auto"/>
          <w:kern w:val="0"/>
          <w:sz w:val="32"/>
          <w:szCs w:val="32"/>
          <w:highlight w:val="none"/>
        </w:rPr>
      </w:pPr>
    </w:p>
    <w:p w14:paraId="1F4967DC">
      <w:pPr>
        <w:shd w:val="clear"/>
        <w:jc w:val="center"/>
        <w:rPr>
          <w:rFonts w:ascii="仿宋" w:hAnsi="仿宋" w:eastAsia="仿宋" w:cs="仿宋"/>
          <w:b/>
          <w:color w:val="auto"/>
          <w:kern w:val="0"/>
          <w:sz w:val="32"/>
          <w:szCs w:val="32"/>
          <w:highlight w:val="none"/>
        </w:rPr>
      </w:pPr>
    </w:p>
    <w:p w14:paraId="57EB3572">
      <w:pPr>
        <w:shd w:val="clear"/>
        <w:jc w:val="center"/>
        <w:rPr>
          <w:rFonts w:ascii="仿宋" w:hAnsi="仿宋" w:eastAsia="仿宋" w:cs="仿宋"/>
          <w:b/>
          <w:color w:val="auto"/>
          <w:kern w:val="0"/>
          <w:sz w:val="32"/>
          <w:szCs w:val="32"/>
          <w:highlight w:val="none"/>
        </w:rPr>
      </w:pPr>
    </w:p>
    <w:p w14:paraId="0C54BF01">
      <w:pPr>
        <w:shd w:val="clear"/>
        <w:jc w:val="center"/>
        <w:rPr>
          <w:rFonts w:ascii="仿宋" w:hAnsi="仿宋" w:eastAsia="仿宋" w:cs="仿宋"/>
          <w:b/>
          <w:color w:val="auto"/>
          <w:kern w:val="0"/>
          <w:sz w:val="32"/>
          <w:szCs w:val="32"/>
          <w:highlight w:val="none"/>
        </w:rPr>
      </w:pPr>
    </w:p>
    <w:p w14:paraId="15F014DE">
      <w:pPr>
        <w:shd w:val="clear"/>
        <w:jc w:val="center"/>
        <w:rPr>
          <w:rFonts w:ascii="仿宋" w:hAnsi="仿宋" w:eastAsia="仿宋" w:cs="仿宋"/>
          <w:b/>
          <w:color w:val="auto"/>
          <w:kern w:val="0"/>
          <w:sz w:val="32"/>
          <w:szCs w:val="32"/>
          <w:highlight w:val="none"/>
        </w:rPr>
      </w:pPr>
    </w:p>
    <w:p w14:paraId="650CD33C">
      <w:pPr>
        <w:pStyle w:val="80"/>
        <w:shd w:val="clear"/>
        <w:jc w:val="center"/>
        <w:rPr>
          <w:color w:val="auto"/>
          <w:highlight w:val="none"/>
        </w:rPr>
      </w:pPr>
    </w:p>
    <w:p w14:paraId="6C8A284F">
      <w:pPr>
        <w:pStyle w:val="81"/>
        <w:shd w:val="clear"/>
        <w:jc w:val="center"/>
        <w:rPr>
          <w:rFonts w:eastAsia="仿宋"/>
          <w:color w:val="auto"/>
          <w:highlight w:val="none"/>
        </w:rPr>
      </w:pPr>
    </w:p>
    <w:p w14:paraId="6B418F35">
      <w:pPr>
        <w:shd w:val="clear"/>
        <w:jc w:val="center"/>
        <w:rPr>
          <w:color w:val="auto"/>
          <w:highlight w:val="none"/>
        </w:rPr>
      </w:pPr>
    </w:p>
    <w:p w14:paraId="0936E7AD">
      <w:pPr>
        <w:pStyle w:val="80"/>
        <w:shd w:val="clear"/>
        <w:jc w:val="center"/>
        <w:rPr>
          <w:color w:val="auto"/>
          <w:highlight w:val="none"/>
        </w:rPr>
      </w:pPr>
    </w:p>
    <w:p w14:paraId="54D09853">
      <w:pPr>
        <w:pStyle w:val="81"/>
        <w:shd w:val="clear"/>
        <w:jc w:val="center"/>
        <w:rPr>
          <w:rFonts w:eastAsia="仿宋"/>
          <w:color w:val="auto"/>
          <w:highlight w:val="none"/>
        </w:rPr>
      </w:pPr>
    </w:p>
    <w:p w14:paraId="6E893621">
      <w:pPr>
        <w:shd w:val="clear"/>
        <w:jc w:val="center"/>
        <w:rPr>
          <w:color w:val="auto"/>
          <w:highlight w:val="none"/>
        </w:rPr>
      </w:pPr>
    </w:p>
    <w:p w14:paraId="23DABE80">
      <w:pPr>
        <w:pStyle w:val="80"/>
        <w:shd w:val="clear"/>
        <w:jc w:val="center"/>
        <w:rPr>
          <w:color w:val="auto"/>
          <w:highlight w:val="none"/>
        </w:rPr>
      </w:pPr>
    </w:p>
    <w:p w14:paraId="38C7FBB2">
      <w:pPr>
        <w:pStyle w:val="81"/>
        <w:shd w:val="clear"/>
        <w:jc w:val="center"/>
        <w:rPr>
          <w:rFonts w:eastAsia="仿宋"/>
          <w:color w:val="auto"/>
          <w:highlight w:val="none"/>
        </w:rPr>
      </w:pPr>
    </w:p>
    <w:p w14:paraId="576299B4">
      <w:pPr>
        <w:shd w:val="clear"/>
        <w:rPr>
          <w:color w:val="auto"/>
          <w:highlight w:val="none"/>
        </w:rPr>
      </w:pPr>
    </w:p>
    <w:p w14:paraId="50441E23">
      <w:pPr>
        <w:shd w:val="clear"/>
        <w:jc w:val="center"/>
        <w:rPr>
          <w:rFonts w:ascii="仿宋" w:hAnsi="仿宋" w:eastAsia="仿宋" w:cs="仿宋"/>
          <w:b/>
          <w:color w:val="auto"/>
          <w:kern w:val="0"/>
          <w:sz w:val="32"/>
          <w:szCs w:val="32"/>
          <w:highlight w:val="none"/>
        </w:rPr>
      </w:pPr>
    </w:p>
    <w:p w14:paraId="228BA4A1">
      <w:pPr>
        <w:shd w:val="clear"/>
        <w:jc w:val="center"/>
        <w:rPr>
          <w:rFonts w:ascii="仿宋" w:hAnsi="仿宋" w:eastAsia="仿宋" w:cs="仿宋"/>
          <w:b/>
          <w:color w:val="auto"/>
          <w:kern w:val="0"/>
          <w:sz w:val="32"/>
          <w:szCs w:val="32"/>
          <w:highlight w:val="none"/>
        </w:rPr>
      </w:pPr>
    </w:p>
    <w:p w14:paraId="51813BD6">
      <w:pPr>
        <w:widowControl/>
        <w:shd w:val="clear"/>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二、法定代表人授权委托书（格式）</w:t>
      </w:r>
      <w:r>
        <w:rPr>
          <w:rFonts w:hint="eastAsia" w:ascii="仿宋" w:hAnsi="仿宋" w:eastAsia="仿宋" w:cs="仿宋"/>
          <w:b/>
          <w:color w:val="auto"/>
          <w:kern w:val="0"/>
          <w:sz w:val="32"/>
          <w:szCs w:val="32"/>
          <w:highlight w:val="none"/>
          <w:lang w:val="zh-CN"/>
        </w:rPr>
        <w:t>（适用于非联合体投标）</w:t>
      </w:r>
    </w:p>
    <w:p w14:paraId="56004737">
      <w:pPr>
        <w:shd w:val="clear"/>
        <w:jc w:val="center"/>
        <w:rPr>
          <w:rFonts w:ascii="仿宋" w:hAnsi="仿宋" w:eastAsia="仿宋" w:cs="仿宋"/>
          <w:b/>
          <w:color w:val="auto"/>
          <w:sz w:val="24"/>
          <w:highlight w:val="none"/>
        </w:rPr>
      </w:pPr>
    </w:p>
    <w:p w14:paraId="4773136E">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4A9A580A">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8E26007">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8DA2ADA">
      <w:pPr>
        <w:shd w:val="clear"/>
        <w:snapToGrid w:val="0"/>
        <w:spacing w:line="600" w:lineRule="exact"/>
        <w:jc w:val="left"/>
        <w:rPr>
          <w:rFonts w:ascii="仿宋" w:hAnsi="仿宋" w:eastAsia="仿宋" w:cs="仿宋"/>
          <w:color w:val="auto"/>
          <w:sz w:val="24"/>
          <w:highlight w:val="none"/>
        </w:rPr>
      </w:pPr>
    </w:p>
    <w:p w14:paraId="304F956F">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14:paraId="0C120661">
      <w:pPr>
        <w:shd w:val="clear"/>
        <w:spacing w:line="360" w:lineRule="exact"/>
        <w:rPr>
          <w:rFonts w:ascii="仿宋" w:hAnsi="仿宋" w:eastAsia="仿宋" w:cs="仿宋"/>
          <w:color w:val="auto"/>
          <w:sz w:val="24"/>
          <w:highlight w:val="none"/>
        </w:rPr>
      </w:pPr>
    </w:p>
    <w:p w14:paraId="72B40239">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单位：部门：职务：</w:t>
      </w:r>
    </w:p>
    <w:p w14:paraId="6EAE6275">
      <w:pPr>
        <w:shd w:val="clear"/>
        <w:spacing w:line="360" w:lineRule="exact"/>
        <w:rPr>
          <w:rFonts w:ascii="仿宋" w:hAnsi="仿宋" w:eastAsia="仿宋" w:cs="仿宋"/>
          <w:color w:val="auto"/>
          <w:sz w:val="24"/>
          <w:highlight w:val="none"/>
        </w:rPr>
      </w:pPr>
    </w:p>
    <w:p w14:paraId="5117C77D">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14:paraId="771A7B36">
      <w:pPr>
        <w:shd w:val="clear"/>
        <w:spacing w:line="360" w:lineRule="exact"/>
        <w:rPr>
          <w:rFonts w:ascii="仿宋" w:hAnsi="仿宋" w:eastAsia="仿宋" w:cs="仿宋"/>
          <w:color w:val="auto"/>
          <w:sz w:val="24"/>
          <w:highlight w:val="none"/>
        </w:rPr>
      </w:pPr>
    </w:p>
    <w:p w14:paraId="5B7BF53B">
      <w:pPr>
        <w:shd w:val="clear"/>
        <w:spacing w:line="360" w:lineRule="exact"/>
        <w:rPr>
          <w:rFonts w:ascii="仿宋" w:hAnsi="仿宋" w:eastAsia="仿宋" w:cs="仿宋"/>
          <w:color w:val="auto"/>
          <w:sz w:val="24"/>
          <w:highlight w:val="none"/>
        </w:rPr>
      </w:pPr>
    </w:p>
    <w:p w14:paraId="717AF04E">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8361F04">
      <w:pPr>
        <w:shd w:val="clear"/>
        <w:spacing w:line="360" w:lineRule="exact"/>
        <w:rPr>
          <w:rFonts w:ascii="仿宋" w:hAnsi="仿宋" w:eastAsia="仿宋" w:cs="仿宋"/>
          <w:color w:val="auto"/>
          <w:sz w:val="24"/>
          <w:highlight w:val="none"/>
        </w:rPr>
      </w:pPr>
    </w:p>
    <w:p w14:paraId="3377FF05">
      <w:pPr>
        <w:shd w:val="clear"/>
        <w:spacing w:line="360" w:lineRule="exact"/>
        <w:rPr>
          <w:rFonts w:ascii="仿宋" w:hAnsi="仿宋" w:eastAsia="仿宋" w:cs="仿宋"/>
          <w:color w:val="auto"/>
          <w:sz w:val="24"/>
          <w:highlight w:val="none"/>
        </w:rPr>
      </w:pPr>
    </w:p>
    <w:p w14:paraId="300FAF63">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6A28605">
      <w:pPr>
        <w:shd w:val="clear"/>
        <w:spacing w:line="360" w:lineRule="exact"/>
        <w:rPr>
          <w:rFonts w:ascii="仿宋" w:hAnsi="仿宋" w:eastAsia="仿宋" w:cs="仿宋"/>
          <w:color w:val="auto"/>
          <w:sz w:val="24"/>
          <w:highlight w:val="none"/>
        </w:rPr>
      </w:pPr>
    </w:p>
    <w:p w14:paraId="003ACAA3">
      <w:pPr>
        <w:shd w:val="clear"/>
        <w:spacing w:line="360" w:lineRule="exact"/>
        <w:rPr>
          <w:rFonts w:ascii="仿宋" w:hAnsi="仿宋" w:eastAsia="仿宋" w:cs="仿宋"/>
          <w:color w:val="auto"/>
          <w:sz w:val="24"/>
          <w:highlight w:val="none"/>
        </w:rPr>
      </w:pPr>
    </w:p>
    <w:p w14:paraId="3C0B15CE">
      <w:pPr>
        <w:shd w:val="clea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日期：年月日</w:t>
      </w:r>
    </w:p>
    <w:p w14:paraId="4991731A">
      <w:pPr>
        <w:shd w:val="clear"/>
        <w:ind w:firstLine="4920" w:firstLineChars="2050"/>
        <w:jc w:val="left"/>
        <w:rPr>
          <w:rFonts w:ascii="仿宋" w:hAnsi="仿宋" w:eastAsia="仿宋" w:cs="仿宋"/>
          <w:color w:val="auto"/>
          <w:sz w:val="24"/>
          <w:highlight w:val="none"/>
        </w:rPr>
      </w:pPr>
    </w:p>
    <w:p w14:paraId="3C68381E">
      <w:pPr>
        <w:shd w:val="clear"/>
        <w:spacing w:line="800" w:lineRule="exact"/>
        <w:rPr>
          <w:rFonts w:ascii="仿宋" w:hAnsi="仿宋" w:eastAsia="仿宋" w:cs="仿宋"/>
          <w:b/>
          <w:color w:val="auto"/>
          <w:sz w:val="24"/>
          <w:highlight w:val="none"/>
        </w:rPr>
      </w:pPr>
    </w:p>
    <w:p w14:paraId="1C5C8620">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法定代表人授权委托书（格式）</w:t>
      </w:r>
      <w:r>
        <w:rPr>
          <w:rFonts w:hint="eastAsia" w:ascii="仿宋" w:hAnsi="仿宋" w:eastAsia="仿宋" w:cs="仿宋"/>
          <w:b/>
          <w:color w:val="auto"/>
          <w:kern w:val="0"/>
          <w:sz w:val="32"/>
          <w:szCs w:val="32"/>
          <w:highlight w:val="none"/>
          <w:lang w:val="zh-CN"/>
        </w:rPr>
        <w:t>（适用于联合体投标）</w:t>
      </w:r>
    </w:p>
    <w:p w14:paraId="543C0085">
      <w:pPr>
        <w:shd w:val="clear"/>
        <w:jc w:val="center"/>
        <w:rPr>
          <w:rFonts w:ascii="仿宋" w:hAnsi="仿宋" w:eastAsia="仿宋" w:cs="仿宋"/>
          <w:b/>
          <w:color w:val="auto"/>
          <w:sz w:val="24"/>
          <w:highlight w:val="none"/>
        </w:rPr>
      </w:pPr>
    </w:p>
    <w:p w14:paraId="787D9B93">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2410417">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48BA277F">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595A473">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3D6C83D">
      <w:pPr>
        <w:shd w:val="clear"/>
        <w:snapToGrid w:val="0"/>
        <w:spacing w:line="600" w:lineRule="exact"/>
        <w:jc w:val="left"/>
        <w:rPr>
          <w:rFonts w:ascii="仿宋" w:hAnsi="仿宋" w:eastAsia="仿宋" w:cs="仿宋"/>
          <w:color w:val="auto"/>
          <w:sz w:val="24"/>
          <w:highlight w:val="none"/>
        </w:rPr>
      </w:pPr>
    </w:p>
    <w:p w14:paraId="01C542B9">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14:paraId="3B26A52A">
      <w:pPr>
        <w:shd w:val="clear"/>
        <w:spacing w:line="360" w:lineRule="exact"/>
        <w:rPr>
          <w:rFonts w:ascii="仿宋" w:hAnsi="仿宋" w:eastAsia="仿宋" w:cs="仿宋"/>
          <w:color w:val="auto"/>
          <w:sz w:val="24"/>
          <w:highlight w:val="none"/>
        </w:rPr>
      </w:pPr>
    </w:p>
    <w:p w14:paraId="74FB78F3">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单位：部门：职务：</w:t>
      </w:r>
    </w:p>
    <w:p w14:paraId="14AA3CB0">
      <w:pPr>
        <w:shd w:val="clear"/>
        <w:spacing w:line="360" w:lineRule="exact"/>
        <w:rPr>
          <w:rFonts w:ascii="仿宋" w:hAnsi="仿宋" w:eastAsia="仿宋" w:cs="仿宋"/>
          <w:color w:val="auto"/>
          <w:sz w:val="24"/>
          <w:highlight w:val="none"/>
        </w:rPr>
      </w:pPr>
    </w:p>
    <w:p w14:paraId="03C27D0E">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14:paraId="1C36ABA4">
      <w:pPr>
        <w:shd w:val="clear"/>
        <w:spacing w:line="360" w:lineRule="exact"/>
        <w:rPr>
          <w:rFonts w:ascii="仿宋" w:hAnsi="仿宋" w:eastAsia="仿宋" w:cs="仿宋"/>
          <w:color w:val="auto"/>
          <w:sz w:val="24"/>
          <w:highlight w:val="none"/>
        </w:rPr>
      </w:pPr>
    </w:p>
    <w:p w14:paraId="488BC918">
      <w:pPr>
        <w:shd w:val="clear"/>
        <w:spacing w:line="360" w:lineRule="exact"/>
        <w:rPr>
          <w:rFonts w:ascii="仿宋" w:hAnsi="仿宋" w:eastAsia="仿宋" w:cs="仿宋"/>
          <w:color w:val="auto"/>
          <w:sz w:val="24"/>
          <w:highlight w:val="none"/>
        </w:rPr>
      </w:pPr>
    </w:p>
    <w:p w14:paraId="5AFCDB6B">
      <w:pPr>
        <w:shd w:val="clear"/>
        <w:jc w:val="center"/>
        <w:rPr>
          <w:rFonts w:ascii="仿宋" w:hAnsi="仿宋" w:eastAsia="仿宋" w:cs="仿宋"/>
          <w:b/>
          <w:color w:val="auto"/>
          <w:kern w:val="0"/>
          <w:sz w:val="32"/>
          <w:szCs w:val="32"/>
          <w:highlight w:val="none"/>
        </w:rPr>
      </w:pPr>
    </w:p>
    <w:p w14:paraId="7D237052">
      <w:pPr>
        <w:shd w:val="clear"/>
        <w:rPr>
          <w:rFonts w:ascii="仿宋" w:hAnsi="仿宋" w:eastAsia="仿宋" w:cs="仿宋"/>
          <w:color w:val="auto"/>
          <w:highlight w:val="none"/>
        </w:rPr>
      </w:pPr>
    </w:p>
    <w:p w14:paraId="0560D1CC">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0CEBBF0F">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6110CEB3">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759CC5B">
      <w:pPr>
        <w:shd w:val="clear"/>
        <w:snapToGrid w:val="0"/>
        <w:spacing w:line="360" w:lineRule="auto"/>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14:paraId="6C558A02">
      <w:pPr>
        <w:shd w:val="clear"/>
        <w:autoSpaceDE w:val="0"/>
        <w:autoSpaceDN w:val="0"/>
        <w:spacing w:line="360" w:lineRule="auto"/>
        <w:jc w:val="center"/>
        <w:rPr>
          <w:rFonts w:ascii="仿宋" w:hAnsi="仿宋" w:eastAsia="仿宋" w:cs="仿宋"/>
          <w:b/>
          <w:color w:val="auto"/>
          <w:kern w:val="0"/>
          <w:sz w:val="32"/>
          <w:szCs w:val="32"/>
          <w:highlight w:val="none"/>
          <w:lang w:val="zh-CN"/>
        </w:rPr>
      </w:pPr>
    </w:p>
    <w:p w14:paraId="6EECB5C3">
      <w:pPr>
        <w:shd w:val="clear"/>
        <w:spacing w:line="800" w:lineRule="exact"/>
        <w:rPr>
          <w:rFonts w:ascii="仿宋" w:hAnsi="仿宋" w:eastAsia="仿宋" w:cs="仿宋"/>
          <w:b/>
          <w:color w:val="auto"/>
          <w:sz w:val="24"/>
          <w:highlight w:val="none"/>
        </w:rPr>
      </w:pPr>
    </w:p>
    <w:p w14:paraId="2D2879F2">
      <w:pPr>
        <w:shd w:val="clear"/>
        <w:spacing w:line="800" w:lineRule="exact"/>
        <w:jc w:val="center"/>
        <w:rPr>
          <w:rFonts w:hint="eastAsia" w:ascii="仿宋" w:hAnsi="仿宋" w:eastAsia="仿宋" w:cs="仿宋"/>
          <w:b/>
          <w:color w:val="auto"/>
          <w:sz w:val="30"/>
          <w:szCs w:val="30"/>
          <w:highlight w:val="none"/>
        </w:rPr>
      </w:pPr>
    </w:p>
    <w:p w14:paraId="72DDC739">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4D63047B">
      <w:pPr>
        <w:shd w:val="clear"/>
        <w:spacing w:line="800" w:lineRule="exact"/>
        <w:ind w:firstLine="480" w:firstLineChars="200"/>
        <w:jc w:val="left"/>
        <w:rPr>
          <w:rFonts w:ascii="仿宋" w:hAnsi="仿宋" w:eastAsia="仿宋"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F13AC54">
      <w:pPr>
        <w:shd w:val="clear"/>
        <w:spacing w:line="800" w:lineRule="exact"/>
        <w:jc w:val="left"/>
        <w:rPr>
          <w:rFonts w:ascii="仿宋" w:hAnsi="仿宋" w:eastAsia="仿宋" w:cs="仿宋"/>
          <w:b/>
          <w:color w:val="auto"/>
          <w:sz w:val="30"/>
          <w:szCs w:val="30"/>
          <w:highlight w:val="none"/>
        </w:rPr>
      </w:pPr>
    </w:p>
    <w:p w14:paraId="74C2DD9B">
      <w:pPr>
        <w:pStyle w:val="80"/>
        <w:shd w:val="clear"/>
        <w:rPr>
          <w:color w:val="auto"/>
          <w:highlight w:val="none"/>
        </w:rPr>
      </w:pPr>
    </w:p>
    <w:p w14:paraId="5B01208A">
      <w:pPr>
        <w:pStyle w:val="80"/>
        <w:shd w:val="clear"/>
        <w:rPr>
          <w:color w:val="auto"/>
          <w:highlight w:val="none"/>
        </w:rPr>
      </w:pPr>
    </w:p>
    <w:p w14:paraId="06E2D552">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1EC077F0">
      <w:pPr>
        <w:shd w:val="clear"/>
        <w:rPr>
          <w:rFonts w:ascii="仿宋" w:hAnsi="仿宋" w:eastAsia="仿宋" w:cs="仿宋"/>
          <w:b/>
          <w:color w:val="auto"/>
          <w:sz w:val="24"/>
          <w:highlight w:val="none"/>
        </w:rPr>
      </w:pPr>
    </w:p>
    <w:p w14:paraId="75893262">
      <w:pPr>
        <w:shd w:val="clear"/>
        <w:rPr>
          <w:rFonts w:ascii="仿宋" w:hAnsi="仿宋" w:eastAsia="仿宋" w:cs="仿宋"/>
          <w:b/>
          <w:color w:val="auto"/>
          <w:sz w:val="24"/>
          <w:highlight w:val="none"/>
        </w:rPr>
      </w:pPr>
    </w:p>
    <w:p w14:paraId="2A736440">
      <w:pPr>
        <w:pStyle w:val="80"/>
        <w:shd w:val="clear"/>
        <w:rPr>
          <w:color w:val="auto"/>
          <w:highlight w:val="none"/>
        </w:rPr>
      </w:pPr>
    </w:p>
    <w:p w14:paraId="53C18EAE">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w:t>
      </w:r>
      <w:r>
        <w:rPr>
          <w:rFonts w:ascii="仿宋" w:hAnsi="仿宋" w:eastAsia="仿宋" w:cs="仿宋"/>
          <w:b/>
          <w:color w:val="auto"/>
          <w:sz w:val="30"/>
          <w:szCs w:val="30"/>
          <w:highlight w:val="none"/>
        </w:rPr>
        <w:t>(格式)</w:t>
      </w:r>
    </w:p>
    <w:p w14:paraId="1FE36F41">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w:t>
      </w:r>
    </w:p>
    <w:p w14:paraId="5D22CEE3">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地址：</w:t>
      </w:r>
    </w:p>
    <w:p w14:paraId="7F55BCB6">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p>
    <w:p w14:paraId="72446F58">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56F55F59">
      <w:pPr>
        <w:shd w:val="clea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职务：</w:t>
      </w:r>
    </w:p>
    <w:p w14:paraId="4C689295">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2342E72">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E5951EE">
      <w:pPr>
        <w:shd w:val="clear"/>
        <w:spacing w:line="440" w:lineRule="exact"/>
        <w:rPr>
          <w:rFonts w:ascii="仿宋" w:hAnsi="仿宋" w:eastAsia="仿宋" w:cs="仿宋"/>
          <w:color w:val="auto"/>
          <w:sz w:val="24"/>
          <w:highlight w:val="none"/>
        </w:rPr>
      </w:pPr>
    </w:p>
    <w:p w14:paraId="3F58548C">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投标人名称（电子签章）：</w:t>
      </w:r>
    </w:p>
    <w:p w14:paraId="6B08F09B">
      <w:pPr>
        <w:shd w:val="clear"/>
        <w:spacing w:line="440" w:lineRule="exact"/>
        <w:ind w:right="480"/>
        <w:rPr>
          <w:rFonts w:ascii="仿宋" w:hAnsi="仿宋" w:eastAsia="仿宋" w:cs="仿宋"/>
          <w:color w:val="auto"/>
          <w:sz w:val="24"/>
          <w:highlight w:val="none"/>
        </w:rPr>
      </w:pPr>
    </w:p>
    <w:p w14:paraId="0DE999DF">
      <w:pPr>
        <w:shd w:val="clea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年月日</w:t>
      </w:r>
    </w:p>
    <w:p w14:paraId="6D410B73">
      <w:pPr>
        <w:shd w:val="clear"/>
        <w:jc w:val="center"/>
        <w:rPr>
          <w:rFonts w:ascii="仿宋" w:hAnsi="仿宋" w:eastAsia="仿宋" w:cs="仿宋"/>
          <w:b/>
          <w:color w:val="auto"/>
          <w:kern w:val="0"/>
          <w:sz w:val="32"/>
          <w:szCs w:val="32"/>
          <w:highlight w:val="none"/>
        </w:rPr>
      </w:pPr>
    </w:p>
    <w:p w14:paraId="5EB91318">
      <w:pPr>
        <w:pStyle w:val="80"/>
        <w:shd w:val="clear"/>
        <w:rPr>
          <w:color w:val="auto"/>
          <w:highlight w:val="none"/>
        </w:rPr>
      </w:pPr>
    </w:p>
    <w:p w14:paraId="21EB1217">
      <w:pPr>
        <w:pStyle w:val="81"/>
        <w:shd w:val="clear"/>
        <w:rPr>
          <w:rFonts w:eastAsia="仿宋"/>
          <w:color w:val="auto"/>
          <w:highlight w:val="none"/>
        </w:rPr>
      </w:pPr>
    </w:p>
    <w:p w14:paraId="4F9F08B4">
      <w:pPr>
        <w:shd w:val="clea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D5A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94874B9">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vAlign w:val="center"/>
          </w:tcPr>
          <w:p w14:paraId="52E52B76">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vAlign w:val="center"/>
          </w:tcPr>
          <w:p w14:paraId="14064A62">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vAlign w:val="center"/>
          </w:tcPr>
          <w:p w14:paraId="6232B1A8">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5E1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4C88BF3">
            <w:pPr>
              <w:shd w:val="clear"/>
              <w:autoSpaceDE w:val="0"/>
              <w:autoSpaceDN w:val="0"/>
              <w:spacing w:line="240" w:lineRule="atLeast"/>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1</w:t>
            </w:r>
          </w:p>
        </w:tc>
        <w:tc>
          <w:tcPr>
            <w:tcW w:w="3683" w:type="dxa"/>
            <w:vAlign w:val="center"/>
          </w:tcPr>
          <w:p w14:paraId="38E9C89C">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6299A8EE">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7C14611C">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r w14:paraId="3B26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831362F">
            <w:pPr>
              <w:shd w:val="clear"/>
              <w:spacing w:line="240" w:lineRule="atLeast"/>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2</w:t>
            </w:r>
          </w:p>
        </w:tc>
        <w:tc>
          <w:tcPr>
            <w:tcW w:w="3683" w:type="dxa"/>
            <w:vAlign w:val="center"/>
          </w:tcPr>
          <w:p w14:paraId="69342749">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60878750">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5127AFD2">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r w14:paraId="4E5D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D63AC88">
            <w:pPr>
              <w:shd w:val="clear"/>
              <w:spacing w:line="240" w:lineRule="atLeast"/>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vAlign w:val="center"/>
          </w:tcPr>
          <w:p w14:paraId="6F686F61">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7BF96172">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7B4C97D1">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bl>
    <w:p w14:paraId="442005BD">
      <w:pPr>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E9460B7">
      <w:pPr>
        <w:shd w:val="clear"/>
        <w:jc w:val="center"/>
        <w:rPr>
          <w:rFonts w:ascii="仿宋" w:hAnsi="仿宋" w:eastAsia="仿宋" w:cs="仿宋"/>
          <w:b/>
          <w:color w:val="auto"/>
          <w:kern w:val="0"/>
          <w:sz w:val="32"/>
          <w:szCs w:val="32"/>
          <w:highlight w:val="none"/>
        </w:rPr>
      </w:pPr>
    </w:p>
    <w:p w14:paraId="27524277">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54ACAFA">
      <w:pPr>
        <w:shd w:val="clear"/>
        <w:ind w:firstLine="1911" w:firstLineChars="595"/>
        <w:rPr>
          <w:rFonts w:ascii="仿宋" w:hAnsi="仿宋" w:eastAsia="仿宋" w:cs="仿宋"/>
          <w:b/>
          <w:bCs/>
          <w:color w:val="auto"/>
          <w:sz w:val="32"/>
          <w:szCs w:val="32"/>
          <w:highlight w:val="none"/>
        </w:rPr>
      </w:pPr>
    </w:p>
    <w:p w14:paraId="6DCE389C">
      <w:pPr>
        <w:pStyle w:val="80"/>
        <w:shd w:val="clear"/>
        <w:ind w:firstLine="1428"/>
        <w:rPr>
          <w:color w:val="auto"/>
          <w:highlight w:val="none"/>
        </w:rPr>
      </w:pPr>
    </w:p>
    <w:p w14:paraId="17D3B172">
      <w:pPr>
        <w:pStyle w:val="81"/>
        <w:shd w:val="clear"/>
        <w:ind w:firstLine="1249"/>
        <w:rPr>
          <w:rFonts w:eastAsia="仿宋"/>
          <w:color w:val="auto"/>
          <w:highlight w:val="none"/>
        </w:rPr>
      </w:pPr>
    </w:p>
    <w:p w14:paraId="1A3AB7E9">
      <w:pPr>
        <w:widowControl/>
        <w:shd w:val="clear"/>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14:paraId="20FEC359">
      <w:pPr>
        <w:shd w:val="clear"/>
        <w:snapToGrid w:val="0"/>
        <w:spacing w:line="360" w:lineRule="auto"/>
        <w:rPr>
          <w:rFonts w:ascii="仿宋" w:hAnsi="仿宋" w:eastAsia="仿宋" w:cs="仿宋"/>
          <w:color w:val="auto"/>
          <w:sz w:val="24"/>
          <w:highlight w:val="none"/>
        </w:rPr>
      </w:pPr>
    </w:p>
    <w:p w14:paraId="25A03BE0">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1540FFA">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467D1D3">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14:paraId="328FE21B">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14:paraId="6B85F200">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14:paraId="5FB4ACCC">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F158345">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AE774BE">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5E778AB">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4BD0C90">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等法律法规，诚实守信，合法经营，坚决抵制各种违法违纪行为。</w:t>
      </w:r>
    </w:p>
    <w:p w14:paraId="43AFA7E6">
      <w:pPr>
        <w:shd w:val="clea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AB33186">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26F85F6E">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14EF0AFC">
      <w:pPr>
        <w:shd w:val="clear"/>
        <w:autoSpaceDE w:val="0"/>
        <w:autoSpaceDN w:val="0"/>
        <w:spacing w:line="360" w:lineRule="auto"/>
        <w:ind w:left="2"/>
        <w:jc w:val="left"/>
        <w:rPr>
          <w:rFonts w:ascii="仿宋" w:hAnsi="仿宋" w:eastAsia="仿宋" w:cs="仿宋"/>
          <w:color w:val="auto"/>
          <w:kern w:val="0"/>
          <w:sz w:val="24"/>
          <w:highlight w:val="none"/>
          <w:lang w:val="zh-CN"/>
        </w:rPr>
      </w:pPr>
    </w:p>
    <w:p w14:paraId="34F2AADD">
      <w:pPr>
        <w:shd w:val="clea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14:paraId="3D0C669D">
      <w:pPr>
        <w:shd w:val="clea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lang w:val="zh-CN"/>
        </w:rPr>
        <w:t xml:space="preserve">   年   月   日</w:t>
      </w:r>
    </w:p>
    <w:p w14:paraId="793B6882">
      <w:pPr>
        <w:shd w:val="clear"/>
        <w:spacing w:line="360" w:lineRule="auto"/>
        <w:jc w:val="center"/>
        <w:rPr>
          <w:rFonts w:ascii="仿宋" w:hAnsi="仿宋" w:eastAsia="仿宋" w:cs="仿宋"/>
          <w:b/>
          <w:bCs/>
          <w:color w:val="auto"/>
          <w:sz w:val="24"/>
          <w:highlight w:val="none"/>
        </w:rPr>
      </w:pPr>
    </w:p>
    <w:p w14:paraId="3B8AC38A">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4154BF">
      <w:pPr>
        <w:shd w:val="clear"/>
        <w:jc w:val="center"/>
        <w:rPr>
          <w:rFonts w:ascii="仿宋_GB2312" w:hAnsi="仿宋_GB2312" w:eastAsia="仿宋_GB2312" w:cs="仿宋_GB2312"/>
          <w:b/>
          <w:color w:val="auto"/>
          <w:sz w:val="32"/>
          <w:szCs w:val="32"/>
          <w:highlight w:val="none"/>
        </w:rPr>
      </w:pPr>
    </w:p>
    <w:p w14:paraId="60D053AD">
      <w:pPr>
        <w:shd w:val="clear"/>
        <w:jc w:val="center"/>
        <w:rPr>
          <w:rFonts w:ascii="仿宋_GB2312" w:hAnsi="仿宋_GB2312" w:eastAsia="仿宋_GB2312" w:cs="仿宋_GB2312"/>
          <w:b/>
          <w:color w:val="auto"/>
          <w:sz w:val="32"/>
          <w:szCs w:val="32"/>
          <w:highlight w:val="none"/>
        </w:rPr>
      </w:pPr>
    </w:p>
    <w:p w14:paraId="444879B7">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E97F69B">
      <w:pPr>
        <w:shd w:val="clea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521E96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0466609">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289F20F">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3597A33">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C0AB671">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1EF4F56">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85D8DD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562883A">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7630EA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17F9381">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BD61084">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70A94E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4EAFF52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77C6F40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B829C44">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3D39566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46ADD617">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6284F49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66EC6AD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4784417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1FBDA373">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7664C683">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3D2B109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31BECCF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755F4C9B">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58E713B4">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44D8BE4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50A960E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4DDDAD3F">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105017FD">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06BEF34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3936135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6FE9D99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557A52B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12B8466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bl>
    <w:p w14:paraId="1DCDE567">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9B41F0E">
      <w:pPr>
        <w:shd w:val="clear"/>
        <w:autoSpaceDE w:val="0"/>
        <w:autoSpaceDN w:val="0"/>
        <w:spacing w:line="360" w:lineRule="auto"/>
        <w:rPr>
          <w:rFonts w:ascii="仿宋_GB2312" w:hAnsi="仿宋_GB2312" w:eastAsia="仿宋_GB2312" w:cs="仿宋_GB2312"/>
          <w:b/>
          <w:color w:val="auto"/>
          <w:sz w:val="24"/>
          <w:highlight w:val="none"/>
        </w:rPr>
      </w:pPr>
    </w:p>
    <w:p w14:paraId="4A078E7F">
      <w:pPr>
        <w:shd w:val="clear"/>
        <w:autoSpaceDE w:val="0"/>
        <w:autoSpaceDN w:val="0"/>
        <w:spacing w:line="360" w:lineRule="auto"/>
        <w:rPr>
          <w:rFonts w:ascii="仿宋_GB2312" w:hAnsi="仿宋_GB2312" w:eastAsia="仿宋_GB2312" w:cs="仿宋_GB2312"/>
          <w:color w:val="auto"/>
          <w:sz w:val="24"/>
          <w:highlight w:val="none"/>
        </w:rPr>
      </w:pPr>
    </w:p>
    <w:p w14:paraId="40964468">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7124348">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582A91FD">
      <w:pPr>
        <w:pStyle w:val="648"/>
        <w:shd w:val="clear"/>
        <w:ind w:firstLine="0"/>
        <w:jc w:val="both"/>
        <w:rPr>
          <w:rFonts w:hAnsi="仿宋_GB2312" w:cs="仿宋_GB2312"/>
          <w:color w:val="auto"/>
          <w:highlight w:val="none"/>
        </w:rPr>
      </w:pPr>
    </w:p>
    <w:p w14:paraId="075A78E7">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C0CBFCE">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9144A4E">
      <w:pPr>
        <w:shd w:val="clear"/>
        <w:spacing w:line="360" w:lineRule="auto"/>
        <w:jc w:val="center"/>
        <w:rPr>
          <w:rFonts w:ascii="仿宋_GB2312" w:hAnsi="仿宋_GB2312" w:eastAsia="仿宋_GB2312" w:cs="仿宋_GB2312"/>
          <w:color w:val="auto"/>
          <w:sz w:val="24"/>
          <w:highlight w:val="none"/>
        </w:rPr>
      </w:pPr>
    </w:p>
    <w:p w14:paraId="124AAAF1">
      <w:pPr>
        <w:shd w:val="clea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000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F6E2B24">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1D3BCAB">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307603E">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79F87AF7">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0F9B3CF">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E9A3901">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AAB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6BA7F934">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w:t>
            </w:r>
          </w:p>
        </w:tc>
        <w:tc>
          <w:tcPr>
            <w:tcW w:w="1531" w:type="dxa"/>
            <w:vAlign w:val="center"/>
          </w:tcPr>
          <w:p w14:paraId="6D4E424E">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14:paraId="7290795E">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14:paraId="3FA223E8">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14:paraId="195F2244">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14:paraId="646A61A9">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14:paraId="5B35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456284B7">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2</w:t>
            </w:r>
          </w:p>
        </w:tc>
        <w:tc>
          <w:tcPr>
            <w:tcW w:w="1531" w:type="dxa"/>
            <w:vAlign w:val="center"/>
          </w:tcPr>
          <w:p w14:paraId="39256CB8">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14:paraId="16B7D1E1">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14:paraId="41192992">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14:paraId="1B0C9040">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14:paraId="459E2F0C">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14:paraId="78F5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415986C2">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3</w:t>
            </w:r>
          </w:p>
        </w:tc>
        <w:tc>
          <w:tcPr>
            <w:tcW w:w="1531" w:type="dxa"/>
            <w:vAlign w:val="center"/>
          </w:tcPr>
          <w:p w14:paraId="67A13F2F">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14:paraId="795881DA">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14:paraId="0F55D8C7">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14:paraId="2C8B29FD">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14:paraId="491E6121">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14:paraId="6549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6E70862A">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4</w:t>
            </w:r>
          </w:p>
        </w:tc>
        <w:tc>
          <w:tcPr>
            <w:tcW w:w="1531" w:type="dxa"/>
            <w:vAlign w:val="center"/>
          </w:tcPr>
          <w:p w14:paraId="601A4FC1">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14:paraId="27629F12">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14:paraId="682709C9">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14:paraId="1CFF9C9E">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14:paraId="63215518">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r w14:paraId="578E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31824F61">
            <w:pPr>
              <w:shd w:val="clear"/>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5</w:t>
            </w:r>
          </w:p>
        </w:tc>
        <w:tc>
          <w:tcPr>
            <w:tcW w:w="1531" w:type="dxa"/>
            <w:vAlign w:val="center"/>
          </w:tcPr>
          <w:p w14:paraId="4FAC69FE">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160" w:type="dxa"/>
            <w:vAlign w:val="center"/>
          </w:tcPr>
          <w:p w14:paraId="22CE6133">
            <w:pPr>
              <w:keepNext/>
              <w:keepLines/>
              <w:shd w:val="clear"/>
              <w:tabs>
                <w:tab w:val="left" w:pos="432"/>
              </w:tabs>
              <w:snapToGrid w:val="0"/>
              <w:spacing w:line="360" w:lineRule="auto"/>
              <w:jc w:val="center"/>
              <w:textAlignment w:val="center"/>
              <w:rPr>
                <w:rFonts w:ascii="仿宋_GB2312" w:hAnsi="仿宋_GB2312" w:eastAsia="仿宋_GB2312" w:cs="仿宋_GB2312"/>
                <w:color w:val="auto"/>
                <w:sz w:val="24"/>
                <w:highlight w:val="none"/>
              </w:rPr>
            </w:pPr>
          </w:p>
        </w:tc>
        <w:tc>
          <w:tcPr>
            <w:tcW w:w="2340" w:type="dxa"/>
            <w:vAlign w:val="center"/>
          </w:tcPr>
          <w:p w14:paraId="19BD02A1">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080" w:type="dxa"/>
            <w:vAlign w:val="center"/>
          </w:tcPr>
          <w:p w14:paraId="1AFC5533">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c>
          <w:tcPr>
            <w:tcW w:w="1332" w:type="dxa"/>
            <w:vAlign w:val="center"/>
          </w:tcPr>
          <w:p w14:paraId="14955C22">
            <w:pPr>
              <w:keepNext/>
              <w:keepLines/>
              <w:shd w:val="clear"/>
              <w:tabs>
                <w:tab w:val="left" w:pos="432"/>
              </w:tabs>
              <w:spacing w:line="360" w:lineRule="auto"/>
              <w:jc w:val="center"/>
              <w:textAlignment w:val="center"/>
              <w:rPr>
                <w:rFonts w:ascii="仿宋_GB2312" w:hAnsi="仿宋_GB2312" w:eastAsia="仿宋_GB2312" w:cs="仿宋_GB2312"/>
                <w:color w:val="auto"/>
                <w:sz w:val="24"/>
                <w:highlight w:val="none"/>
              </w:rPr>
            </w:pPr>
          </w:p>
        </w:tc>
      </w:tr>
    </w:tbl>
    <w:p w14:paraId="212F6186">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w:t>
      </w:r>
      <w:r>
        <w:rPr>
          <w:rFonts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86C21D8">
      <w:pPr>
        <w:shd w:val="clear"/>
        <w:autoSpaceDE w:val="0"/>
        <w:autoSpaceDN w:val="0"/>
        <w:spacing w:line="360" w:lineRule="auto"/>
        <w:rPr>
          <w:rFonts w:ascii="仿宋" w:hAnsi="仿宋" w:eastAsia="仿宋"/>
          <w:b/>
          <w:color w:val="auto"/>
          <w:spacing w:val="6"/>
          <w:sz w:val="24"/>
          <w:highlight w:val="none"/>
        </w:rPr>
      </w:pPr>
      <w:r>
        <w:rPr>
          <w:rFonts w:ascii="仿宋" w:hAnsi="仿宋" w:eastAsia="仿宋"/>
          <w:b/>
          <w:color w:val="auto"/>
          <w:spacing w:val="6"/>
          <w:sz w:val="24"/>
          <w:highlight w:val="none"/>
        </w:rPr>
        <w:t>2.</w:t>
      </w:r>
      <w:r>
        <w:rPr>
          <w:rFonts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70EAF0C">
      <w:pPr>
        <w:shd w:val="clea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4.6pt;" o:ole="t" filled="f" o:preferrelative="t" stroked="f" coordsize="21600,21600">
            <v:path/>
            <v:fill on="f" focussize="0,0"/>
            <v:stroke on="f"/>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30" o:title=""/>
            <o:lock v:ext="edit" aspectratio="t"/>
            <w10:wrap type="none"/>
            <w10:anchorlock/>
          </v:shape>
          <o:OLEObject Type="Embed" ProgID="Package" ShapeID="_x0000_i1026" DrawAspect="Content" ObjectID="_1468075726" r:id="rId29">
            <o:LockedField>false</o:LockedField>
          </o:OLEObject>
        </w:object>
      </w:r>
    </w:p>
    <w:p w14:paraId="206BE895">
      <w:pPr>
        <w:shd w:val="clea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4B6CEE0">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40BB4DC">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3BF715EE">
      <w:pPr>
        <w:shd w:val="clea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ascii="仿宋_GB2312" w:hAnsi="仿宋_GB2312" w:eastAsia="仿宋_GB2312" w:cs="仿宋_GB2312"/>
          <w:b/>
          <w:bCs/>
          <w:color w:val="auto"/>
          <w:kern w:val="0"/>
          <w:sz w:val="24"/>
          <w:highlight w:val="none"/>
          <w:lang w:val="zh-CN"/>
        </w:rPr>
        <w:tab/>
      </w:r>
      <w:r>
        <w:rPr>
          <w:rFonts w:ascii="仿宋_GB2312" w:hAnsi="仿宋_GB2312" w:eastAsia="仿宋_GB2312" w:cs="仿宋_GB2312"/>
          <w:b/>
          <w:bCs/>
          <w:color w:val="auto"/>
          <w:kern w:val="0"/>
          <w:sz w:val="24"/>
          <w:highlight w:val="none"/>
          <w:lang w:val="zh-CN"/>
        </w:rPr>
        <w:tab/>
      </w:r>
    </w:p>
    <w:p w14:paraId="436FABC7">
      <w:pPr>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B068D2E">
      <w:pPr>
        <w:pageBreakBefore/>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062CEED4">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A364A29">
      <w:pPr>
        <w:pStyle w:val="80"/>
        <w:shd w:val="clear"/>
        <w:rPr>
          <w:color w:val="auto"/>
          <w:highlight w:val="none"/>
        </w:rPr>
      </w:pPr>
    </w:p>
    <w:p w14:paraId="58782754">
      <w:pPr>
        <w:shd w:val="clea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w:t>
      </w:r>
      <w:r>
        <w:rPr>
          <w:rFonts w:ascii="仿宋_GB2312" w:hAnsi="仿宋_GB2312" w:eastAsia="仿宋_GB2312" w:cs="仿宋_GB2312"/>
          <w:b/>
          <w:bCs/>
          <w:color w:val="auto"/>
          <w:kern w:val="0"/>
          <w:sz w:val="24"/>
          <w:highlight w:val="none"/>
          <w:lang w:val="zh-CN"/>
        </w:rPr>
        <w:t>:项目实施进度计划表</w:t>
      </w:r>
      <w:r>
        <w:rPr>
          <w:rFonts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ED3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D31C495">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 xml:space="preserve">  工作日</w:t>
            </w:r>
          </w:p>
          <w:p w14:paraId="396EF289">
            <w:pPr>
              <w:shd w:val="clea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4FA5DF48">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w:t>
            </w:r>
          </w:p>
        </w:tc>
        <w:tc>
          <w:tcPr>
            <w:tcW w:w="552" w:type="dxa"/>
            <w:vAlign w:val="center"/>
          </w:tcPr>
          <w:p w14:paraId="7B007EF0">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2</w:t>
            </w:r>
          </w:p>
        </w:tc>
        <w:tc>
          <w:tcPr>
            <w:tcW w:w="552" w:type="dxa"/>
            <w:vAlign w:val="center"/>
          </w:tcPr>
          <w:p w14:paraId="708575EA">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3</w:t>
            </w:r>
          </w:p>
        </w:tc>
        <w:tc>
          <w:tcPr>
            <w:tcW w:w="552" w:type="dxa"/>
            <w:vAlign w:val="center"/>
          </w:tcPr>
          <w:p w14:paraId="4F281DBD">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4</w:t>
            </w:r>
          </w:p>
        </w:tc>
        <w:tc>
          <w:tcPr>
            <w:tcW w:w="552" w:type="dxa"/>
            <w:vAlign w:val="center"/>
          </w:tcPr>
          <w:p w14:paraId="72EAD166">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5</w:t>
            </w:r>
          </w:p>
        </w:tc>
        <w:tc>
          <w:tcPr>
            <w:tcW w:w="552" w:type="dxa"/>
            <w:vAlign w:val="center"/>
          </w:tcPr>
          <w:p w14:paraId="5228DFCE">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6</w:t>
            </w:r>
          </w:p>
        </w:tc>
        <w:tc>
          <w:tcPr>
            <w:tcW w:w="553" w:type="dxa"/>
            <w:vAlign w:val="center"/>
          </w:tcPr>
          <w:p w14:paraId="199CFE11">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7</w:t>
            </w:r>
          </w:p>
        </w:tc>
        <w:tc>
          <w:tcPr>
            <w:tcW w:w="553" w:type="dxa"/>
            <w:vAlign w:val="center"/>
          </w:tcPr>
          <w:p w14:paraId="1DEFE5DD">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8</w:t>
            </w:r>
          </w:p>
        </w:tc>
        <w:tc>
          <w:tcPr>
            <w:tcW w:w="553" w:type="dxa"/>
            <w:vAlign w:val="center"/>
          </w:tcPr>
          <w:p w14:paraId="357C2F2B">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9</w:t>
            </w:r>
          </w:p>
        </w:tc>
        <w:tc>
          <w:tcPr>
            <w:tcW w:w="553" w:type="dxa"/>
            <w:vAlign w:val="center"/>
          </w:tcPr>
          <w:p w14:paraId="717F6C9C">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10</w:t>
            </w:r>
          </w:p>
        </w:tc>
        <w:tc>
          <w:tcPr>
            <w:tcW w:w="553" w:type="dxa"/>
            <w:vAlign w:val="center"/>
          </w:tcPr>
          <w:p w14:paraId="1DF5190F">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11</w:t>
            </w:r>
          </w:p>
        </w:tc>
        <w:tc>
          <w:tcPr>
            <w:tcW w:w="553" w:type="dxa"/>
            <w:vAlign w:val="center"/>
          </w:tcPr>
          <w:p w14:paraId="35C2B64D">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12</w:t>
            </w:r>
          </w:p>
        </w:tc>
        <w:tc>
          <w:tcPr>
            <w:tcW w:w="553" w:type="dxa"/>
            <w:vAlign w:val="center"/>
          </w:tcPr>
          <w:p w14:paraId="1F505DDD">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13</w:t>
            </w:r>
          </w:p>
        </w:tc>
        <w:tc>
          <w:tcPr>
            <w:tcW w:w="553" w:type="dxa"/>
            <w:vAlign w:val="center"/>
          </w:tcPr>
          <w:p w14:paraId="51D154B6">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14</w:t>
            </w:r>
          </w:p>
        </w:tc>
        <w:tc>
          <w:tcPr>
            <w:tcW w:w="553" w:type="dxa"/>
            <w:vAlign w:val="center"/>
          </w:tcPr>
          <w:p w14:paraId="3A0F46A1">
            <w:pPr>
              <w:shd w:val="clear"/>
              <w:autoSpaceDE w:val="0"/>
              <w:autoSpaceDN w:val="0"/>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15</w:t>
            </w:r>
          </w:p>
        </w:tc>
        <w:tc>
          <w:tcPr>
            <w:tcW w:w="553" w:type="dxa"/>
            <w:vAlign w:val="center"/>
          </w:tcPr>
          <w:p w14:paraId="7A1F7ABD">
            <w:pPr>
              <w:shd w:val="clea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E19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9EDFE48">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5E3AE126">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6DD3A08F">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290B60A7">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07100C0E">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17DEEF0E">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1282D03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51A2A109">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7209E17">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253FEC18">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701A3C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6ADA8AF8">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30D5EB53">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7325B12">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72B27D8B">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2F66E1C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4444D71">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r>
      <w:tr w14:paraId="2041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FA714E">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72641F30">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152E9B4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271CBF85">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229FC50F">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2CDADCBB">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69259BFE">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3FAEBAE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5BA0FF6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684F9E14">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3DCE0FF3">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0D50A9C6">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4996E09">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11F562AF">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259BBF80">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734CF78B">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5AE0D35F">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r>
      <w:tr w14:paraId="2C0B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DADAD33">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7293F71D">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65C19CAB">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51A70E66">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6FC451D3">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1B127248">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2" w:type="dxa"/>
          </w:tcPr>
          <w:p w14:paraId="4FB16142">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8329464">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CDBEE3A">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3241ED0F">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6B257FC3">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158F6E52">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5D714461">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4F516454">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238FBA0D">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66D64A3C">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c>
          <w:tcPr>
            <w:tcW w:w="553" w:type="dxa"/>
          </w:tcPr>
          <w:p w14:paraId="0FF7E69D">
            <w:pPr>
              <w:keepNext/>
              <w:keepLines/>
              <w:shd w:val="clear"/>
              <w:tabs>
                <w:tab w:val="left" w:pos="900"/>
              </w:tabs>
              <w:spacing w:line="360" w:lineRule="auto"/>
              <w:ind w:hanging="720"/>
              <w:outlineLvl w:val="2"/>
              <w:rPr>
                <w:rFonts w:ascii="仿宋_GB2312" w:hAnsi="仿宋_GB2312" w:eastAsia="仿宋_GB2312" w:cs="仿宋_GB2312"/>
                <w:color w:val="auto"/>
                <w:sz w:val="24"/>
                <w:highlight w:val="none"/>
              </w:rPr>
            </w:pPr>
          </w:p>
        </w:tc>
      </w:tr>
    </w:tbl>
    <w:p w14:paraId="7B10E68A">
      <w:pPr>
        <w:shd w:val="clea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4501574">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12EC219">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6414C93A">
      <w:pPr>
        <w:shd w:val="clear"/>
        <w:spacing w:line="360" w:lineRule="auto"/>
        <w:rPr>
          <w:rFonts w:ascii="仿宋_GB2312" w:hAnsi="仿宋_GB2312" w:eastAsia="仿宋_GB2312" w:cs="仿宋_GB2312"/>
          <w:color w:val="auto"/>
          <w:kern w:val="0"/>
          <w:sz w:val="24"/>
          <w:highlight w:val="none"/>
        </w:rPr>
      </w:pPr>
    </w:p>
    <w:p w14:paraId="1CD52800">
      <w:pPr>
        <w:pStyle w:val="80"/>
        <w:shd w:val="clear"/>
        <w:rPr>
          <w:color w:val="auto"/>
          <w:highlight w:val="none"/>
        </w:rPr>
      </w:pPr>
    </w:p>
    <w:p w14:paraId="0B6D50EC">
      <w:pPr>
        <w:pStyle w:val="81"/>
        <w:shd w:val="clear"/>
        <w:rPr>
          <w:rFonts w:eastAsia="仿宋_GB2312"/>
          <w:color w:val="auto"/>
          <w:highlight w:val="none"/>
        </w:rPr>
      </w:pPr>
    </w:p>
    <w:p w14:paraId="4BFCB06A">
      <w:pPr>
        <w:shd w:val="clear"/>
        <w:rPr>
          <w:color w:val="auto"/>
          <w:highlight w:val="none"/>
        </w:rPr>
      </w:pPr>
    </w:p>
    <w:p w14:paraId="333D37BA">
      <w:pPr>
        <w:pStyle w:val="80"/>
        <w:shd w:val="clear"/>
        <w:rPr>
          <w:color w:val="auto"/>
          <w:highlight w:val="none"/>
        </w:rPr>
      </w:pPr>
    </w:p>
    <w:p w14:paraId="530582E8">
      <w:pPr>
        <w:pStyle w:val="81"/>
        <w:shd w:val="clear"/>
        <w:rPr>
          <w:rFonts w:eastAsia="仿宋_GB2312"/>
          <w:color w:val="auto"/>
          <w:highlight w:val="none"/>
        </w:rPr>
      </w:pPr>
    </w:p>
    <w:p w14:paraId="12C4BB83">
      <w:pPr>
        <w:shd w:val="clear"/>
        <w:rPr>
          <w:color w:val="auto"/>
          <w:highlight w:val="none"/>
        </w:rPr>
      </w:pPr>
    </w:p>
    <w:p w14:paraId="12E4D4A5">
      <w:pPr>
        <w:pStyle w:val="80"/>
        <w:shd w:val="clear"/>
        <w:rPr>
          <w:color w:val="auto"/>
          <w:highlight w:val="none"/>
        </w:rPr>
      </w:pPr>
    </w:p>
    <w:p w14:paraId="14261B0F">
      <w:pPr>
        <w:pStyle w:val="81"/>
        <w:shd w:val="clear"/>
        <w:rPr>
          <w:rFonts w:eastAsia="仿宋_GB2312"/>
          <w:color w:val="auto"/>
          <w:highlight w:val="none"/>
        </w:rPr>
      </w:pPr>
    </w:p>
    <w:p w14:paraId="24CDC27B">
      <w:pPr>
        <w:shd w:val="clear"/>
        <w:rPr>
          <w:color w:val="auto"/>
          <w:highlight w:val="none"/>
        </w:rPr>
      </w:pPr>
    </w:p>
    <w:p w14:paraId="295AECE6">
      <w:pPr>
        <w:pStyle w:val="80"/>
        <w:shd w:val="clear"/>
        <w:rPr>
          <w:color w:val="auto"/>
          <w:highlight w:val="none"/>
        </w:rPr>
      </w:pPr>
    </w:p>
    <w:p w14:paraId="134F58A2">
      <w:pPr>
        <w:pStyle w:val="81"/>
        <w:shd w:val="clear"/>
        <w:rPr>
          <w:rFonts w:eastAsia="仿宋_GB2312"/>
          <w:color w:val="auto"/>
          <w:highlight w:val="none"/>
        </w:rPr>
      </w:pPr>
    </w:p>
    <w:p w14:paraId="309BB91D">
      <w:pPr>
        <w:shd w:val="clear"/>
        <w:rPr>
          <w:color w:val="auto"/>
          <w:highlight w:val="none"/>
        </w:rPr>
      </w:pPr>
    </w:p>
    <w:p w14:paraId="72624F83">
      <w:pPr>
        <w:pStyle w:val="80"/>
        <w:shd w:val="clear"/>
        <w:rPr>
          <w:color w:val="auto"/>
          <w:highlight w:val="none"/>
        </w:rPr>
      </w:pPr>
    </w:p>
    <w:p w14:paraId="33191750">
      <w:pPr>
        <w:pStyle w:val="81"/>
        <w:shd w:val="clear"/>
        <w:rPr>
          <w:rFonts w:eastAsia="仿宋_GB2312"/>
          <w:color w:val="auto"/>
          <w:highlight w:val="none"/>
        </w:rPr>
      </w:pPr>
    </w:p>
    <w:p w14:paraId="1E5C3A6F">
      <w:pPr>
        <w:shd w:val="clear"/>
        <w:rPr>
          <w:color w:val="auto"/>
          <w:highlight w:val="none"/>
        </w:rPr>
      </w:pPr>
    </w:p>
    <w:p w14:paraId="5B115C84">
      <w:pPr>
        <w:pStyle w:val="80"/>
        <w:shd w:val="clear"/>
        <w:rPr>
          <w:color w:val="auto"/>
          <w:highlight w:val="none"/>
        </w:rPr>
      </w:pPr>
    </w:p>
    <w:p w14:paraId="553F48E0">
      <w:pPr>
        <w:pStyle w:val="81"/>
        <w:shd w:val="clear"/>
        <w:rPr>
          <w:rFonts w:eastAsia="仿宋_GB2312"/>
          <w:color w:val="auto"/>
          <w:highlight w:val="none"/>
        </w:rPr>
      </w:pPr>
    </w:p>
    <w:p w14:paraId="4E6E9F5D">
      <w:pPr>
        <w:shd w:val="clear"/>
        <w:rPr>
          <w:color w:val="auto"/>
          <w:highlight w:val="none"/>
        </w:rPr>
      </w:pPr>
    </w:p>
    <w:p w14:paraId="3484FA98">
      <w:pPr>
        <w:pStyle w:val="80"/>
        <w:shd w:val="clear"/>
        <w:rPr>
          <w:color w:val="auto"/>
          <w:highlight w:val="none"/>
        </w:rPr>
      </w:pPr>
    </w:p>
    <w:p w14:paraId="5B28D5B9">
      <w:pPr>
        <w:pStyle w:val="81"/>
        <w:shd w:val="clear"/>
        <w:rPr>
          <w:rFonts w:eastAsia="仿宋_GB2312"/>
          <w:color w:val="auto"/>
          <w:highlight w:val="none"/>
        </w:rPr>
      </w:pPr>
    </w:p>
    <w:p w14:paraId="254A9441">
      <w:pPr>
        <w:shd w:val="clear"/>
        <w:rPr>
          <w:color w:val="auto"/>
          <w:highlight w:val="none"/>
        </w:rPr>
      </w:pPr>
    </w:p>
    <w:p w14:paraId="0101289B">
      <w:pPr>
        <w:pStyle w:val="80"/>
        <w:shd w:val="clear"/>
        <w:rPr>
          <w:color w:val="auto"/>
          <w:highlight w:val="none"/>
        </w:rPr>
      </w:pPr>
    </w:p>
    <w:p w14:paraId="35AB6ED3">
      <w:pPr>
        <w:pStyle w:val="81"/>
        <w:shd w:val="clear"/>
        <w:rPr>
          <w:rFonts w:eastAsia="仿宋_GB2312"/>
          <w:color w:val="auto"/>
          <w:highlight w:val="none"/>
        </w:rPr>
      </w:pPr>
    </w:p>
    <w:p w14:paraId="407EC034">
      <w:pPr>
        <w:shd w:val="clear"/>
        <w:rPr>
          <w:color w:val="auto"/>
          <w:highlight w:val="none"/>
        </w:rPr>
      </w:pPr>
    </w:p>
    <w:p w14:paraId="309E086E">
      <w:pPr>
        <w:pStyle w:val="80"/>
        <w:shd w:val="clear"/>
        <w:rPr>
          <w:color w:val="auto"/>
          <w:highlight w:val="none"/>
        </w:rPr>
      </w:pPr>
    </w:p>
    <w:p w14:paraId="6A9F1BC1">
      <w:pPr>
        <w:pStyle w:val="81"/>
        <w:shd w:val="clear"/>
        <w:rPr>
          <w:rFonts w:eastAsia="仿宋_GB2312"/>
          <w:color w:val="auto"/>
          <w:highlight w:val="none"/>
        </w:rPr>
      </w:pPr>
    </w:p>
    <w:p w14:paraId="42024506">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191CC1EB">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75D934D">
      <w:pPr>
        <w:pStyle w:val="80"/>
        <w:shd w:val="clear"/>
        <w:rPr>
          <w:color w:val="auto"/>
          <w:highlight w:val="none"/>
        </w:rPr>
      </w:pPr>
    </w:p>
    <w:p w14:paraId="3CD2E817">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627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14:paraId="323AB009">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vAlign w:val="center"/>
          </w:tcPr>
          <w:p w14:paraId="09E680B5">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vAlign w:val="center"/>
          </w:tcPr>
          <w:p w14:paraId="3C3067FD">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vAlign w:val="center"/>
          </w:tcPr>
          <w:p w14:paraId="601FADF6">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vAlign w:val="center"/>
          </w:tcPr>
          <w:p w14:paraId="37D1C5DA">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vAlign w:val="center"/>
          </w:tcPr>
          <w:p w14:paraId="2FEC3025">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CFA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C1B8FF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5B42D70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0A262503">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53A23CF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108F11F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3E62957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14:paraId="0538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EF1DD81">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0FF4ED0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28DC187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76A54253">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5D97582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296D99B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14:paraId="20DF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D66907A">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14B0879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4973F3F3">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6F003B3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6C16E9F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6EB68E1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bl>
    <w:p w14:paraId="0B552E0F">
      <w:pPr>
        <w:shd w:val="clea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5A6CC4DE">
      <w:pPr>
        <w:shd w:val="clea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w:t>
      </w:r>
      <w:r>
        <w:rPr>
          <w:rFonts w:ascii="仿宋_GB2312" w:hAnsi="仿宋_GB2312" w:eastAsia="仿宋_GB2312" w:cs="仿宋_GB2312"/>
          <w:b/>
          <w:color w:val="auto"/>
          <w:kern w:val="0"/>
          <w:sz w:val="24"/>
          <w:highlight w:val="none"/>
        </w:rPr>
        <w:t>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6C1657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606B36">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626A5DE">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BAA6489">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5290F47">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C3B7A56">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AEF70D8">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DCB8F2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6815913">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94D3D4F">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4EB0D8">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90AC046">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2EAAB9E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B609F75">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CECEF15">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1A3925D">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E0AC125">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D557B8">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ADB33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327007">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E22C82">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21379FE">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CD18D9D">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264905E">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14:paraId="62FE02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E97FEC">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D25CF08">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B6CE65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CE6967C">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45D00D">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181B11">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A3AB57">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8F4DCF">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6DF24D">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A77DA3">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ED33378">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14:paraId="2E75AEAD">
        <w:tblPrEx>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14:paraId="4960FECC">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6D8257">
            <w:pPr>
              <w:shd w:val="clea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82FAA2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DE6615">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8C72A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0FE79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62801">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3E7E4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FBA00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04266E">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51983AB">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bl>
    <w:p w14:paraId="60222BFB">
      <w:pPr>
        <w:shd w:val="clear"/>
        <w:spacing w:line="360" w:lineRule="auto"/>
        <w:ind w:firstLine="480" w:firstLineChars="200"/>
        <w:rPr>
          <w:rFonts w:ascii="仿宋_GB2312" w:hAnsi="仿宋_GB2312" w:eastAsia="仿宋_GB2312" w:cs="仿宋_GB2312"/>
          <w:color w:val="auto"/>
          <w:sz w:val="24"/>
          <w:szCs w:val="20"/>
          <w:highlight w:val="none"/>
        </w:rPr>
      </w:pPr>
    </w:p>
    <w:p w14:paraId="77370260">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A684C75">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3AF5524F">
      <w:pPr>
        <w:shd w:val="clear"/>
        <w:spacing w:line="360" w:lineRule="auto"/>
        <w:rPr>
          <w:rFonts w:ascii="仿宋_GB2312" w:hAnsi="仿宋_GB2312" w:eastAsia="仿宋_GB2312" w:cs="仿宋_GB2312"/>
          <w:b/>
          <w:color w:val="auto"/>
          <w:sz w:val="30"/>
          <w:szCs w:val="30"/>
          <w:highlight w:val="none"/>
        </w:rPr>
      </w:pPr>
    </w:p>
    <w:p w14:paraId="63253E42">
      <w:pPr>
        <w:shd w:val="clear"/>
        <w:spacing w:line="360" w:lineRule="auto"/>
        <w:rPr>
          <w:rFonts w:ascii="仿宋_GB2312" w:hAnsi="仿宋_GB2312" w:eastAsia="仿宋_GB2312" w:cs="仿宋_GB2312"/>
          <w:b/>
          <w:color w:val="auto"/>
          <w:sz w:val="30"/>
          <w:szCs w:val="30"/>
          <w:highlight w:val="none"/>
        </w:rPr>
      </w:pPr>
    </w:p>
    <w:p w14:paraId="2887496D">
      <w:pPr>
        <w:shd w:val="clear"/>
        <w:spacing w:line="360" w:lineRule="auto"/>
        <w:rPr>
          <w:rFonts w:ascii="仿宋_GB2312" w:hAnsi="仿宋_GB2312" w:eastAsia="仿宋_GB2312" w:cs="仿宋_GB2312"/>
          <w:b/>
          <w:color w:val="auto"/>
          <w:sz w:val="30"/>
          <w:szCs w:val="30"/>
          <w:highlight w:val="none"/>
        </w:rPr>
      </w:pPr>
    </w:p>
    <w:p w14:paraId="7BBDB8C5">
      <w:pPr>
        <w:shd w:val="clea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3AFD9B37">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42224E4F">
      <w:pPr>
        <w:shd w:val="clear"/>
        <w:spacing w:line="336" w:lineRule="auto"/>
        <w:ind w:firstLine="3600" w:firstLineChars="1500"/>
        <w:rPr>
          <w:rFonts w:ascii="仿宋" w:hAnsi="仿宋" w:eastAsia="仿宋" w:cs="仿宋"/>
          <w:color w:val="auto"/>
          <w:sz w:val="24"/>
          <w:highlight w:val="none"/>
        </w:rPr>
      </w:pPr>
    </w:p>
    <w:p w14:paraId="4C3BF5FA">
      <w:pPr>
        <w:pStyle w:val="80"/>
        <w:shd w:val="clear"/>
        <w:rPr>
          <w:color w:val="auto"/>
          <w:highlight w:val="none"/>
        </w:rPr>
      </w:pPr>
    </w:p>
    <w:p w14:paraId="6DB97F84">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6FE197D">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78AB883B">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756120A8">
      <w:pPr>
        <w:shd w:val="clea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FD96E1E">
      <w:pPr>
        <w:keepNext/>
        <w:shd w:val="clear"/>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35990F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7863A8">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A432271">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E73187">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5AD17E0">
            <w:pPr>
              <w:shd w:val="clea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w:t>
            </w:r>
            <w:r>
              <w:rPr>
                <w:rFonts w:ascii="仿宋_GB2312" w:hAnsi="仿宋_GB2312" w:eastAsia="仿宋_GB2312" w:cs="仿宋_GB2312"/>
                <w:color w:val="auto"/>
                <w:sz w:val="24"/>
                <w:highlight w:val="none"/>
              </w:rPr>
              <w:t>3年业绩及承担的主要工作情况，曾担任项目经理的项目应列明细</w:t>
            </w:r>
          </w:p>
        </w:tc>
      </w:tr>
      <w:tr w14:paraId="22774D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1E20DB">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46C83A">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25A62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923008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629C3C4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AC1488">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E44973">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BC5767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04B27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4A5A6D4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00E89D4">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C75A4F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82C497">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B74343">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6C479E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FF6BC41">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0CF3CF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2625D1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5521C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2386C1F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3D5E818">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F4ECDC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33395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026B4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7509918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0D81F3">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A5A94D1">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E7F51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3408F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51E27FC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CEA5E05">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2A409B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2B9C21">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2E8F8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306D82A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5A2B1">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398DB2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70B9A6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55D898">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1BBB559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D27FE6">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062A2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7FA56F">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260097">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bl>
    <w:p w14:paraId="372B83F2">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C019236">
      <w:pPr>
        <w:pStyle w:val="80"/>
        <w:shd w:val="clear"/>
        <w:rPr>
          <w:color w:val="auto"/>
          <w:highlight w:val="none"/>
        </w:rPr>
      </w:pPr>
    </w:p>
    <w:p w14:paraId="20A23020">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38AA46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09DC492">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0D301BF">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7FF7D60">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D9A1F4E">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DAED287">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57973C2">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D2D549">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34603CB">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E3ADBE3">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F3FE2F6">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7A13FA2">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3837C53">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A1F5A84">
            <w:pPr>
              <w:shd w:val="clear"/>
              <w:autoSpaceDE w:val="0"/>
              <w:autoSpaceDN w:val="0"/>
              <w:spacing w:line="360" w:lineRule="auto"/>
              <w:jc w:val="center"/>
              <w:textAlignment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5D56C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C6B8B8F">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B751795">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CE11C6">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CFFA899">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EE93C2B">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4C5BCC">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D8A6CF">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AFF0A6">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AD64F0">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CA18E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r>
      <w:tr w14:paraId="2056327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A7C8C30">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719A998">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7D899F">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9423A6C">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45E3EF9">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00AABA">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A80AB8">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EAB8C8">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6BA9EBF">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B53A46F">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highlight w:val="none"/>
              </w:rPr>
            </w:pPr>
          </w:p>
        </w:tc>
      </w:tr>
    </w:tbl>
    <w:p w14:paraId="7ECA788B">
      <w:pPr>
        <w:shd w:val="clea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24BDAE85">
      <w:pPr>
        <w:pStyle w:val="80"/>
        <w:shd w:val="clear"/>
        <w:rPr>
          <w:color w:val="auto"/>
          <w:highlight w:val="none"/>
        </w:rPr>
      </w:pPr>
    </w:p>
    <w:p w14:paraId="0B04E3CD">
      <w:pPr>
        <w:shd w:val="clea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9B12ECE">
      <w:pPr>
        <w:shd w:val="clear"/>
        <w:spacing w:line="360" w:lineRule="auto"/>
        <w:ind w:firstLine="480" w:firstLineChars="200"/>
        <w:rPr>
          <w:rFonts w:ascii="仿宋_GB2312" w:hAnsi="仿宋_GB2312" w:eastAsia="仿宋_GB2312" w:cs="仿宋_GB2312"/>
          <w:color w:val="auto"/>
          <w:sz w:val="24"/>
          <w:szCs w:val="20"/>
          <w:highlight w:val="none"/>
        </w:rPr>
      </w:pPr>
    </w:p>
    <w:p w14:paraId="754E8323">
      <w:pPr>
        <w:shd w:val="clea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3A5D17A">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5108533C">
      <w:pPr>
        <w:shd w:val="clear"/>
        <w:snapToGrid w:val="0"/>
        <w:spacing w:line="360" w:lineRule="auto"/>
        <w:ind w:firstLine="6907" w:firstLineChars="2150"/>
        <w:rPr>
          <w:rFonts w:ascii="仿宋_GB2312" w:hAnsi="仿宋_GB2312" w:eastAsia="仿宋_GB2312" w:cs="仿宋_GB2312"/>
          <w:b/>
          <w:bCs/>
          <w:color w:val="auto"/>
          <w:sz w:val="32"/>
          <w:szCs w:val="32"/>
          <w:highlight w:val="none"/>
        </w:rPr>
      </w:pPr>
    </w:p>
    <w:p w14:paraId="7E2821EE">
      <w:pPr>
        <w:shd w:val="clear"/>
        <w:snapToGrid w:val="0"/>
        <w:spacing w:line="360" w:lineRule="auto"/>
        <w:ind w:right="960"/>
        <w:rPr>
          <w:rFonts w:ascii="仿宋_GB2312" w:hAnsi="仿宋_GB2312" w:eastAsia="仿宋_GB2312" w:cs="仿宋_GB2312"/>
          <w:color w:val="auto"/>
          <w:kern w:val="0"/>
          <w:sz w:val="24"/>
          <w:highlight w:val="none"/>
          <w:lang w:val="zh-CN"/>
        </w:rPr>
      </w:pPr>
    </w:p>
    <w:p w14:paraId="27263F74">
      <w:pPr>
        <w:shd w:val="clea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789FCF4B">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117E4EA">
      <w:pPr>
        <w:shd w:val="clear"/>
        <w:spacing w:line="360" w:lineRule="auto"/>
        <w:rPr>
          <w:rFonts w:ascii="仿宋_GB2312" w:hAnsi="仿宋_GB2312" w:eastAsia="仿宋_GB2312" w:cs="仿宋_GB2312"/>
          <w:color w:val="auto"/>
          <w:sz w:val="18"/>
          <w:szCs w:val="18"/>
          <w:highlight w:val="none"/>
        </w:rPr>
      </w:pPr>
    </w:p>
    <w:p w14:paraId="300EB63E">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D71D6DB">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70E74CF1">
      <w:pPr>
        <w:shd w:val="clear"/>
        <w:spacing w:line="360" w:lineRule="auto"/>
        <w:rPr>
          <w:rFonts w:ascii="仿宋_GB2312" w:hAnsi="仿宋_GB2312" w:eastAsia="仿宋_GB2312" w:cs="仿宋_GB2312"/>
          <w:b/>
          <w:bCs/>
          <w:color w:val="auto"/>
          <w:sz w:val="18"/>
          <w:szCs w:val="18"/>
          <w:highlight w:val="none"/>
        </w:rPr>
      </w:pPr>
    </w:p>
    <w:p w14:paraId="08BEFE77">
      <w:pPr>
        <w:shd w:val="clear"/>
        <w:spacing w:line="360" w:lineRule="auto"/>
        <w:rPr>
          <w:rFonts w:ascii="仿宋_GB2312" w:hAnsi="仿宋_GB2312" w:eastAsia="仿宋_GB2312" w:cs="仿宋_GB2312"/>
          <w:b/>
          <w:bCs/>
          <w:color w:val="auto"/>
          <w:sz w:val="32"/>
          <w:szCs w:val="32"/>
          <w:highlight w:val="none"/>
        </w:rPr>
      </w:pPr>
    </w:p>
    <w:p w14:paraId="1A8E51DA">
      <w:pPr>
        <w:shd w:val="clear"/>
        <w:spacing w:line="360" w:lineRule="auto"/>
        <w:rPr>
          <w:rFonts w:ascii="仿宋_GB2312" w:hAnsi="仿宋_GB2312" w:eastAsia="仿宋_GB2312" w:cs="仿宋_GB2312"/>
          <w:b/>
          <w:bCs/>
          <w:color w:val="auto"/>
          <w:sz w:val="32"/>
          <w:szCs w:val="32"/>
          <w:highlight w:val="none"/>
        </w:rPr>
      </w:pPr>
    </w:p>
    <w:p w14:paraId="07095AF4">
      <w:pPr>
        <w:shd w:val="clear"/>
        <w:spacing w:line="360" w:lineRule="auto"/>
        <w:jc w:val="center"/>
        <w:rPr>
          <w:rFonts w:ascii="仿宋_GB2312" w:hAnsi="仿宋_GB2312" w:eastAsia="仿宋_GB2312" w:cs="仿宋_GB2312"/>
          <w:b/>
          <w:bCs/>
          <w:color w:val="auto"/>
          <w:sz w:val="32"/>
          <w:szCs w:val="32"/>
          <w:highlight w:val="none"/>
        </w:rPr>
      </w:pPr>
    </w:p>
    <w:p w14:paraId="42065330">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5FF2097">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ABAECA0">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14:paraId="465C0A1E">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14:paraId="3066EA64">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14:paraId="7FF1A6A3">
      <w:pPr>
        <w:shd w:val="clear"/>
        <w:snapToGrid w:val="0"/>
        <w:spacing w:line="360" w:lineRule="auto"/>
        <w:ind w:right="960"/>
        <w:jc w:val="right"/>
        <w:rPr>
          <w:rFonts w:ascii="仿宋_GB2312" w:hAnsi="仿宋_GB2312" w:eastAsia="仿宋_GB2312" w:cs="仿宋_GB2312"/>
          <w:color w:val="auto"/>
          <w:kern w:val="0"/>
          <w:sz w:val="24"/>
          <w:highlight w:val="none"/>
          <w:lang w:val="zh-CN"/>
        </w:rPr>
      </w:pPr>
    </w:p>
    <w:p w14:paraId="73F06C07">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BC233CD">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75CB8BA2">
      <w:pPr>
        <w:shd w:val="clear"/>
        <w:spacing w:line="360" w:lineRule="auto"/>
        <w:jc w:val="center"/>
        <w:rPr>
          <w:rFonts w:ascii="仿宋_GB2312" w:hAnsi="仿宋_GB2312" w:eastAsia="仿宋_GB2312" w:cs="仿宋_GB2312"/>
          <w:b/>
          <w:bCs/>
          <w:color w:val="auto"/>
          <w:sz w:val="32"/>
          <w:szCs w:val="32"/>
          <w:highlight w:val="none"/>
        </w:rPr>
      </w:pPr>
    </w:p>
    <w:p w14:paraId="41A7FC1C">
      <w:pPr>
        <w:shd w:val="clear"/>
        <w:spacing w:line="360" w:lineRule="auto"/>
        <w:jc w:val="center"/>
        <w:rPr>
          <w:rFonts w:ascii="仿宋_GB2312" w:hAnsi="仿宋_GB2312" w:eastAsia="仿宋_GB2312" w:cs="仿宋_GB2312"/>
          <w:b/>
          <w:bCs/>
          <w:color w:val="auto"/>
          <w:sz w:val="32"/>
          <w:szCs w:val="32"/>
          <w:highlight w:val="none"/>
        </w:rPr>
      </w:pPr>
    </w:p>
    <w:p w14:paraId="6BD3B543">
      <w:pPr>
        <w:shd w:val="clear"/>
        <w:spacing w:line="360" w:lineRule="auto"/>
        <w:jc w:val="center"/>
        <w:rPr>
          <w:rFonts w:ascii="仿宋_GB2312" w:hAnsi="仿宋_GB2312" w:eastAsia="仿宋_GB2312" w:cs="仿宋_GB2312"/>
          <w:b/>
          <w:bCs/>
          <w:color w:val="auto"/>
          <w:sz w:val="32"/>
          <w:szCs w:val="32"/>
          <w:highlight w:val="none"/>
        </w:rPr>
      </w:pPr>
    </w:p>
    <w:p w14:paraId="1736CD92">
      <w:pPr>
        <w:shd w:val="clear"/>
        <w:spacing w:line="360" w:lineRule="auto"/>
        <w:jc w:val="center"/>
        <w:rPr>
          <w:rFonts w:ascii="仿宋_GB2312" w:hAnsi="仿宋_GB2312" w:eastAsia="仿宋_GB2312" w:cs="仿宋_GB2312"/>
          <w:b/>
          <w:bCs/>
          <w:color w:val="auto"/>
          <w:sz w:val="32"/>
          <w:szCs w:val="32"/>
          <w:highlight w:val="none"/>
        </w:rPr>
      </w:pPr>
    </w:p>
    <w:p w14:paraId="6F1B8590">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1D183982">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D750E59">
      <w:pPr>
        <w:keepNext/>
        <w:shd w:val="clear"/>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w:t>
      </w:r>
      <w:r>
        <w:rPr>
          <w:rFonts w:hint="eastAsia" w:ascii="仿宋_GB2312" w:hAnsi="仿宋_GB2312" w:eastAsia="仿宋_GB2312" w:cs="仿宋_GB2312"/>
          <w:b/>
          <w:color w:val="auto"/>
          <w:sz w:val="24"/>
          <w:highlight w:val="none"/>
        </w:rPr>
        <w:t>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A3639F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4CA793">
            <w:pPr>
              <w:shd w:val="clea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6624A36">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4E81869">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96DEF92">
            <w:pPr>
              <w:shd w:val="clea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66556D9">
            <w:pPr>
              <w:shd w:val="clea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D724DAD">
            <w:pPr>
              <w:shd w:val="clea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75EB172">
            <w:pPr>
              <w:shd w:val="clea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59F4DB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8B604D1">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5DB1F4C">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1CB7957">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F4FD5B4">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3B15A23">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4ECB1C0">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12FFDEF3">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r>
      <w:tr w14:paraId="489A655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CA5502C">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D74D7A9">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5EA3092">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CC7E527">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B546076">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C1A8636">
            <w:pPr>
              <w:keepNext/>
              <w:keepLines/>
              <w:shd w:val="clear"/>
              <w:tabs>
                <w:tab w:val="left" w:pos="7"/>
                <w:tab w:val="left" w:pos="432"/>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CD60887">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color w:val="auto"/>
                <w:sz w:val="24"/>
                <w:highlight w:val="none"/>
              </w:rPr>
            </w:pPr>
          </w:p>
        </w:tc>
      </w:tr>
    </w:tbl>
    <w:p w14:paraId="211C7AEF">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w:t>
      </w:r>
      <w:r>
        <w:rPr>
          <w:rFonts w:ascii="仿宋_GB2312" w:hAnsi="仿宋_GB2312" w:eastAsia="仿宋_GB2312" w:cs="仿宋_GB2312"/>
          <w:color w:val="auto"/>
          <w:sz w:val="24"/>
          <w:highlight w:val="none"/>
        </w:rPr>
        <w:t>:A</w:t>
      </w:r>
      <w:r>
        <w:rPr>
          <w:rFonts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7ECFFFF">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EA8AE69">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D7C9C5D">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2D59365">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C2AB23E">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6223173">
      <w:pPr>
        <w:shd w:val="clear"/>
        <w:autoSpaceDE w:val="0"/>
        <w:autoSpaceDN w:val="0"/>
        <w:spacing w:line="360" w:lineRule="auto"/>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 xml:space="preserve">B  </w:t>
      </w:r>
      <w:r>
        <w:rPr>
          <w:rFonts w:hint="eastAsia" w:ascii="仿宋_GB2312" w:hAnsi="仿宋_GB2312" w:eastAsia="仿宋_GB2312" w:cs="仿宋_GB2312"/>
          <w:color w:val="auto"/>
          <w:sz w:val="24"/>
          <w:highlight w:val="none"/>
        </w:rPr>
        <w:t>按照附表</w:t>
      </w:r>
      <w:r>
        <w:rPr>
          <w:rFonts w:ascii="仿宋_GB2312" w:hAnsi="仿宋_GB2312" w:eastAsia="仿宋_GB2312" w:cs="仿宋_GB2312"/>
          <w:color w:val="auto"/>
          <w:sz w:val="24"/>
          <w:highlight w:val="none"/>
        </w:rPr>
        <w:t>A提供授课教师的简历</w:t>
      </w:r>
    </w:p>
    <w:p w14:paraId="3EF8887A">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05EA82A">
      <w:pPr>
        <w:shd w:val="clear"/>
        <w:spacing w:line="360" w:lineRule="auto"/>
        <w:ind w:firstLine="480" w:firstLineChars="200"/>
        <w:rPr>
          <w:rFonts w:ascii="仿宋_GB2312" w:hAnsi="仿宋_GB2312" w:eastAsia="仿宋_GB2312" w:cs="仿宋_GB2312"/>
          <w:color w:val="auto"/>
          <w:sz w:val="24"/>
          <w:szCs w:val="20"/>
          <w:highlight w:val="none"/>
        </w:rPr>
      </w:pPr>
    </w:p>
    <w:p w14:paraId="27F29F34">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6A8202F">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1840FE0C">
      <w:pPr>
        <w:pageBreakBefore/>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6DE4C508">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BEB8D76">
      <w:pPr>
        <w:shd w:val="clear"/>
        <w:spacing w:line="360" w:lineRule="auto"/>
        <w:jc w:val="center"/>
        <w:rPr>
          <w:rFonts w:ascii="仿宋_GB2312" w:hAnsi="仿宋_GB2312" w:eastAsia="仿宋_GB2312" w:cs="仿宋_GB2312"/>
          <w:color w:val="auto"/>
          <w:sz w:val="24"/>
          <w:highlight w:val="none"/>
        </w:rPr>
      </w:pPr>
    </w:p>
    <w:p w14:paraId="347AD39B">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8443C30">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2D4E1709">
      <w:pPr>
        <w:shd w:val="clear"/>
        <w:spacing w:line="360" w:lineRule="auto"/>
        <w:jc w:val="center"/>
        <w:rPr>
          <w:rFonts w:ascii="仿宋_GB2312" w:hAnsi="仿宋_GB2312" w:eastAsia="仿宋_GB2312" w:cs="仿宋_GB2312"/>
          <w:b/>
          <w:bCs/>
          <w:color w:val="auto"/>
          <w:sz w:val="30"/>
          <w:szCs w:val="30"/>
          <w:highlight w:val="none"/>
        </w:rPr>
      </w:pPr>
    </w:p>
    <w:p w14:paraId="3CDA3817">
      <w:pPr>
        <w:shd w:val="clear"/>
        <w:spacing w:line="360" w:lineRule="auto"/>
        <w:jc w:val="center"/>
        <w:rPr>
          <w:rFonts w:ascii="仿宋_GB2312" w:hAnsi="仿宋_GB2312" w:eastAsia="仿宋_GB2312" w:cs="仿宋_GB2312"/>
          <w:b/>
          <w:bCs/>
          <w:color w:val="auto"/>
          <w:sz w:val="30"/>
          <w:szCs w:val="30"/>
          <w:highlight w:val="none"/>
        </w:rPr>
      </w:pPr>
    </w:p>
    <w:p w14:paraId="5CC090BD">
      <w:pPr>
        <w:shd w:val="clear"/>
        <w:spacing w:line="360" w:lineRule="auto"/>
        <w:jc w:val="center"/>
        <w:rPr>
          <w:rFonts w:ascii="仿宋_GB2312" w:hAnsi="仿宋_GB2312" w:eastAsia="仿宋_GB2312" w:cs="仿宋_GB2312"/>
          <w:b/>
          <w:bCs/>
          <w:color w:val="auto"/>
          <w:sz w:val="24"/>
          <w:highlight w:val="none"/>
        </w:rPr>
      </w:pPr>
    </w:p>
    <w:p w14:paraId="68F6AB4D">
      <w:pPr>
        <w:shd w:val="clear"/>
        <w:spacing w:line="360" w:lineRule="auto"/>
        <w:jc w:val="center"/>
        <w:rPr>
          <w:rFonts w:ascii="仿宋_GB2312" w:hAnsi="仿宋_GB2312" w:eastAsia="仿宋_GB2312" w:cs="仿宋_GB2312"/>
          <w:b/>
          <w:bCs/>
          <w:color w:val="auto"/>
          <w:sz w:val="24"/>
          <w:highlight w:val="none"/>
        </w:rPr>
      </w:pPr>
    </w:p>
    <w:p w14:paraId="6311CC9B">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7F25632">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437CF0A">
      <w:pPr>
        <w:shd w:val="clear"/>
        <w:spacing w:line="360" w:lineRule="auto"/>
        <w:rPr>
          <w:rFonts w:ascii="仿宋_GB2312" w:hAnsi="仿宋_GB2312" w:eastAsia="仿宋_GB2312" w:cs="仿宋_GB2312"/>
          <w:color w:val="auto"/>
          <w:sz w:val="24"/>
          <w:highlight w:val="none"/>
        </w:rPr>
      </w:pPr>
    </w:p>
    <w:p w14:paraId="6D65D977">
      <w:pPr>
        <w:pStyle w:val="80"/>
        <w:shd w:val="clear"/>
        <w:rPr>
          <w:color w:val="auto"/>
          <w:highlight w:val="none"/>
        </w:rPr>
      </w:pPr>
    </w:p>
    <w:p w14:paraId="4350256C">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DEFD449">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64C1CEFC">
      <w:pPr>
        <w:shd w:val="clear"/>
        <w:rPr>
          <w:rFonts w:hint="eastAsia" w:ascii="仿宋_GB2312" w:hAnsi="仿宋_GB2312" w:eastAsia="仿宋_GB2312" w:cs="仿宋_GB2312"/>
          <w:color w:val="auto"/>
          <w:kern w:val="0"/>
          <w:sz w:val="24"/>
          <w:highlight w:val="none"/>
        </w:rPr>
      </w:pPr>
    </w:p>
    <w:p w14:paraId="72FB68A7">
      <w:pPr>
        <w:shd w:val="clea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7A41EDD6">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5644351">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972F3F4">
      <w:pPr>
        <w:shd w:val="clear"/>
        <w:spacing w:line="360" w:lineRule="auto"/>
        <w:jc w:val="center"/>
        <w:outlineLvl w:val="0"/>
        <w:rPr>
          <w:rFonts w:ascii="仿宋" w:hAnsi="仿宋" w:eastAsia="仿宋" w:cs="仿宋"/>
          <w:b/>
          <w:color w:val="auto"/>
          <w:kern w:val="0"/>
          <w:sz w:val="36"/>
          <w:szCs w:val="36"/>
          <w:highlight w:val="none"/>
        </w:rPr>
      </w:pPr>
    </w:p>
    <w:p w14:paraId="68FEDA92">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1）开标一览表（报价表）………………………………………………………（页码）</w:t>
      </w:r>
    </w:p>
    <w:p w14:paraId="40C485E1">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2）中小企业声明函………………………………………………………………（页码）</w:t>
      </w:r>
    </w:p>
    <w:p w14:paraId="19E7D88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3）残疾人福利性单位声明函……………………………………………………（页码）</w:t>
      </w:r>
    </w:p>
    <w:p w14:paraId="4F4B5FC0">
      <w:pPr>
        <w:shd w:val="clear"/>
        <w:snapToGrid w:val="0"/>
        <w:spacing w:line="360" w:lineRule="auto"/>
        <w:ind w:right="480"/>
        <w:jc w:val="center"/>
        <w:rPr>
          <w:rFonts w:ascii="仿宋" w:hAnsi="仿宋" w:eastAsia="仿宋" w:cs="仿宋"/>
          <w:b/>
          <w:color w:val="auto"/>
          <w:kern w:val="0"/>
          <w:sz w:val="32"/>
          <w:szCs w:val="32"/>
          <w:highlight w:val="none"/>
        </w:rPr>
      </w:pPr>
    </w:p>
    <w:p w14:paraId="6E0E66BD">
      <w:pPr>
        <w:shd w:val="clear"/>
        <w:snapToGrid w:val="0"/>
        <w:spacing w:line="360" w:lineRule="auto"/>
        <w:ind w:right="480"/>
        <w:jc w:val="center"/>
        <w:rPr>
          <w:rFonts w:ascii="仿宋" w:hAnsi="仿宋" w:eastAsia="仿宋" w:cs="仿宋"/>
          <w:b/>
          <w:color w:val="auto"/>
          <w:kern w:val="0"/>
          <w:sz w:val="32"/>
          <w:szCs w:val="32"/>
          <w:highlight w:val="none"/>
        </w:rPr>
      </w:pPr>
    </w:p>
    <w:p w14:paraId="04A2A517">
      <w:pPr>
        <w:shd w:val="clear"/>
        <w:snapToGrid w:val="0"/>
        <w:spacing w:line="360" w:lineRule="auto"/>
        <w:ind w:right="480"/>
        <w:jc w:val="center"/>
        <w:rPr>
          <w:rFonts w:ascii="仿宋" w:hAnsi="仿宋" w:eastAsia="仿宋" w:cs="仿宋"/>
          <w:b/>
          <w:color w:val="auto"/>
          <w:kern w:val="0"/>
          <w:sz w:val="32"/>
          <w:szCs w:val="32"/>
          <w:highlight w:val="none"/>
        </w:rPr>
      </w:pPr>
    </w:p>
    <w:p w14:paraId="70355858">
      <w:pPr>
        <w:shd w:val="clear"/>
        <w:snapToGrid w:val="0"/>
        <w:spacing w:line="360" w:lineRule="auto"/>
        <w:ind w:right="480"/>
        <w:jc w:val="center"/>
        <w:rPr>
          <w:rFonts w:ascii="仿宋" w:hAnsi="仿宋" w:eastAsia="仿宋" w:cs="仿宋"/>
          <w:b/>
          <w:color w:val="auto"/>
          <w:kern w:val="0"/>
          <w:sz w:val="32"/>
          <w:szCs w:val="32"/>
          <w:highlight w:val="none"/>
        </w:rPr>
      </w:pPr>
    </w:p>
    <w:p w14:paraId="187272EE">
      <w:pPr>
        <w:shd w:val="clear"/>
        <w:snapToGrid w:val="0"/>
        <w:spacing w:line="360" w:lineRule="auto"/>
        <w:ind w:right="480"/>
        <w:jc w:val="center"/>
        <w:rPr>
          <w:rFonts w:ascii="仿宋" w:hAnsi="仿宋" w:eastAsia="仿宋" w:cs="仿宋"/>
          <w:b/>
          <w:color w:val="auto"/>
          <w:kern w:val="0"/>
          <w:sz w:val="32"/>
          <w:szCs w:val="32"/>
          <w:highlight w:val="none"/>
        </w:rPr>
      </w:pPr>
    </w:p>
    <w:p w14:paraId="23AB3542">
      <w:pPr>
        <w:shd w:val="clear"/>
        <w:snapToGrid w:val="0"/>
        <w:spacing w:line="360" w:lineRule="auto"/>
        <w:ind w:right="480"/>
        <w:jc w:val="center"/>
        <w:rPr>
          <w:rFonts w:ascii="仿宋" w:hAnsi="仿宋" w:eastAsia="仿宋" w:cs="仿宋"/>
          <w:b/>
          <w:color w:val="auto"/>
          <w:kern w:val="0"/>
          <w:sz w:val="32"/>
          <w:szCs w:val="32"/>
          <w:highlight w:val="none"/>
        </w:rPr>
      </w:pPr>
    </w:p>
    <w:p w14:paraId="399482CA">
      <w:pPr>
        <w:shd w:val="clear"/>
        <w:snapToGrid w:val="0"/>
        <w:spacing w:line="360" w:lineRule="auto"/>
        <w:ind w:right="480"/>
        <w:jc w:val="center"/>
        <w:rPr>
          <w:rFonts w:ascii="仿宋" w:hAnsi="仿宋" w:eastAsia="仿宋" w:cs="仿宋"/>
          <w:b/>
          <w:color w:val="auto"/>
          <w:kern w:val="0"/>
          <w:sz w:val="32"/>
          <w:szCs w:val="32"/>
          <w:highlight w:val="none"/>
        </w:rPr>
      </w:pPr>
    </w:p>
    <w:p w14:paraId="5B7C94E8">
      <w:pPr>
        <w:shd w:val="clear"/>
        <w:snapToGrid w:val="0"/>
        <w:spacing w:line="360" w:lineRule="auto"/>
        <w:ind w:right="480"/>
        <w:jc w:val="center"/>
        <w:rPr>
          <w:rFonts w:ascii="仿宋" w:hAnsi="仿宋" w:eastAsia="仿宋" w:cs="仿宋"/>
          <w:b/>
          <w:color w:val="auto"/>
          <w:kern w:val="0"/>
          <w:sz w:val="32"/>
          <w:szCs w:val="32"/>
          <w:highlight w:val="none"/>
        </w:rPr>
      </w:pPr>
    </w:p>
    <w:p w14:paraId="46E89E78">
      <w:pPr>
        <w:shd w:val="clear"/>
        <w:snapToGrid w:val="0"/>
        <w:spacing w:line="360" w:lineRule="auto"/>
        <w:ind w:right="480"/>
        <w:jc w:val="center"/>
        <w:rPr>
          <w:rFonts w:ascii="仿宋" w:hAnsi="仿宋" w:eastAsia="仿宋" w:cs="仿宋"/>
          <w:b/>
          <w:color w:val="auto"/>
          <w:kern w:val="0"/>
          <w:sz w:val="32"/>
          <w:szCs w:val="32"/>
          <w:highlight w:val="none"/>
        </w:rPr>
      </w:pPr>
    </w:p>
    <w:p w14:paraId="2CC787BD">
      <w:pPr>
        <w:shd w:val="clear"/>
        <w:snapToGrid w:val="0"/>
        <w:spacing w:line="360" w:lineRule="auto"/>
        <w:ind w:right="480"/>
        <w:jc w:val="center"/>
        <w:rPr>
          <w:rFonts w:ascii="仿宋" w:hAnsi="仿宋" w:eastAsia="仿宋" w:cs="仿宋"/>
          <w:b/>
          <w:color w:val="auto"/>
          <w:kern w:val="0"/>
          <w:sz w:val="32"/>
          <w:szCs w:val="32"/>
          <w:highlight w:val="none"/>
        </w:rPr>
      </w:pPr>
    </w:p>
    <w:p w14:paraId="3F0C95F3">
      <w:pPr>
        <w:shd w:val="clear"/>
        <w:snapToGrid w:val="0"/>
        <w:spacing w:line="360" w:lineRule="auto"/>
        <w:ind w:right="480"/>
        <w:jc w:val="center"/>
        <w:rPr>
          <w:rFonts w:ascii="仿宋" w:hAnsi="仿宋" w:eastAsia="仿宋" w:cs="仿宋"/>
          <w:b/>
          <w:color w:val="auto"/>
          <w:kern w:val="0"/>
          <w:sz w:val="32"/>
          <w:szCs w:val="32"/>
          <w:highlight w:val="none"/>
        </w:rPr>
      </w:pPr>
    </w:p>
    <w:p w14:paraId="0906BB88">
      <w:pPr>
        <w:shd w:val="clear"/>
        <w:snapToGrid w:val="0"/>
        <w:spacing w:line="360" w:lineRule="auto"/>
        <w:ind w:right="480"/>
        <w:jc w:val="center"/>
        <w:rPr>
          <w:rFonts w:ascii="仿宋" w:hAnsi="仿宋" w:eastAsia="仿宋" w:cs="仿宋"/>
          <w:b/>
          <w:color w:val="auto"/>
          <w:kern w:val="0"/>
          <w:sz w:val="32"/>
          <w:szCs w:val="32"/>
          <w:highlight w:val="none"/>
        </w:rPr>
      </w:pPr>
    </w:p>
    <w:p w14:paraId="405C2A39">
      <w:pPr>
        <w:shd w:val="clear"/>
        <w:snapToGrid w:val="0"/>
        <w:spacing w:line="360" w:lineRule="auto"/>
        <w:ind w:right="480"/>
        <w:rPr>
          <w:rFonts w:ascii="仿宋" w:hAnsi="仿宋" w:eastAsia="仿宋" w:cs="仿宋"/>
          <w:b/>
          <w:color w:val="auto"/>
          <w:kern w:val="0"/>
          <w:sz w:val="32"/>
          <w:szCs w:val="32"/>
          <w:highlight w:val="none"/>
        </w:rPr>
      </w:pPr>
    </w:p>
    <w:p w14:paraId="046C7D89">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7" w:type="default"/>
          <w:footerReference r:id="rId18" w:type="default"/>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F4F4520">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389270D">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6964731">
      <w:pPr>
        <w:shd w:val="clea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FC6739B">
      <w:pPr>
        <w:shd w:val="clea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r>
        <w:rPr>
          <w:rFonts w:ascii="仿宋" w:hAnsi="仿宋" w:eastAsia="仿宋" w:cs="仿宋"/>
          <w:b/>
          <w:color w:val="auto"/>
          <w:kern w:val="0"/>
          <w:sz w:val="24"/>
          <w:highlight w:val="none"/>
          <w:lang w:val="zh-CN"/>
        </w:rPr>
        <w:t>(单位均为人民币元)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E71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FD70ECA">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051F747F">
            <w:pPr>
              <w:shd w:val="clea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4B0821BF">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p w14:paraId="27E05F08">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7E1A7289">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55BDB795">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0852F2FE">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0540D185">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550CCFBA">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p w14:paraId="01A8131C">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B5DADC4">
            <w:pPr>
              <w:keepNext/>
              <w:keepLines/>
              <w:shd w:val="clear"/>
              <w:tabs>
                <w:tab w:val="left" w:pos="432"/>
              </w:tabs>
              <w:spacing w:line="360" w:lineRule="auto"/>
              <w:ind w:hanging="432"/>
              <w:jc w:val="center"/>
              <w:outlineLvl w:val="0"/>
              <w:rPr>
                <w:rFonts w:ascii="仿宋" w:hAnsi="仿宋" w:eastAsia="仿宋" w:cs="仿宋"/>
                <w:b/>
                <w:color w:val="auto"/>
                <w:sz w:val="24"/>
                <w:highlight w:val="none"/>
              </w:rPr>
            </w:pPr>
          </w:p>
        </w:tc>
      </w:tr>
      <w:tr w14:paraId="4D1C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0757B4A">
            <w:pPr>
              <w:shd w:val="clea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1417" w:type="dxa"/>
            <w:vAlign w:val="center"/>
          </w:tcPr>
          <w:p w14:paraId="55AC7836">
            <w:pPr>
              <w:shd w:val="clear"/>
              <w:snapToGrid w:val="0"/>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XX</w:t>
            </w:r>
          </w:p>
        </w:tc>
        <w:tc>
          <w:tcPr>
            <w:tcW w:w="1843" w:type="dxa"/>
            <w:vAlign w:val="center"/>
          </w:tcPr>
          <w:p w14:paraId="0F9D795D">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14:paraId="0F1FB947">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14:paraId="45AF16DA">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14:paraId="6C7A297D">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14:paraId="44BF7776">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14:paraId="6E3793DC">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14:paraId="4A16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2446978">
            <w:pPr>
              <w:shd w:val="clea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1417" w:type="dxa"/>
            <w:vAlign w:val="center"/>
          </w:tcPr>
          <w:p w14:paraId="0B751030">
            <w:pPr>
              <w:shd w:val="clear"/>
              <w:snapToGrid w:val="0"/>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XX</w:t>
            </w:r>
          </w:p>
        </w:tc>
        <w:tc>
          <w:tcPr>
            <w:tcW w:w="1843" w:type="dxa"/>
            <w:vAlign w:val="center"/>
          </w:tcPr>
          <w:p w14:paraId="02F9F364">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14:paraId="3C86910B">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14:paraId="474748AB">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14:paraId="3C834B65">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14:paraId="16003CF1">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14:paraId="1477939A">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14:paraId="700D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D8AD86B">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0CE89550">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843" w:type="dxa"/>
            <w:vAlign w:val="center"/>
          </w:tcPr>
          <w:p w14:paraId="44A8C102">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14:paraId="3967C338">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14:paraId="2E65844A">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14:paraId="49EFEB3E">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14:paraId="73F3B486">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14:paraId="429D1F0F">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14:paraId="2907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54536B">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417" w:type="dxa"/>
            <w:vAlign w:val="center"/>
          </w:tcPr>
          <w:p w14:paraId="39ECB0A0">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843" w:type="dxa"/>
            <w:vAlign w:val="center"/>
          </w:tcPr>
          <w:p w14:paraId="35B2903A">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3118" w:type="dxa"/>
            <w:vAlign w:val="center"/>
          </w:tcPr>
          <w:p w14:paraId="22C80E26">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993" w:type="dxa"/>
            <w:vAlign w:val="center"/>
          </w:tcPr>
          <w:p w14:paraId="5BCCE3FB">
            <w:pPr>
              <w:keepNext/>
              <w:keepLines/>
              <w:shd w:val="clear"/>
              <w:tabs>
                <w:tab w:val="left" w:pos="432"/>
              </w:tabs>
              <w:snapToGrid w:val="0"/>
              <w:spacing w:line="360" w:lineRule="auto"/>
              <w:ind w:hanging="432"/>
              <w:jc w:val="center"/>
              <w:outlineLvl w:val="0"/>
              <w:rPr>
                <w:rFonts w:ascii="仿宋" w:hAnsi="仿宋" w:eastAsia="仿宋" w:cs="仿宋"/>
                <w:color w:val="auto"/>
                <w:sz w:val="24"/>
                <w:highlight w:val="none"/>
              </w:rPr>
            </w:pPr>
          </w:p>
        </w:tc>
        <w:tc>
          <w:tcPr>
            <w:tcW w:w="1559" w:type="dxa"/>
            <w:vAlign w:val="center"/>
          </w:tcPr>
          <w:p w14:paraId="25DF86AF">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1984" w:type="dxa"/>
            <w:vAlign w:val="center"/>
          </w:tcPr>
          <w:p w14:paraId="04360562">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c>
          <w:tcPr>
            <w:tcW w:w="3119" w:type="dxa"/>
            <w:vAlign w:val="center"/>
          </w:tcPr>
          <w:p w14:paraId="07F57E57">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14:paraId="56F8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265C14A">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7D9F4AA8">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r w14:paraId="36C1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5FA2520">
            <w:pPr>
              <w:shd w:val="clea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D15826A">
            <w:pPr>
              <w:keepNext/>
              <w:keepLines/>
              <w:shd w:val="clear"/>
              <w:tabs>
                <w:tab w:val="left" w:pos="432"/>
              </w:tabs>
              <w:spacing w:line="360" w:lineRule="auto"/>
              <w:ind w:hanging="432"/>
              <w:jc w:val="center"/>
              <w:outlineLvl w:val="0"/>
              <w:rPr>
                <w:rFonts w:ascii="仿宋" w:hAnsi="仿宋" w:eastAsia="仿宋" w:cs="仿宋"/>
                <w:color w:val="auto"/>
                <w:sz w:val="24"/>
                <w:highlight w:val="none"/>
              </w:rPr>
            </w:pPr>
          </w:p>
        </w:tc>
      </w:tr>
    </w:tbl>
    <w:p w14:paraId="0F073AD8">
      <w:pPr>
        <w:shd w:val="clear"/>
        <w:snapToGrid w:val="0"/>
        <w:spacing w:line="360" w:lineRule="auto"/>
        <w:ind w:left="480"/>
        <w:rPr>
          <w:rFonts w:ascii="仿宋" w:hAnsi="仿宋" w:eastAsia="仿宋" w:cs="仿宋"/>
          <w:b/>
          <w:color w:val="auto"/>
          <w:kern w:val="0"/>
          <w:sz w:val="24"/>
          <w:highlight w:val="none"/>
          <w:lang w:val="zh-CN"/>
        </w:rPr>
      </w:pPr>
    </w:p>
    <w:p w14:paraId="64AD9F1B">
      <w:pPr>
        <w:shd w:val="clea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289C64E">
      <w:pPr>
        <w:shd w:val="clear"/>
        <w:spacing w:line="360" w:lineRule="auto"/>
        <w:ind w:left="-2" w:leftChars="-1"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4FC2AD6">
      <w:pPr>
        <w:shd w:val="clear"/>
        <w:spacing w:line="360" w:lineRule="auto"/>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w:t>
      </w:r>
      <w:r>
        <w:rPr>
          <w:rFonts w:ascii="仿宋" w:hAnsi="仿宋" w:eastAsia="仿宋" w:cs="仿宋"/>
          <w:b/>
          <w:color w:val="auto"/>
          <w:kern w:val="0"/>
          <w:sz w:val="24"/>
          <w:highlight w:val="none"/>
          <w:lang w:val="zh-CN"/>
        </w:rPr>
        <w:t>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963CE57">
      <w:pPr>
        <w:shd w:val="clear"/>
        <w:snapToGrid w:val="0"/>
        <w:spacing w:line="360" w:lineRule="auto"/>
        <w:ind w:firstLine="480" w:firstLineChars="200"/>
        <w:jc w:val="left"/>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4A2E0368">
      <w:pPr>
        <w:shd w:val="clea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156AC93">
      <w:pPr>
        <w:pStyle w:val="80"/>
        <w:shd w:val="clear"/>
        <w:rPr>
          <w:color w:val="auto"/>
          <w:highlight w:val="none"/>
          <w:lang w:val="zh-CN"/>
        </w:rPr>
      </w:pPr>
    </w:p>
    <w:p w14:paraId="6CCD92D8">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74" w:right="1814" w:bottom="1474" w:left="181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95D994B">
      <w:pPr>
        <w:pStyle w:val="692"/>
        <w:keepNext w:val="0"/>
        <w:pageBreakBefore w:val="0"/>
        <w:shd w:val="clear"/>
        <w:tabs>
          <w:tab w:val="clear" w:pos="720"/>
        </w:tabs>
        <w:snapToGrid w:val="0"/>
        <w:spacing w:before="120" w:after="120"/>
        <w:jc w:val="left"/>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lang w:eastAsia="zh-CN"/>
        </w:rPr>
        <w:t>附：</w:t>
      </w:r>
      <w:r>
        <w:rPr>
          <w:rFonts w:hint="eastAsia" w:ascii="仿宋" w:hAnsi="仿宋" w:eastAsia="仿宋" w:cs="仿宋"/>
          <w:color w:val="auto"/>
          <w:kern w:val="2"/>
          <w:sz w:val="32"/>
          <w:szCs w:val="32"/>
          <w:highlight w:val="none"/>
        </w:rPr>
        <w:t>报价</w:t>
      </w:r>
      <w:r>
        <w:rPr>
          <w:rFonts w:hint="eastAsia" w:ascii="仿宋" w:hAnsi="仿宋" w:eastAsia="仿宋" w:cs="仿宋"/>
          <w:color w:val="auto"/>
          <w:kern w:val="2"/>
          <w:sz w:val="32"/>
          <w:szCs w:val="32"/>
          <w:highlight w:val="none"/>
          <w:lang w:eastAsia="zh-CN"/>
        </w:rPr>
        <w:t>明细</w:t>
      </w:r>
      <w:r>
        <w:rPr>
          <w:rFonts w:hint="eastAsia" w:ascii="仿宋" w:hAnsi="仿宋" w:eastAsia="仿宋" w:cs="仿宋"/>
          <w:color w:val="auto"/>
          <w:kern w:val="2"/>
          <w:sz w:val="32"/>
          <w:szCs w:val="32"/>
          <w:highlight w:val="none"/>
        </w:rPr>
        <w:t>表</w:t>
      </w:r>
    </w:p>
    <w:p w14:paraId="5F31C207">
      <w:pPr>
        <w:shd w:val="clear"/>
        <w:spacing w:line="360" w:lineRule="auto"/>
        <w:jc w:val="center"/>
        <w:rPr>
          <w:rFonts w:ascii="仿宋" w:hAnsi="仿宋" w:eastAsia="仿宋" w:cs="仿宋"/>
          <w:b/>
          <w:color w:val="auto"/>
          <w:kern w:val="0"/>
          <w:sz w:val="30"/>
          <w:szCs w:val="30"/>
          <w:highlight w:val="none"/>
          <w:lang w:val="zh-CN"/>
        </w:rPr>
      </w:pPr>
      <w:r>
        <w:rPr>
          <w:rFonts w:hint="eastAsia" w:ascii="仿宋" w:hAnsi="仿宋" w:eastAsia="仿宋" w:cs="仿宋"/>
          <w:b/>
          <w:color w:val="auto"/>
          <w:kern w:val="0"/>
          <w:sz w:val="30"/>
          <w:szCs w:val="30"/>
          <w:highlight w:val="none"/>
          <w:lang w:val="zh-CN"/>
        </w:rPr>
        <w:t>标项一报价表</w:t>
      </w:r>
    </w:p>
    <w:tbl>
      <w:tblPr>
        <w:tblStyle w:val="62"/>
        <w:tblW w:w="8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1012"/>
        <w:gridCol w:w="1065"/>
        <w:gridCol w:w="1020"/>
        <w:gridCol w:w="1095"/>
        <w:gridCol w:w="1395"/>
        <w:gridCol w:w="1492"/>
      </w:tblGrid>
      <w:tr w14:paraId="47AD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11" w:type="dxa"/>
            <w:vAlign w:val="center"/>
          </w:tcPr>
          <w:p w14:paraId="11346A7C">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流量套餐要求</w:t>
            </w:r>
          </w:p>
        </w:tc>
        <w:tc>
          <w:tcPr>
            <w:tcW w:w="1012" w:type="dxa"/>
            <w:vAlign w:val="center"/>
          </w:tcPr>
          <w:p w14:paraId="5CA243B4">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第一公司数量</w:t>
            </w:r>
          </w:p>
        </w:tc>
        <w:tc>
          <w:tcPr>
            <w:tcW w:w="1065" w:type="dxa"/>
            <w:vAlign w:val="center"/>
          </w:tcPr>
          <w:p w14:paraId="188E707F">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第二公司数量</w:t>
            </w:r>
          </w:p>
        </w:tc>
        <w:tc>
          <w:tcPr>
            <w:tcW w:w="1020" w:type="dxa"/>
            <w:vAlign w:val="center"/>
          </w:tcPr>
          <w:p w14:paraId="7B4D6C1D">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第三公司数量</w:t>
            </w:r>
          </w:p>
        </w:tc>
        <w:tc>
          <w:tcPr>
            <w:tcW w:w="1095" w:type="dxa"/>
            <w:vAlign w:val="center"/>
          </w:tcPr>
          <w:p w14:paraId="3710D818">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总数</w:t>
            </w:r>
          </w:p>
        </w:tc>
        <w:tc>
          <w:tcPr>
            <w:tcW w:w="1395" w:type="dxa"/>
            <w:vAlign w:val="center"/>
          </w:tcPr>
          <w:p w14:paraId="1BB20373">
            <w:pPr>
              <w:widowControl/>
              <w:shd w:val="clear"/>
              <w:jc w:val="center"/>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报价单价</w:t>
            </w:r>
          </w:p>
        </w:tc>
        <w:tc>
          <w:tcPr>
            <w:tcW w:w="1492" w:type="dxa"/>
            <w:vAlign w:val="center"/>
          </w:tcPr>
          <w:p w14:paraId="1175F527">
            <w:pPr>
              <w:widowControl/>
              <w:shd w:val="clear"/>
              <w:jc w:val="center"/>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小计（三年）</w:t>
            </w:r>
          </w:p>
        </w:tc>
      </w:tr>
      <w:tr w14:paraId="6D2C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790" w:type="dxa"/>
            <w:gridSpan w:val="7"/>
            <w:vAlign w:val="center"/>
          </w:tcPr>
          <w:p w14:paraId="0A4AEF42">
            <w:pPr>
              <w:widowControl/>
              <w:shd w:val="clea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序号1：车载GPS调度系统专网物联网卡</w:t>
            </w:r>
          </w:p>
        </w:tc>
      </w:tr>
      <w:tr w14:paraId="3C97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1" w:type="dxa"/>
            <w:vAlign w:val="center"/>
          </w:tcPr>
          <w:p w14:paraId="25262095">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20G/卡/月及以上，需做流量池</w:t>
            </w:r>
          </w:p>
        </w:tc>
        <w:tc>
          <w:tcPr>
            <w:tcW w:w="1012" w:type="dxa"/>
            <w:vAlign w:val="center"/>
          </w:tcPr>
          <w:p w14:paraId="1518F57B">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540张</w:t>
            </w:r>
          </w:p>
        </w:tc>
        <w:tc>
          <w:tcPr>
            <w:tcW w:w="1065" w:type="dxa"/>
            <w:vAlign w:val="center"/>
          </w:tcPr>
          <w:p w14:paraId="7B0B565D">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384张</w:t>
            </w:r>
          </w:p>
        </w:tc>
        <w:tc>
          <w:tcPr>
            <w:tcW w:w="1020" w:type="dxa"/>
            <w:vAlign w:val="center"/>
          </w:tcPr>
          <w:p w14:paraId="2B14126B">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470张</w:t>
            </w:r>
          </w:p>
        </w:tc>
        <w:tc>
          <w:tcPr>
            <w:tcW w:w="1095" w:type="dxa"/>
            <w:vAlign w:val="center"/>
          </w:tcPr>
          <w:p w14:paraId="19325814">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1394张</w:t>
            </w:r>
          </w:p>
        </w:tc>
        <w:tc>
          <w:tcPr>
            <w:tcW w:w="1395" w:type="dxa"/>
            <w:vAlign w:val="center"/>
          </w:tcPr>
          <w:p w14:paraId="789CAF3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元/张/月</w:t>
            </w:r>
          </w:p>
        </w:tc>
        <w:tc>
          <w:tcPr>
            <w:tcW w:w="1492" w:type="dxa"/>
            <w:vAlign w:val="center"/>
          </w:tcPr>
          <w:p w14:paraId="0DD9ABE7">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万元</w:t>
            </w:r>
          </w:p>
        </w:tc>
      </w:tr>
      <w:tr w14:paraId="721E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790" w:type="dxa"/>
            <w:gridSpan w:val="7"/>
            <w:vAlign w:val="center"/>
          </w:tcPr>
          <w:p w14:paraId="14CD37D0">
            <w:pPr>
              <w:widowControl/>
              <w:shd w:val="clear"/>
              <w:jc w:val="left"/>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序号2：车载刷卡机</w:t>
            </w:r>
          </w:p>
        </w:tc>
      </w:tr>
      <w:tr w14:paraId="2F1D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11" w:type="dxa"/>
            <w:vAlign w:val="center"/>
          </w:tcPr>
          <w:p w14:paraId="4CD6526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150M/卡/月及以上，需做流量池</w:t>
            </w:r>
          </w:p>
        </w:tc>
        <w:tc>
          <w:tcPr>
            <w:tcW w:w="1012" w:type="dxa"/>
            <w:vAlign w:val="center"/>
          </w:tcPr>
          <w:p w14:paraId="6C28B7FF">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835张</w:t>
            </w:r>
          </w:p>
        </w:tc>
        <w:tc>
          <w:tcPr>
            <w:tcW w:w="1065" w:type="dxa"/>
            <w:vAlign w:val="center"/>
          </w:tcPr>
          <w:p w14:paraId="1C1A0972">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508张</w:t>
            </w:r>
          </w:p>
        </w:tc>
        <w:tc>
          <w:tcPr>
            <w:tcW w:w="1020" w:type="dxa"/>
            <w:vAlign w:val="center"/>
          </w:tcPr>
          <w:p w14:paraId="74591E1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641张</w:t>
            </w:r>
          </w:p>
        </w:tc>
        <w:tc>
          <w:tcPr>
            <w:tcW w:w="1095" w:type="dxa"/>
            <w:vAlign w:val="center"/>
          </w:tcPr>
          <w:p w14:paraId="78373A3F">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1984张</w:t>
            </w:r>
          </w:p>
        </w:tc>
        <w:tc>
          <w:tcPr>
            <w:tcW w:w="1395" w:type="dxa"/>
            <w:vAlign w:val="center"/>
          </w:tcPr>
          <w:p w14:paraId="01699BFC">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元/张/月</w:t>
            </w:r>
          </w:p>
        </w:tc>
        <w:tc>
          <w:tcPr>
            <w:tcW w:w="1492" w:type="dxa"/>
            <w:vAlign w:val="center"/>
          </w:tcPr>
          <w:p w14:paraId="3ED1AB1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万元</w:t>
            </w:r>
          </w:p>
        </w:tc>
      </w:tr>
      <w:tr w14:paraId="2FBD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790" w:type="dxa"/>
            <w:gridSpan w:val="7"/>
            <w:vAlign w:val="center"/>
          </w:tcPr>
          <w:p w14:paraId="3468D31A">
            <w:pPr>
              <w:widowControl/>
              <w:shd w:val="clear"/>
              <w:jc w:val="left"/>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序号3：车载安全卫士、灵活公交、安保巡检</w:t>
            </w:r>
          </w:p>
        </w:tc>
      </w:tr>
      <w:tr w14:paraId="3374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11" w:type="dxa"/>
            <w:vAlign w:val="center"/>
          </w:tcPr>
          <w:p w14:paraId="38B3EDB0">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车载安全卫士物联网卡 4G/卡/月及以上，需做流量池</w:t>
            </w:r>
          </w:p>
        </w:tc>
        <w:tc>
          <w:tcPr>
            <w:tcW w:w="1012" w:type="dxa"/>
            <w:vAlign w:val="center"/>
          </w:tcPr>
          <w:p w14:paraId="1F7DE0CD">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565张</w:t>
            </w:r>
          </w:p>
        </w:tc>
        <w:tc>
          <w:tcPr>
            <w:tcW w:w="1065" w:type="dxa"/>
            <w:vAlign w:val="center"/>
          </w:tcPr>
          <w:p w14:paraId="733CC96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668张</w:t>
            </w:r>
          </w:p>
        </w:tc>
        <w:tc>
          <w:tcPr>
            <w:tcW w:w="1020" w:type="dxa"/>
            <w:vAlign w:val="center"/>
          </w:tcPr>
          <w:p w14:paraId="0EED8FA2">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495张</w:t>
            </w:r>
          </w:p>
        </w:tc>
        <w:tc>
          <w:tcPr>
            <w:tcW w:w="1095" w:type="dxa"/>
            <w:vAlign w:val="center"/>
          </w:tcPr>
          <w:p w14:paraId="11264194">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1728张</w:t>
            </w:r>
          </w:p>
        </w:tc>
        <w:tc>
          <w:tcPr>
            <w:tcW w:w="1395" w:type="dxa"/>
            <w:vAlign w:val="center"/>
          </w:tcPr>
          <w:p w14:paraId="6AB0937D">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元/张/月</w:t>
            </w:r>
          </w:p>
        </w:tc>
        <w:tc>
          <w:tcPr>
            <w:tcW w:w="1492" w:type="dxa"/>
            <w:vAlign w:val="center"/>
          </w:tcPr>
          <w:p w14:paraId="755320B0">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万元</w:t>
            </w:r>
          </w:p>
        </w:tc>
      </w:tr>
      <w:tr w14:paraId="4EFD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11" w:type="dxa"/>
            <w:vAlign w:val="center"/>
          </w:tcPr>
          <w:p w14:paraId="29936713">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灵活公交物联网卡 4G/卡/月及以上</w:t>
            </w:r>
          </w:p>
        </w:tc>
        <w:tc>
          <w:tcPr>
            <w:tcW w:w="1012" w:type="dxa"/>
            <w:vAlign w:val="center"/>
          </w:tcPr>
          <w:p w14:paraId="14F0F2D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28</w:t>
            </w:r>
          </w:p>
        </w:tc>
        <w:tc>
          <w:tcPr>
            <w:tcW w:w="1065" w:type="dxa"/>
            <w:vAlign w:val="center"/>
          </w:tcPr>
          <w:p w14:paraId="309483C4">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w:t>
            </w:r>
          </w:p>
        </w:tc>
        <w:tc>
          <w:tcPr>
            <w:tcW w:w="1020" w:type="dxa"/>
            <w:vAlign w:val="center"/>
          </w:tcPr>
          <w:p w14:paraId="1037DC2F">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095" w:type="dxa"/>
            <w:vAlign w:val="center"/>
          </w:tcPr>
          <w:p w14:paraId="25D5A6FF">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38</w:t>
            </w:r>
          </w:p>
        </w:tc>
        <w:tc>
          <w:tcPr>
            <w:tcW w:w="1395" w:type="dxa"/>
            <w:vAlign w:val="center"/>
          </w:tcPr>
          <w:p w14:paraId="67BD8D69">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元/卡/月</w:t>
            </w:r>
          </w:p>
        </w:tc>
        <w:tc>
          <w:tcPr>
            <w:tcW w:w="1492" w:type="dxa"/>
            <w:vAlign w:val="center"/>
          </w:tcPr>
          <w:p w14:paraId="4430D1E8">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万元</w:t>
            </w:r>
          </w:p>
        </w:tc>
      </w:tr>
      <w:tr w14:paraId="6666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11" w:type="dxa"/>
            <w:vAlign w:val="center"/>
          </w:tcPr>
          <w:p w14:paraId="2770D6A4">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 xml:space="preserve">安保巡检（巡更棒）物联网卡 </w:t>
            </w:r>
            <w:r>
              <w:rPr>
                <w:rFonts w:hint="eastAsia" w:ascii="仿宋" w:hAnsi="仿宋" w:eastAsia="仿宋" w:cs="仿宋"/>
                <w:color w:val="auto"/>
                <w:kern w:val="0"/>
                <w:sz w:val="24"/>
                <w:szCs w:val="24"/>
                <w:highlight w:val="none"/>
              </w:rPr>
              <w:t>2G/卡/月及以上</w:t>
            </w:r>
          </w:p>
        </w:tc>
        <w:tc>
          <w:tcPr>
            <w:tcW w:w="1012" w:type="dxa"/>
            <w:vAlign w:val="center"/>
          </w:tcPr>
          <w:p w14:paraId="2A2EA452">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1065" w:type="dxa"/>
            <w:vAlign w:val="center"/>
          </w:tcPr>
          <w:p w14:paraId="14E7E1BE">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21</w:t>
            </w:r>
          </w:p>
        </w:tc>
        <w:tc>
          <w:tcPr>
            <w:tcW w:w="1020" w:type="dxa"/>
            <w:vAlign w:val="center"/>
          </w:tcPr>
          <w:p w14:paraId="04458C56">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w:t>
            </w:r>
          </w:p>
        </w:tc>
        <w:tc>
          <w:tcPr>
            <w:tcW w:w="1095" w:type="dxa"/>
            <w:vAlign w:val="center"/>
          </w:tcPr>
          <w:p w14:paraId="0B0FE13E">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59</w:t>
            </w:r>
          </w:p>
        </w:tc>
        <w:tc>
          <w:tcPr>
            <w:tcW w:w="1395" w:type="dxa"/>
            <w:vAlign w:val="center"/>
          </w:tcPr>
          <w:p w14:paraId="74829ADC">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元/卡/月</w:t>
            </w:r>
          </w:p>
        </w:tc>
        <w:tc>
          <w:tcPr>
            <w:tcW w:w="1492" w:type="dxa"/>
            <w:vAlign w:val="center"/>
          </w:tcPr>
          <w:p w14:paraId="45F97573">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万元</w:t>
            </w:r>
          </w:p>
        </w:tc>
      </w:tr>
      <w:tr w14:paraId="0098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711" w:type="dxa"/>
            <w:vAlign w:val="center"/>
          </w:tcPr>
          <w:p w14:paraId="0C5DC568">
            <w:pPr>
              <w:widowControl/>
              <w:shd w:val="clear"/>
              <w:jc w:val="center"/>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合计</w:t>
            </w:r>
          </w:p>
        </w:tc>
        <w:tc>
          <w:tcPr>
            <w:tcW w:w="7079" w:type="dxa"/>
            <w:gridSpan w:val="6"/>
            <w:vAlign w:val="center"/>
          </w:tcPr>
          <w:p w14:paraId="6E8D31B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万元</w:t>
            </w:r>
          </w:p>
        </w:tc>
      </w:tr>
    </w:tbl>
    <w:p w14:paraId="5816E032">
      <w:pPr>
        <w:shd w:val="clea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序号4：绍兴市公共交通集团有限公司网络线路</w:t>
      </w:r>
    </w:p>
    <w:tbl>
      <w:tblPr>
        <w:tblStyle w:val="62"/>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463"/>
        <w:gridCol w:w="1296"/>
        <w:gridCol w:w="709"/>
        <w:gridCol w:w="1730"/>
        <w:gridCol w:w="1510"/>
      </w:tblGrid>
      <w:tr w14:paraId="4F69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980" w:type="dxa"/>
            <w:vAlign w:val="center"/>
          </w:tcPr>
          <w:p w14:paraId="604D9E93">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1463" w:type="dxa"/>
            <w:vAlign w:val="center"/>
          </w:tcPr>
          <w:p w14:paraId="1FC7697E">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1296" w:type="dxa"/>
            <w:vAlign w:val="center"/>
          </w:tcPr>
          <w:p w14:paraId="637F1E9C">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709" w:type="dxa"/>
            <w:vAlign w:val="center"/>
          </w:tcPr>
          <w:p w14:paraId="7C0EC021">
            <w:pPr>
              <w:widowControl/>
              <w:shd w:val="clear"/>
              <w:jc w:val="center"/>
              <w:rPr>
                <w:color w:val="auto"/>
                <w:highlight w:val="none"/>
              </w:rPr>
            </w:pPr>
            <w:r>
              <w:rPr>
                <w:rFonts w:hint="eastAsia" w:ascii="仿宋" w:hAnsi="仿宋" w:eastAsia="仿宋" w:cs="仿宋"/>
                <w:b/>
                <w:bCs/>
                <w:color w:val="auto"/>
                <w:kern w:val="0"/>
                <w:sz w:val="24"/>
                <w:szCs w:val="24"/>
                <w:highlight w:val="none"/>
              </w:rPr>
              <w:t>数量</w:t>
            </w:r>
          </w:p>
        </w:tc>
        <w:tc>
          <w:tcPr>
            <w:tcW w:w="1730" w:type="dxa"/>
            <w:vAlign w:val="center"/>
          </w:tcPr>
          <w:p w14:paraId="38E5E165">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报价单价</w:t>
            </w:r>
          </w:p>
        </w:tc>
        <w:tc>
          <w:tcPr>
            <w:tcW w:w="1510" w:type="dxa"/>
            <w:vAlign w:val="center"/>
          </w:tcPr>
          <w:p w14:paraId="4D340C2C">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小计（三年）</w:t>
            </w:r>
          </w:p>
        </w:tc>
      </w:tr>
      <w:tr w14:paraId="010E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980" w:type="dxa"/>
            <w:vAlign w:val="center"/>
          </w:tcPr>
          <w:p w14:paraId="2C0B978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城南劳家葑至镜湖高速大楼线路</w:t>
            </w:r>
          </w:p>
        </w:tc>
        <w:tc>
          <w:tcPr>
            <w:tcW w:w="1463" w:type="dxa"/>
            <w:vAlign w:val="center"/>
          </w:tcPr>
          <w:p w14:paraId="70C7185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与交投集团数据传输</w:t>
            </w:r>
          </w:p>
        </w:tc>
        <w:tc>
          <w:tcPr>
            <w:tcW w:w="1296" w:type="dxa"/>
            <w:vAlign w:val="center"/>
          </w:tcPr>
          <w:p w14:paraId="45E5D33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1000M（IPRAN）</w:t>
            </w:r>
          </w:p>
        </w:tc>
        <w:tc>
          <w:tcPr>
            <w:tcW w:w="709" w:type="dxa"/>
            <w:vAlign w:val="center"/>
          </w:tcPr>
          <w:p w14:paraId="7E5936AD">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730" w:type="dxa"/>
            <w:vAlign w:val="center"/>
          </w:tcPr>
          <w:p w14:paraId="6BF3E48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510" w:type="dxa"/>
            <w:vAlign w:val="center"/>
          </w:tcPr>
          <w:p w14:paraId="05C91D3D">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4EDD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980" w:type="dxa"/>
            <w:vAlign w:val="center"/>
          </w:tcPr>
          <w:p w14:paraId="04AA864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城南劳家葑机房互联网线路</w:t>
            </w:r>
          </w:p>
        </w:tc>
        <w:tc>
          <w:tcPr>
            <w:tcW w:w="1463" w:type="dxa"/>
            <w:vAlign w:val="center"/>
          </w:tcPr>
          <w:p w14:paraId="32703C8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业务上网</w:t>
            </w:r>
          </w:p>
        </w:tc>
        <w:tc>
          <w:tcPr>
            <w:tcW w:w="1296" w:type="dxa"/>
            <w:vAlign w:val="center"/>
          </w:tcPr>
          <w:p w14:paraId="3D87A35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200M（每条包含5个可用IP地址）</w:t>
            </w:r>
          </w:p>
        </w:tc>
        <w:tc>
          <w:tcPr>
            <w:tcW w:w="709" w:type="dxa"/>
            <w:vAlign w:val="center"/>
          </w:tcPr>
          <w:p w14:paraId="5CE5E092">
            <w:pPr>
              <w:widowControl/>
              <w:shd w:val="clear"/>
              <w:jc w:val="center"/>
              <w:rPr>
                <w:color w:val="auto"/>
                <w:highlight w:val="none"/>
              </w:rPr>
            </w:pPr>
            <w:r>
              <w:rPr>
                <w:rFonts w:hint="eastAsia" w:ascii="仿宋" w:hAnsi="仿宋" w:eastAsia="仿宋" w:cs="仿宋"/>
                <w:color w:val="auto"/>
                <w:kern w:val="0"/>
                <w:sz w:val="24"/>
                <w:szCs w:val="28"/>
                <w:highlight w:val="none"/>
              </w:rPr>
              <w:t>2条</w:t>
            </w:r>
          </w:p>
        </w:tc>
        <w:tc>
          <w:tcPr>
            <w:tcW w:w="1730" w:type="dxa"/>
            <w:vAlign w:val="center"/>
          </w:tcPr>
          <w:p w14:paraId="4A88AAB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510" w:type="dxa"/>
            <w:vAlign w:val="center"/>
          </w:tcPr>
          <w:p w14:paraId="01094660">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1509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980" w:type="dxa"/>
            <w:vAlign w:val="center"/>
          </w:tcPr>
          <w:p w14:paraId="5480CAF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镜湖高速大楼互联网线路</w:t>
            </w:r>
          </w:p>
        </w:tc>
        <w:tc>
          <w:tcPr>
            <w:tcW w:w="1463" w:type="dxa"/>
            <w:vAlign w:val="center"/>
          </w:tcPr>
          <w:p w14:paraId="0A21964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业务上网</w:t>
            </w:r>
          </w:p>
        </w:tc>
        <w:tc>
          <w:tcPr>
            <w:tcW w:w="1296" w:type="dxa"/>
            <w:vAlign w:val="center"/>
          </w:tcPr>
          <w:p w14:paraId="08C3399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200M（每条包含5个可用IP地址）</w:t>
            </w:r>
          </w:p>
        </w:tc>
        <w:tc>
          <w:tcPr>
            <w:tcW w:w="709" w:type="dxa"/>
            <w:vAlign w:val="center"/>
          </w:tcPr>
          <w:p w14:paraId="166D3A14">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730" w:type="dxa"/>
            <w:vAlign w:val="center"/>
          </w:tcPr>
          <w:p w14:paraId="1D3B0F0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510" w:type="dxa"/>
            <w:vAlign w:val="center"/>
          </w:tcPr>
          <w:p w14:paraId="6D69C29F">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7AC3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980" w:type="dxa"/>
            <w:vAlign w:val="center"/>
          </w:tcPr>
          <w:p w14:paraId="4D25BFD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后墅集团互联网线路</w:t>
            </w:r>
          </w:p>
        </w:tc>
        <w:tc>
          <w:tcPr>
            <w:tcW w:w="1463" w:type="dxa"/>
            <w:vAlign w:val="center"/>
          </w:tcPr>
          <w:p w14:paraId="483EFF4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296" w:type="dxa"/>
            <w:vAlign w:val="center"/>
          </w:tcPr>
          <w:p w14:paraId="4199FB2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200M（每条包含2个可用IP地址）</w:t>
            </w:r>
          </w:p>
        </w:tc>
        <w:tc>
          <w:tcPr>
            <w:tcW w:w="709" w:type="dxa"/>
            <w:vAlign w:val="center"/>
          </w:tcPr>
          <w:p w14:paraId="054AF36F">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730" w:type="dxa"/>
            <w:vAlign w:val="center"/>
          </w:tcPr>
          <w:p w14:paraId="1F123F2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510" w:type="dxa"/>
            <w:vAlign w:val="center"/>
          </w:tcPr>
          <w:p w14:paraId="7FA3A6B8">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7750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980" w:type="dxa"/>
            <w:vAlign w:val="center"/>
          </w:tcPr>
          <w:p w14:paraId="330804B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1463" w:type="dxa"/>
            <w:vAlign w:val="center"/>
          </w:tcPr>
          <w:p w14:paraId="68261C5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1296" w:type="dxa"/>
            <w:vAlign w:val="center"/>
          </w:tcPr>
          <w:p w14:paraId="2B5FD0A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100M（拨号模式）</w:t>
            </w:r>
          </w:p>
        </w:tc>
        <w:tc>
          <w:tcPr>
            <w:tcW w:w="709" w:type="dxa"/>
            <w:vAlign w:val="center"/>
          </w:tcPr>
          <w:p w14:paraId="1FC8F0F7">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730" w:type="dxa"/>
            <w:vAlign w:val="center"/>
          </w:tcPr>
          <w:p w14:paraId="7294BB5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510" w:type="dxa"/>
            <w:vAlign w:val="center"/>
          </w:tcPr>
          <w:p w14:paraId="14771B0A">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17CA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980" w:type="dxa"/>
            <w:vAlign w:val="center"/>
          </w:tcPr>
          <w:p w14:paraId="256033A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b/>
                <w:bCs/>
                <w:color w:val="auto"/>
                <w:sz w:val="24"/>
                <w:szCs w:val="24"/>
                <w:highlight w:val="none"/>
                <w:lang w:eastAsia="zh-CN"/>
              </w:rPr>
              <w:t>合计</w:t>
            </w:r>
          </w:p>
        </w:tc>
        <w:tc>
          <w:tcPr>
            <w:tcW w:w="6708" w:type="dxa"/>
            <w:gridSpan w:val="5"/>
            <w:vAlign w:val="center"/>
          </w:tcPr>
          <w:p w14:paraId="241CE363">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color w:val="auto"/>
                <w:kern w:val="0"/>
                <w:sz w:val="24"/>
                <w:szCs w:val="24"/>
                <w:highlight w:val="none"/>
              </w:rPr>
              <w:t>万元</w:t>
            </w:r>
          </w:p>
        </w:tc>
      </w:tr>
    </w:tbl>
    <w:p w14:paraId="234DA65B">
      <w:pPr>
        <w:shd w:val="clea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序号5：绍兴市公共交通集团第一有限公司网络线路</w:t>
      </w:r>
    </w:p>
    <w:tbl>
      <w:tblPr>
        <w:tblStyle w:val="62"/>
        <w:tblW w:w="8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75"/>
        <w:gridCol w:w="1276"/>
        <w:gridCol w:w="954"/>
        <w:gridCol w:w="1439"/>
        <w:gridCol w:w="2096"/>
      </w:tblGrid>
      <w:tr w14:paraId="70E7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0FF7B2FA">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1275" w:type="dxa"/>
            <w:vAlign w:val="center"/>
          </w:tcPr>
          <w:p w14:paraId="5D383F04">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1276" w:type="dxa"/>
            <w:vAlign w:val="center"/>
          </w:tcPr>
          <w:p w14:paraId="633A3A5F">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954" w:type="dxa"/>
            <w:vAlign w:val="center"/>
          </w:tcPr>
          <w:p w14:paraId="7C1D80FC">
            <w:pPr>
              <w:widowControl/>
              <w:shd w:val="clear"/>
              <w:jc w:val="center"/>
              <w:rPr>
                <w:color w:val="auto"/>
                <w:highlight w:val="none"/>
              </w:rPr>
            </w:pPr>
            <w:r>
              <w:rPr>
                <w:rFonts w:hint="eastAsia" w:ascii="仿宋" w:hAnsi="仿宋" w:eastAsia="仿宋" w:cs="仿宋"/>
                <w:b/>
                <w:bCs/>
                <w:color w:val="auto"/>
                <w:kern w:val="0"/>
                <w:sz w:val="24"/>
                <w:szCs w:val="24"/>
                <w:highlight w:val="none"/>
              </w:rPr>
              <w:t>数量</w:t>
            </w:r>
          </w:p>
        </w:tc>
        <w:tc>
          <w:tcPr>
            <w:tcW w:w="1439" w:type="dxa"/>
            <w:vAlign w:val="center"/>
          </w:tcPr>
          <w:p w14:paraId="0AEAA0BE">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报价单价</w:t>
            </w:r>
          </w:p>
        </w:tc>
        <w:tc>
          <w:tcPr>
            <w:tcW w:w="2096" w:type="dxa"/>
            <w:vAlign w:val="center"/>
          </w:tcPr>
          <w:p w14:paraId="1E521291">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小计（三年）</w:t>
            </w:r>
          </w:p>
        </w:tc>
      </w:tr>
      <w:tr w14:paraId="0A9C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55" w:type="dxa"/>
            <w:vAlign w:val="center"/>
          </w:tcPr>
          <w:p w14:paraId="15E4ED3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城南总机房全球眼汇聚专线</w:t>
            </w:r>
          </w:p>
        </w:tc>
        <w:tc>
          <w:tcPr>
            <w:tcW w:w="1275" w:type="dxa"/>
            <w:vAlign w:val="center"/>
          </w:tcPr>
          <w:p w14:paraId="58556B3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全球眼汇聚专线</w:t>
            </w:r>
          </w:p>
        </w:tc>
        <w:tc>
          <w:tcPr>
            <w:tcW w:w="1276" w:type="dxa"/>
            <w:vAlign w:val="center"/>
          </w:tcPr>
          <w:p w14:paraId="291E1BC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954" w:type="dxa"/>
            <w:vAlign w:val="center"/>
          </w:tcPr>
          <w:p w14:paraId="572B89B6">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439" w:type="dxa"/>
            <w:vAlign w:val="center"/>
          </w:tcPr>
          <w:p w14:paraId="582C85D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2096" w:type="dxa"/>
            <w:vAlign w:val="center"/>
          </w:tcPr>
          <w:p w14:paraId="2EEE8544">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1B14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55" w:type="dxa"/>
            <w:vAlign w:val="center"/>
          </w:tcPr>
          <w:p w14:paraId="2254496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齐贤镇高铁中心大楼二楼机房</w:t>
            </w:r>
          </w:p>
        </w:tc>
        <w:tc>
          <w:tcPr>
            <w:tcW w:w="1275" w:type="dxa"/>
            <w:vAlign w:val="center"/>
          </w:tcPr>
          <w:p w14:paraId="2513A1F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全球眼汇聚专线</w:t>
            </w:r>
          </w:p>
        </w:tc>
        <w:tc>
          <w:tcPr>
            <w:tcW w:w="1276" w:type="dxa"/>
            <w:vAlign w:val="center"/>
          </w:tcPr>
          <w:p w14:paraId="5F393C6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300M</w:t>
            </w:r>
          </w:p>
        </w:tc>
        <w:tc>
          <w:tcPr>
            <w:tcW w:w="954" w:type="dxa"/>
            <w:vAlign w:val="center"/>
          </w:tcPr>
          <w:p w14:paraId="3E17C66E">
            <w:pPr>
              <w:widowControl/>
              <w:shd w:val="clear"/>
              <w:jc w:val="center"/>
              <w:rPr>
                <w:color w:val="auto"/>
                <w:highlight w:val="none"/>
              </w:rPr>
            </w:pPr>
            <w:r>
              <w:rPr>
                <w:rFonts w:hint="eastAsia" w:ascii="仿宋" w:hAnsi="仿宋" w:eastAsia="仿宋" w:cs="仿宋"/>
                <w:color w:val="auto"/>
                <w:kern w:val="0"/>
                <w:sz w:val="24"/>
                <w:szCs w:val="28"/>
                <w:highlight w:val="none"/>
              </w:rPr>
              <w:t>1</w:t>
            </w:r>
            <w:r>
              <w:rPr>
                <w:rFonts w:hint="eastAsia" w:ascii="仿宋" w:hAnsi="仿宋" w:eastAsia="仿宋" w:cs="仿宋"/>
                <w:color w:val="auto"/>
                <w:kern w:val="0"/>
                <w:sz w:val="24"/>
                <w:szCs w:val="28"/>
                <w:highlight w:val="none"/>
                <w:lang w:val="en-US" w:eastAsia="zh-CN"/>
              </w:rPr>
              <w:t>条</w:t>
            </w:r>
          </w:p>
        </w:tc>
        <w:tc>
          <w:tcPr>
            <w:tcW w:w="1439" w:type="dxa"/>
            <w:vAlign w:val="center"/>
          </w:tcPr>
          <w:p w14:paraId="584CEB1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2096" w:type="dxa"/>
            <w:vAlign w:val="center"/>
          </w:tcPr>
          <w:p w14:paraId="7DC54FF2">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56D2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76ECABF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场站全球眼线路</w:t>
            </w:r>
          </w:p>
        </w:tc>
        <w:tc>
          <w:tcPr>
            <w:tcW w:w="1275" w:type="dxa"/>
            <w:vAlign w:val="center"/>
          </w:tcPr>
          <w:p w14:paraId="7228EB0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全球眼专线</w:t>
            </w:r>
          </w:p>
        </w:tc>
        <w:tc>
          <w:tcPr>
            <w:tcW w:w="1276" w:type="dxa"/>
            <w:vAlign w:val="center"/>
          </w:tcPr>
          <w:p w14:paraId="54B0655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20M</w:t>
            </w:r>
          </w:p>
        </w:tc>
        <w:tc>
          <w:tcPr>
            <w:tcW w:w="954" w:type="dxa"/>
            <w:vAlign w:val="center"/>
          </w:tcPr>
          <w:p w14:paraId="76B41042">
            <w:pPr>
              <w:widowControl/>
              <w:shd w:val="clear"/>
              <w:jc w:val="center"/>
              <w:rPr>
                <w:color w:val="auto"/>
                <w:highlight w:val="none"/>
              </w:rPr>
            </w:pPr>
            <w:r>
              <w:rPr>
                <w:rFonts w:hint="eastAsia" w:ascii="仿宋" w:hAnsi="仿宋" w:eastAsia="仿宋" w:cs="仿宋"/>
                <w:color w:val="auto"/>
                <w:kern w:val="0"/>
                <w:sz w:val="24"/>
                <w:szCs w:val="28"/>
                <w:highlight w:val="none"/>
              </w:rPr>
              <w:t>5条</w:t>
            </w:r>
          </w:p>
        </w:tc>
        <w:tc>
          <w:tcPr>
            <w:tcW w:w="1439" w:type="dxa"/>
            <w:vAlign w:val="center"/>
          </w:tcPr>
          <w:p w14:paraId="1DA77C3F">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2096" w:type="dxa"/>
            <w:vAlign w:val="center"/>
          </w:tcPr>
          <w:p w14:paraId="31183805">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6DC7A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18387E5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一公司机房互联网光纤</w:t>
            </w:r>
          </w:p>
        </w:tc>
        <w:tc>
          <w:tcPr>
            <w:tcW w:w="1275" w:type="dxa"/>
            <w:vAlign w:val="center"/>
          </w:tcPr>
          <w:p w14:paraId="256816D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276" w:type="dxa"/>
            <w:vAlign w:val="center"/>
          </w:tcPr>
          <w:p w14:paraId="338D4ED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300M（无固定IP地址）</w:t>
            </w:r>
          </w:p>
        </w:tc>
        <w:tc>
          <w:tcPr>
            <w:tcW w:w="954" w:type="dxa"/>
            <w:vAlign w:val="center"/>
          </w:tcPr>
          <w:p w14:paraId="454947E6">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439" w:type="dxa"/>
            <w:vAlign w:val="center"/>
          </w:tcPr>
          <w:p w14:paraId="4984AAF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2096" w:type="dxa"/>
            <w:vAlign w:val="center"/>
          </w:tcPr>
          <w:p w14:paraId="1045B476">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053E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7CA586A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场站互联网线路</w:t>
            </w:r>
          </w:p>
        </w:tc>
        <w:tc>
          <w:tcPr>
            <w:tcW w:w="1275" w:type="dxa"/>
            <w:vAlign w:val="center"/>
          </w:tcPr>
          <w:p w14:paraId="4A30B9D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276" w:type="dxa"/>
            <w:vAlign w:val="center"/>
          </w:tcPr>
          <w:p w14:paraId="26A0406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1000M（公众版融合宽带）</w:t>
            </w:r>
          </w:p>
        </w:tc>
        <w:tc>
          <w:tcPr>
            <w:tcW w:w="954" w:type="dxa"/>
            <w:vAlign w:val="center"/>
          </w:tcPr>
          <w:p w14:paraId="6B2FA2DF">
            <w:pPr>
              <w:widowControl/>
              <w:shd w:val="clear"/>
              <w:jc w:val="center"/>
              <w:rPr>
                <w:color w:val="auto"/>
                <w:highlight w:val="none"/>
              </w:rPr>
            </w:pPr>
            <w:r>
              <w:rPr>
                <w:rFonts w:hint="eastAsia" w:ascii="仿宋" w:hAnsi="仿宋" w:eastAsia="仿宋" w:cs="仿宋"/>
                <w:color w:val="auto"/>
                <w:kern w:val="0"/>
                <w:sz w:val="24"/>
                <w:szCs w:val="28"/>
                <w:highlight w:val="none"/>
              </w:rPr>
              <w:t>22条</w:t>
            </w:r>
          </w:p>
        </w:tc>
        <w:tc>
          <w:tcPr>
            <w:tcW w:w="1439" w:type="dxa"/>
            <w:vAlign w:val="center"/>
          </w:tcPr>
          <w:p w14:paraId="0377B8F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2096" w:type="dxa"/>
            <w:vAlign w:val="center"/>
          </w:tcPr>
          <w:p w14:paraId="2C32FC6D">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511E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43B6710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场站内网线路</w:t>
            </w:r>
          </w:p>
        </w:tc>
        <w:tc>
          <w:tcPr>
            <w:tcW w:w="1275" w:type="dxa"/>
            <w:vAlign w:val="center"/>
          </w:tcPr>
          <w:p w14:paraId="11663C9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276" w:type="dxa"/>
            <w:vAlign w:val="center"/>
          </w:tcPr>
          <w:p w14:paraId="74A7C50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VPN专线20M</w:t>
            </w:r>
          </w:p>
        </w:tc>
        <w:tc>
          <w:tcPr>
            <w:tcW w:w="954" w:type="dxa"/>
            <w:vAlign w:val="center"/>
          </w:tcPr>
          <w:p w14:paraId="41154559">
            <w:pPr>
              <w:widowControl/>
              <w:shd w:val="clear"/>
              <w:jc w:val="center"/>
              <w:rPr>
                <w:color w:val="auto"/>
                <w:highlight w:val="none"/>
              </w:rPr>
            </w:pPr>
            <w:r>
              <w:rPr>
                <w:rFonts w:hint="eastAsia" w:ascii="仿宋" w:hAnsi="仿宋" w:eastAsia="仿宋" w:cs="仿宋"/>
                <w:color w:val="auto"/>
                <w:kern w:val="0"/>
                <w:sz w:val="24"/>
                <w:szCs w:val="28"/>
                <w:highlight w:val="none"/>
              </w:rPr>
              <w:t>7条</w:t>
            </w:r>
          </w:p>
        </w:tc>
        <w:tc>
          <w:tcPr>
            <w:tcW w:w="1439" w:type="dxa"/>
            <w:vAlign w:val="center"/>
          </w:tcPr>
          <w:p w14:paraId="071BAA8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2096" w:type="dxa"/>
            <w:vAlign w:val="center"/>
          </w:tcPr>
          <w:p w14:paraId="1C0343A1">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5BA3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0E0D7E8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场站内网、发车屏网络线路</w:t>
            </w:r>
          </w:p>
        </w:tc>
        <w:tc>
          <w:tcPr>
            <w:tcW w:w="1275" w:type="dxa"/>
            <w:vAlign w:val="center"/>
          </w:tcPr>
          <w:p w14:paraId="4D70125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业务内网</w:t>
            </w:r>
          </w:p>
        </w:tc>
        <w:tc>
          <w:tcPr>
            <w:tcW w:w="1276" w:type="dxa"/>
            <w:vAlign w:val="center"/>
          </w:tcPr>
          <w:p w14:paraId="5DF2C71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VPN专线100M</w:t>
            </w:r>
          </w:p>
        </w:tc>
        <w:tc>
          <w:tcPr>
            <w:tcW w:w="954" w:type="dxa"/>
            <w:vAlign w:val="center"/>
          </w:tcPr>
          <w:p w14:paraId="020862A1">
            <w:pPr>
              <w:widowControl/>
              <w:shd w:val="clear"/>
              <w:jc w:val="center"/>
              <w:rPr>
                <w:color w:val="auto"/>
                <w:highlight w:val="none"/>
              </w:rPr>
            </w:pPr>
            <w:r>
              <w:rPr>
                <w:rFonts w:hint="eastAsia" w:ascii="仿宋" w:hAnsi="仿宋" w:eastAsia="仿宋" w:cs="仿宋"/>
                <w:color w:val="auto"/>
                <w:kern w:val="0"/>
                <w:sz w:val="24"/>
                <w:szCs w:val="28"/>
                <w:highlight w:val="none"/>
              </w:rPr>
              <w:t>17条</w:t>
            </w:r>
          </w:p>
        </w:tc>
        <w:tc>
          <w:tcPr>
            <w:tcW w:w="1439" w:type="dxa"/>
            <w:vAlign w:val="center"/>
          </w:tcPr>
          <w:p w14:paraId="4C8A933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2096" w:type="dxa"/>
            <w:vAlign w:val="center"/>
          </w:tcPr>
          <w:p w14:paraId="049ABD88">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0DBF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6C82BEF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停保场内网、城南总机房网络线路</w:t>
            </w:r>
          </w:p>
        </w:tc>
        <w:tc>
          <w:tcPr>
            <w:tcW w:w="1275" w:type="dxa"/>
            <w:vAlign w:val="center"/>
          </w:tcPr>
          <w:p w14:paraId="1B33982F">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276" w:type="dxa"/>
            <w:vAlign w:val="center"/>
          </w:tcPr>
          <w:p w14:paraId="67B3687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VPN专线1000M</w:t>
            </w:r>
          </w:p>
        </w:tc>
        <w:tc>
          <w:tcPr>
            <w:tcW w:w="954" w:type="dxa"/>
            <w:vAlign w:val="center"/>
          </w:tcPr>
          <w:p w14:paraId="23DCB244">
            <w:pPr>
              <w:widowControl/>
              <w:shd w:val="clear"/>
              <w:jc w:val="center"/>
              <w:rPr>
                <w:color w:val="auto"/>
                <w:highlight w:val="none"/>
              </w:rPr>
            </w:pPr>
            <w:r>
              <w:rPr>
                <w:rFonts w:hint="eastAsia" w:ascii="仿宋" w:hAnsi="仿宋" w:eastAsia="仿宋" w:cs="仿宋"/>
                <w:color w:val="auto"/>
                <w:kern w:val="0"/>
                <w:sz w:val="24"/>
                <w:szCs w:val="28"/>
                <w:highlight w:val="none"/>
              </w:rPr>
              <w:t>7条</w:t>
            </w:r>
          </w:p>
        </w:tc>
        <w:tc>
          <w:tcPr>
            <w:tcW w:w="1439" w:type="dxa"/>
            <w:vAlign w:val="center"/>
          </w:tcPr>
          <w:p w14:paraId="48F35E1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2096" w:type="dxa"/>
            <w:vAlign w:val="center"/>
          </w:tcPr>
          <w:p w14:paraId="06F7611C">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78D2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5BD0BBD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城南总机房内网线路</w:t>
            </w:r>
          </w:p>
        </w:tc>
        <w:tc>
          <w:tcPr>
            <w:tcW w:w="1275" w:type="dxa"/>
            <w:vAlign w:val="center"/>
          </w:tcPr>
          <w:p w14:paraId="2FDD770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业务内网</w:t>
            </w:r>
          </w:p>
        </w:tc>
        <w:tc>
          <w:tcPr>
            <w:tcW w:w="1276" w:type="dxa"/>
            <w:vAlign w:val="center"/>
          </w:tcPr>
          <w:p w14:paraId="4705146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VPN专线2000M</w:t>
            </w:r>
          </w:p>
        </w:tc>
        <w:tc>
          <w:tcPr>
            <w:tcW w:w="954" w:type="dxa"/>
            <w:vAlign w:val="center"/>
          </w:tcPr>
          <w:p w14:paraId="32DE50FC">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439" w:type="dxa"/>
            <w:vAlign w:val="center"/>
          </w:tcPr>
          <w:p w14:paraId="63DCCCE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2096" w:type="dxa"/>
            <w:vAlign w:val="center"/>
          </w:tcPr>
          <w:p w14:paraId="3DD11405">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09F0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364B297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城南总机房内网线路</w:t>
            </w:r>
          </w:p>
        </w:tc>
        <w:tc>
          <w:tcPr>
            <w:tcW w:w="1275" w:type="dxa"/>
            <w:vAlign w:val="center"/>
          </w:tcPr>
          <w:p w14:paraId="3AA8F77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业务内网</w:t>
            </w:r>
          </w:p>
        </w:tc>
        <w:tc>
          <w:tcPr>
            <w:tcW w:w="1276" w:type="dxa"/>
            <w:vAlign w:val="center"/>
          </w:tcPr>
          <w:p w14:paraId="17AC999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VPN专线3000M</w:t>
            </w:r>
          </w:p>
        </w:tc>
        <w:tc>
          <w:tcPr>
            <w:tcW w:w="954" w:type="dxa"/>
            <w:vAlign w:val="center"/>
          </w:tcPr>
          <w:p w14:paraId="2AD86F2D">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439" w:type="dxa"/>
            <w:vAlign w:val="center"/>
          </w:tcPr>
          <w:p w14:paraId="6F899F6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2096" w:type="dxa"/>
            <w:vAlign w:val="center"/>
          </w:tcPr>
          <w:p w14:paraId="730F7827">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394D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1F5B434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短信平台</w:t>
            </w:r>
          </w:p>
        </w:tc>
        <w:tc>
          <w:tcPr>
            <w:tcW w:w="1275" w:type="dxa"/>
            <w:vAlign w:val="center"/>
          </w:tcPr>
          <w:p w14:paraId="7F57FC6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发送短信</w:t>
            </w:r>
          </w:p>
        </w:tc>
        <w:tc>
          <w:tcPr>
            <w:tcW w:w="1276" w:type="dxa"/>
            <w:vAlign w:val="center"/>
          </w:tcPr>
          <w:p w14:paraId="05CF85E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54000条/月</w:t>
            </w:r>
          </w:p>
        </w:tc>
        <w:tc>
          <w:tcPr>
            <w:tcW w:w="954" w:type="dxa"/>
            <w:vAlign w:val="center"/>
          </w:tcPr>
          <w:p w14:paraId="6F2D0DD7">
            <w:pPr>
              <w:widowControl/>
              <w:shd w:val="clear"/>
              <w:jc w:val="center"/>
              <w:rPr>
                <w:color w:val="auto"/>
                <w:highlight w:val="none"/>
              </w:rPr>
            </w:pPr>
            <w:r>
              <w:rPr>
                <w:rFonts w:hint="eastAsia" w:ascii="仿宋" w:hAnsi="仿宋" w:eastAsia="仿宋" w:cs="仿宋"/>
                <w:color w:val="auto"/>
                <w:kern w:val="0"/>
                <w:sz w:val="24"/>
                <w:szCs w:val="28"/>
                <w:highlight w:val="none"/>
              </w:rPr>
              <w:t>54000条/月</w:t>
            </w:r>
          </w:p>
        </w:tc>
        <w:tc>
          <w:tcPr>
            <w:tcW w:w="1439" w:type="dxa"/>
            <w:vAlign w:val="center"/>
          </w:tcPr>
          <w:p w14:paraId="172FBB6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w:t>
            </w:r>
          </w:p>
        </w:tc>
        <w:tc>
          <w:tcPr>
            <w:tcW w:w="2096" w:type="dxa"/>
            <w:vAlign w:val="center"/>
          </w:tcPr>
          <w:p w14:paraId="306718E0">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677C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64BA309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1275" w:type="dxa"/>
            <w:vAlign w:val="center"/>
          </w:tcPr>
          <w:p w14:paraId="6A62099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1276" w:type="dxa"/>
            <w:vAlign w:val="center"/>
          </w:tcPr>
          <w:p w14:paraId="217A9C1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954" w:type="dxa"/>
            <w:vAlign w:val="center"/>
          </w:tcPr>
          <w:p w14:paraId="21D2403A">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439" w:type="dxa"/>
            <w:vAlign w:val="center"/>
          </w:tcPr>
          <w:p w14:paraId="74B4863F">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2096" w:type="dxa"/>
            <w:vAlign w:val="center"/>
          </w:tcPr>
          <w:p w14:paraId="5ABE20E3">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29BD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555" w:type="dxa"/>
            <w:vAlign w:val="center"/>
          </w:tcPr>
          <w:p w14:paraId="7964217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b/>
                <w:bCs/>
                <w:color w:val="auto"/>
                <w:sz w:val="24"/>
                <w:szCs w:val="24"/>
                <w:highlight w:val="none"/>
                <w:lang w:eastAsia="zh-CN"/>
              </w:rPr>
              <w:t>合计</w:t>
            </w:r>
          </w:p>
        </w:tc>
        <w:tc>
          <w:tcPr>
            <w:tcW w:w="7040" w:type="dxa"/>
            <w:gridSpan w:val="5"/>
            <w:vAlign w:val="center"/>
          </w:tcPr>
          <w:p w14:paraId="19A68019">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color w:val="auto"/>
                <w:kern w:val="0"/>
                <w:sz w:val="24"/>
                <w:szCs w:val="24"/>
                <w:highlight w:val="none"/>
              </w:rPr>
              <w:t>万元</w:t>
            </w:r>
          </w:p>
        </w:tc>
      </w:tr>
    </w:tbl>
    <w:p w14:paraId="559BB189">
      <w:pPr>
        <w:shd w:val="clea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序号6：绍兴市公共交通集团第二有限公司网络线路</w:t>
      </w:r>
    </w:p>
    <w:tbl>
      <w:tblPr>
        <w:tblStyle w:val="62"/>
        <w:tblW w:w="8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75"/>
        <w:gridCol w:w="1276"/>
        <w:gridCol w:w="789"/>
        <w:gridCol w:w="1933"/>
        <w:gridCol w:w="1740"/>
      </w:tblGrid>
      <w:tr w14:paraId="646B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55" w:type="dxa"/>
            <w:vAlign w:val="center"/>
          </w:tcPr>
          <w:p w14:paraId="7A59CB93">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1275" w:type="dxa"/>
            <w:vAlign w:val="center"/>
          </w:tcPr>
          <w:p w14:paraId="34E59D41">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1276" w:type="dxa"/>
            <w:vAlign w:val="center"/>
          </w:tcPr>
          <w:p w14:paraId="1602358D">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789" w:type="dxa"/>
            <w:vAlign w:val="center"/>
          </w:tcPr>
          <w:p w14:paraId="706DD719">
            <w:pPr>
              <w:widowControl/>
              <w:shd w:val="clear"/>
              <w:jc w:val="center"/>
              <w:rPr>
                <w:color w:val="auto"/>
                <w:highlight w:val="none"/>
              </w:rPr>
            </w:pPr>
            <w:r>
              <w:rPr>
                <w:rFonts w:hint="eastAsia" w:ascii="仿宋" w:hAnsi="仿宋" w:eastAsia="仿宋" w:cs="仿宋"/>
                <w:b/>
                <w:bCs/>
                <w:color w:val="auto"/>
                <w:kern w:val="0"/>
                <w:sz w:val="24"/>
                <w:szCs w:val="24"/>
                <w:highlight w:val="none"/>
              </w:rPr>
              <w:t>数量</w:t>
            </w:r>
          </w:p>
        </w:tc>
        <w:tc>
          <w:tcPr>
            <w:tcW w:w="1933" w:type="dxa"/>
            <w:vAlign w:val="center"/>
          </w:tcPr>
          <w:p w14:paraId="50B4B91D">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报价单价</w:t>
            </w:r>
          </w:p>
        </w:tc>
        <w:tc>
          <w:tcPr>
            <w:tcW w:w="1740" w:type="dxa"/>
            <w:vAlign w:val="center"/>
          </w:tcPr>
          <w:p w14:paraId="4232AAFD">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小计（三年）</w:t>
            </w:r>
          </w:p>
        </w:tc>
      </w:tr>
      <w:tr w14:paraId="7FEF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55" w:type="dxa"/>
            <w:vAlign w:val="center"/>
          </w:tcPr>
          <w:p w14:paraId="2F10EF4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场站内网专线</w:t>
            </w:r>
          </w:p>
        </w:tc>
        <w:tc>
          <w:tcPr>
            <w:tcW w:w="1275" w:type="dxa"/>
            <w:vAlign w:val="center"/>
          </w:tcPr>
          <w:p w14:paraId="181DF4C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276" w:type="dxa"/>
            <w:vAlign w:val="center"/>
          </w:tcPr>
          <w:p w14:paraId="683B698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VPN专线100M</w:t>
            </w:r>
          </w:p>
        </w:tc>
        <w:tc>
          <w:tcPr>
            <w:tcW w:w="789" w:type="dxa"/>
            <w:vAlign w:val="center"/>
          </w:tcPr>
          <w:p w14:paraId="267924C5">
            <w:pPr>
              <w:widowControl/>
              <w:shd w:val="clear"/>
              <w:jc w:val="center"/>
              <w:rPr>
                <w:color w:val="auto"/>
                <w:highlight w:val="none"/>
              </w:rPr>
            </w:pPr>
            <w:r>
              <w:rPr>
                <w:rFonts w:hint="eastAsia" w:ascii="仿宋" w:hAnsi="仿宋" w:eastAsia="仿宋" w:cs="仿宋"/>
                <w:color w:val="auto"/>
                <w:kern w:val="0"/>
                <w:sz w:val="24"/>
                <w:szCs w:val="28"/>
                <w:highlight w:val="none"/>
              </w:rPr>
              <w:t>28条</w:t>
            </w:r>
          </w:p>
        </w:tc>
        <w:tc>
          <w:tcPr>
            <w:tcW w:w="1933" w:type="dxa"/>
            <w:vAlign w:val="center"/>
          </w:tcPr>
          <w:p w14:paraId="64031C2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40" w:type="dxa"/>
            <w:vAlign w:val="center"/>
          </w:tcPr>
          <w:p w14:paraId="51A38C7D">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5571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55" w:type="dxa"/>
            <w:vAlign w:val="center"/>
          </w:tcPr>
          <w:p w14:paraId="7FF5E08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柯东公交站内网专线</w:t>
            </w:r>
          </w:p>
        </w:tc>
        <w:tc>
          <w:tcPr>
            <w:tcW w:w="1275" w:type="dxa"/>
            <w:vAlign w:val="center"/>
          </w:tcPr>
          <w:p w14:paraId="143F416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276" w:type="dxa"/>
            <w:vAlign w:val="center"/>
          </w:tcPr>
          <w:p w14:paraId="3BD567B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VPN专线500M</w:t>
            </w:r>
          </w:p>
        </w:tc>
        <w:tc>
          <w:tcPr>
            <w:tcW w:w="789" w:type="dxa"/>
            <w:vAlign w:val="center"/>
          </w:tcPr>
          <w:p w14:paraId="24B70DC0">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933" w:type="dxa"/>
            <w:vAlign w:val="center"/>
          </w:tcPr>
          <w:p w14:paraId="025122D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40" w:type="dxa"/>
            <w:vAlign w:val="center"/>
          </w:tcPr>
          <w:p w14:paraId="2B780DBA">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7219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55" w:type="dxa"/>
            <w:vAlign w:val="center"/>
          </w:tcPr>
          <w:p w14:paraId="4B5CF28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监控中心内网专线</w:t>
            </w:r>
          </w:p>
        </w:tc>
        <w:tc>
          <w:tcPr>
            <w:tcW w:w="1275" w:type="dxa"/>
            <w:vAlign w:val="center"/>
          </w:tcPr>
          <w:p w14:paraId="7EB53DE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276" w:type="dxa"/>
            <w:vAlign w:val="center"/>
          </w:tcPr>
          <w:p w14:paraId="71D2DB1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VPN专线1000M</w:t>
            </w:r>
          </w:p>
        </w:tc>
        <w:tc>
          <w:tcPr>
            <w:tcW w:w="789" w:type="dxa"/>
            <w:vAlign w:val="center"/>
          </w:tcPr>
          <w:p w14:paraId="5CF3C6E9">
            <w:pPr>
              <w:widowControl/>
              <w:shd w:val="clear"/>
              <w:jc w:val="center"/>
              <w:rPr>
                <w:color w:val="auto"/>
                <w:highlight w:val="none"/>
              </w:rPr>
            </w:pPr>
            <w:r>
              <w:rPr>
                <w:rFonts w:hint="eastAsia" w:ascii="仿宋" w:hAnsi="仿宋" w:eastAsia="仿宋" w:cs="仿宋"/>
                <w:color w:val="auto"/>
                <w:kern w:val="0"/>
                <w:sz w:val="24"/>
                <w:szCs w:val="28"/>
                <w:highlight w:val="none"/>
              </w:rPr>
              <w:t>2条</w:t>
            </w:r>
          </w:p>
        </w:tc>
        <w:tc>
          <w:tcPr>
            <w:tcW w:w="1933" w:type="dxa"/>
            <w:vAlign w:val="center"/>
          </w:tcPr>
          <w:p w14:paraId="45A6459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40" w:type="dxa"/>
            <w:vAlign w:val="center"/>
          </w:tcPr>
          <w:p w14:paraId="580CE0B5">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027C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55" w:type="dxa"/>
            <w:vAlign w:val="center"/>
          </w:tcPr>
          <w:p w14:paraId="6E11AAA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监控中心机房互联网线路</w:t>
            </w:r>
          </w:p>
        </w:tc>
        <w:tc>
          <w:tcPr>
            <w:tcW w:w="1275" w:type="dxa"/>
            <w:vAlign w:val="center"/>
          </w:tcPr>
          <w:p w14:paraId="258A58B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276" w:type="dxa"/>
            <w:vAlign w:val="center"/>
          </w:tcPr>
          <w:p w14:paraId="75B60CC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200M（包含5个可用IP地址）</w:t>
            </w:r>
          </w:p>
        </w:tc>
        <w:tc>
          <w:tcPr>
            <w:tcW w:w="789" w:type="dxa"/>
            <w:vAlign w:val="center"/>
          </w:tcPr>
          <w:p w14:paraId="3C9F437D">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933" w:type="dxa"/>
            <w:vAlign w:val="center"/>
          </w:tcPr>
          <w:p w14:paraId="78DA5B2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40" w:type="dxa"/>
            <w:vAlign w:val="center"/>
          </w:tcPr>
          <w:p w14:paraId="6B13A026">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1F8B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55" w:type="dxa"/>
            <w:vAlign w:val="center"/>
          </w:tcPr>
          <w:p w14:paraId="614BE28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场站互联网线路</w:t>
            </w:r>
          </w:p>
        </w:tc>
        <w:tc>
          <w:tcPr>
            <w:tcW w:w="1275" w:type="dxa"/>
            <w:vAlign w:val="center"/>
          </w:tcPr>
          <w:p w14:paraId="2CB48D1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276" w:type="dxa"/>
            <w:vAlign w:val="center"/>
          </w:tcPr>
          <w:p w14:paraId="171CF21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1000M（公众版融合宽带）</w:t>
            </w:r>
          </w:p>
        </w:tc>
        <w:tc>
          <w:tcPr>
            <w:tcW w:w="789" w:type="dxa"/>
            <w:vAlign w:val="center"/>
          </w:tcPr>
          <w:p w14:paraId="7A8D4BA4">
            <w:pPr>
              <w:widowControl/>
              <w:shd w:val="clear"/>
              <w:jc w:val="center"/>
              <w:rPr>
                <w:color w:val="auto"/>
                <w:highlight w:val="none"/>
              </w:rPr>
            </w:pPr>
            <w:r>
              <w:rPr>
                <w:rFonts w:hint="eastAsia" w:ascii="仿宋" w:hAnsi="仿宋" w:eastAsia="仿宋" w:cs="仿宋"/>
                <w:color w:val="auto"/>
                <w:kern w:val="0"/>
                <w:sz w:val="24"/>
                <w:szCs w:val="28"/>
                <w:highlight w:val="none"/>
              </w:rPr>
              <w:t>19条</w:t>
            </w:r>
          </w:p>
        </w:tc>
        <w:tc>
          <w:tcPr>
            <w:tcW w:w="1933" w:type="dxa"/>
            <w:vAlign w:val="center"/>
          </w:tcPr>
          <w:p w14:paraId="66BAE98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40" w:type="dxa"/>
            <w:vAlign w:val="center"/>
          </w:tcPr>
          <w:p w14:paraId="6866DBCF">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2FFD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55" w:type="dxa"/>
            <w:vAlign w:val="center"/>
          </w:tcPr>
          <w:p w14:paraId="64BF313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1275" w:type="dxa"/>
            <w:vAlign w:val="center"/>
          </w:tcPr>
          <w:p w14:paraId="3007268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1276" w:type="dxa"/>
            <w:vAlign w:val="center"/>
          </w:tcPr>
          <w:p w14:paraId="6E82446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789" w:type="dxa"/>
            <w:vAlign w:val="center"/>
          </w:tcPr>
          <w:p w14:paraId="342B4607">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933" w:type="dxa"/>
            <w:vAlign w:val="center"/>
          </w:tcPr>
          <w:p w14:paraId="3EE09D4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40" w:type="dxa"/>
            <w:vAlign w:val="center"/>
          </w:tcPr>
          <w:p w14:paraId="52C2689B">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5623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555" w:type="dxa"/>
            <w:vAlign w:val="center"/>
          </w:tcPr>
          <w:p w14:paraId="6908ABB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b/>
                <w:bCs/>
                <w:color w:val="auto"/>
                <w:sz w:val="24"/>
                <w:szCs w:val="24"/>
                <w:highlight w:val="none"/>
                <w:lang w:eastAsia="zh-CN"/>
              </w:rPr>
              <w:t>合计</w:t>
            </w:r>
          </w:p>
        </w:tc>
        <w:tc>
          <w:tcPr>
            <w:tcW w:w="7013" w:type="dxa"/>
            <w:gridSpan w:val="5"/>
            <w:vAlign w:val="center"/>
          </w:tcPr>
          <w:p w14:paraId="28EF92FA">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color w:val="auto"/>
                <w:kern w:val="0"/>
                <w:sz w:val="24"/>
                <w:szCs w:val="24"/>
                <w:highlight w:val="none"/>
              </w:rPr>
              <w:t>万元</w:t>
            </w:r>
          </w:p>
        </w:tc>
      </w:tr>
    </w:tbl>
    <w:p w14:paraId="22E5776A">
      <w:pPr>
        <w:shd w:val="clea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序号7：</w:t>
      </w:r>
      <w:r>
        <w:rPr>
          <w:rFonts w:hint="eastAsia" w:ascii="仿宋" w:hAnsi="仿宋" w:eastAsia="仿宋" w:cs="仿宋"/>
          <w:b/>
          <w:bCs/>
          <w:color w:val="auto"/>
          <w:sz w:val="24"/>
          <w:szCs w:val="24"/>
          <w:highlight w:val="none"/>
        </w:rPr>
        <w:t>绍兴市公共交通集团第三有限公司</w:t>
      </w:r>
      <w:r>
        <w:rPr>
          <w:rFonts w:hint="eastAsia" w:ascii="仿宋" w:hAnsi="仿宋" w:eastAsia="仿宋" w:cs="仿宋"/>
          <w:b/>
          <w:color w:val="auto"/>
          <w:sz w:val="24"/>
          <w:szCs w:val="24"/>
          <w:highlight w:val="none"/>
        </w:rPr>
        <w:t>网络线路</w:t>
      </w:r>
    </w:p>
    <w:tbl>
      <w:tblPr>
        <w:tblStyle w:val="62"/>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1275"/>
        <w:gridCol w:w="931"/>
        <w:gridCol w:w="1920"/>
        <w:gridCol w:w="1711"/>
      </w:tblGrid>
      <w:tr w14:paraId="4B9A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13" w:type="dxa"/>
            <w:vAlign w:val="center"/>
          </w:tcPr>
          <w:p w14:paraId="644F9726">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1276" w:type="dxa"/>
            <w:vAlign w:val="center"/>
          </w:tcPr>
          <w:p w14:paraId="4298E54A">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1275" w:type="dxa"/>
            <w:vAlign w:val="center"/>
          </w:tcPr>
          <w:p w14:paraId="7BC52197">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931" w:type="dxa"/>
            <w:vAlign w:val="center"/>
          </w:tcPr>
          <w:p w14:paraId="36362556">
            <w:pPr>
              <w:widowControl/>
              <w:shd w:val="clear"/>
              <w:jc w:val="center"/>
              <w:rPr>
                <w:color w:val="auto"/>
                <w:highlight w:val="none"/>
              </w:rPr>
            </w:pPr>
            <w:r>
              <w:rPr>
                <w:rFonts w:hint="eastAsia" w:ascii="仿宋" w:hAnsi="仿宋" w:eastAsia="仿宋" w:cs="仿宋"/>
                <w:b/>
                <w:bCs/>
                <w:color w:val="auto"/>
                <w:kern w:val="0"/>
                <w:sz w:val="24"/>
                <w:szCs w:val="24"/>
                <w:highlight w:val="none"/>
              </w:rPr>
              <w:t>数量</w:t>
            </w:r>
          </w:p>
        </w:tc>
        <w:tc>
          <w:tcPr>
            <w:tcW w:w="1920" w:type="dxa"/>
            <w:vAlign w:val="center"/>
          </w:tcPr>
          <w:p w14:paraId="10C93512">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报价单价</w:t>
            </w:r>
          </w:p>
        </w:tc>
        <w:tc>
          <w:tcPr>
            <w:tcW w:w="1711" w:type="dxa"/>
            <w:vAlign w:val="center"/>
          </w:tcPr>
          <w:p w14:paraId="1F20BA8E">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小计（三年）</w:t>
            </w:r>
          </w:p>
        </w:tc>
      </w:tr>
      <w:tr w14:paraId="1497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413" w:type="dxa"/>
            <w:vAlign w:val="center"/>
          </w:tcPr>
          <w:p w14:paraId="2210BD9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客运中心、上虞东站互联网光纤</w:t>
            </w:r>
          </w:p>
        </w:tc>
        <w:tc>
          <w:tcPr>
            <w:tcW w:w="1276" w:type="dxa"/>
            <w:vAlign w:val="center"/>
          </w:tcPr>
          <w:p w14:paraId="4980F5C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275" w:type="dxa"/>
            <w:vAlign w:val="center"/>
          </w:tcPr>
          <w:p w14:paraId="2A97977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100M（每条线路包含1个可用固定IP地址）</w:t>
            </w:r>
          </w:p>
        </w:tc>
        <w:tc>
          <w:tcPr>
            <w:tcW w:w="931" w:type="dxa"/>
            <w:vAlign w:val="center"/>
          </w:tcPr>
          <w:p w14:paraId="63A36304">
            <w:pPr>
              <w:widowControl/>
              <w:shd w:val="clear"/>
              <w:jc w:val="center"/>
              <w:rPr>
                <w:color w:val="auto"/>
                <w:highlight w:val="none"/>
              </w:rPr>
            </w:pPr>
            <w:r>
              <w:rPr>
                <w:rFonts w:hint="eastAsia" w:ascii="仿宋" w:hAnsi="仿宋" w:eastAsia="仿宋" w:cs="仿宋"/>
                <w:color w:val="auto"/>
                <w:kern w:val="0"/>
                <w:sz w:val="24"/>
                <w:szCs w:val="28"/>
                <w:highlight w:val="none"/>
              </w:rPr>
              <w:t>2条</w:t>
            </w:r>
          </w:p>
        </w:tc>
        <w:tc>
          <w:tcPr>
            <w:tcW w:w="1920" w:type="dxa"/>
            <w:vAlign w:val="center"/>
          </w:tcPr>
          <w:p w14:paraId="1D945B9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11" w:type="dxa"/>
            <w:vAlign w:val="center"/>
          </w:tcPr>
          <w:p w14:paraId="279CE266">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08A2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13" w:type="dxa"/>
            <w:vAlign w:val="center"/>
          </w:tcPr>
          <w:p w14:paraId="0519F03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公交内网线路</w:t>
            </w:r>
          </w:p>
        </w:tc>
        <w:tc>
          <w:tcPr>
            <w:tcW w:w="1276" w:type="dxa"/>
            <w:vAlign w:val="center"/>
          </w:tcPr>
          <w:p w14:paraId="7E788E3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275" w:type="dxa"/>
            <w:vAlign w:val="center"/>
          </w:tcPr>
          <w:p w14:paraId="3D34158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VPN专线100M</w:t>
            </w:r>
          </w:p>
        </w:tc>
        <w:tc>
          <w:tcPr>
            <w:tcW w:w="931" w:type="dxa"/>
            <w:vAlign w:val="center"/>
          </w:tcPr>
          <w:p w14:paraId="1D291177">
            <w:pPr>
              <w:widowControl/>
              <w:shd w:val="clear"/>
              <w:jc w:val="center"/>
              <w:rPr>
                <w:color w:val="auto"/>
                <w:highlight w:val="none"/>
              </w:rPr>
            </w:pPr>
            <w:r>
              <w:rPr>
                <w:rFonts w:hint="eastAsia" w:ascii="仿宋" w:hAnsi="仿宋" w:eastAsia="仿宋" w:cs="仿宋"/>
                <w:color w:val="auto"/>
                <w:kern w:val="0"/>
                <w:sz w:val="24"/>
                <w:szCs w:val="28"/>
                <w:highlight w:val="none"/>
              </w:rPr>
              <w:t>2条</w:t>
            </w:r>
          </w:p>
        </w:tc>
        <w:tc>
          <w:tcPr>
            <w:tcW w:w="1920" w:type="dxa"/>
            <w:vAlign w:val="center"/>
          </w:tcPr>
          <w:p w14:paraId="695B9B0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11" w:type="dxa"/>
            <w:vAlign w:val="center"/>
          </w:tcPr>
          <w:p w14:paraId="25FB89A8">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4594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13" w:type="dxa"/>
            <w:vAlign w:val="center"/>
          </w:tcPr>
          <w:p w14:paraId="2CCE4F5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公交内网线路</w:t>
            </w:r>
          </w:p>
        </w:tc>
        <w:tc>
          <w:tcPr>
            <w:tcW w:w="1276" w:type="dxa"/>
            <w:vAlign w:val="center"/>
          </w:tcPr>
          <w:p w14:paraId="4C456E2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275" w:type="dxa"/>
            <w:vAlign w:val="center"/>
          </w:tcPr>
          <w:p w14:paraId="21D63EA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VPN专线20M（定制）</w:t>
            </w:r>
          </w:p>
        </w:tc>
        <w:tc>
          <w:tcPr>
            <w:tcW w:w="931" w:type="dxa"/>
            <w:vAlign w:val="center"/>
          </w:tcPr>
          <w:p w14:paraId="43B31933">
            <w:pPr>
              <w:widowControl/>
              <w:shd w:val="clear"/>
              <w:jc w:val="center"/>
              <w:rPr>
                <w:color w:val="auto"/>
                <w:highlight w:val="none"/>
              </w:rPr>
            </w:pPr>
            <w:r>
              <w:rPr>
                <w:rFonts w:hint="eastAsia" w:ascii="仿宋" w:hAnsi="仿宋" w:eastAsia="仿宋" w:cs="仿宋"/>
                <w:color w:val="auto"/>
                <w:kern w:val="0"/>
                <w:sz w:val="24"/>
                <w:szCs w:val="28"/>
                <w:highlight w:val="none"/>
              </w:rPr>
              <w:t>14条</w:t>
            </w:r>
          </w:p>
        </w:tc>
        <w:tc>
          <w:tcPr>
            <w:tcW w:w="1920" w:type="dxa"/>
            <w:vAlign w:val="center"/>
          </w:tcPr>
          <w:p w14:paraId="2999CC4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11" w:type="dxa"/>
            <w:vAlign w:val="center"/>
          </w:tcPr>
          <w:p w14:paraId="2E11C95E">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2903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13" w:type="dxa"/>
            <w:vAlign w:val="center"/>
          </w:tcPr>
          <w:p w14:paraId="2B16D84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电子站牌专网</w:t>
            </w:r>
          </w:p>
        </w:tc>
        <w:tc>
          <w:tcPr>
            <w:tcW w:w="1276" w:type="dxa"/>
            <w:vAlign w:val="center"/>
          </w:tcPr>
          <w:p w14:paraId="0974A2C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电子站牌专网</w:t>
            </w:r>
          </w:p>
        </w:tc>
        <w:tc>
          <w:tcPr>
            <w:tcW w:w="1275" w:type="dxa"/>
            <w:vAlign w:val="center"/>
          </w:tcPr>
          <w:p w14:paraId="08A673B1">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VPN专线20M</w:t>
            </w:r>
          </w:p>
        </w:tc>
        <w:tc>
          <w:tcPr>
            <w:tcW w:w="931" w:type="dxa"/>
            <w:vAlign w:val="center"/>
          </w:tcPr>
          <w:p w14:paraId="0D66875E">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920" w:type="dxa"/>
            <w:vAlign w:val="center"/>
          </w:tcPr>
          <w:p w14:paraId="084034D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11" w:type="dxa"/>
            <w:vAlign w:val="center"/>
          </w:tcPr>
          <w:p w14:paraId="26201501">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697E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13" w:type="dxa"/>
            <w:vAlign w:val="center"/>
          </w:tcPr>
          <w:p w14:paraId="419E9A4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场站互联网线路（公众版融合宽带）</w:t>
            </w:r>
          </w:p>
        </w:tc>
        <w:tc>
          <w:tcPr>
            <w:tcW w:w="1276" w:type="dxa"/>
            <w:vAlign w:val="center"/>
          </w:tcPr>
          <w:p w14:paraId="107A753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275" w:type="dxa"/>
            <w:vAlign w:val="center"/>
          </w:tcPr>
          <w:p w14:paraId="6835EF2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w:t>
            </w:r>
          </w:p>
        </w:tc>
        <w:tc>
          <w:tcPr>
            <w:tcW w:w="931" w:type="dxa"/>
            <w:vAlign w:val="center"/>
          </w:tcPr>
          <w:p w14:paraId="13D5FFA0">
            <w:pPr>
              <w:widowControl/>
              <w:shd w:val="clear"/>
              <w:jc w:val="center"/>
              <w:rPr>
                <w:color w:val="auto"/>
                <w:highlight w:val="none"/>
              </w:rPr>
            </w:pPr>
            <w:r>
              <w:rPr>
                <w:rFonts w:hint="eastAsia" w:ascii="仿宋" w:hAnsi="仿宋" w:eastAsia="仿宋" w:cs="仿宋"/>
                <w:color w:val="auto"/>
                <w:kern w:val="0"/>
                <w:sz w:val="24"/>
                <w:szCs w:val="28"/>
                <w:highlight w:val="none"/>
              </w:rPr>
              <w:t>2条</w:t>
            </w:r>
          </w:p>
        </w:tc>
        <w:tc>
          <w:tcPr>
            <w:tcW w:w="1920" w:type="dxa"/>
            <w:vAlign w:val="center"/>
          </w:tcPr>
          <w:p w14:paraId="2B0F0AE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11" w:type="dxa"/>
            <w:vAlign w:val="center"/>
          </w:tcPr>
          <w:p w14:paraId="7DBBF8A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万元</w:t>
            </w:r>
          </w:p>
        </w:tc>
      </w:tr>
      <w:tr w14:paraId="4345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13" w:type="dxa"/>
            <w:vAlign w:val="center"/>
          </w:tcPr>
          <w:p w14:paraId="56A18C9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政务专线</w:t>
            </w:r>
          </w:p>
        </w:tc>
        <w:tc>
          <w:tcPr>
            <w:tcW w:w="1276" w:type="dxa"/>
            <w:vAlign w:val="center"/>
          </w:tcPr>
          <w:p w14:paraId="380998D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接入区政府专网</w:t>
            </w:r>
          </w:p>
        </w:tc>
        <w:tc>
          <w:tcPr>
            <w:tcW w:w="1275" w:type="dxa"/>
            <w:vAlign w:val="center"/>
          </w:tcPr>
          <w:p w14:paraId="24221E0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20M</w:t>
            </w:r>
          </w:p>
        </w:tc>
        <w:tc>
          <w:tcPr>
            <w:tcW w:w="931" w:type="dxa"/>
            <w:vAlign w:val="center"/>
          </w:tcPr>
          <w:p w14:paraId="7CFBA03F">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920" w:type="dxa"/>
            <w:vAlign w:val="center"/>
          </w:tcPr>
          <w:p w14:paraId="54C68C8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11" w:type="dxa"/>
            <w:vAlign w:val="center"/>
          </w:tcPr>
          <w:p w14:paraId="54311C26">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7027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13" w:type="dxa"/>
            <w:vAlign w:val="center"/>
          </w:tcPr>
          <w:p w14:paraId="52759AA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1276" w:type="dxa"/>
            <w:vAlign w:val="center"/>
          </w:tcPr>
          <w:p w14:paraId="517FBD8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1275" w:type="dxa"/>
            <w:vAlign w:val="center"/>
          </w:tcPr>
          <w:p w14:paraId="0CFD6EB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931" w:type="dxa"/>
            <w:vAlign w:val="center"/>
          </w:tcPr>
          <w:p w14:paraId="1180B9F1">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920" w:type="dxa"/>
            <w:vAlign w:val="center"/>
          </w:tcPr>
          <w:p w14:paraId="6E2E262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11" w:type="dxa"/>
            <w:vAlign w:val="center"/>
          </w:tcPr>
          <w:p w14:paraId="7016A67D">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29E2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13" w:type="dxa"/>
            <w:vAlign w:val="center"/>
          </w:tcPr>
          <w:p w14:paraId="78B53B5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b/>
                <w:bCs/>
                <w:color w:val="auto"/>
                <w:sz w:val="24"/>
                <w:szCs w:val="24"/>
                <w:highlight w:val="none"/>
                <w:lang w:eastAsia="zh-CN"/>
              </w:rPr>
              <w:t>合计</w:t>
            </w:r>
          </w:p>
        </w:tc>
        <w:tc>
          <w:tcPr>
            <w:tcW w:w="7113" w:type="dxa"/>
            <w:gridSpan w:val="5"/>
            <w:vAlign w:val="center"/>
          </w:tcPr>
          <w:p w14:paraId="3AF5FB64">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color w:val="auto"/>
                <w:kern w:val="0"/>
                <w:sz w:val="24"/>
                <w:szCs w:val="24"/>
                <w:highlight w:val="none"/>
              </w:rPr>
              <w:t>万元</w:t>
            </w:r>
          </w:p>
        </w:tc>
      </w:tr>
    </w:tbl>
    <w:p w14:paraId="3626953F">
      <w:pPr>
        <w:shd w:val="clea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序号8：绍兴市越风汽车修理有限责任公司网络线路</w:t>
      </w:r>
    </w:p>
    <w:tbl>
      <w:tblPr>
        <w:tblStyle w:val="62"/>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134"/>
        <w:gridCol w:w="1275"/>
        <w:gridCol w:w="851"/>
        <w:gridCol w:w="1695"/>
        <w:gridCol w:w="1696"/>
      </w:tblGrid>
      <w:tr w14:paraId="0A61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22" w:type="dxa"/>
            <w:vAlign w:val="center"/>
          </w:tcPr>
          <w:p w14:paraId="5A178650">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1134" w:type="dxa"/>
            <w:vAlign w:val="center"/>
          </w:tcPr>
          <w:p w14:paraId="529CB68A">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1275" w:type="dxa"/>
            <w:vAlign w:val="center"/>
          </w:tcPr>
          <w:p w14:paraId="6DEFBBF2">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851" w:type="dxa"/>
            <w:vAlign w:val="center"/>
          </w:tcPr>
          <w:p w14:paraId="7B484578">
            <w:pPr>
              <w:widowControl/>
              <w:shd w:val="clear"/>
              <w:jc w:val="center"/>
              <w:rPr>
                <w:color w:val="auto"/>
                <w:highlight w:val="none"/>
              </w:rPr>
            </w:pPr>
            <w:r>
              <w:rPr>
                <w:rFonts w:hint="eastAsia" w:ascii="仿宋" w:hAnsi="仿宋" w:eastAsia="仿宋" w:cs="仿宋"/>
                <w:b/>
                <w:bCs/>
                <w:color w:val="auto"/>
                <w:kern w:val="0"/>
                <w:sz w:val="24"/>
                <w:szCs w:val="24"/>
                <w:highlight w:val="none"/>
              </w:rPr>
              <w:t>数量</w:t>
            </w:r>
          </w:p>
        </w:tc>
        <w:tc>
          <w:tcPr>
            <w:tcW w:w="1695" w:type="dxa"/>
            <w:vAlign w:val="center"/>
          </w:tcPr>
          <w:p w14:paraId="18A3DA57">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报价单价</w:t>
            </w:r>
          </w:p>
        </w:tc>
        <w:tc>
          <w:tcPr>
            <w:tcW w:w="1696" w:type="dxa"/>
            <w:vAlign w:val="center"/>
          </w:tcPr>
          <w:p w14:paraId="20CFF9E7">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小计（三年）</w:t>
            </w:r>
          </w:p>
        </w:tc>
      </w:tr>
      <w:tr w14:paraId="34F2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122" w:type="dxa"/>
            <w:vAlign w:val="center"/>
          </w:tcPr>
          <w:p w14:paraId="5F8D8B6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越风本级、后墅车间、后诸车间、售后服务中心等</w:t>
            </w:r>
          </w:p>
        </w:tc>
        <w:tc>
          <w:tcPr>
            <w:tcW w:w="1134" w:type="dxa"/>
            <w:vAlign w:val="center"/>
          </w:tcPr>
          <w:p w14:paraId="1025A6C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275" w:type="dxa"/>
            <w:vAlign w:val="center"/>
          </w:tcPr>
          <w:p w14:paraId="4ABC2B0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1000M（公众版融合宽带）</w:t>
            </w:r>
          </w:p>
        </w:tc>
        <w:tc>
          <w:tcPr>
            <w:tcW w:w="851" w:type="dxa"/>
            <w:vAlign w:val="center"/>
          </w:tcPr>
          <w:p w14:paraId="3D2C4F4C">
            <w:pPr>
              <w:widowControl/>
              <w:shd w:val="clear"/>
              <w:jc w:val="center"/>
              <w:rPr>
                <w:color w:val="auto"/>
                <w:highlight w:val="none"/>
              </w:rPr>
            </w:pPr>
            <w:r>
              <w:rPr>
                <w:rFonts w:hint="eastAsia" w:ascii="仿宋" w:hAnsi="仿宋" w:eastAsia="仿宋" w:cs="仿宋"/>
                <w:color w:val="auto"/>
                <w:kern w:val="0"/>
                <w:sz w:val="24"/>
                <w:szCs w:val="28"/>
                <w:highlight w:val="none"/>
              </w:rPr>
              <w:t>7条</w:t>
            </w:r>
          </w:p>
        </w:tc>
        <w:tc>
          <w:tcPr>
            <w:tcW w:w="1695" w:type="dxa"/>
            <w:vAlign w:val="center"/>
          </w:tcPr>
          <w:p w14:paraId="35D4CA0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696" w:type="dxa"/>
            <w:vAlign w:val="center"/>
          </w:tcPr>
          <w:p w14:paraId="0737459D">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44BD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22" w:type="dxa"/>
            <w:vAlign w:val="center"/>
          </w:tcPr>
          <w:p w14:paraId="11CF98A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1134" w:type="dxa"/>
            <w:vAlign w:val="center"/>
          </w:tcPr>
          <w:p w14:paraId="5ECF343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1275" w:type="dxa"/>
            <w:vAlign w:val="center"/>
          </w:tcPr>
          <w:p w14:paraId="34CEA4E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100M（拨号模式）</w:t>
            </w:r>
          </w:p>
        </w:tc>
        <w:tc>
          <w:tcPr>
            <w:tcW w:w="851" w:type="dxa"/>
            <w:vAlign w:val="center"/>
          </w:tcPr>
          <w:p w14:paraId="50C99A84">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695" w:type="dxa"/>
            <w:vAlign w:val="center"/>
          </w:tcPr>
          <w:p w14:paraId="791DCF8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696" w:type="dxa"/>
            <w:vAlign w:val="center"/>
          </w:tcPr>
          <w:p w14:paraId="40B26276">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bCs/>
                <w:color w:val="auto"/>
                <w:kern w:val="0"/>
                <w:sz w:val="24"/>
                <w:szCs w:val="28"/>
                <w:highlight w:val="none"/>
              </w:rPr>
              <w:t>万元</w:t>
            </w:r>
          </w:p>
        </w:tc>
      </w:tr>
      <w:tr w14:paraId="6BF6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22" w:type="dxa"/>
            <w:vAlign w:val="center"/>
          </w:tcPr>
          <w:p w14:paraId="0408208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b/>
                <w:bCs/>
                <w:color w:val="auto"/>
                <w:sz w:val="24"/>
                <w:szCs w:val="24"/>
                <w:highlight w:val="none"/>
                <w:lang w:eastAsia="zh-CN"/>
              </w:rPr>
              <w:t>合计</w:t>
            </w:r>
          </w:p>
        </w:tc>
        <w:tc>
          <w:tcPr>
            <w:tcW w:w="6651" w:type="dxa"/>
            <w:gridSpan w:val="5"/>
            <w:vAlign w:val="center"/>
          </w:tcPr>
          <w:p w14:paraId="6D0782D7">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color w:val="auto"/>
                <w:kern w:val="0"/>
                <w:sz w:val="24"/>
                <w:szCs w:val="24"/>
                <w:highlight w:val="none"/>
              </w:rPr>
              <w:t>万元</w:t>
            </w:r>
          </w:p>
        </w:tc>
      </w:tr>
    </w:tbl>
    <w:p w14:paraId="3BA72833">
      <w:pPr>
        <w:shd w:val="clea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序号9：绍兴市悦动公交广告传媒有限公司网络线路</w:t>
      </w:r>
    </w:p>
    <w:tbl>
      <w:tblPr>
        <w:tblStyle w:val="62"/>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938"/>
        <w:gridCol w:w="1334"/>
        <w:gridCol w:w="859"/>
        <w:gridCol w:w="1639"/>
        <w:gridCol w:w="1707"/>
      </w:tblGrid>
      <w:tr w14:paraId="37D1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232" w:type="dxa"/>
            <w:vAlign w:val="center"/>
          </w:tcPr>
          <w:p w14:paraId="2082B879">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938" w:type="dxa"/>
            <w:vAlign w:val="center"/>
          </w:tcPr>
          <w:p w14:paraId="404B24F3">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1334" w:type="dxa"/>
            <w:vAlign w:val="center"/>
          </w:tcPr>
          <w:p w14:paraId="4F826DF8">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859" w:type="dxa"/>
            <w:vAlign w:val="center"/>
          </w:tcPr>
          <w:p w14:paraId="36762747">
            <w:pPr>
              <w:widowControl/>
              <w:shd w:val="clear"/>
              <w:jc w:val="center"/>
              <w:rPr>
                <w:color w:val="auto"/>
                <w:highlight w:val="none"/>
              </w:rPr>
            </w:pPr>
            <w:r>
              <w:rPr>
                <w:rFonts w:hint="eastAsia" w:ascii="仿宋" w:hAnsi="仿宋" w:eastAsia="仿宋" w:cs="仿宋"/>
                <w:b/>
                <w:bCs/>
                <w:color w:val="auto"/>
                <w:kern w:val="0"/>
                <w:sz w:val="24"/>
                <w:szCs w:val="24"/>
                <w:highlight w:val="none"/>
              </w:rPr>
              <w:t>数量</w:t>
            </w:r>
          </w:p>
        </w:tc>
        <w:tc>
          <w:tcPr>
            <w:tcW w:w="1639" w:type="dxa"/>
            <w:vAlign w:val="center"/>
          </w:tcPr>
          <w:p w14:paraId="739C2BF1">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报价单价</w:t>
            </w:r>
          </w:p>
        </w:tc>
        <w:tc>
          <w:tcPr>
            <w:tcW w:w="1707" w:type="dxa"/>
            <w:vAlign w:val="center"/>
          </w:tcPr>
          <w:p w14:paraId="1D1BE9B0">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小计（三年）</w:t>
            </w:r>
          </w:p>
        </w:tc>
      </w:tr>
      <w:tr w14:paraId="074D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232" w:type="dxa"/>
            <w:vAlign w:val="center"/>
          </w:tcPr>
          <w:p w14:paraId="698FD22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公司互联网线路</w:t>
            </w:r>
          </w:p>
        </w:tc>
        <w:tc>
          <w:tcPr>
            <w:tcW w:w="938" w:type="dxa"/>
            <w:vAlign w:val="center"/>
          </w:tcPr>
          <w:p w14:paraId="12E9E07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334" w:type="dxa"/>
            <w:vAlign w:val="center"/>
          </w:tcPr>
          <w:p w14:paraId="0166F6B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1000M（公众版融合宽带）</w:t>
            </w:r>
          </w:p>
        </w:tc>
        <w:tc>
          <w:tcPr>
            <w:tcW w:w="859" w:type="dxa"/>
            <w:vAlign w:val="center"/>
          </w:tcPr>
          <w:p w14:paraId="3696480D">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639" w:type="dxa"/>
            <w:vAlign w:val="center"/>
          </w:tcPr>
          <w:p w14:paraId="44FCC35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07" w:type="dxa"/>
            <w:vAlign w:val="center"/>
          </w:tcPr>
          <w:p w14:paraId="6116F8B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万元</w:t>
            </w:r>
          </w:p>
        </w:tc>
      </w:tr>
      <w:tr w14:paraId="532F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232" w:type="dxa"/>
            <w:vAlign w:val="center"/>
          </w:tcPr>
          <w:p w14:paraId="4904CDA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公交内网线路</w:t>
            </w:r>
          </w:p>
        </w:tc>
        <w:tc>
          <w:tcPr>
            <w:tcW w:w="938" w:type="dxa"/>
            <w:vAlign w:val="center"/>
          </w:tcPr>
          <w:p w14:paraId="47D105C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334" w:type="dxa"/>
            <w:vAlign w:val="center"/>
          </w:tcPr>
          <w:p w14:paraId="41B2E94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w:t>
            </w:r>
          </w:p>
          <w:p w14:paraId="3885779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20M</w:t>
            </w:r>
          </w:p>
        </w:tc>
        <w:tc>
          <w:tcPr>
            <w:tcW w:w="859" w:type="dxa"/>
            <w:vAlign w:val="center"/>
          </w:tcPr>
          <w:p w14:paraId="17951081">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639" w:type="dxa"/>
            <w:vAlign w:val="center"/>
          </w:tcPr>
          <w:p w14:paraId="32CAECD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07" w:type="dxa"/>
            <w:vAlign w:val="center"/>
          </w:tcPr>
          <w:p w14:paraId="20F0F01D">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万元</w:t>
            </w:r>
          </w:p>
        </w:tc>
      </w:tr>
      <w:tr w14:paraId="55A6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232" w:type="dxa"/>
            <w:vAlign w:val="center"/>
          </w:tcPr>
          <w:p w14:paraId="0A1735D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938" w:type="dxa"/>
            <w:vAlign w:val="center"/>
          </w:tcPr>
          <w:p w14:paraId="5EE84DD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1334" w:type="dxa"/>
            <w:vAlign w:val="center"/>
          </w:tcPr>
          <w:p w14:paraId="65388AF9">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859" w:type="dxa"/>
            <w:vAlign w:val="center"/>
          </w:tcPr>
          <w:p w14:paraId="25BCA09C">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639" w:type="dxa"/>
            <w:vAlign w:val="center"/>
          </w:tcPr>
          <w:p w14:paraId="18EBAAA0">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707" w:type="dxa"/>
            <w:vAlign w:val="center"/>
          </w:tcPr>
          <w:p w14:paraId="58FD674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万元</w:t>
            </w:r>
          </w:p>
        </w:tc>
      </w:tr>
      <w:tr w14:paraId="7E9B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232" w:type="dxa"/>
            <w:vAlign w:val="center"/>
          </w:tcPr>
          <w:p w14:paraId="34D1112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b/>
                <w:bCs/>
                <w:color w:val="auto"/>
                <w:sz w:val="24"/>
                <w:szCs w:val="24"/>
                <w:highlight w:val="none"/>
                <w:lang w:eastAsia="zh-CN"/>
              </w:rPr>
              <w:t>合计</w:t>
            </w:r>
          </w:p>
        </w:tc>
        <w:tc>
          <w:tcPr>
            <w:tcW w:w="6477" w:type="dxa"/>
            <w:gridSpan w:val="5"/>
            <w:vAlign w:val="center"/>
          </w:tcPr>
          <w:p w14:paraId="1DF3DC3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4"/>
                <w:highlight w:val="none"/>
              </w:rPr>
              <w:t>万元</w:t>
            </w:r>
          </w:p>
        </w:tc>
      </w:tr>
    </w:tbl>
    <w:p w14:paraId="4D2DDC4D">
      <w:pPr>
        <w:shd w:val="clea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序号10:绍兴市交投特来电易捷充电网运营有限公司网络线路</w:t>
      </w:r>
    </w:p>
    <w:tbl>
      <w:tblPr>
        <w:tblStyle w:val="62"/>
        <w:tblW w:w="8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6"/>
        <w:gridCol w:w="938"/>
        <w:gridCol w:w="1334"/>
        <w:gridCol w:w="859"/>
        <w:gridCol w:w="1635"/>
        <w:gridCol w:w="1630"/>
      </w:tblGrid>
      <w:tr w14:paraId="49E6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96" w:type="dxa"/>
            <w:vAlign w:val="center"/>
          </w:tcPr>
          <w:p w14:paraId="473599EC">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938" w:type="dxa"/>
            <w:vAlign w:val="center"/>
          </w:tcPr>
          <w:p w14:paraId="51086349">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1334" w:type="dxa"/>
            <w:vAlign w:val="center"/>
          </w:tcPr>
          <w:p w14:paraId="20F7E051">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859" w:type="dxa"/>
            <w:vAlign w:val="center"/>
          </w:tcPr>
          <w:p w14:paraId="2E4A2AF2">
            <w:pPr>
              <w:widowControl/>
              <w:shd w:val="clear"/>
              <w:jc w:val="center"/>
              <w:rPr>
                <w:color w:val="auto"/>
                <w:highlight w:val="none"/>
              </w:rPr>
            </w:pPr>
            <w:r>
              <w:rPr>
                <w:rFonts w:hint="eastAsia" w:ascii="仿宋" w:hAnsi="仿宋" w:eastAsia="仿宋" w:cs="仿宋"/>
                <w:b/>
                <w:bCs/>
                <w:color w:val="auto"/>
                <w:kern w:val="0"/>
                <w:sz w:val="24"/>
                <w:szCs w:val="24"/>
                <w:highlight w:val="none"/>
              </w:rPr>
              <w:t>数量</w:t>
            </w:r>
          </w:p>
        </w:tc>
        <w:tc>
          <w:tcPr>
            <w:tcW w:w="1635" w:type="dxa"/>
            <w:vAlign w:val="center"/>
          </w:tcPr>
          <w:p w14:paraId="73BA019B">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报价单价</w:t>
            </w:r>
          </w:p>
        </w:tc>
        <w:tc>
          <w:tcPr>
            <w:tcW w:w="1630" w:type="dxa"/>
            <w:vAlign w:val="center"/>
          </w:tcPr>
          <w:p w14:paraId="39293194">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小计（三年）</w:t>
            </w:r>
          </w:p>
        </w:tc>
      </w:tr>
      <w:tr w14:paraId="3EF3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196" w:type="dxa"/>
            <w:vAlign w:val="center"/>
          </w:tcPr>
          <w:p w14:paraId="77D6668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公司互联网线路</w:t>
            </w:r>
          </w:p>
        </w:tc>
        <w:tc>
          <w:tcPr>
            <w:tcW w:w="938" w:type="dxa"/>
            <w:vAlign w:val="center"/>
          </w:tcPr>
          <w:p w14:paraId="64CB9E1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办公上网</w:t>
            </w:r>
          </w:p>
        </w:tc>
        <w:tc>
          <w:tcPr>
            <w:tcW w:w="1334" w:type="dxa"/>
            <w:vAlign w:val="center"/>
          </w:tcPr>
          <w:p w14:paraId="4006E16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1000M（公众版融合宽带）</w:t>
            </w:r>
          </w:p>
        </w:tc>
        <w:tc>
          <w:tcPr>
            <w:tcW w:w="859" w:type="dxa"/>
            <w:vAlign w:val="center"/>
          </w:tcPr>
          <w:p w14:paraId="11F4BD42">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635" w:type="dxa"/>
            <w:vAlign w:val="center"/>
          </w:tcPr>
          <w:p w14:paraId="479A513A">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630" w:type="dxa"/>
            <w:vAlign w:val="center"/>
          </w:tcPr>
          <w:p w14:paraId="19F40D97">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万元</w:t>
            </w:r>
          </w:p>
        </w:tc>
      </w:tr>
      <w:tr w14:paraId="2064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96" w:type="dxa"/>
            <w:vAlign w:val="center"/>
          </w:tcPr>
          <w:p w14:paraId="6E6CFA2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公交内网线路</w:t>
            </w:r>
          </w:p>
        </w:tc>
        <w:tc>
          <w:tcPr>
            <w:tcW w:w="938" w:type="dxa"/>
            <w:vAlign w:val="center"/>
          </w:tcPr>
          <w:p w14:paraId="033FCBA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办公内网</w:t>
            </w:r>
          </w:p>
        </w:tc>
        <w:tc>
          <w:tcPr>
            <w:tcW w:w="1334" w:type="dxa"/>
            <w:vAlign w:val="center"/>
          </w:tcPr>
          <w:p w14:paraId="36394F9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VPN专线</w:t>
            </w:r>
          </w:p>
          <w:p w14:paraId="6EA77D3F">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20M</w:t>
            </w:r>
          </w:p>
        </w:tc>
        <w:tc>
          <w:tcPr>
            <w:tcW w:w="859" w:type="dxa"/>
            <w:vAlign w:val="center"/>
          </w:tcPr>
          <w:p w14:paraId="6C9FBC1B">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635" w:type="dxa"/>
            <w:vAlign w:val="center"/>
          </w:tcPr>
          <w:p w14:paraId="2A5348C3">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630" w:type="dxa"/>
            <w:vAlign w:val="center"/>
          </w:tcPr>
          <w:p w14:paraId="797B930F">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万元</w:t>
            </w:r>
          </w:p>
        </w:tc>
      </w:tr>
      <w:tr w14:paraId="4352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96" w:type="dxa"/>
            <w:vAlign w:val="center"/>
          </w:tcPr>
          <w:p w14:paraId="192C53D4">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交投专线</w:t>
            </w:r>
          </w:p>
        </w:tc>
        <w:tc>
          <w:tcPr>
            <w:tcW w:w="938" w:type="dxa"/>
            <w:vAlign w:val="center"/>
          </w:tcPr>
          <w:p w14:paraId="116FC64B">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接入交投网络</w:t>
            </w:r>
          </w:p>
        </w:tc>
        <w:tc>
          <w:tcPr>
            <w:tcW w:w="1334" w:type="dxa"/>
            <w:vAlign w:val="center"/>
          </w:tcPr>
          <w:p w14:paraId="189AA19C">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100M</w:t>
            </w:r>
          </w:p>
        </w:tc>
        <w:tc>
          <w:tcPr>
            <w:tcW w:w="859" w:type="dxa"/>
            <w:vAlign w:val="center"/>
          </w:tcPr>
          <w:p w14:paraId="169816B6">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635" w:type="dxa"/>
            <w:vAlign w:val="center"/>
          </w:tcPr>
          <w:p w14:paraId="1EBC000E">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元/条/月</w:t>
            </w:r>
          </w:p>
        </w:tc>
        <w:tc>
          <w:tcPr>
            <w:tcW w:w="1630" w:type="dxa"/>
            <w:vAlign w:val="center"/>
          </w:tcPr>
          <w:p w14:paraId="712D4972">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8"/>
                <w:highlight w:val="none"/>
              </w:rPr>
              <w:t>万元</w:t>
            </w:r>
          </w:p>
        </w:tc>
      </w:tr>
      <w:tr w14:paraId="26D9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96" w:type="dxa"/>
            <w:vAlign w:val="center"/>
          </w:tcPr>
          <w:p w14:paraId="35C069C8">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b/>
                <w:bCs/>
                <w:color w:val="auto"/>
                <w:sz w:val="24"/>
                <w:szCs w:val="24"/>
                <w:highlight w:val="none"/>
                <w:lang w:eastAsia="zh-CN"/>
              </w:rPr>
              <w:t>合计</w:t>
            </w:r>
          </w:p>
        </w:tc>
        <w:tc>
          <w:tcPr>
            <w:tcW w:w="6396" w:type="dxa"/>
            <w:gridSpan w:val="5"/>
            <w:vAlign w:val="center"/>
          </w:tcPr>
          <w:p w14:paraId="3F3F85E6">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color w:val="auto"/>
                <w:kern w:val="0"/>
                <w:sz w:val="24"/>
                <w:szCs w:val="24"/>
                <w:highlight w:val="none"/>
              </w:rPr>
              <w:t>万元</w:t>
            </w:r>
          </w:p>
        </w:tc>
      </w:tr>
    </w:tbl>
    <w:p w14:paraId="1CE41A12">
      <w:pPr>
        <w:shd w:val="clear"/>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rPr>
        <w:t>序号11：</w:t>
      </w:r>
      <w:r>
        <w:rPr>
          <w:rFonts w:hint="eastAsia" w:ascii="仿宋" w:hAnsi="仿宋" w:eastAsia="仿宋" w:cs="仿宋"/>
          <w:b/>
          <w:color w:val="auto"/>
          <w:sz w:val="24"/>
          <w:szCs w:val="24"/>
          <w:highlight w:val="none"/>
        </w:rPr>
        <w:t>各单位主、备用网络线路</w:t>
      </w:r>
    </w:p>
    <w:tbl>
      <w:tblPr>
        <w:tblStyle w:val="62"/>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704"/>
        <w:gridCol w:w="851"/>
        <w:gridCol w:w="1295"/>
        <w:gridCol w:w="706"/>
        <w:gridCol w:w="1333"/>
        <w:gridCol w:w="1552"/>
      </w:tblGrid>
      <w:tr w14:paraId="1D55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268" w:type="dxa"/>
            <w:vAlign w:val="center"/>
          </w:tcPr>
          <w:p w14:paraId="128769AC">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所属公司</w:t>
            </w:r>
          </w:p>
        </w:tc>
        <w:tc>
          <w:tcPr>
            <w:tcW w:w="1704" w:type="dxa"/>
            <w:vAlign w:val="center"/>
          </w:tcPr>
          <w:p w14:paraId="13CF2F4A">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网络线路名称</w:t>
            </w:r>
          </w:p>
        </w:tc>
        <w:tc>
          <w:tcPr>
            <w:tcW w:w="851" w:type="dxa"/>
            <w:vAlign w:val="center"/>
          </w:tcPr>
          <w:p w14:paraId="76E9B62A">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用途</w:t>
            </w:r>
          </w:p>
        </w:tc>
        <w:tc>
          <w:tcPr>
            <w:tcW w:w="1295" w:type="dxa"/>
            <w:vAlign w:val="center"/>
          </w:tcPr>
          <w:p w14:paraId="58055FF2">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规格型号</w:t>
            </w:r>
          </w:p>
        </w:tc>
        <w:tc>
          <w:tcPr>
            <w:tcW w:w="706" w:type="dxa"/>
            <w:vAlign w:val="center"/>
          </w:tcPr>
          <w:p w14:paraId="4E76482B">
            <w:pPr>
              <w:widowControl/>
              <w:shd w:val="clear"/>
              <w:jc w:val="center"/>
              <w:rPr>
                <w:color w:val="auto"/>
                <w:highlight w:val="none"/>
              </w:rPr>
            </w:pPr>
            <w:r>
              <w:rPr>
                <w:rFonts w:hint="eastAsia" w:ascii="仿宋" w:hAnsi="仿宋" w:eastAsia="仿宋" w:cs="仿宋"/>
                <w:b/>
                <w:bCs/>
                <w:color w:val="auto"/>
                <w:kern w:val="0"/>
                <w:sz w:val="24"/>
                <w:szCs w:val="24"/>
                <w:highlight w:val="none"/>
              </w:rPr>
              <w:t>数量</w:t>
            </w:r>
          </w:p>
        </w:tc>
        <w:tc>
          <w:tcPr>
            <w:tcW w:w="1333" w:type="dxa"/>
            <w:vAlign w:val="center"/>
          </w:tcPr>
          <w:p w14:paraId="608807B3">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报价单价</w:t>
            </w:r>
          </w:p>
        </w:tc>
        <w:tc>
          <w:tcPr>
            <w:tcW w:w="1552" w:type="dxa"/>
            <w:vAlign w:val="center"/>
          </w:tcPr>
          <w:p w14:paraId="763CC2FA">
            <w:pPr>
              <w:widowControl/>
              <w:shd w:val="clear"/>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小计（三年）</w:t>
            </w:r>
          </w:p>
        </w:tc>
      </w:tr>
      <w:tr w14:paraId="2BC4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68" w:type="dxa"/>
            <w:vAlign w:val="center"/>
          </w:tcPr>
          <w:p w14:paraId="0E835BD9">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市公交集团</w:t>
            </w:r>
          </w:p>
        </w:tc>
        <w:tc>
          <w:tcPr>
            <w:tcW w:w="1704" w:type="dxa"/>
            <w:vAlign w:val="center"/>
          </w:tcPr>
          <w:p w14:paraId="37446A86">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运营商至城南总机房线路（主线路）</w:t>
            </w:r>
          </w:p>
        </w:tc>
        <w:tc>
          <w:tcPr>
            <w:tcW w:w="851" w:type="dxa"/>
            <w:vAlign w:val="center"/>
          </w:tcPr>
          <w:p w14:paraId="011248C4">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295" w:type="dxa"/>
            <w:vAlign w:val="center"/>
          </w:tcPr>
          <w:p w14:paraId="7E47C845">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706" w:type="dxa"/>
            <w:vAlign w:val="center"/>
          </w:tcPr>
          <w:p w14:paraId="349840F5">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333" w:type="dxa"/>
            <w:vAlign w:val="center"/>
          </w:tcPr>
          <w:p w14:paraId="0B6E52CD">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元/条/月</w:t>
            </w:r>
          </w:p>
        </w:tc>
        <w:tc>
          <w:tcPr>
            <w:tcW w:w="1552" w:type="dxa"/>
            <w:vAlign w:val="center"/>
          </w:tcPr>
          <w:p w14:paraId="0856213C">
            <w:pPr>
              <w:widowControl/>
              <w:shd w:val="clear"/>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8"/>
                <w:highlight w:val="none"/>
              </w:rPr>
              <w:t>万元</w:t>
            </w:r>
          </w:p>
        </w:tc>
      </w:tr>
      <w:tr w14:paraId="31DB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68" w:type="dxa"/>
            <w:vAlign w:val="center"/>
          </w:tcPr>
          <w:p w14:paraId="2E91D34B">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市公交集团</w:t>
            </w:r>
          </w:p>
        </w:tc>
        <w:tc>
          <w:tcPr>
            <w:tcW w:w="1704" w:type="dxa"/>
            <w:vAlign w:val="center"/>
          </w:tcPr>
          <w:p w14:paraId="7AD9FBB2">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运营商至城南总机房线路（备用线路）</w:t>
            </w:r>
          </w:p>
        </w:tc>
        <w:tc>
          <w:tcPr>
            <w:tcW w:w="851" w:type="dxa"/>
            <w:vAlign w:val="center"/>
          </w:tcPr>
          <w:p w14:paraId="1708F93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295" w:type="dxa"/>
            <w:vAlign w:val="center"/>
          </w:tcPr>
          <w:p w14:paraId="1E089D87">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706" w:type="dxa"/>
            <w:vAlign w:val="center"/>
          </w:tcPr>
          <w:p w14:paraId="47C685BD">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333" w:type="dxa"/>
            <w:vAlign w:val="center"/>
          </w:tcPr>
          <w:p w14:paraId="52AE8E7C">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元/条/月</w:t>
            </w:r>
          </w:p>
        </w:tc>
        <w:tc>
          <w:tcPr>
            <w:tcW w:w="1552" w:type="dxa"/>
            <w:vAlign w:val="center"/>
          </w:tcPr>
          <w:p w14:paraId="0C4FEB73">
            <w:pPr>
              <w:widowControl/>
              <w:shd w:val="clear"/>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8"/>
                <w:highlight w:val="none"/>
              </w:rPr>
              <w:t>万元</w:t>
            </w:r>
          </w:p>
        </w:tc>
      </w:tr>
      <w:tr w14:paraId="2A61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68" w:type="dxa"/>
            <w:vAlign w:val="center"/>
          </w:tcPr>
          <w:p w14:paraId="13D459BE">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市公交集团</w:t>
            </w:r>
          </w:p>
        </w:tc>
        <w:tc>
          <w:tcPr>
            <w:tcW w:w="1704" w:type="dxa"/>
            <w:vAlign w:val="center"/>
          </w:tcPr>
          <w:p w14:paraId="18B7C12A">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运营商至后墅机房线路（主线路）</w:t>
            </w:r>
          </w:p>
        </w:tc>
        <w:tc>
          <w:tcPr>
            <w:tcW w:w="851" w:type="dxa"/>
            <w:vAlign w:val="center"/>
          </w:tcPr>
          <w:p w14:paraId="2E8ED65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295" w:type="dxa"/>
            <w:vAlign w:val="center"/>
          </w:tcPr>
          <w:p w14:paraId="4C6B4DE3">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706" w:type="dxa"/>
            <w:vAlign w:val="center"/>
          </w:tcPr>
          <w:p w14:paraId="3F6DD69F">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333" w:type="dxa"/>
            <w:vAlign w:val="center"/>
          </w:tcPr>
          <w:p w14:paraId="6F260850">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元/条/月</w:t>
            </w:r>
          </w:p>
        </w:tc>
        <w:tc>
          <w:tcPr>
            <w:tcW w:w="1552" w:type="dxa"/>
            <w:vAlign w:val="center"/>
          </w:tcPr>
          <w:p w14:paraId="076B1BF5">
            <w:pPr>
              <w:widowControl/>
              <w:shd w:val="clear"/>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8"/>
                <w:highlight w:val="none"/>
              </w:rPr>
              <w:t>万元</w:t>
            </w:r>
          </w:p>
        </w:tc>
      </w:tr>
      <w:tr w14:paraId="4764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68" w:type="dxa"/>
            <w:vAlign w:val="center"/>
          </w:tcPr>
          <w:p w14:paraId="731489E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第一公司</w:t>
            </w:r>
          </w:p>
        </w:tc>
        <w:tc>
          <w:tcPr>
            <w:tcW w:w="1704" w:type="dxa"/>
            <w:vAlign w:val="center"/>
          </w:tcPr>
          <w:p w14:paraId="1E9E4766">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运营商至第一公司芳泉机房、一车队、二车队、三车队、四车队线路（主线路）</w:t>
            </w:r>
          </w:p>
        </w:tc>
        <w:tc>
          <w:tcPr>
            <w:tcW w:w="851" w:type="dxa"/>
            <w:vAlign w:val="center"/>
          </w:tcPr>
          <w:p w14:paraId="68FB833E">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295" w:type="dxa"/>
            <w:vAlign w:val="center"/>
          </w:tcPr>
          <w:p w14:paraId="3CCBB866">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706" w:type="dxa"/>
            <w:vAlign w:val="center"/>
          </w:tcPr>
          <w:p w14:paraId="510FAA84">
            <w:pPr>
              <w:widowControl/>
              <w:shd w:val="clear"/>
              <w:jc w:val="center"/>
              <w:rPr>
                <w:color w:val="auto"/>
                <w:highlight w:val="none"/>
              </w:rPr>
            </w:pPr>
            <w:r>
              <w:rPr>
                <w:rFonts w:hint="eastAsia" w:ascii="仿宋" w:hAnsi="仿宋" w:eastAsia="仿宋" w:cs="仿宋"/>
                <w:color w:val="auto"/>
                <w:kern w:val="0"/>
                <w:sz w:val="24"/>
                <w:szCs w:val="28"/>
                <w:highlight w:val="none"/>
              </w:rPr>
              <w:t>5条</w:t>
            </w:r>
          </w:p>
        </w:tc>
        <w:tc>
          <w:tcPr>
            <w:tcW w:w="1333" w:type="dxa"/>
            <w:vAlign w:val="center"/>
          </w:tcPr>
          <w:p w14:paraId="314A19D5">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元/条/月</w:t>
            </w:r>
          </w:p>
        </w:tc>
        <w:tc>
          <w:tcPr>
            <w:tcW w:w="1552" w:type="dxa"/>
            <w:vAlign w:val="center"/>
          </w:tcPr>
          <w:p w14:paraId="5AE3DF71">
            <w:pPr>
              <w:widowControl/>
              <w:shd w:val="clear"/>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8"/>
                <w:highlight w:val="none"/>
              </w:rPr>
              <w:t>万元</w:t>
            </w:r>
          </w:p>
        </w:tc>
      </w:tr>
      <w:tr w14:paraId="37E9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68" w:type="dxa"/>
            <w:vAlign w:val="center"/>
          </w:tcPr>
          <w:p w14:paraId="708016AE">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第一公司</w:t>
            </w:r>
          </w:p>
        </w:tc>
        <w:tc>
          <w:tcPr>
            <w:tcW w:w="1704" w:type="dxa"/>
            <w:vAlign w:val="center"/>
          </w:tcPr>
          <w:p w14:paraId="32B6740F">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运营商至第一公司芳泉机房、一车队、二车队、三车队、四车队线路（备用线路）</w:t>
            </w:r>
          </w:p>
        </w:tc>
        <w:tc>
          <w:tcPr>
            <w:tcW w:w="851" w:type="dxa"/>
            <w:vAlign w:val="center"/>
          </w:tcPr>
          <w:p w14:paraId="78372A30">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295" w:type="dxa"/>
            <w:vAlign w:val="center"/>
          </w:tcPr>
          <w:p w14:paraId="5758164E">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706" w:type="dxa"/>
            <w:vAlign w:val="center"/>
          </w:tcPr>
          <w:p w14:paraId="2706D3DA">
            <w:pPr>
              <w:widowControl/>
              <w:shd w:val="clear"/>
              <w:jc w:val="center"/>
              <w:rPr>
                <w:color w:val="auto"/>
                <w:highlight w:val="none"/>
              </w:rPr>
            </w:pPr>
            <w:r>
              <w:rPr>
                <w:rFonts w:hint="eastAsia" w:ascii="仿宋" w:hAnsi="仿宋" w:eastAsia="仿宋" w:cs="仿宋"/>
                <w:color w:val="auto"/>
                <w:kern w:val="0"/>
                <w:sz w:val="24"/>
                <w:szCs w:val="28"/>
                <w:highlight w:val="none"/>
              </w:rPr>
              <w:t>5条</w:t>
            </w:r>
          </w:p>
        </w:tc>
        <w:tc>
          <w:tcPr>
            <w:tcW w:w="1333" w:type="dxa"/>
            <w:vAlign w:val="center"/>
          </w:tcPr>
          <w:p w14:paraId="673E9039">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元/条/月</w:t>
            </w:r>
          </w:p>
        </w:tc>
        <w:tc>
          <w:tcPr>
            <w:tcW w:w="1552" w:type="dxa"/>
            <w:vAlign w:val="center"/>
          </w:tcPr>
          <w:p w14:paraId="54423560">
            <w:pPr>
              <w:widowControl/>
              <w:shd w:val="clear"/>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8"/>
                <w:highlight w:val="none"/>
              </w:rPr>
              <w:t>万元</w:t>
            </w:r>
          </w:p>
        </w:tc>
      </w:tr>
      <w:tr w14:paraId="59B9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268" w:type="dxa"/>
            <w:vAlign w:val="center"/>
          </w:tcPr>
          <w:p w14:paraId="4E02B45C">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第一公司</w:t>
            </w:r>
          </w:p>
        </w:tc>
        <w:tc>
          <w:tcPr>
            <w:tcW w:w="1704" w:type="dxa"/>
            <w:vAlign w:val="center"/>
          </w:tcPr>
          <w:p w14:paraId="30367DD6">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运营商至第一公司芳泉4楼（备用线路）</w:t>
            </w:r>
          </w:p>
        </w:tc>
        <w:tc>
          <w:tcPr>
            <w:tcW w:w="851" w:type="dxa"/>
            <w:vAlign w:val="center"/>
          </w:tcPr>
          <w:p w14:paraId="2E90C9AF">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295" w:type="dxa"/>
            <w:vAlign w:val="center"/>
          </w:tcPr>
          <w:p w14:paraId="222F5A63">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706" w:type="dxa"/>
            <w:vAlign w:val="center"/>
          </w:tcPr>
          <w:p w14:paraId="4BC0438E">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333" w:type="dxa"/>
            <w:vAlign w:val="center"/>
          </w:tcPr>
          <w:p w14:paraId="6E302087">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元/条/月</w:t>
            </w:r>
          </w:p>
        </w:tc>
        <w:tc>
          <w:tcPr>
            <w:tcW w:w="1552" w:type="dxa"/>
            <w:vAlign w:val="center"/>
          </w:tcPr>
          <w:p w14:paraId="3D49A248">
            <w:pPr>
              <w:widowControl/>
              <w:shd w:val="clear"/>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8"/>
                <w:highlight w:val="none"/>
              </w:rPr>
              <w:t>万元</w:t>
            </w:r>
          </w:p>
        </w:tc>
      </w:tr>
      <w:tr w14:paraId="6F4B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68" w:type="dxa"/>
            <w:vAlign w:val="center"/>
          </w:tcPr>
          <w:p w14:paraId="51FA9012">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第二公司</w:t>
            </w:r>
          </w:p>
        </w:tc>
        <w:tc>
          <w:tcPr>
            <w:tcW w:w="1704" w:type="dxa"/>
            <w:vAlign w:val="center"/>
          </w:tcPr>
          <w:p w14:paraId="3A2D927D">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运营商至第二公司线路（主线路）</w:t>
            </w:r>
          </w:p>
        </w:tc>
        <w:tc>
          <w:tcPr>
            <w:tcW w:w="851" w:type="dxa"/>
            <w:vAlign w:val="center"/>
          </w:tcPr>
          <w:p w14:paraId="3BF15120">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295" w:type="dxa"/>
            <w:vAlign w:val="center"/>
          </w:tcPr>
          <w:p w14:paraId="4331437E">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706" w:type="dxa"/>
            <w:vAlign w:val="center"/>
          </w:tcPr>
          <w:p w14:paraId="03E37DE4">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333" w:type="dxa"/>
            <w:vAlign w:val="center"/>
          </w:tcPr>
          <w:p w14:paraId="7BF0023A">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元/条/月</w:t>
            </w:r>
          </w:p>
        </w:tc>
        <w:tc>
          <w:tcPr>
            <w:tcW w:w="1552" w:type="dxa"/>
            <w:vAlign w:val="center"/>
          </w:tcPr>
          <w:p w14:paraId="05009AB5">
            <w:pPr>
              <w:widowControl/>
              <w:shd w:val="clear"/>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8"/>
                <w:highlight w:val="none"/>
              </w:rPr>
              <w:t>万元</w:t>
            </w:r>
          </w:p>
        </w:tc>
      </w:tr>
      <w:tr w14:paraId="7FA2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68" w:type="dxa"/>
            <w:vAlign w:val="center"/>
          </w:tcPr>
          <w:p w14:paraId="0530B351">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第二公司</w:t>
            </w:r>
          </w:p>
        </w:tc>
        <w:tc>
          <w:tcPr>
            <w:tcW w:w="1704" w:type="dxa"/>
            <w:vAlign w:val="center"/>
          </w:tcPr>
          <w:p w14:paraId="6903DE67">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运营商至第二公司线路（备用线路）</w:t>
            </w:r>
          </w:p>
        </w:tc>
        <w:tc>
          <w:tcPr>
            <w:tcW w:w="851" w:type="dxa"/>
            <w:vAlign w:val="center"/>
          </w:tcPr>
          <w:p w14:paraId="7992A07A">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295" w:type="dxa"/>
            <w:vAlign w:val="center"/>
          </w:tcPr>
          <w:p w14:paraId="072773F4">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706" w:type="dxa"/>
            <w:vAlign w:val="center"/>
          </w:tcPr>
          <w:p w14:paraId="6A8F75A4">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333" w:type="dxa"/>
            <w:vAlign w:val="center"/>
          </w:tcPr>
          <w:p w14:paraId="4EB7D8D0">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元/条/月</w:t>
            </w:r>
          </w:p>
        </w:tc>
        <w:tc>
          <w:tcPr>
            <w:tcW w:w="1552" w:type="dxa"/>
            <w:vAlign w:val="center"/>
          </w:tcPr>
          <w:p w14:paraId="7AD902CA">
            <w:pPr>
              <w:widowControl/>
              <w:shd w:val="clear"/>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8"/>
                <w:highlight w:val="none"/>
              </w:rPr>
              <w:t>万元</w:t>
            </w:r>
          </w:p>
        </w:tc>
      </w:tr>
      <w:tr w14:paraId="0EBB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68" w:type="dxa"/>
            <w:vAlign w:val="center"/>
          </w:tcPr>
          <w:p w14:paraId="1ABA86AC">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第三公司</w:t>
            </w:r>
          </w:p>
        </w:tc>
        <w:tc>
          <w:tcPr>
            <w:tcW w:w="1704" w:type="dxa"/>
            <w:vAlign w:val="center"/>
          </w:tcPr>
          <w:p w14:paraId="15E4B214">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运营商至第三公司线路（主线路）</w:t>
            </w:r>
          </w:p>
        </w:tc>
        <w:tc>
          <w:tcPr>
            <w:tcW w:w="851" w:type="dxa"/>
            <w:vAlign w:val="center"/>
          </w:tcPr>
          <w:p w14:paraId="70389403">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295" w:type="dxa"/>
            <w:vAlign w:val="center"/>
          </w:tcPr>
          <w:p w14:paraId="1D4D234F">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706" w:type="dxa"/>
            <w:vAlign w:val="center"/>
          </w:tcPr>
          <w:p w14:paraId="4ABD98BA">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333" w:type="dxa"/>
            <w:vAlign w:val="center"/>
          </w:tcPr>
          <w:p w14:paraId="30B9FF14">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元/条/月</w:t>
            </w:r>
          </w:p>
        </w:tc>
        <w:tc>
          <w:tcPr>
            <w:tcW w:w="1552" w:type="dxa"/>
            <w:vAlign w:val="center"/>
          </w:tcPr>
          <w:p w14:paraId="0642C879">
            <w:pPr>
              <w:widowControl/>
              <w:shd w:val="clear"/>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8"/>
                <w:highlight w:val="none"/>
              </w:rPr>
              <w:t>万元</w:t>
            </w:r>
          </w:p>
        </w:tc>
      </w:tr>
      <w:tr w14:paraId="4812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68" w:type="dxa"/>
            <w:vAlign w:val="center"/>
          </w:tcPr>
          <w:p w14:paraId="79442372">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第三公司</w:t>
            </w:r>
          </w:p>
        </w:tc>
        <w:tc>
          <w:tcPr>
            <w:tcW w:w="1704" w:type="dxa"/>
            <w:vAlign w:val="center"/>
          </w:tcPr>
          <w:p w14:paraId="43080E4D">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运营商至第三公司线路（备用线路）</w:t>
            </w:r>
          </w:p>
        </w:tc>
        <w:tc>
          <w:tcPr>
            <w:tcW w:w="851" w:type="dxa"/>
            <w:vAlign w:val="center"/>
          </w:tcPr>
          <w:p w14:paraId="1DC94947">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业务内网</w:t>
            </w:r>
          </w:p>
        </w:tc>
        <w:tc>
          <w:tcPr>
            <w:tcW w:w="1295" w:type="dxa"/>
            <w:vAlign w:val="center"/>
          </w:tcPr>
          <w:p w14:paraId="5B3DA4FD">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1000M（MSTP）裸光纤</w:t>
            </w:r>
          </w:p>
        </w:tc>
        <w:tc>
          <w:tcPr>
            <w:tcW w:w="706" w:type="dxa"/>
            <w:vAlign w:val="center"/>
          </w:tcPr>
          <w:p w14:paraId="1C8C97FD">
            <w:pPr>
              <w:widowControl/>
              <w:shd w:val="clear"/>
              <w:jc w:val="center"/>
              <w:rPr>
                <w:color w:val="auto"/>
                <w:highlight w:val="none"/>
              </w:rPr>
            </w:pPr>
            <w:r>
              <w:rPr>
                <w:rFonts w:hint="eastAsia" w:ascii="仿宋" w:hAnsi="仿宋" w:eastAsia="仿宋" w:cs="仿宋"/>
                <w:color w:val="auto"/>
                <w:kern w:val="0"/>
                <w:sz w:val="24"/>
                <w:szCs w:val="28"/>
                <w:highlight w:val="none"/>
              </w:rPr>
              <w:t>1条</w:t>
            </w:r>
          </w:p>
        </w:tc>
        <w:tc>
          <w:tcPr>
            <w:tcW w:w="1333" w:type="dxa"/>
            <w:vAlign w:val="center"/>
          </w:tcPr>
          <w:p w14:paraId="3DB15EBC">
            <w:pPr>
              <w:widowControl/>
              <w:shd w:val="clea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8"/>
                <w:highlight w:val="none"/>
              </w:rPr>
              <w:t>元/条/月</w:t>
            </w:r>
          </w:p>
        </w:tc>
        <w:tc>
          <w:tcPr>
            <w:tcW w:w="1552" w:type="dxa"/>
            <w:vAlign w:val="center"/>
          </w:tcPr>
          <w:p w14:paraId="52F5F84C">
            <w:pPr>
              <w:widowControl/>
              <w:shd w:val="clear"/>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8"/>
                <w:highlight w:val="none"/>
              </w:rPr>
              <w:t>万元</w:t>
            </w:r>
          </w:p>
        </w:tc>
      </w:tr>
      <w:tr w14:paraId="4359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268" w:type="dxa"/>
            <w:vAlign w:val="center"/>
          </w:tcPr>
          <w:p w14:paraId="77B2A265">
            <w:pPr>
              <w:widowControl/>
              <w:shd w:val="clear"/>
              <w:jc w:val="center"/>
              <w:rPr>
                <w:rFonts w:hint="eastAsia" w:ascii="仿宋" w:hAnsi="仿宋" w:eastAsia="仿宋" w:cs="仿宋"/>
                <w:color w:val="auto"/>
                <w:kern w:val="0"/>
                <w:sz w:val="24"/>
                <w:szCs w:val="28"/>
                <w:highlight w:val="none"/>
              </w:rPr>
            </w:pPr>
            <w:r>
              <w:rPr>
                <w:rFonts w:hint="eastAsia" w:ascii="仿宋" w:hAnsi="仿宋" w:eastAsia="仿宋" w:cs="仿宋"/>
                <w:b/>
                <w:bCs/>
                <w:color w:val="auto"/>
                <w:sz w:val="24"/>
                <w:szCs w:val="24"/>
                <w:highlight w:val="none"/>
                <w:lang w:eastAsia="zh-CN"/>
              </w:rPr>
              <w:t>合计</w:t>
            </w:r>
          </w:p>
        </w:tc>
        <w:tc>
          <w:tcPr>
            <w:tcW w:w="7441" w:type="dxa"/>
            <w:gridSpan w:val="6"/>
            <w:vAlign w:val="center"/>
          </w:tcPr>
          <w:p w14:paraId="01D97A1B">
            <w:pPr>
              <w:widowControl/>
              <w:shd w:val="clear"/>
              <w:jc w:val="center"/>
              <w:rPr>
                <w:rFonts w:hint="eastAsia" w:ascii="仿宋" w:hAnsi="仿宋" w:eastAsia="仿宋" w:cs="仿宋"/>
                <w:bCs/>
                <w:color w:val="auto"/>
                <w:kern w:val="0"/>
                <w:sz w:val="24"/>
                <w:szCs w:val="28"/>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万元</w:t>
            </w:r>
          </w:p>
        </w:tc>
      </w:tr>
    </w:tbl>
    <w:p w14:paraId="509BE9A6">
      <w:pPr>
        <w:shd w:val="clear"/>
        <w:spacing w:line="360" w:lineRule="auto"/>
        <w:jc w:val="center"/>
        <w:rPr>
          <w:rFonts w:hint="eastAsia" w:ascii="仿宋" w:hAnsi="仿宋" w:eastAsia="仿宋" w:cs="仿宋"/>
          <w:b/>
          <w:color w:val="auto"/>
          <w:kern w:val="0"/>
          <w:sz w:val="24"/>
          <w:highlight w:val="none"/>
          <w:lang w:val="zh-CN"/>
        </w:rPr>
      </w:pPr>
    </w:p>
    <w:p w14:paraId="30A7A30C">
      <w:pPr>
        <w:shd w:val="clear"/>
        <w:spacing w:line="360" w:lineRule="auto"/>
        <w:jc w:val="center"/>
        <w:rPr>
          <w:rFonts w:hint="eastAsia" w:ascii="仿宋" w:hAnsi="仿宋" w:eastAsia="仿宋" w:cs="仿宋"/>
          <w:b/>
          <w:color w:val="auto"/>
          <w:kern w:val="0"/>
          <w:sz w:val="30"/>
          <w:szCs w:val="30"/>
          <w:highlight w:val="none"/>
          <w:lang w:val="zh-CN"/>
        </w:rPr>
      </w:pPr>
      <w:r>
        <w:rPr>
          <w:rFonts w:hint="eastAsia" w:ascii="仿宋" w:hAnsi="仿宋" w:eastAsia="仿宋" w:cs="仿宋"/>
          <w:b/>
          <w:color w:val="auto"/>
          <w:kern w:val="0"/>
          <w:sz w:val="30"/>
          <w:szCs w:val="30"/>
          <w:highlight w:val="none"/>
          <w:lang w:val="zh-CN"/>
        </w:rPr>
        <w:t>标项二报价表</w:t>
      </w:r>
    </w:p>
    <w:p w14:paraId="3E1BF3AF">
      <w:pPr>
        <w:pStyle w:val="33"/>
        <w:shd w:val="clear"/>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一、</w:t>
      </w:r>
      <w:r>
        <w:rPr>
          <w:rFonts w:hint="eastAsia" w:ascii="仿宋" w:hAnsi="仿宋" w:eastAsia="仿宋" w:cs="仿宋"/>
          <w:b/>
          <w:bCs/>
          <w:color w:val="auto"/>
          <w:sz w:val="24"/>
          <w:szCs w:val="24"/>
          <w:highlight w:val="none"/>
        </w:rPr>
        <w:t>招标项目清单</w:t>
      </w:r>
    </w:p>
    <w:tbl>
      <w:tblPr>
        <w:tblStyle w:val="62"/>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96"/>
        <w:gridCol w:w="754"/>
        <w:gridCol w:w="5420"/>
        <w:gridCol w:w="1305"/>
      </w:tblGrid>
      <w:tr w14:paraId="319C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800" w:type="dxa"/>
            <w:gridSpan w:val="5"/>
            <w:shd w:val="clear" w:color="000000" w:fill="FFFFFF"/>
            <w:vAlign w:val="center"/>
          </w:tcPr>
          <w:p w14:paraId="00EC9D4F">
            <w:pPr>
              <w:widowControl/>
              <w:shd w:val="clear"/>
              <w:jc w:val="left"/>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第一部分：网络安全技术服务部分</w:t>
            </w:r>
          </w:p>
        </w:tc>
      </w:tr>
      <w:tr w14:paraId="6349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5E04B0CC">
            <w:pPr>
              <w:widowControl/>
              <w:shd w:val="clear"/>
              <w:jc w:val="left"/>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序号</w:t>
            </w:r>
          </w:p>
        </w:tc>
        <w:tc>
          <w:tcPr>
            <w:tcW w:w="896" w:type="dxa"/>
            <w:shd w:val="clear" w:color="000000" w:fill="FFFFFF"/>
            <w:vAlign w:val="center"/>
          </w:tcPr>
          <w:p w14:paraId="7E5E4FDD">
            <w:pPr>
              <w:widowControl/>
              <w:shd w:val="clear"/>
              <w:jc w:val="left"/>
              <w:rPr>
                <w:rFonts w:hint="default"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服务项目</w:t>
            </w:r>
          </w:p>
        </w:tc>
        <w:tc>
          <w:tcPr>
            <w:tcW w:w="754" w:type="dxa"/>
            <w:shd w:val="clear" w:color="000000" w:fill="FFFFFF"/>
            <w:vAlign w:val="center"/>
          </w:tcPr>
          <w:p w14:paraId="3D13605D">
            <w:pPr>
              <w:widowControl/>
              <w:shd w:val="clear"/>
              <w:jc w:val="left"/>
              <w:rPr>
                <w:rFonts w:hint="default"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服务年限</w:t>
            </w:r>
          </w:p>
        </w:tc>
        <w:tc>
          <w:tcPr>
            <w:tcW w:w="5420" w:type="dxa"/>
            <w:shd w:val="clear" w:color="000000" w:fill="FFFFFF"/>
            <w:vAlign w:val="center"/>
          </w:tcPr>
          <w:p w14:paraId="6CFDC2CB">
            <w:pPr>
              <w:widowControl/>
              <w:shd w:val="clear"/>
              <w:jc w:val="left"/>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型号和规格（或具体服务）</w:t>
            </w:r>
          </w:p>
        </w:tc>
        <w:tc>
          <w:tcPr>
            <w:tcW w:w="1305" w:type="dxa"/>
            <w:shd w:val="clear" w:color="000000" w:fill="FFFFFF"/>
            <w:vAlign w:val="center"/>
          </w:tcPr>
          <w:p w14:paraId="09A0C43B">
            <w:pPr>
              <w:widowControl/>
              <w:shd w:val="clear"/>
              <w:jc w:val="left"/>
              <w:rPr>
                <w:rFonts w:hint="default"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分项报价</w:t>
            </w:r>
          </w:p>
        </w:tc>
      </w:tr>
      <w:tr w14:paraId="1284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5258618F">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96" w:type="dxa"/>
            <w:shd w:val="clear" w:color="000000" w:fill="FFFFFF"/>
            <w:vAlign w:val="center"/>
          </w:tcPr>
          <w:p w14:paraId="2A859955">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安全咨询与规划服务</w:t>
            </w:r>
          </w:p>
        </w:tc>
        <w:tc>
          <w:tcPr>
            <w:tcW w:w="754" w:type="dxa"/>
            <w:shd w:val="clear" w:color="000000" w:fill="FFFFFF"/>
            <w:vAlign w:val="center"/>
          </w:tcPr>
          <w:p w14:paraId="44F48581">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420" w:type="dxa"/>
            <w:shd w:val="clear" w:color="000000" w:fill="FFFFFF"/>
            <w:vAlign w:val="center"/>
          </w:tcPr>
          <w:p w14:paraId="133219CF">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服务描述:</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依据等级保护2.0相关标准，结合绍兴市公共交通集团有限公司信息系统具体情况，建立完整的信息安全管理体系，达到动态的、系统的、制定化的、以预防为主的信息管理方式，用最低的成本，达到可接受的信息安全水平，最大限度保证业务的持续性。</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服务方式：现场/远程</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服务范围：绍兴市公共交通集团</w:t>
            </w:r>
            <w:r>
              <w:rPr>
                <w:rFonts w:hint="eastAsia" w:ascii="仿宋" w:hAnsi="仿宋" w:eastAsia="仿宋" w:cs="仿宋"/>
                <w:color w:val="auto"/>
                <w:kern w:val="0"/>
                <w:sz w:val="24"/>
                <w:highlight w:val="none"/>
                <w:lang w:val="en-US" w:eastAsia="zh-CN"/>
              </w:rPr>
              <w:t>及下属单位</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服务频率：1次</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服务输出：《安全规划方案》</w:t>
            </w:r>
          </w:p>
        </w:tc>
        <w:tc>
          <w:tcPr>
            <w:tcW w:w="1305" w:type="dxa"/>
            <w:shd w:val="clear" w:color="000000" w:fill="FFFFFF"/>
            <w:vAlign w:val="center"/>
          </w:tcPr>
          <w:p w14:paraId="332DF312">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3AFC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2711D52C">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896" w:type="dxa"/>
            <w:shd w:val="clear" w:color="000000" w:fill="FFFFFF"/>
            <w:vAlign w:val="center"/>
          </w:tcPr>
          <w:p w14:paraId="63052C82">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漏洞分析与加固服务</w:t>
            </w:r>
          </w:p>
        </w:tc>
        <w:tc>
          <w:tcPr>
            <w:tcW w:w="754" w:type="dxa"/>
            <w:shd w:val="clear" w:color="000000" w:fill="FFFFFF"/>
            <w:vAlign w:val="center"/>
          </w:tcPr>
          <w:p w14:paraId="249F0485">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420" w:type="dxa"/>
            <w:shd w:val="clear" w:color="000000" w:fill="FFFFFF"/>
            <w:vAlign w:val="center"/>
          </w:tcPr>
          <w:p w14:paraId="1F99BA53">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服务描述：</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网络安全讲一百遍不如打一遍，实战化是检验网络安全防护能力的唯一标准。一个漏洞的存在给业务系统带来的危害是致命的，不可想象的。漏洞被利用导致的信息安全事件不胜枚举，轻者业务系统运行缓慢和中断，重则敏感数据泄露或丢失。发现高（中）风险问题后，涉及到相关业务系统的提出加固整改建议。</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服务内容：</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1）安全漏洞检测：如操作系统、中间件、B/S业务系统、数据库等漏洞；</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2）业务逻辑漏洞检测：如后台登录处存在逻辑错误，登陆时没有错误次数限制用户登录，并且没有判断验证码过期，导致验证码可以重复使用，可被爆破用户名密码或撞库；</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3）Webshell检测：如网页后门程序、线程插入后门程序、扩展后门程序；</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4）弱口令核查，复用口令核查。</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服务人数：2人</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服务方式：现场</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服务对象：绍兴市公共交通集团重要信息系统</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服务频率：2次/年</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服务输出：《漏洞评估报告》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工具要求：</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支持检测的漏洞数大于230000条，兼容CVE、CNNVD、CNVD、Bugtraq等主流标准。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支持国产操作系统的漏洞扫描，包括麒麟（Kylin）、统信（UnionTech OS）、中兴新节点（NewStart CGSL）等。</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支持操作系统、网络设备、数据库、中间件等漏洞扫描。</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支持采用SMB、RDP、Telnet、SSH等协议对系统进行登录扫描。</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支持全面扫描、资产发现、系统漏洞扫描、弱口令扫描、WEB漏洞扫描、基线配置核查六种任务类型，其中全面扫描支持系统漏洞扫描、WEB漏洞扫描、弱口令扫描同时执行。</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提供检测结果综述分析，按照等保2.0的检测项要求，统计客户业务系统存在的不符合、部分符合、符合、待确认、不适用检测项，直观了解自身业务系统合规情况。</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产品支持对系统漏洞、WEB漏洞、基线配置、弱口令进行扫描和分析，可同时输出包含系统漏洞扫描、WEB漏洞扫描、基线配置核查、弱口令扫描结果的报表。</w:t>
            </w:r>
          </w:p>
        </w:tc>
        <w:tc>
          <w:tcPr>
            <w:tcW w:w="1305" w:type="dxa"/>
            <w:shd w:val="clear" w:color="000000" w:fill="FFFFFF"/>
            <w:vAlign w:val="center"/>
          </w:tcPr>
          <w:p w14:paraId="25AE32E6">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029A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3FD6C862">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896" w:type="dxa"/>
            <w:shd w:val="clear" w:color="000000" w:fill="FFFFFF"/>
            <w:vAlign w:val="center"/>
          </w:tcPr>
          <w:p w14:paraId="7EC6AB3C">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应急演练服务（桌面推演）2个演练剧本</w:t>
            </w:r>
          </w:p>
        </w:tc>
        <w:tc>
          <w:tcPr>
            <w:tcW w:w="754" w:type="dxa"/>
            <w:shd w:val="clear" w:color="000000" w:fill="FFFFFF"/>
            <w:vAlign w:val="center"/>
          </w:tcPr>
          <w:p w14:paraId="17C0B27E">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420" w:type="dxa"/>
            <w:shd w:val="clear" w:color="000000" w:fill="FFFFFF"/>
            <w:vAlign w:val="center"/>
          </w:tcPr>
          <w:p w14:paraId="422860FC">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服务描述:</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网络安全应急演练服务覆盖演练准备工作、演练环境搭建、演练剧本编写、演练彩排工作、正式演练大会活动、应急演练总结等各个阶段，帮助绍兴市公共交通集团实现全面有效的应急演练。通过应急演练工作，进一步明确各应急小组在应急响应工作中的职责，熟悉掌握应急响应的处置程序、方法和注意事项，有效提高绍兴市公共交通集团整体应急响应的反应能力、指挥水平和实战能力，增强各部门应急人员之间的协调性，检验单位应急救援预案的可行性和可操作性，使其达到应急演练的预期效果。</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服务方式：现场演练</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服务范围：绍兴市公共交通集团</w:t>
            </w:r>
            <w:r>
              <w:rPr>
                <w:rFonts w:hint="eastAsia" w:ascii="仿宋" w:hAnsi="仿宋" w:eastAsia="仿宋" w:cs="仿宋"/>
                <w:color w:val="auto"/>
                <w:kern w:val="0"/>
                <w:sz w:val="24"/>
                <w:highlight w:val="none"/>
                <w:lang w:val="en-US" w:eastAsia="zh-CN"/>
              </w:rPr>
              <w:t>及下属单位</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服务频率：1次</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演练脚本：2个</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服务输出：《应急演练方案》、《应急演练总结报告》</w:t>
            </w:r>
          </w:p>
        </w:tc>
        <w:tc>
          <w:tcPr>
            <w:tcW w:w="1305" w:type="dxa"/>
            <w:shd w:val="clear" w:color="000000" w:fill="FFFFFF"/>
            <w:vAlign w:val="center"/>
          </w:tcPr>
          <w:p w14:paraId="6AA84528">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7FD9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tcBorders>
              <w:bottom w:val="single" w:color="auto" w:sz="4" w:space="0"/>
            </w:tcBorders>
            <w:shd w:val="clear" w:color="000000" w:fill="FFFFFF"/>
            <w:vAlign w:val="center"/>
          </w:tcPr>
          <w:p w14:paraId="50B22D7A">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896" w:type="dxa"/>
            <w:tcBorders>
              <w:bottom w:val="single" w:color="auto" w:sz="4" w:space="0"/>
            </w:tcBorders>
            <w:shd w:val="clear" w:color="000000" w:fill="FFFFFF"/>
            <w:vAlign w:val="center"/>
          </w:tcPr>
          <w:p w14:paraId="34303DD9">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应急响应与溯源服务</w:t>
            </w:r>
          </w:p>
        </w:tc>
        <w:tc>
          <w:tcPr>
            <w:tcW w:w="754" w:type="dxa"/>
            <w:tcBorders>
              <w:bottom w:val="single" w:color="auto" w:sz="4" w:space="0"/>
            </w:tcBorders>
            <w:shd w:val="clear" w:color="000000" w:fill="FFFFFF"/>
            <w:vAlign w:val="center"/>
          </w:tcPr>
          <w:p w14:paraId="4A4E5AC5">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420" w:type="dxa"/>
            <w:tcBorders>
              <w:bottom w:val="single" w:color="auto" w:sz="4" w:space="0"/>
            </w:tcBorders>
            <w:shd w:val="clear" w:color="000000" w:fill="FFFFFF"/>
            <w:vAlign w:val="center"/>
          </w:tcPr>
          <w:p w14:paraId="331E8AAC">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工作内容：</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在发生确切的网络安全事件时，应急响应实施人员应及时采取行动，限制事件扩散和影响的范围，检查所有受影响的系统，在准确判断安全事件原因的基础上，提出基于安全事件解决方案，追查事件来源，协助后续处置。</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服务人数：2人</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服务方式：现场或远程</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服务对象：绍兴市公共交通集团重要信息系统</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服务频率：按需响应，不限次数</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时间要求：不限次数。1小时内抵达客户现场，2小时内定位问题，4小时内控制风险、事件。</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服务输出：《应急响应处置报告》</w:t>
            </w:r>
          </w:p>
        </w:tc>
        <w:tc>
          <w:tcPr>
            <w:tcW w:w="1305" w:type="dxa"/>
            <w:tcBorders>
              <w:bottom w:val="single" w:color="auto" w:sz="4" w:space="0"/>
            </w:tcBorders>
            <w:shd w:val="clear" w:color="000000" w:fill="FFFFFF"/>
            <w:vAlign w:val="center"/>
          </w:tcPr>
          <w:p w14:paraId="630B5EC5">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7861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800" w:type="dxa"/>
            <w:gridSpan w:val="5"/>
            <w:tcBorders>
              <w:top w:val="single" w:color="auto" w:sz="4" w:space="0"/>
              <w:left w:val="nil"/>
              <w:bottom w:val="single" w:color="auto" w:sz="4" w:space="0"/>
              <w:right w:val="nil"/>
            </w:tcBorders>
            <w:shd w:val="clear" w:color="000000" w:fill="FFFFFF"/>
            <w:vAlign w:val="center"/>
          </w:tcPr>
          <w:p w14:paraId="5529FFE0">
            <w:pPr>
              <w:widowControl/>
              <w:shd w:val="clear"/>
              <w:jc w:val="left"/>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第二部分：网络维护服务部分</w:t>
            </w:r>
          </w:p>
        </w:tc>
      </w:tr>
      <w:tr w14:paraId="75F0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tcBorders>
              <w:top w:val="single" w:color="auto" w:sz="4" w:space="0"/>
              <w:left w:val="single" w:color="auto" w:sz="4" w:space="0"/>
              <w:bottom w:val="single" w:color="auto" w:sz="4" w:space="0"/>
              <w:right w:val="single" w:color="auto" w:sz="4" w:space="0"/>
            </w:tcBorders>
            <w:shd w:val="clear" w:color="000000" w:fill="FFFFFF"/>
            <w:vAlign w:val="center"/>
          </w:tcPr>
          <w:p w14:paraId="1409EF21">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序号</w:t>
            </w:r>
          </w:p>
        </w:tc>
        <w:tc>
          <w:tcPr>
            <w:tcW w:w="896" w:type="dxa"/>
            <w:tcBorders>
              <w:top w:val="single" w:color="auto" w:sz="4" w:space="0"/>
              <w:left w:val="single" w:color="auto" w:sz="4" w:space="0"/>
              <w:bottom w:val="single" w:color="auto" w:sz="4" w:space="0"/>
              <w:right w:val="single" w:color="auto" w:sz="4" w:space="0"/>
            </w:tcBorders>
            <w:shd w:val="clear" w:color="000000" w:fill="FFFFFF"/>
            <w:vAlign w:val="center"/>
          </w:tcPr>
          <w:p w14:paraId="27370C5C">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服务项目</w:t>
            </w:r>
          </w:p>
        </w:tc>
        <w:tc>
          <w:tcPr>
            <w:tcW w:w="754" w:type="dxa"/>
            <w:tcBorders>
              <w:top w:val="single" w:color="auto" w:sz="4" w:space="0"/>
              <w:left w:val="single" w:color="auto" w:sz="4" w:space="0"/>
              <w:bottom w:val="single" w:color="auto" w:sz="4" w:space="0"/>
              <w:right w:val="single" w:color="auto" w:sz="4" w:space="0"/>
            </w:tcBorders>
            <w:shd w:val="clear" w:color="000000" w:fill="FFFFFF"/>
            <w:vAlign w:val="center"/>
          </w:tcPr>
          <w:p w14:paraId="6C191DF7">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服务年限</w:t>
            </w:r>
          </w:p>
        </w:tc>
        <w:tc>
          <w:tcPr>
            <w:tcW w:w="5420" w:type="dxa"/>
            <w:tcBorders>
              <w:top w:val="single" w:color="auto" w:sz="4" w:space="0"/>
              <w:left w:val="single" w:color="auto" w:sz="4" w:space="0"/>
              <w:bottom w:val="single" w:color="auto" w:sz="4" w:space="0"/>
              <w:right w:val="single" w:color="auto" w:sz="4" w:space="0"/>
            </w:tcBorders>
            <w:shd w:val="clear" w:color="000000" w:fill="FFFFFF"/>
            <w:vAlign w:val="center"/>
          </w:tcPr>
          <w:p w14:paraId="2B0BA5A3">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rPr>
              <w:t>型号和规格（或具体服务）</w:t>
            </w:r>
          </w:p>
        </w:tc>
        <w:tc>
          <w:tcPr>
            <w:tcW w:w="1305" w:type="dxa"/>
            <w:tcBorders>
              <w:top w:val="single" w:color="auto" w:sz="4" w:space="0"/>
              <w:left w:val="single" w:color="auto" w:sz="4" w:space="0"/>
              <w:bottom w:val="single" w:color="auto" w:sz="4" w:space="0"/>
              <w:right w:val="single" w:color="auto" w:sz="4" w:space="0"/>
            </w:tcBorders>
            <w:shd w:val="clear" w:color="000000" w:fill="FFFFFF"/>
            <w:vAlign w:val="center"/>
          </w:tcPr>
          <w:p w14:paraId="3345F652">
            <w:pPr>
              <w:widowControl/>
              <w:shd w:val="clear"/>
              <w:jc w:val="left"/>
              <w:rPr>
                <w:rFonts w:hint="default"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分项报价</w:t>
            </w:r>
          </w:p>
        </w:tc>
      </w:tr>
      <w:tr w14:paraId="7A58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tcBorders>
              <w:top w:val="single" w:color="auto" w:sz="4" w:space="0"/>
            </w:tcBorders>
            <w:shd w:val="clear" w:color="000000" w:fill="FFFFFF"/>
            <w:vAlign w:val="center"/>
          </w:tcPr>
          <w:p w14:paraId="569470A4">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96" w:type="dxa"/>
            <w:tcBorders>
              <w:top w:val="single" w:color="auto" w:sz="4" w:space="0"/>
            </w:tcBorders>
            <w:shd w:val="clear" w:color="000000" w:fill="FFFFFF"/>
            <w:vAlign w:val="center"/>
          </w:tcPr>
          <w:p w14:paraId="7CA07A64">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集团机房日常网络系统维护（机房及服务器及网络系统等信息化系统）</w:t>
            </w:r>
          </w:p>
        </w:tc>
        <w:tc>
          <w:tcPr>
            <w:tcW w:w="754" w:type="dxa"/>
            <w:tcBorders>
              <w:top w:val="single" w:color="auto" w:sz="4" w:space="0"/>
            </w:tcBorders>
            <w:shd w:val="clear" w:color="000000" w:fill="FFFFFF"/>
            <w:vAlign w:val="center"/>
          </w:tcPr>
          <w:p w14:paraId="2A540D6A">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420" w:type="dxa"/>
            <w:tcBorders>
              <w:top w:val="single" w:color="auto" w:sz="4" w:space="0"/>
            </w:tcBorders>
            <w:shd w:val="clear" w:color="000000" w:fill="FFFFFF"/>
            <w:vAlign w:val="center"/>
          </w:tcPr>
          <w:p w14:paraId="782CB497">
            <w:pPr>
              <w:widowControl/>
              <w:shd w:val="clear"/>
              <w:jc w:val="left"/>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基础设施管理：</w:t>
            </w:r>
            <w:r>
              <w:rPr>
                <w:rFonts w:hint="eastAsia" w:ascii="仿宋" w:hAnsi="仿宋" w:eastAsia="仿宋" w:cs="仿宋"/>
                <w:color w:val="auto"/>
                <w:kern w:val="0"/>
                <w:sz w:val="24"/>
                <w:highlight w:val="none"/>
              </w:rPr>
              <w:t>1.确保网络通信传输畅通。2.负责网络布线架的管理，确保配线的合理有序。3.掌握客户端设备接入网络情况，以便+发现问题可迅速定位。4.采取技术措施，对网络内经常出现的用户需要变更位置和部门的情况进行管理。5.掌握与外部的链接配置，监督网络通信状况，发现问题后与有关机构及时联系。6.实时监控局域网络的运行河网络通信情况；</w:t>
            </w:r>
            <w:r>
              <w:rPr>
                <w:rFonts w:hint="eastAsia" w:ascii="仿宋" w:hAnsi="仿宋" w:eastAsia="仿宋" w:cs="仿宋"/>
                <w:color w:val="auto"/>
                <w:kern w:val="0"/>
                <w:sz w:val="24"/>
                <w:highlight w:val="none"/>
              </w:rPr>
              <w:br w:type="textWrapping"/>
            </w:r>
            <w:r>
              <w:rPr>
                <w:rFonts w:hint="eastAsia" w:ascii="仿宋" w:hAnsi="仿宋" w:eastAsia="仿宋" w:cs="仿宋"/>
                <w:b/>
                <w:bCs/>
                <w:color w:val="auto"/>
                <w:kern w:val="0"/>
                <w:sz w:val="24"/>
                <w:highlight w:val="none"/>
              </w:rPr>
              <w:t>应用系统管理：</w:t>
            </w:r>
            <w:r>
              <w:rPr>
                <w:rFonts w:hint="eastAsia" w:ascii="仿宋" w:hAnsi="仿宋" w:eastAsia="仿宋" w:cs="仿宋"/>
                <w:color w:val="auto"/>
                <w:kern w:val="0"/>
                <w:sz w:val="24"/>
                <w:highlight w:val="none"/>
              </w:rPr>
              <w:t>1.确保各种网络应用服务运行的不间断性和工作性能的良好性。出现故障时应将造成的损失和影响控制在最小范围；2.对于要求不可中断的关键型网络应用系统，除了在软件手段上要掌握，备份系统参数和定期备份系统、业务数据外，必要时在硬件手段上要建立和配置系统的热备份；</w:t>
            </w:r>
            <w:r>
              <w:rPr>
                <w:rFonts w:hint="eastAsia" w:ascii="仿宋" w:hAnsi="仿宋" w:eastAsia="仿宋" w:cs="仿宋"/>
                <w:color w:val="auto"/>
                <w:kern w:val="0"/>
                <w:sz w:val="24"/>
                <w:highlight w:val="none"/>
              </w:rPr>
              <w:br w:type="textWrapping"/>
            </w:r>
            <w:r>
              <w:rPr>
                <w:rFonts w:hint="eastAsia" w:ascii="仿宋" w:hAnsi="仿宋" w:eastAsia="仿宋" w:cs="仿宋"/>
                <w:b/>
                <w:bCs/>
                <w:color w:val="auto"/>
                <w:kern w:val="0"/>
                <w:sz w:val="24"/>
                <w:highlight w:val="none"/>
              </w:rPr>
              <w:t>路由、局域网环境检查：</w:t>
            </w:r>
            <w:r>
              <w:rPr>
                <w:rFonts w:hint="eastAsia" w:ascii="仿宋" w:hAnsi="仿宋" w:eastAsia="仿宋" w:cs="仿宋"/>
                <w:color w:val="auto"/>
                <w:kern w:val="0"/>
                <w:sz w:val="24"/>
                <w:highlight w:val="none"/>
              </w:rPr>
              <w:t>1.测试到路由、交换机以及外部网络的连通性。2.查看所有路由、交换机端口以及状态灯的工作状态，保证设备工作正常。3.检查网关设备（防火墙、路由）工作状态，确保外网连接正常。4.检查网络线缆，确保网络线缆完好无损</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相关资质：中标后提供机房安全设备（防火墙等）维护授权资质</w:t>
            </w:r>
          </w:p>
        </w:tc>
        <w:tc>
          <w:tcPr>
            <w:tcW w:w="1305" w:type="dxa"/>
            <w:tcBorders>
              <w:top w:val="single" w:color="auto" w:sz="4" w:space="0"/>
            </w:tcBorders>
            <w:shd w:val="clear" w:color="000000" w:fill="FFFFFF"/>
            <w:vAlign w:val="center"/>
          </w:tcPr>
          <w:p w14:paraId="6ACB6710">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7560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800" w:type="dxa"/>
            <w:gridSpan w:val="5"/>
            <w:shd w:val="clear" w:color="000000" w:fill="FFFFFF"/>
            <w:vAlign w:val="center"/>
          </w:tcPr>
          <w:p w14:paraId="14E3439C">
            <w:pPr>
              <w:widowControl/>
              <w:shd w:val="clear"/>
              <w:jc w:val="left"/>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第三部分：一网统管部分</w:t>
            </w:r>
          </w:p>
        </w:tc>
      </w:tr>
      <w:tr w14:paraId="5F65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3C3DF9A1">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序号</w:t>
            </w:r>
          </w:p>
        </w:tc>
        <w:tc>
          <w:tcPr>
            <w:tcW w:w="896" w:type="dxa"/>
            <w:shd w:val="clear" w:color="000000" w:fill="FFFFFF"/>
            <w:vAlign w:val="center"/>
          </w:tcPr>
          <w:p w14:paraId="7C7824F4">
            <w:pPr>
              <w:widowControl/>
              <w:shd w:val="clear"/>
              <w:jc w:val="center"/>
              <w:rPr>
                <w:rFonts w:hint="default"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设备项目</w:t>
            </w:r>
          </w:p>
        </w:tc>
        <w:tc>
          <w:tcPr>
            <w:tcW w:w="754" w:type="dxa"/>
            <w:shd w:val="clear" w:color="000000" w:fill="FFFFFF"/>
            <w:vAlign w:val="center"/>
          </w:tcPr>
          <w:p w14:paraId="436D6E2C">
            <w:pPr>
              <w:widowControl/>
              <w:shd w:val="clear"/>
              <w:jc w:val="center"/>
              <w:rPr>
                <w:rFonts w:hint="default"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单位</w:t>
            </w:r>
          </w:p>
        </w:tc>
        <w:tc>
          <w:tcPr>
            <w:tcW w:w="5420" w:type="dxa"/>
            <w:shd w:val="clear" w:color="000000" w:fill="FFFFFF"/>
            <w:vAlign w:val="center"/>
          </w:tcPr>
          <w:p w14:paraId="191DC6CF">
            <w:pPr>
              <w:widowControl/>
              <w:shd w:val="clear"/>
              <w:jc w:val="left"/>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rPr>
              <w:t>型号和规格（或具体服务）</w:t>
            </w:r>
          </w:p>
        </w:tc>
        <w:tc>
          <w:tcPr>
            <w:tcW w:w="1305" w:type="dxa"/>
            <w:shd w:val="clear" w:color="000000" w:fill="FFFFFF"/>
            <w:vAlign w:val="center"/>
          </w:tcPr>
          <w:p w14:paraId="5C078C76">
            <w:pPr>
              <w:widowControl/>
              <w:shd w:val="clear"/>
              <w:jc w:val="left"/>
              <w:rPr>
                <w:rFonts w:hint="default"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lang w:val="en-US" w:eastAsia="zh-CN"/>
              </w:rPr>
              <w:t>分项报价</w:t>
            </w:r>
          </w:p>
        </w:tc>
      </w:tr>
      <w:tr w14:paraId="5922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3ED2B755">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96" w:type="dxa"/>
            <w:shd w:val="clear" w:color="000000" w:fill="FFFFFF"/>
            <w:vAlign w:val="center"/>
          </w:tcPr>
          <w:p w14:paraId="3CF00689">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一网通智能监控平台（国产软件）</w:t>
            </w:r>
          </w:p>
        </w:tc>
        <w:tc>
          <w:tcPr>
            <w:tcW w:w="754" w:type="dxa"/>
            <w:shd w:val="clear" w:color="000000" w:fill="FFFFFF"/>
            <w:vAlign w:val="center"/>
          </w:tcPr>
          <w:p w14:paraId="76CCA687">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5420" w:type="dxa"/>
            <w:shd w:val="clear" w:color="000000" w:fill="FFFFFF"/>
            <w:vAlign w:val="center"/>
          </w:tcPr>
          <w:p w14:paraId="625D312C">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总体要求：产品架构支持中台+微应用架构，支持运维运营化管理， 支持扩展为整个多产品的支持服务平台，根据安全原则，系统用户权限定义原生支持三员分立</w:t>
            </w:r>
          </w:p>
          <w:p w14:paraId="20339B74">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CMDB：▲可自定义不同业务资源主题，覆盖全运维领域，包括监控、 IoT、自动化、资产、视频、DevOps，不同业务主题可通过各自视图查看模型（要求提供功能截图）</w:t>
            </w:r>
          </w:p>
          <w:p w14:paraId="15DFD4E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▲提供配置项（CI项）的变更历史查询，可查看原配置项变更到新值的全历史记录，包括变化时间、变更人属性值。（要求提供功能截图）</w:t>
            </w:r>
          </w:p>
          <w:p w14:paraId="454F0DBB">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运维场景自动化管理：编排语句采取拖拽式、自然语言语句编排</w:t>
            </w:r>
          </w:p>
          <w:p w14:paraId="7F3D9D0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▲提供多种种触发执行场景的能力，包括周期执行、告警驱动、手工执行、指标驱动执行。通过指标驱动执行，可以将场景实现的统计指标作为指标，应用到告警、历史记录、自定义首页部分。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要求提供功能截图）</w:t>
            </w:r>
          </w:p>
          <w:p w14:paraId="36174C6F">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告警管理：▲提供告警信息所属的事件标签分类，并标识出告警持续时间显示，对手工撤销告警的操作，要求标注和展示手工撤销理由、撤销人信息。（要求提供功能截图）</w:t>
            </w:r>
          </w:p>
          <w:p w14:paraId="7338DB44">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支持屏幕颜色告警、告警邮件提醒、和短信猫告警、企业微信、钉钉机器人、数据库输出。</w:t>
            </w:r>
          </w:p>
          <w:p w14:paraId="30C9112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报表管理：支持多个不同指标在同一时间轴中进行对比分析；支持历史记录任意时段拖拽查看，对于超过3个月的历史数据，支持原始采集颗粒度（5分钟)的对比分析。</w:t>
            </w:r>
          </w:p>
          <w:p w14:paraId="55D5137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主机管理：支持系统拓扑图，一张图可以展现所有主机承载的数据库、中间件和标准应用之间的实时状态监控，为主机监控提供全景视图。</w:t>
            </w:r>
          </w:p>
          <w:p w14:paraId="00C28747">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▲提供操作系统的CPU、内存、流量、存储进行涨势分析，主动识别涨势过快的设备。（要求提供功能截图）</w:t>
            </w:r>
          </w:p>
          <w:p w14:paraId="67A613D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支持IPMI方式监控主流国产服务器厂商的硬件，监控内容包括温度、电源、风扇、电压等硬件状态；</w:t>
            </w:r>
          </w:p>
          <w:p w14:paraId="5E3BEDF1">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数据库管理：支持ODBC和JDBC取数方式取数，对SQLServer、Oracle、Sybase、Mysql、Informix、DB2、神通、瀚高等数据库的各项运行参数进行监控；</w:t>
            </w:r>
          </w:p>
          <w:p w14:paraId="738E1CD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支持对于各个数据库实时运行状态的实时统计，包含数据库会话数、死锁数实时排行，支持对表空间大小和会话数、缓存信息、锁信息进行重点监管。</w:t>
            </w:r>
          </w:p>
          <w:p w14:paraId="12092E7C">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支持Oracle Rac 的管理，支持集群分成操作系统、clusterware、实例方式展现，支持动态数据对比，检测各个承载主机的性能表现</w:t>
            </w:r>
          </w:p>
          <w:p w14:paraId="600A561C">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中间件管理：中间件管理必须支持对 WEBLogic、Tuxedo、WebSphere、EAServer、Cognos、MQ、Apache、Tomcat、Jboss、IIS、TongWeb、中创、TAS 等中间件实时监控。</w:t>
            </w:r>
          </w:p>
          <w:p w14:paraId="04BEA8D9">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支持图形化方式显示应用的承载主机状态和应用的基本性能信息，同时展示相关的运维负责人和联系方式。</w:t>
            </w:r>
          </w:p>
          <w:p w14:paraId="76E1E18B">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标准应用管理：支持FTP、SFTP、HTTP、HTTPS、POP3、SMTP、DHCP、JVM、Exchange的监控。</w:t>
            </w:r>
          </w:p>
          <w:p w14:paraId="74BAC16C">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网络管理：系统能支持各大设备厂商的各型号设备，支持多厂商设备组成的混合网络自动发现。拓扑图的生成必须支持网络设备的SNMP V1、V2、V3这三个版本的混和生成，并能对SNMP V3设备进行管理；要求在拓扑图上快速定位IP地址的接入端口，包括服务器IP和PC机IP，并且通过图标进行显示。拓扑图设备间的连线除直线形式外，还可支持以折线、合并线等线型，并可将网络拓扑按照线路图、地域分布图、逻辑关系图等方式呈现；拓扑图线路支持带有流动效果方式展现，支持定义虚实线、粗细、速度等线形设置。；支持在拓扑图上直接调用webssh工具，访问设备和主机。允许保存上一次登陆使用账号密码。支持查询接入IP的历史变更情况查询。支持异常接入终端的告警通知，可以针对未规划设备、未分配IP、未在指定位置接入等多种异常进行自动检测。支持网络拓扑中快速定位PC，并以下标方式显示其使用人信息</w:t>
            </w:r>
          </w:p>
          <w:p w14:paraId="337F338F">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虚拟化管理：实现宿主机配置、状态、性能信息的一体化管理。实现虚拟机配置、状态、性能信息的一体化管理。要求以图形化方式展现虚拟化拓扑，显示宿主机、虚拟机、虚拟网络、数据存储关系，动态显示管理对象负载、告警。</w:t>
            </w:r>
          </w:p>
          <w:p w14:paraId="7A75D2E5">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存储管理：支持存储设备硬件管理，以统一的视图展现被管的各个硬件子项的运行详情，清晰展现各个管理设备的各类型管理状态，并以颜色显著标示出现问题的硬件类型；涉及到磁盘阵列的电源、电池、风扇、温度、磁盘、控制器等各个关键硬件信息；支持存储设备性能管理，提供LUN读IOPS TOP排行；提供LUN写IOPS TOP排行；提供LUN 总 IOPS TOP 排行；提供LUN的总传输字节数TOP 排行； 提供按照传输流量的存储线路排行</w:t>
            </w:r>
          </w:p>
          <w:p w14:paraId="3A6C9647">
            <w:pPr>
              <w:widowControl/>
              <w:shd w:val="clear"/>
              <w:jc w:val="left"/>
              <w:rPr>
                <w:rFonts w:hint="eastAsia" w:ascii="仿宋" w:hAnsi="仿宋" w:eastAsia="仿宋" w:cs="仿宋"/>
                <w:color w:val="auto"/>
                <w:szCs w:val="21"/>
                <w:highlight w:val="none"/>
              </w:rPr>
            </w:pPr>
            <w:r>
              <w:rPr>
                <w:rFonts w:hint="eastAsia" w:ascii="仿宋" w:hAnsi="仿宋" w:eastAsia="仿宋" w:cs="仿宋"/>
                <w:color w:val="auto"/>
                <w:kern w:val="0"/>
                <w:sz w:val="24"/>
                <w:highlight w:val="none"/>
              </w:rPr>
              <w:t>知识库管理：支持自定义知识库的分类。新增知识时，支持对知识设置共享范围，公有知识对所有人可见，私有知识可按人员选定。对于非知识库管理员提交的知识有知识库的审核功能。知识库可在各服务管理流程中被直接引用，支持知识的引用次数统计。</w:t>
            </w:r>
          </w:p>
        </w:tc>
        <w:tc>
          <w:tcPr>
            <w:tcW w:w="1305" w:type="dxa"/>
            <w:shd w:val="clear" w:color="000000" w:fill="FFFFFF"/>
            <w:vAlign w:val="center"/>
          </w:tcPr>
          <w:p w14:paraId="514CFDE4">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4546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65902C39">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896" w:type="dxa"/>
            <w:shd w:val="clear" w:color="000000" w:fill="FFFFFF"/>
            <w:vAlign w:val="center"/>
          </w:tcPr>
          <w:p w14:paraId="4B312114">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内外专网终端防非法外联技术参</w:t>
            </w:r>
            <w:r>
              <w:rPr>
                <w:rFonts w:hint="eastAsia" w:ascii="仿宋" w:hAnsi="仿宋" w:eastAsia="仿宋" w:cs="仿宋"/>
                <w:color w:val="auto"/>
                <w:kern w:val="0"/>
                <w:sz w:val="24"/>
                <w:highlight w:val="none"/>
              </w:rPr>
              <w:t>数（</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设备）</w:t>
            </w:r>
          </w:p>
        </w:tc>
        <w:tc>
          <w:tcPr>
            <w:tcW w:w="754" w:type="dxa"/>
            <w:shd w:val="clear" w:color="000000" w:fill="FFFFFF"/>
            <w:vAlign w:val="center"/>
          </w:tcPr>
          <w:p w14:paraId="489488CB">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5420" w:type="dxa"/>
            <w:shd w:val="clear" w:color="auto" w:fill="auto"/>
            <w:vAlign w:val="bottom"/>
          </w:tcPr>
          <w:p w14:paraId="15542779">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性能要求：网络层吞吐量（大包）：≥3Gb，带宽性能：≥250Mb，新建连接数：≥30000，最大并发连接数：2000000。</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硬件要求：规格：≥1U，内存大小：≥8G，硬盘容量：≥500G HDD，电源：单电源，接口：≥4千兆电口，≥2个combo口。</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特征库数量：产品支持应用特征库数量不低于7100+，提供产品界面截图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精细化控制：支持用户上网应用的精细化控制，例如微信的：“微信”“微信语音”“微信发消息”“微信收消息”“微信登录”“微信发文件”“微信收文件”并提供web配置截图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支持移动终端发现管理，可一键添加为信任终端、发现终端后可邮件告警/冻结等，支持趋势图呈现移动终端接入趋势及列表详情等</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用户画像：支持用户虚拟身份画像，以时间轴的形式展示用户上网行为轨迹；支持单用户全天行为分析报表，一个界面同时展示用户名、用户组、在线时长、虚拟身份（如QQ号码、微博账号等）、日志关联情况、全天流量使用分布、网站访问类别分布、全天关键网络行为轴等信息，支持对单用户进行网站访问质量检测，提供web界面截图（提供第三方测试报告证明，并加盖CNAS章）</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文件缓存：支持文件缓存，支持安卓和IOS形式的文件，主动缓存文件形式包含APP应用等，提供web配置截图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资产梳理：支持对内网资产的IP、用户、部门、操作系统、重要程度、可用服务、是否可信进行统一梳理，发现问题资产支持阻断IP，提供产品截图</w:t>
            </w:r>
          </w:p>
        </w:tc>
        <w:tc>
          <w:tcPr>
            <w:tcW w:w="1305" w:type="dxa"/>
            <w:shd w:val="clear" w:color="000000" w:fill="FFFFFF"/>
            <w:vAlign w:val="center"/>
          </w:tcPr>
          <w:p w14:paraId="2ADE5ACE">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C4F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256C943D">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896" w:type="dxa"/>
            <w:shd w:val="clear" w:color="000000" w:fill="FFFFFF"/>
            <w:vAlign w:val="center"/>
          </w:tcPr>
          <w:p w14:paraId="7D56D6B1">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内外网专网政务网及一公司防火</w:t>
            </w:r>
            <w:r>
              <w:rPr>
                <w:rFonts w:hint="eastAsia" w:ascii="仿宋" w:hAnsi="仿宋" w:eastAsia="仿宋" w:cs="仿宋"/>
                <w:color w:val="auto"/>
                <w:kern w:val="0"/>
                <w:sz w:val="24"/>
                <w:highlight w:val="none"/>
              </w:rPr>
              <w:t>墙  （</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设备）</w:t>
            </w:r>
          </w:p>
        </w:tc>
        <w:tc>
          <w:tcPr>
            <w:tcW w:w="754" w:type="dxa"/>
            <w:shd w:val="clear" w:color="000000" w:fill="FFFFFF"/>
            <w:vAlign w:val="center"/>
          </w:tcPr>
          <w:p w14:paraId="0974762E">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5420" w:type="dxa"/>
            <w:shd w:val="clear" w:color="000000" w:fill="FFFFFF"/>
            <w:vAlign w:val="center"/>
          </w:tcPr>
          <w:p w14:paraId="184A382E">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性能要求：网络层吞吐量：≥6Gbps。TCP新建连接速率：≥200w。 TCP并发连接数：≥5w。</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硬件要求：≥4个千兆电口和4个千兆光口,冗余电源,≥2个扩展槽位</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NAT功能：支持NAT44、NAT46、NAT64、NAT66</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VPN：可基于每个SSL VPN用户的会话连接数、连接时间和流量阀值进行细颗粒度的管控。（提供功能截图）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支持IPsec VPN智能选路，根据隧道质量调度流量。（提供功能截图）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应用识别：支持至少9000条以上的应用识别，且提示风险类型及风险级别，便于用户根据实际情况进行上网行为管理。（提供截图）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安全策略：支持基于域名的安全策略模糊匹配（提供功能截图）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策略风险调优，支持安全策略优化分析，支持策略数冗余及命中分析，支持基于应用风险的自动批量和手动逐条策略调优，可根据流量、应用、风险类型等细粒度展示，并给出总体安全评分，便于用户更好的管理安全策略。（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加密流量检测：支持HTTPS加密流量的安全检测，支持TCP代理和SSL代理，且代理策略中可同时配置多类过滤条件，具体包括：源安全域、目的安全域、源地址、目的地址、用户和服务。一类过滤条件可以配置多个匹配项（提供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虚拟化能力：所投设备须支持虚拟防火墙功能：支持虚拟防火墙的创建、启动、关闭、删除功能；可独立分配CPU/内存等计算资源；虚拟防火墙可独立管理，独立保存配置；虚拟防火墙具备独立会话管理、NAT、路由等功能。上述功能要求提供功能截图</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支持Context+VRF二级虚拟化技术，支持CPU、内存、存储等硬件资源划分的完全虚拟化</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支持vSys虚拟防火墙技术，可以将一台物理设备虚拟成N台相互独立的虚拟设备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产品资质：所投产品须具备国芯证明材料</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具备中国网络安全审查技术与认证中心颁发的EAL4增强级认证证书</w:t>
            </w:r>
          </w:p>
        </w:tc>
        <w:tc>
          <w:tcPr>
            <w:tcW w:w="1305" w:type="dxa"/>
            <w:shd w:val="clear" w:color="000000" w:fill="FFFFFF"/>
            <w:vAlign w:val="center"/>
          </w:tcPr>
          <w:p w14:paraId="3B0E705E">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129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58D6CDA7">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896" w:type="dxa"/>
            <w:shd w:val="clear" w:color="000000" w:fill="FFFFFF"/>
            <w:vAlign w:val="center"/>
          </w:tcPr>
          <w:p w14:paraId="27C25A67">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流控</w:t>
            </w:r>
            <w:r>
              <w:rPr>
                <w:rFonts w:hint="eastAsia" w:ascii="仿宋" w:hAnsi="仿宋" w:eastAsia="仿宋" w:cs="仿宋"/>
                <w:color w:val="auto"/>
                <w:kern w:val="0"/>
                <w:sz w:val="24"/>
                <w:highlight w:val="none"/>
              </w:rPr>
              <w:t>交换机（</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w:t>
            </w:r>
            <w:r>
              <w:rPr>
                <w:rFonts w:hint="eastAsia" w:ascii="仿宋" w:hAnsi="仿宋" w:eastAsia="仿宋" w:cs="仿宋"/>
                <w:color w:val="auto"/>
                <w:kern w:val="0"/>
                <w:sz w:val="24"/>
                <w:highlight w:val="none"/>
              </w:rPr>
              <w:t>备）</w:t>
            </w:r>
          </w:p>
        </w:tc>
        <w:tc>
          <w:tcPr>
            <w:tcW w:w="754" w:type="dxa"/>
            <w:shd w:val="clear" w:color="000000" w:fill="FFFFFF"/>
            <w:vAlign w:val="center"/>
          </w:tcPr>
          <w:p w14:paraId="37D5BDD5">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5420" w:type="dxa"/>
            <w:shd w:val="clear" w:color="000000" w:fill="FFFFFF"/>
            <w:vAlign w:val="center"/>
          </w:tcPr>
          <w:p w14:paraId="35FDA228">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1.交换容量≥672Gbps，包转发率≥171Mpps，以官网所列最低参数为准，提供官网清晰截图及链接证明；</w:t>
            </w:r>
          </w:p>
          <w:p w14:paraId="75A1A69F">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2.≥28个10/100/1000Base-T以太网端口，≥8个万兆 SFP+，提供设备官网截图和链接证明；</w:t>
            </w:r>
          </w:p>
          <w:p w14:paraId="27582D97">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▲3.CPU和LSW要求国产化，提供国产测试报告</w:t>
            </w:r>
          </w:p>
          <w:p w14:paraId="2FC4A978">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▲4.支持硬件BFD，支持BFD 3ms最小探测间隔，提供封面具备 CMA 或 CNAS 标识的检测报告复印件证明</w:t>
            </w:r>
          </w:p>
          <w:p w14:paraId="44C0D403">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5.支持IPv4静态路由、RIP、OSPF</w:t>
            </w:r>
          </w:p>
          <w:p w14:paraId="5150BB13">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6.支持IPv6静态路由、OSPFv3及加密</w:t>
            </w:r>
          </w:p>
          <w:p w14:paraId="0E3A1D33">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7.支持SP、WRR等队列调度方式</w:t>
            </w:r>
          </w:p>
          <w:p w14:paraId="4D858F04">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三年质保</w:t>
            </w:r>
          </w:p>
        </w:tc>
        <w:tc>
          <w:tcPr>
            <w:tcW w:w="1305" w:type="dxa"/>
            <w:shd w:val="clear" w:color="000000" w:fill="FFFFFF"/>
            <w:vAlign w:val="center"/>
          </w:tcPr>
          <w:p w14:paraId="090C2C7E">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5F1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71FF5B92">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896" w:type="dxa"/>
            <w:shd w:val="clear" w:color="000000" w:fill="FFFFFF"/>
            <w:vAlign w:val="center"/>
          </w:tcPr>
          <w:p w14:paraId="53F7F634">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内网核心交换机（国产）</w:t>
            </w:r>
          </w:p>
        </w:tc>
        <w:tc>
          <w:tcPr>
            <w:tcW w:w="754" w:type="dxa"/>
            <w:shd w:val="clear" w:color="000000" w:fill="FFFFFF"/>
            <w:vAlign w:val="center"/>
          </w:tcPr>
          <w:p w14:paraId="423C7D88">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5420" w:type="dxa"/>
            <w:shd w:val="clear" w:color="000000" w:fill="FFFFFF"/>
            <w:vAlign w:val="center"/>
          </w:tcPr>
          <w:p w14:paraId="777E3DD2">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采用国产化芯片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交换容量≥76.8Tbps，包转发率≥57600Mpps，若官网存在两个指标，以官网所列最低参数为准；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配置冗余主控，冗余电源，≥72千兆电口≥20千兆光口≥4万兆光口，≥6个业务槽位</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▲支持FW防火墙和IPS防火墙业务卡，提供第三方测试报告；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支持横向虚拟化技术，具备四虚一</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支持16条40G堆叠链路，堆叠带宽能达到双向1.28T，提供第三方测试报告；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支持VxLAN ，能够实现基于IPv4/IPv6的VxLAN二三层互通（包括分布式网关或集中式网关），支持VxLAN OAM ping 和 tracert，提供第三方测试报告；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支持融合AC功能，无需额外配置单独硬件，在交换机上实现对AP的接入控制和管理，有线无线用户的统一认证管理，提供第三方测试报告；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▲支持内置智能图形化管理功能，对于下联设备具备统一管理的功能，能够通过图形化界面对组内设备进行配置文件一键下发，对拓扑内的设备或设备组批量进行版本升级，提供第三方测试报告；</w:t>
            </w:r>
          </w:p>
        </w:tc>
        <w:tc>
          <w:tcPr>
            <w:tcW w:w="1305" w:type="dxa"/>
            <w:shd w:val="clear" w:color="000000" w:fill="FFFFFF"/>
            <w:vAlign w:val="center"/>
          </w:tcPr>
          <w:p w14:paraId="0A5ACBED">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5031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1B67A800">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w:t>
            </w:r>
          </w:p>
        </w:tc>
        <w:tc>
          <w:tcPr>
            <w:tcW w:w="896" w:type="dxa"/>
            <w:shd w:val="clear" w:color="000000" w:fill="FFFFFF"/>
            <w:vAlign w:val="center"/>
          </w:tcPr>
          <w:p w14:paraId="0206C45A">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外网核心交换机（国产）</w:t>
            </w:r>
          </w:p>
        </w:tc>
        <w:tc>
          <w:tcPr>
            <w:tcW w:w="754" w:type="dxa"/>
            <w:shd w:val="clear" w:color="000000" w:fill="FFFFFF"/>
            <w:vAlign w:val="center"/>
          </w:tcPr>
          <w:p w14:paraId="64301181">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5420" w:type="dxa"/>
            <w:shd w:val="clear" w:color="000000" w:fill="FFFFFF"/>
            <w:vAlign w:val="center"/>
          </w:tcPr>
          <w:p w14:paraId="5121310D">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采用国产化芯片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交换容量≥76.8Tbps，包转发率≥57600Mpps，若官网存在两个指标，以官网所列最低参数为准；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配置冗余主控，冗余电源，≥24千兆电口≥20千兆光口≥4万兆光口，≥6个业务槽位</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▲支持FW防火墙和IPS防火墙业务卡，提供第三方测试报告；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支持横向虚拟化技术，具备四虚一</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支持16条40G堆叠链路，堆叠带宽能达到双向1.28T，提供第三方测试报告；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支持VxLAN ，能够实现基于IPv4/IPv6的VxLAN二三层互通（包括分布式网关或集中式网关），支持VxLAN OAM ping 和 tracert，提供第三方测试报告；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支持融合AC功能，无需额外配置单独硬件，在交换机上实现对AP的接入控制和管理，有线无线用户的统一认证管理，提供第三方测试报告；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▲支持内置智能图形化管理功能，对于下联设备具备统一管理的功能，能够通过图形化界面对组内设备进行配置文件一键下发，对拓扑内的设备或设备组批量进行版本升级，提供第三方测试报告；</w:t>
            </w:r>
          </w:p>
        </w:tc>
        <w:tc>
          <w:tcPr>
            <w:tcW w:w="1305" w:type="dxa"/>
            <w:shd w:val="clear" w:color="000000" w:fill="FFFFFF"/>
            <w:vAlign w:val="center"/>
          </w:tcPr>
          <w:p w14:paraId="5DA2A4FE">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34CD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2DD1E070">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896" w:type="dxa"/>
            <w:shd w:val="clear" w:color="000000" w:fill="FFFFFF"/>
            <w:vAlign w:val="center"/>
          </w:tcPr>
          <w:p w14:paraId="6A71FDCA">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48口交换机（国产）</w:t>
            </w:r>
          </w:p>
        </w:tc>
        <w:tc>
          <w:tcPr>
            <w:tcW w:w="754" w:type="dxa"/>
            <w:shd w:val="clear" w:color="000000" w:fill="FFFFFF"/>
            <w:vAlign w:val="center"/>
          </w:tcPr>
          <w:p w14:paraId="240D6E95">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5420" w:type="dxa"/>
            <w:shd w:val="clear" w:color="000000" w:fill="FFFFFF"/>
            <w:vAlign w:val="center"/>
          </w:tcPr>
          <w:p w14:paraId="785E2DF4">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采用国产化芯片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交换容量≥672Gbps，转发性能≥207Mpps，提供官网截图证明</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≥48个10/100/1000Base-T自适应以太网接口，6个万兆SFP+接口，左右通风</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支持静态路由，RIP，RIPng,OSPF,等价路由,VRRP/VRRPv3</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支持集群或堆叠多虚一技术（4台），实现单一界面管理多台设备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支持6个万兆口堆叠</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支持ECA(加密流量分析)</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VOQ功能</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CPU保护</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所有端口线速转发</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端口平均时延小于 2us</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硬件BFD 3ms最小间隔</w:t>
            </w:r>
          </w:p>
        </w:tc>
        <w:tc>
          <w:tcPr>
            <w:tcW w:w="1305" w:type="dxa"/>
            <w:shd w:val="clear" w:color="000000" w:fill="FFFFFF"/>
            <w:vAlign w:val="center"/>
          </w:tcPr>
          <w:p w14:paraId="3836DD19">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7346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318F6AE0">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w:t>
            </w:r>
          </w:p>
        </w:tc>
        <w:tc>
          <w:tcPr>
            <w:tcW w:w="896" w:type="dxa"/>
            <w:shd w:val="clear" w:color="000000" w:fill="FFFFFF"/>
            <w:vAlign w:val="center"/>
          </w:tcPr>
          <w:p w14:paraId="45FF7F9B">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专网交换机（国产）</w:t>
            </w:r>
          </w:p>
        </w:tc>
        <w:tc>
          <w:tcPr>
            <w:tcW w:w="754" w:type="dxa"/>
            <w:shd w:val="clear" w:color="000000" w:fill="FFFFFF"/>
            <w:vAlign w:val="center"/>
          </w:tcPr>
          <w:p w14:paraId="13913F25">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5420" w:type="dxa"/>
            <w:shd w:val="clear" w:color="000000" w:fill="FFFFFF"/>
            <w:vAlign w:val="center"/>
          </w:tcPr>
          <w:p w14:paraId="1427F9DA">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采用国产化芯片</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交换容量≥≥248Gbps，转发性能≥120Mpps，提供官网截图证明</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主控转发合一</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端口≥ 8*10GE 且 ≥ 29*GE电</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支持静态路由，RIP，RIPng,OSPF,等价路由,VRRP/VRRPv3</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支持虚拟化特性，将物理上两台设备虚拟化成一台逻辑设备，</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支持在一个物理网络上实现多个逻辑拓扑，指定不同业务流量走不同的逻辑拓扑路由转发，</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随流检测技术，</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支持记录终端用户访问互联网的日志，包括：用户名、源/目的IP地址、时间、访问的域名、URL等，</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kern w:val="0"/>
                <w:sz w:val="24"/>
                <w:highlight w:val="none"/>
              </w:rPr>
              <w:t>第三方机构的测试报告</w:t>
            </w:r>
          </w:p>
        </w:tc>
        <w:tc>
          <w:tcPr>
            <w:tcW w:w="1305" w:type="dxa"/>
            <w:shd w:val="clear" w:color="000000" w:fill="FFFFFF"/>
            <w:vAlign w:val="center"/>
          </w:tcPr>
          <w:p w14:paraId="641D4E3D">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C10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shd w:val="clear" w:color="000000" w:fill="FFFFFF"/>
            <w:vAlign w:val="center"/>
          </w:tcPr>
          <w:p w14:paraId="49297DBB">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896" w:type="dxa"/>
            <w:shd w:val="clear" w:color="000000" w:fill="FFFFFF"/>
            <w:vAlign w:val="center"/>
          </w:tcPr>
          <w:p w14:paraId="701BE0F8">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信息系统安全等级保护测评</w:t>
            </w:r>
          </w:p>
        </w:tc>
        <w:tc>
          <w:tcPr>
            <w:tcW w:w="754" w:type="dxa"/>
            <w:shd w:val="clear" w:color="000000" w:fill="FFFFFF"/>
            <w:vAlign w:val="center"/>
          </w:tcPr>
          <w:p w14:paraId="2CEC1FC8">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5420" w:type="dxa"/>
            <w:shd w:val="clear" w:color="000000" w:fill="FFFFFF"/>
            <w:vAlign w:val="center"/>
          </w:tcPr>
          <w:p w14:paraId="6428E974">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等保二级，根据国家网络安全等级保护相关标准，实施方对信息系统安全等级保护测评，并出具该系统的等级保护测评报告。</w:t>
            </w:r>
          </w:p>
        </w:tc>
        <w:tc>
          <w:tcPr>
            <w:tcW w:w="1305" w:type="dxa"/>
            <w:shd w:val="clear" w:color="000000" w:fill="FFFFFF"/>
            <w:vAlign w:val="center"/>
          </w:tcPr>
          <w:p w14:paraId="36BC4D19">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26AD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25" w:type="dxa"/>
            <w:tcBorders>
              <w:bottom w:val="single" w:color="auto" w:sz="4" w:space="0"/>
            </w:tcBorders>
            <w:shd w:val="clear" w:color="000000" w:fill="FFFFFF"/>
            <w:vAlign w:val="center"/>
          </w:tcPr>
          <w:p w14:paraId="243ED872">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w:t>
            </w:r>
          </w:p>
        </w:tc>
        <w:tc>
          <w:tcPr>
            <w:tcW w:w="896" w:type="dxa"/>
            <w:tcBorders>
              <w:bottom w:val="single" w:color="auto" w:sz="4" w:space="0"/>
            </w:tcBorders>
            <w:shd w:val="clear" w:color="000000" w:fill="FFFFFF"/>
            <w:vAlign w:val="center"/>
          </w:tcPr>
          <w:p w14:paraId="3C18F751">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等保一体</w:t>
            </w:r>
            <w:r>
              <w:rPr>
                <w:rFonts w:hint="eastAsia" w:ascii="仿宋" w:hAnsi="仿宋" w:eastAsia="仿宋" w:cs="仿宋"/>
                <w:color w:val="auto"/>
                <w:kern w:val="0"/>
                <w:sz w:val="24"/>
                <w:highlight w:val="none"/>
              </w:rPr>
              <w:t>机（</w:t>
            </w:r>
            <w:r>
              <w:rPr>
                <w:rFonts w:hint="eastAsia" w:ascii="仿宋" w:hAnsi="仿宋" w:eastAsia="仿宋" w:cs="仿宋"/>
                <w:color w:val="auto"/>
                <w:kern w:val="0"/>
                <w:sz w:val="24"/>
                <w:highlight w:val="none"/>
                <w:lang w:eastAsia="zh-CN"/>
              </w:rPr>
              <w:t>国产</w:t>
            </w:r>
            <w:r>
              <w:rPr>
                <w:rFonts w:hint="eastAsia" w:ascii="仿宋" w:hAnsi="仿宋" w:eastAsia="仿宋" w:cs="仿宋"/>
                <w:color w:val="auto"/>
                <w:kern w:val="0"/>
                <w:sz w:val="24"/>
                <w:highlight w:val="none"/>
              </w:rPr>
              <w:t>设</w:t>
            </w:r>
            <w:r>
              <w:rPr>
                <w:rFonts w:hint="eastAsia" w:ascii="仿宋" w:hAnsi="仿宋" w:eastAsia="仿宋" w:cs="仿宋"/>
                <w:color w:val="auto"/>
                <w:kern w:val="0"/>
                <w:sz w:val="24"/>
                <w:highlight w:val="none"/>
              </w:rPr>
              <w:t>备）</w:t>
            </w:r>
          </w:p>
        </w:tc>
        <w:tc>
          <w:tcPr>
            <w:tcW w:w="754" w:type="dxa"/>
            <w:tcBorders>
              <w:bottom w:val="single" w:color="auto" w:sz="4" w:space="0"/>
            </w:tcBorders>
            <w:shd w:val="clear" w:color="000000" w:fill="FFFFFF"/>
            <w:vAlign w:val="center"/>
          </w:tcPr>
          <w:p w14:paraId="65A94305">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5420" w:type="dxa"/>
            <w:tcBorders>
              <w:bottom w:val="single" w:color="auto" w:sz="4" w:space="0"/>
            </w:tcBorders>
            <w:shd w:val="clear" w:color="000000" w:fill="FFFFFF"/>
            <w:vAlign w:val="center"/>
          </w:tcPr>
          <w:p w14:paraId="4036DADF">
            <w:pPr>
              <w:widowControl/>
              <w:shd w:val="clea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高度2U，千兆电口≥8个，USB接口≥2个，Console口≥1个，扩展槽≥3个；硬盘≥4T；内存≥96G，350W冗余电源；</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首页支持查看账号、产品、方案、待办事项等项目的数量信息，同时能以列表形式展示月订单、待办事项、账户明细等信息</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一、安全运营：</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支持风险资产TOP5、攻击源地区TOP5、攻击类型TO5等信息的图表化呈现，进行不同安全级别的综合判定</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二、报表中心</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支持以自定义周期方式生成综合分析报表和资源运行报表，报表内容可自定义，其中综合分析报表包括安全分析、资产分析、告警分析等内容，资源运行报表包括资源使用情况、运行情况等内容</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三、日志中心</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1）支持提供包括下一代防火墙、Web应用防火墙、堡垒机、数据库审计、日志审计等安全组件的日志展示界面</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一、资源管理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可查看等保一体机所有安全组件的在线/离线状态，cpu、内存、磁盘使用率，流入带宽趋势、流出带宽趋势等信息</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二、组件管理</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1）支持对安全组件进行全生命周期管理，包括安全模块创建、开机、扩容、重启、关机、删除等操作</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2）支持安全组件的流量编排，可按需对流量的来源与目标节点进行策略配置，实现安全模块先后顺序与是否启用的灵活调整</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一、监控可视化</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支持提供监控概览页面，直观呈现组件数量、总CPU核数与使用率、总内存与使用率、总磁盘空间与使用率等信息</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二、智能告警</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1）支持告警列表展示，内容至少包括告警时间、告警规则、告警类型、告警等级、区域等内容，并能按照区域、告警类型、告警等级进行筛选与批量删除等操作</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三、网络拓扑</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1）支持以拖拽的方式进行拓扑的编辑与展示，内置多种拓扑模板</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2）支持拓扑的导入与导出，支持格式至少包括PNG、Json文件</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1）支持防护资产列表展示，根据资产状态划分为高风险、中风险、低风险、比较安全，根据资产价值划分为核心、重要、一般、边缘、未知</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2）支持对安全组件进行策略分析，策略分析内容包括隐藏策略、冗余策略、过期策略、合并策略、未命中策略</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1）支持三权分立</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2）支持创建平台角色，并对角色的菜单权限与操作权限进行自定义设置</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3）支持平台操作审计，对用户名称、IP、操作内容、操作结果、时间等进行展示与查询，并支持操作日志的导出</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▲1）平台内的虚拟磁盘支持内核级 I/O 加速，将虚拟磁盘的 I/O 驱动从用户态迁移到内核态，支持异步 I/O 加速功能（提供具备CNAS标识的第三方检测报告）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▲2）平台支持 B/S 和 C/S 两种架构的安全虚拟机控制台，且 C/S 客户端无任何授权限制，支持将本地文件托拉拽到安全虚拟机内部且支持和本地共享粘贴板（提供具备CNAS标识的第三方检测报告）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▲3）平台具备数据中心全局服务器损坏恢复能力，数据中心内服务器发生不可恢复灾难时，通过存储池容灾功能即可立即恢复对应业务虚拟机（提供具备CNAS标识的第三方检测报告）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▲4）平台支持对接远端存储时，可配置对接存储的 IP 以及端口号、是否启用 iSER 协议，为保护数据安全，可支持单向和双向验证 CHAP 身份信息（提供具备CNAS标识的第三方检测报告）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▲5）平台支持配置和一键部署大数据集群，快速提供大数据集群服务，管理平台支持以大数据镜像方式创建 manager 和 worker 节点，并支持配置大数据服务 CPU、内存、磁盘规格和磁盘数量（提供具备CNAS标识的第三方检测报告）</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1）具备公安部第三研究所颁发的《云应用安全可信认证》</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▲2）具备与飞腾、鲲鹏、海光芯片的兼容性证明</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▲5）具备与麒麟操作系统的兼容性证明</w:t>
            </w:r>
          </w:p>
        </w:tc>
        <w:tc>
          <w:tcPr>
            <w:tcW w:w="1305" w:type="dxa"/>
            <w:tcBorders>
              <w:bottom w:val="single" w:color="auto" w:sz="4" w:space="0"/>
            </w:tcBorders>
            <w:shd w:val="clear" w:color="000000" w:fill="FFFFFF"/>
            <w:vAlign w:val="center"/>
          </w:tcPr>
          <w:p w14:paraId="08EB5B69">
            <w:pPr>
              <w:widowControl/>
              <w:shd w:val="clea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bl>
    <w:p w14:paraId="56914F32">
      <w:pPr>
        <w:shd w:val="clea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2CF86FE">
      <w:pPr>
        <w:shd w:val="clea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lang w:val="zh-CN"/>
        </w:rPr>
        <w:t>采购单位将根据以上附表中的报价与</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kern w:val="0"/>
          <w:sz w:val="24"/>
          <w:highlight w:val="none"/>
          <w:lang w:val="zh-CN"/>
        </w:rPr>
        <w:t>进行结算。如</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kern w:val="0"/>
          <w:sz w:val="24"/>
          <w:highlight w:val="none"/>
          <w:lang w:val="zh-CN"/>
        </w:rPr>
        <w:t>不遵守此项规则，采购单位在沟通无果的情况下有权立即终止合同，并由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kern w:val="0"/>
          <w:sz w:val="24"/>
          <w:highlight w:val="none"/>
          <w:lang w:val="zh-CN"/>
        </w:rPr>
        <w:t>承担期间产生的全部费用。</w:t>
      </w:r>
    </w:p>
    <w:p w14:paraId="562A17F2">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6EFC1C60">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474" w:right="1814" w:bottom="1474" w:left="181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953275D">
      <w:pPr>
        <w:pStyle w:val="692"/>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5C6E7795">
      <w:pPr>
        <w:pStyle w:val="692"/>
        <w:keepNext w:val="0"/>
        <w:pageBreakBefore w:val="0"/>
        <w:shd w:val="clear"/>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14:paraId="59D5A27B">
      <w:pPr>
        <w:widowControl/>
        <w:shd w:val="clear"/>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3161A396">
      <w:pPr>
        <w:pStyle w:val="80"/>
        <w:shd w:val="clear"/>
        <w:rPr>
          <w:rFonts w:ascii="仿宋" w:hAnsi="仿宋" w:eastAsia="仿宋" w:cs="仿宋"/>
          <w:b/>
          <w:color w:val="auto"/>
          <w:highlight w:val="none"/>
        </w:rPr>
      </w:pPr>
    </w:p>
    <w:p w14:paraId="455F2797">
      <w:pPr>
        <w:pStyle w:val="81"/>
        <w:shd w:val="clear"/>
        <w:rPr>
          <w:rFonts w:ascii="仿宋" w:hAnsi="仿宋" w:eastAsia="仿宋" w:cs="仿宋"/>
          <w:b/>
          <w:color w:val="auto"/>
          <w:sz w:val="24"/>
          <w:highlight w:val="none"/>
        </w:rPr>
      </w:pPr>
    </w:p>
    <w:p w14:paraId="0C8599C4">
      <w:pPr>
        <w:shd w:val="clear"/>
        <w:rPr>
          <w:rFonts w:ascii="仿宋" w:hAnsi="仿宋" w:eastAsia="仿宋" w:cs="仿宋"/>
          <w:b/>
          <w:color w:val="auto"/>
          <w:sz w:val="24"/>
          <w:highlight w:val="none"/>
        </w:rPr>
      </w:pPr>
    </w:p>
    <w:p w14:paraId="212DD7A8">
      <w:pPr>
        <w:pStyle w:val="80"/>
        <w:shd w:val="clear"/>
        <w:rPr>
          <w:rFonts w:ascii="仿宋" w:hAnsi="仿宋" w:eastAsia="仿宋" w:cs="仿宋"/>
          <w:b/>
          <w:color w:val="auto"/>
          <w:highlight w:val="none"/>
        </w:rPr>
      </w:pPr>
    </w:p>
    <w:p w14:paraId="26D76BC5">
      <w:pPr>
        <w:pStyle w:val="81"/>
        <w:shd w:val="clear"/>
        <w:rPr>
          <w:color w:val="auto"/>
          <w:highlight w:val="none"/>
        </w:rPr>
      </w:pPr>
    </w:p>
    <w:p w14:paraId="267F72D1">
      <w:pPr>
        <w:pStyle w:val="81"/>
        <w:shd w:val="clear"/>
        <w:rPr>
          <w:color w:val="auto"/>
          <w:highlight w:val="none"/>
        </w:rPr>
      </w:pPr>
    </w:p>
    <w:p w14:paraId="70E87881">
      <w:pPr>
        <w:widowControl/>
        <w:shd w:val="clear"/>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5D5F0C92">
      <w:pPr>
        <w:widowControl/>
        <w:shd w:val="clear"/>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76DE74C7">
      <w:pPr>
        <w:pStyle w:val="80"/>
        <w:widowControl/>
        <w:shd w:val="clear"/>
        <w:spacing w:line="360" w:lineRule="auto"/>
        <w:ind w:firstLine="120" w:firstLineChars="50"/>
        <w:rPr>
          <w:rFonts w:ascii="仿宋" w:hAnsi="仿宋" w:eastAsia="仿宋" w:cs="仿宋"/>
          <w:b/>
          <w:color w:val="auto"/>
          <w:highlight w:val="none"/>
        </w:rPr>
      </w:pPr>
    </w:p>
    <w:p w14:paraId="5C78647E">
      <w:pPr>
        <w:pStyle w:val="81"/>
        <w:shd w:val="clear"/>
        <w:spacing w:line="360" w:lineRule="auto"/>
        <w:ind w:left="0" w:firstLine="120" w:firstLineChars="50"/>
        <w:jc w:val="left"/>
        <w:rPr>
          <w:rFonts w:ascii="仿宋" w:hAnsi="仿宋" w:eastAsia="仿宋" w:cs="仿宋"/>
          <w:b/>
          <w:color w:val="auto"/>
          <w:sz w:val="24"/>
          <w:highlight w:val="none"/>
        </w:rPr>
      </w:pPr>
    </w:p>
    <w:p w14:paraId="79F6E5CA">
      <w:pPr>
        <w:pStyle w:val="692"/>
        <w:keepNext w:val="0"/>
        <w:pageBreakBefore w:val="0"/>
        <w:shd w:val="clear"/>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18955B6">
      <w:pPr>
        <w:shd w:val="clear"/>
        <w:spacing w:line="360" w:lineRule="auto"/>
        <w:ind w:right="420" w:firstLine="3614" w:firstLineChars="1000"/>
        <w:rPr>
          <w:rFonts w:ascii="仿宋" w:hAnsi="仿宋" w:eastAsia="仿宋" w:cs="仿宋"/>
          <w:b/>
          <w:color w:val="auto"/>
          <w:kern w:val="0"/>
          <w:sz w:val="36"/>
          <w:szCs w:val="36"/>
          <w:highlight w:val="none"/>
        </w:rPr>
      </w:pPr>
    </w:p>
    <w:p w14:paraId="060BF938">
      <w:pPr>
        <w:shd w:val="clear"/>
        <w:spacing w:line="360" w:lineRule="auto"/>
        <w:ind w:right="420" w:firstLine="3614" w:firstLineChars="1000"/>
        <w:rPr>
          <w:rFonts w:ascii="仿宋" w:hAnsi="仿宋" w:eastAsia="仿宋" w:cs="仿宋"/>
          <w:b/>
          <w:color w:val="auto"/>
          <w:kern w:val="0"/>
          <w:sz w:val="36"/>
          <w:szCs w:val="36"/>
          <w:highlight w:val="none"/>
        </w:rPr>
      </w:pPr>
    </w:p>
    <w:p w14:paraId="61EC2C04">
      <w:pPr>
        <w:shd w:val="clear"/>
        <w:spacing w:line="360" w:lineRule="auto"/>
        <w:ind w:right="420" w:firstLine="3614" w:firstLineChars="1000"/>
        <w:rPr>
          <w:rFonts w:ascii="仿宋" w:hAnsi="仿宋" w:eastAsia="仿宋" w:cs="仿宋"/>
          <w:b/>
          <w:color w:val="auto"/>
          <w:kern w:val="0"/>
          <w:sz w:val="36"/>
          <w:szCs w:val="36"/>
          <w:highlight w:val="none"/>
        </w:rPr>
      </w:pPr>
    </w:p>
    <w:p w14:paraId="2A7D3B9E">
      <w:pPr>
        <w:shd w:val="clear"/>
        <w:spacing w:line="360" w:lineRule="auto"/>
        <w:ind w:right="420" w:firstLine="3614" w:firstLineChars="1000"/>
        <w:rPr>
          <w:rFonts w:ascii="仿宋" w:hAnsi="仿宋" w:eastAsia="仿宋" w:cs="仿宋"/>
          <w:b/>
          <w:color w:val="auto"/>
          <w:kern w:val="0"/>
          <w:sz w:val="36"/>
          <w:szCs w:val="36"/>
          <w:highlight w:val="none"/>
        </w:rPr>
      </w:pPr>
    </w:p>
    <w:p w14:paraId="213E2C0F">
      <w:pPr>
        <w:shd w:val="clear"/>
        <w:spacing w:line="360" w:lineRule="auto"/>
        <w:ind w:right="420" w:firstLine="3614" w:firstLineChars="1000"/>
        <w:rPr>
          <w:rFonts w:ascii="仿宋" w:hAnsi="仿宋" w:eastAsia="仿宋" w:cs="仿宋"/>
          <w:b/>
          <w:color w:val="auto"/>
          <w:kern w:val="0"/>
          <w:sz w:val="36"/>
          <w:szCs w:val="36"/>
          <w:highlight w:val="none"/>
        </w:rPr>
      </w:pPr>
    </w:p>
    <w:p w14:paraId="1A538F8E">
      <w:pPr>
        <w:shd w:val="clear"/>
        <w:spacing w:line="360" w:lineRule="auto"/>
        <w:ind w:right="420" w:firstLine="3614" w:firstLineChars="1000"/>
        <w:rPr>
          <w:rFonts w:ascii="仿宋" w:hAnsi="仿宋" w:eastAsia="仿宋" w:cs="仿宋"/>
          <w:b/>
          <w:color w:val="auto"/>
          <w:kern w:val="0"/>
          <w:sz w:val="36"/>
          <w:szCs w:val="36"/>
          <w:highlight w:val="none"/>
        </w:rPr>
      </w:pPr>
    </w:p>
    <w:p w14:paraId="3E071B68">
      <w:pPr>
        <w:pStyle w:val="3"/>
        <w:keepNext w:val="0"/>
        <w:keepLines w:val="0"/>
        <w:pageBreakBefore/>
        <w:widowControl/>
        <w:shd w:val="clear"/>
        <w:spacing w:before="100" w:beforeAutospacing="1" w:after="100" w:afterAutospacing="1" w:line="360" w:lineRule="auto"/>
        <w:ind w:left="1290" w:firstLine="3092" w:firstLineChars="700"/>
        <w:rPr>
          <w:rFonts w:ascii="仿宋" w:hAnsi="仿宋" w:eastAsia="仿宋" w:cs="仿宋"/>
          <w:color w:val="auto"/>
          <w:highlight w:val="none"/>
        </w:rPr>
      </w:pPr>
      <w:bookmarkStart w:id="194" w:name="_Toc465665161"/>
      <w:r>
        <w:rPr>
          <w:rFonts w:hint="eastAsia" w:ascii="仿宋" w:hAnsi="仿宋" w:eastAsia="仿宋" w:cs="仿宋"/>
          <w:color w:val="auto"/>
          <w:highlight w:val="none"/>
        </w:rPr>
        <w:t>附件</w:t>
      </w:r>
      <w:bookmarkEnd w:id="194"/>
    </w:p>
    <w:p w14:paraId="63F680C1">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1：质疑函范本及制作说明</w:t>
      </w:r>
    </w:p>
    <w:p w14:paraId="723EAA5E">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10D6D49">
      <w:pPr>
        <w:shd w:val="clea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44AA22A">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18D6E9D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F6C9F0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34D4A974">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7903022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40DE311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05CF2E5C">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D9469FC">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0C0AC1F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6DF4F9C4">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0E96DAB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1887B1D1">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6D21D0E">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1：</w:t>
      </w:r>
    </w:p>
    <w:p w14:paraId="0A482B77">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707305E9">
      <w:pPr>
        <w:shd w:val="clear"/>
        <w:snapToGrid w:val="0"/>
        <w:spacing w:line="360" w:lineRule="auto"/>
        <w:rPr>
          <w:rFonts w:ascii="仿宋" w:hAnsi="仿宋" w:eastAsia="仿宋" w:cs="仿宋"/>
          <w:color w:val="auto"/>
          <w:sz w:val="24"/>
          <w:highlight w:val="none"/>
        </w:rPr>
      </w:pPr>
    </w:p>
    <w:p w14:paraId="25A38F12">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671BEB40">
      <w:pPr>
        <w:shd w:val="clear"/>
        <w:snapToGrid w:val="0"/>
        <w:spacing w:line="360" w:lineRule="auto"/>
        <w:rPr>
          <w:rFonts w:ascii="仿宋" w:hAnsi="仿宋" w:eastAsia="仿宋" w:cs="仿宋"/>
          <w:color w:val="auto"/>
          <w:sz w:val="24"/>
          <w:highlight w:val="none"/>
          <w:u w:val="dotted"/>
        </w:rPr>
      </w:pPr>
    </w:p>
    <w:p w14:paraId="77639661">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2</w:t>
      </w:r>
    </w:p>
    <w:p w14:paraId="769C6CB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57ADE1B">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EDA6DBB">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040C4783">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14:paraId="7AB7348E">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14:paraId="373D9425">
      <w:pPr>
        <w:shd w:val="clear"/>
        <w:spacing w:line="360" w:lineRule="auto"/>
        <w:jc w:val="center"/>
        <w:rPr>
          <w:rFonts w:ascii="仿宋" w:hAnsi="仿宋" w:eastAsia="仿宋" w:cs="仿宋"/>
          <w:b/>
          <w:bCs/>
          <w:color w:val="auto"/>
          <w:sz w:val="24"/>
          <w:highlight w:val="none"/>
        </w:rPr>
      </w:pPr>
    </w:p>
    <w:p w14:paraId="032AB80D">
      <w:pPr>
        <w:shd w:val="clear"/>
        <w:spacing w:line="360" w:lineRule="auto"/>
        <w:rPr>
          <w:rFonts w:ascii="仿宋" w:hAnsi="仿宋" w:eastAsia="仿宋" w:cs="仿宋"/>
          <w:b/>
          <w:color w:val="auto"/>
          <w:sz w:val="24"/>
          <w:highlight w:val="none"/>
        </w:rPr>
      </w:pPr>
    </w:p>
    <w:p w14:paraId="01F0780A">
      <w:pPr>
        <w:shd w:val="clear"/>
        <w:spacing w:line="360" w:lineRule="auto"/>
        <w:rPr>
          <w:rFonts w:ascii="仿宋" w:hAnsi="仿宋" w:eastAsia="仿宋" w:cs="仿宋"/>
          <w:b/>
          <w:color w:val="auto"/>
          <w:sz w:val="24"/>
          <w:highlight w:val="none"/>
        </w:rPr>
      </w:pPr>
    </w:p>
    <w:p w14:paraId="313C5F0D">
      <w:pPr>
        <w:shd w:val="clear"/>
        <w:spacing w:line="360" w:lineRule="auto"/>
        <w:rPr>
          <w:rFonts w:ascii="仿宋" w:hAnsi="仿宋" w:eastAsia="仿宋" w:cs="仿宋"/>
          <w:b/>
          <w:color w:val="auto"/>
          <w:sz w:val="24"/>
          <w:highlight w:val="none"/>
        </w:rPr>
      </w:pPr>
    </w:p>
    <w:p w14:paraId="468D1C3B">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2FBE37F">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1.供应商提出质疑时，应提交质疑函和必要的证明材料。</w:t>
      </w:r>
    </w:p>
    <w:p w14:paraId="75CEB086">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773597B">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3.质疑供应商若对项目的某一分包进行质疑，质疑函中应列明具体分包号。</w:t>
      </w:r>
    </w:p>
    <w:p w14:paraId="111A65D0">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4.质疑函的质疑事项应具体、明确，并有必要的事实依据和法律依据。</w:t>
      </w:r>
    </w:p>
    <w:p w14:paraId="2B184042">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5.质疑函的质疑请求应与质疑事项相关。</w:t>
      </w:r>
    </w:p>
    <w:p w14:paraId="45D534A9">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D48B027">
      <w:pPr>
        <w:widowControl/>
        <w:shd w:val="clear"/>
        <w:spacing w:line="360" w:lineRule="auto"/>
        <w:ind w:firstLine="600" w:firstLineChars="200"/>
        <w:jc w:val="left"/>
        <w:rPr>
          <w:rFonts w:ascii="仿宋" w:hAnsi="仿宋" w:eastAsia="仿宋" w:cs="仿宋"/>
          <w:color w:val="auto"/>
          <w:sz w:val="30"/>
          <w:szCs w:val="30"/>
          <w:highlight w:val="none"/>
        </w:rPr>
      </w:pPr>
    </w:p>
    <w:p w14:paraId="79C72557">
      <w:pPr>
        <w:shd w:val="clear"/>
        <w:spacing w:line="360" w:lineRule="auto"/>
        <w:jc w:val="center"/>
        <w:rPr>
          <w:rFonts w:ascii="仿宋" w:hAnsi="仿宋" w:eastAsia="仿宋" w:cs="仿宋"/>
          <w:b/>
          <w:color w:val="auto"/>
          <w:spacing w:val="6"/>
          <w:sz w:val="32"/>
          <w:szCs w:val="32"/>
          <w:highlight w:val="none"/>
        </w:rPr>
      </w:pPr>
    </w:p>
    <w:p w14:paraId="79457C5F">
      <w:pPr>
        <w:pStyle w:val="80"/>
        <w:shd w:val="clear"/>
        <w:rPr>
          <w:color w:val="auto"/>
          <w:highlight w:val="none"/>
        </w:rPr>
      </w:pPr>
    </w:p>
    <w:p w14:paraId="2879C244">
      <w:pPr>
        <w:pStyle w:val="81"/>
        <w:shd w:val="clear"/>
        <w:rPr>
          <w:rFonts w:eastAsiaTheme="minorEastAsia"/>
          <w:color w:val="auto"/>
          <w:highlight w:val="none"/>
        </w:rPr>
      </w:pPr>
    </w:p>
    <w:p w14:paraId="1CA45856">
      <w:pPr>
        <w:shd w:val="clear"/>
        <w:rPr>
          <w:color w:val="auto"/>
          <w:highlight w:val="none"/>
        </w:rPr>
      </w:pPr>
    </w:p>
    <w:p w14:paraId="38ADB4C4">
      <w:pPr>
        <w:pStyle w:val="80"/>
        <w:shd w:val="clear"/>
        <w:rPr>
          <w:color w:val="auto"/>
          <w:highlight w:val="none"/>
        </w:rPr>
      </w:pPr>
    </w:p>
    <w:p w14:paraId="38D5CD39">
      <w:pPr>
        <w:pStyle w:val="81"/>
        <w:shd w:val="clear"/>
        <w:rPr>
          <w:rFonts w:eastAsia="仿宋"/>
          <w:color w:val="auto"/>
          <w:highlight w:val="none"/>
        </w:rPr>
      </w:pPr>
    </w:p>
    <w:p w14:paraId="47BE35F5">
      <w:pPr>
        <w:shd w:val="clear"/>
        <w:rPr>
          <w:color w:val="auto"/>
          <w:highlight w:val="none"/>
        </w:rPr>
      </w:pPr>
    </w:p>
    <w:p w14:paraId="5517DBE8">
      <w:pPr>
        <w:pStyle w:val="80"/>
        <w:shd w:val="clear"/>
        <w:rPr>
          <w:color w:val="auto"/>
          <w:highlight w:val="none"/>
        </w:rPr>
      </w:pPr>
    </w:p>
    <w:p w14:paraId="11422417">
      <w:pPr>
        <w:pStyle w:val="81"/>
        <w:shd w:val="clear"/>
        <w:rPr>
          <w:rFonts w:eastAsia="仿宋"/>
          <w:color w:val="auto"/>
          <w:highlight w:val="none"/>
        </w:rPr>
      </w:pPr>
    </w:p>
    <w:p w14:paraId="5F24A353">
      <w:pPr>
        <w:shd w:val="clear"/>
        <w:rPr>
          <w:color w:val="auto"/>
          <w:highlight w:val="none"/>
        </w:rPr>
      </w:pPr>
    </w:p>
    <w:p w14:paraId="17B7ECCA">
      <w:pPr>
        <w:pStyle w:val="80"/>
        <w:shd w:val="clear"/>
        <w:rPr>
          <w:color w:val="auto"/>
          <w:highlight w:val="none"/>
        </w:rPr>
      </w:pPr>
    </w:p>
    <w:p w14:paraId="79DAA979">
      <w:pPr>
        <w:pStyle w:val="81"/>
        <w:shd w:val="clear"/>
        <w:rPr>
          <w:rFonts w:eastAsia="仿宋"/>
          <w:color w:val="auto"/>
          <w:highlight w:val="none"/>
        </w:rPr>
      </w:pPr>
    </w:p>
    <w:p w14:paraId="7F43D37C">
      <w:pPr>
        <w:shd w:val="clear"/>
        <w:rPr>
          <w:color w:val="auto"/>
          <w:highlight w:val="none"/>
        </w:rPr>
      </w:pPr>
    </w:p>
    <w:p w14:paraId="51437407">
      <w:pPr>
        <w:pStyle w:val="80"/>
        <w:shd w:val="clear"/>
        <w:rPr>
          <w:color w:val="auto"/>
          <w:highlight w:val="none"/>
        </w:rPr>
      </w:pPr>
    </w:p>
    <w:p w14:paraId="5503FB42">
      <w:pPr>
        <w:pStyle w:val="81"/>
        <w:shd w:val="clear"/>
        <w:rPr>
          <w:rFonts w:eastAsia="仿宋"/>
          <w:color w:val="auto"/>
          <w:highlight w:val="none"/>
        </w:rPr>
      </w:pPr>
    </w:p>
    <w:p w14:paraId="520EA16F">
      <w:pPr>
        <w:shd w:val="clear"/>
        <w:rPr>
          <w:color w:val="auto"/>
          <w:highlight w:val="none"/>
        </w:rPr>
      </w:pPr>
    </w:p>
    <w:p w14:paraId="01009D53">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2：投诉书范本及制作说明</w:t>
      </w:r>
    </w:p>
    <w:p w14:paraId="2B4DEE6B">
      <w:pPr>
        <w:shd w:val="clear"/>
        <w:spacing w:line="360" w:lineRule="auto"/>
        <w:jc w:val="center"/>
        <w:rPr>
          <w:rFonts w:ascii="仿宋" w:hAnsi="仿宋" w:eastAsia="仿宋" w:cs="仿宋"/>
          <w:b/>
          <w:color w:val="auto"/>
          <w:sz w:val="24"/>
          <w:highlight w:val="none"/>
        </w:rPr>
      </w:pPr>
    </w:p>
    <w:p w14:paraId="47937E60">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424DEA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F5DB331">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248387E2">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4E08176E">
      <w:pPr>
        <w:shd w:val="clea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r>
        <w:rPr>
          <w:rFonts w:ascii="仿宋" w:hAnsi="仿宋" w:eastAsia="仿宋" w:cs="仿宋"/>
          <w:color w:val="auto"/>
          <w:sz w:val="24"/>
          <w:highlight w:val="none"/>
        </w:rPr>
        <w:t>/主要负责人：</w:t>
      </w:r>
    </w:p>
    <w:p w14:paraId="5B9FEF5A">
      <w:pPr>
        <w:shd w:val="clea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71840C95">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w:t>
      </w:r>
    </w:p>
    <w:p w14:paraId="78F9D08D">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地址：邮编：</w:t>
      </w:r>
    </w:p>
    <w:p w14:paraId="13CAC62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1：</w:t>
      </w:r>
    </w:p>
    <w:p w14:paraId="041F198D">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5068E171">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5218F79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2</w:t>
      </w:r>
    </w:p>
    <w:p w14:paraId="1B7AF71B">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C563AB7">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1DE582E9">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6A593EF5">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08427C3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5011974">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70E234CC">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37A8B5B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0246A8D1">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73F1BF06">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14:paraId="0C4845BC">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14:paraId="36B344E6">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7DAE34F">
      <w:pPr>
        <w:shd w:val="clea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w:t>
      </w:r>
      <w:r>
        <w:rPr>
          <w:rFonts w:ascii="仿宋" w:hAnsi="仿宋" w:eastAsia="仿宋" w:cs="仿宋"/>
          <w:color w:val="auto"/>
          <w:sz w:val="24"/>
          <w:highlight w:val="none"/>
        </w:rPr>
        <w:t>,向提出质疑，质疑事项为：</w:t>
      </w:r>
    </w:p>
    <w:p w14:paraId="0F258F99">
      <w:pPr>
        <w:shd w:val="clear"/>
        <w:spacing w:line="360" w:lineRule="auto"/>
        <w:rPr>
          <w:rFonts w:ascii="仿宋" w:hAnsi="仿宋" w:eastAsia="仿宋" w:cs="仿宋"/>
          <w:color w:val="auto"/>
          <w:sz w:val="24"/>
          <w:highlight w:val="none"/>
          <w:u w:val="dotted"/>
        </w:rPr>
      </w:pPr>
    </w:p>
    <w:p w14:paraId="62E23034">
      <w:pPr>
        <w:shd w:val="clea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w:t>
      </w:r>
      <w:r>
        <w:rPr>
          <w:rFonts w:ascii="仿宋" w:hAnsi="仿宋" w:eastAsia="仿宋" w:cs="仿宋"/>
          <w:color w:val="auto"/>
          <w:sz w:val="24"/>
          <w:highlight w:val="none"/>
          <w:u w:val="dotted"/>
        </w:rPr>
        <w:t>/代理机构</w:t>
      </w:r>
      <w:r>
        <w:rPr>
          <w:rFonts w:hint="eastAsia" w:ascii="仿宋" w:hAnsi="仿宋" w:eastAsia="仿宋" w:cs="仿宋"/>
          <w:color w:val="auto"/>
          <w:sz w:val="24"/>
          <w:highlight w:val="none"/>
        </w:rPr>
        <w:t>于年月日</w:t>
      </w:r>
      <w:r>
        <w:rPr>
          <w:rFonts w:ascii="仿宋" w:hAnsi="仿宋" w:eastAsia="仿宋" w:cs="仿宋"/>
          <w:color w:val="auto"/>
          <w:sz w:val="24"/>
          <w:highlight w:val="none"/>
        </w:rPr>
        <w:t>,就质疑事项作出了答复/没有在法定期限内作出答复。</w:t>
      </w:r>
    </w:p>
    <w:p w14:paraId="7603CED7">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FA35DE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 xml:space="preserve"> 1：</w:t>
      </w:r>
    </w:p>
    <w:p w14:paraId="2ACECEC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4BD35146">
      <w:pPr>
        <w:shd w:val="clear"/>
        <w:spacing w:line="360" w:lineRule="auto"/>
        <w:rPr>
          <w:rFonts w:ascii="仿宋" w:hAnsi="仿宋" w:eastAsia="仿宋" w:cs="仿宋"/>
          <w:color w:val="auto"/>
          <w:sz w:val="24"/>
          <w:highlight w:val="none"/>
          <w:u w:val="dotted"/>
        </w:rPr>
      </w:pPr>
    </w:p>
    <w:p w14:paraId="79BBA20F">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2604D99B">
      <w:pPr>
        <w:shd w:val="clear"/>
        <w:spacing w:line="360" w:lineRule="auto"/>
        <w:rPr>
          <w:rFonts w:ascii="仿宋" w:hAnsi="仿宋" w:eastAsia="仿宋" w:cs="仿宋"/>
          <w:color w:val="auto"/>
          <w:sz w:val="24"/>
          <w:highlight w:val="none"/>
          <w:u w:val="dotted"/>
        </w:rPr>
      </w:pPr>
    </w:p>
    <w:p w14:paraId="5D4F9BA2">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2</w:t>
      </w:r>
    </w:p>
    <w:p w14:paraId="50701F7D">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813DD7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E34AD7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012EF391">
      <w:pPr>
        <w:shd w:val="clear"/>
        <w:spacing w:line="360" w:lineRule="auto"/>
        <w:rPr>
          <w:rFonts w:ascii="仿宋" w:hAnsi="仿宋" w:eastAsia="仿宋" w:cs="仿宋"/>
          <w:color w:val="auto"/>
          <w:sz w:val="24"/>
          <w:highlight w:val="none"/>
          <w:u w:val="single"/>
        </w:rPr>
      </w:pPr>
    </w:p>
    <w:p w14:paraId="020B9ABA">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14:paraId="3D28BD9D">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14:paraId="7BC21507">
      <w:pPr>
        <w:shd w:val="clear"/>
        <w:spacing w:line="360" w:lineRule="auto"/>
        <w:rPr>
          <w:rFonts w:ascii="仿宋" w:hAnsi="仿宋" w:eastAsia="仿宋" w:cs="仿宋"/>
          <w:b/>
          <w:color w:val="auto"/>
          <w:sz w:val="24"/>
          <w:highlight w:val="none"/>
        </w:rPr>
      </w:pPr>
    </w:p>
    <w:p w14:paraId="6C2F713E">
      <w:pPr>
        <w:shd w:val="clear"/>
        <w:spacing w:line="360" w:lineRule="auto"/>
        <w:rPr>
          <w:rFonts w:ascii="仿宋" w:hAnsi="仿宋" w:eastAsia="仿宋" w:cs="仿宋"/>
          <w:b/>
          <w:color w:val="auto"/>
          <w:sz w:val="24"/>
          <w:highlight w:val="none"/>
        </w:rPr>
      </w:pPr>
    </w:p>
    <w:p w14:paraId="0F6FE3B3">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0150B92">
      <w:pPr>
        <w:widowControl/>
        <w:shd w:val="clear"/>
        <w:spacing w:line="360" w:lineRule="auto"/>
        <w:ind w:firstLine="480" w:firstLineChars="200"/>
        <w:rPr>
          <w:rFonts w:ascii="仿宋" w:hAnsi="仿宋" w:eastAsia="仿宋" w:cs="仿宋"/>
          <w:color w:val="auto"/>
          <w:kern w:val="0"/>
          <w:sz w:val="24"/>
          <w:highlight w:val="none"/>
        </w:rPr>
      </w:pPr>
      <w:r>
        <w:rPr>
          <w:rFonts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6F5BE56">
      <w:pPr>
        <w:widowControl/>
        <w:shd w:val="clear"/>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8A901A8">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3.投诉人若对项目的某一分包进行投诉，投诉书应列明具体分包号。</w:t>
      </w:r>
    </w:p>
    <w:p w14:paraId="43A0653C">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4.投诉书应简要列明质疑事项，质疑函、质疑答复等作为附件材料提供。</w:t>
      </w:r>
    </w:p>
    <w:p w14:paraId="6898F436">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5.投诉书的投诉事项应具体、明确，并有必要的事实依据和法律依据。</w:t>
      </w:r>
    </w:p>
    <w:p w14:paraId="6B7D554C">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6.投诉书的投诉请求应与投诉事项相关。</w:t>
      </w:r>
    </w:p>
    <w:p w14:paraId="6C7E9ACA">
      <w:pPr>
        <w:widowControl/>
        <w:shd w:val="clear"/>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565A0E0">
      <w:pPr>
        <w:shd w:val="clear"/>
        <w:spacing w:line="360" w:lineRule="auto"/>
        <w:rPr>
          <w:rFonts w:ascii="仿宋" w:hAnsi="仿宋" w:eastAsia="仿宋" w:cs="仿宋"/>
          <w:b/>
          <w:color w:val="auto"/>
          <w:sz w:val="24"/>
          <w:highlight w:val="none"/>
        </w:rPr>
      </w:pPr>
    </w:p>
    <w:p w14:paraId="499A57AF">
      <w:pPr>
        <w:shd w:val="clear"/>
        <w:autoSpaceDE w:val="0"/>
        <w:autoSpaceDN w:val="0"/>
        <w:jc w:val="center"/>
        <w:rPr>
          <w:rFonts w:ascii="仿宋" w:hAnsi="仿宋" w:eastAsia="仿宋" w:cs="仿宋"/>
          <w:b/>
          <w:color w:val="auto"/>
          <w:spacing w:val="6"/>
          <w:sz w:val="32"/>
          <w:szCs w:val="32"/>
          <w:highlight w:val="none"/>
        </w:rPr>
      </w:pPr>
    </w:p>
    <w:p w14:paraId="1D14A4CF">
      <w:pPr>
        <w:pStyle w:val="80"/>
        <w:shd w:val="clear"/>
        <w:rPr>
          <w:color w:val="auto"/>
          <w:highlight w:val="none"/>
        </w:rPr>
      </w:pPr>
    </w:p>
    <w:p w14:paraId="0EDFA824">
      <w:pPr>
        <w:pStyle w:val="81"/>
        <w:shd w:val="clear"/>
        <w:rPr>
          <w:rFonts w:eastAsia="仿宋"/>
          <w:color w:val="auto"/>
          <w:highlight w:val="none"/>
        </w:rPr>
      </w:pPr>
    </w:p>
    <w:p w14:paraId="117F354D">
      <w:pPr>
        <w:shd w:val="clear"/>
        <w:rPr>
          <w:color w:val="auto"/>
          <w:highlight w:val="none"/>
        </w:rPr>
      </w:pPr>
    </w:p>
    <w:p w14:paraId="36F83E58">
      <w:pPr>
        <w:pStyle w:val="80"/>
        <w:shd w:val="clear"/>
        <w:rPr>
          <w:color w:val="auto"/>
          <w:highlight w:val="none"/>
        </w:rPr>
      </w:pPr>
    </w:p>
    <w:p w14:paraId="72968757">
      <w:pPr>
        <w:pStyle w:val="81"/>
        <w:shd w:val="clear"/>
        <w:rPr>
          <w:rFonts w:eastAsia="仿宋"/>
          <w:color w:val="auto"/>
          <w:highlight w:val="none"/>
        </w:rPr>
      </w:pPr>
    </w:p>
    <w:p w14:paraId="490EEBF7">
      <w:pPr>
        <w:shd w:val="clear"/>
        <w:rPr>
          <w:color w:val="auto"/>
          <w:highlight w:val="none"/>
        </w:rPr>
      </w:pPr>
    </w:p>
    <w:p w14:paraId="5F2910B7">
      <w:pPr>
        <w:pStyle w:val="80"/>
        <w:shd w:val="clear"/>
        <w:rPr>
          <w:color w:val="auto"/>
          <w:highlight w:val="none"/>
        </w:rPr>
      </w:pPr>
    </w:p>
    <w:p w14:paraId="08E16AF3">
      <w:pPr>
        <w:pStyle w:val="81"/>
        <w:shd w:val="clear"/>
        <w:rPr>
          <w:rFonts w:eastAsia="仿宋"/>
          <w:color w:val="auto"/>
          <w:highlight w:val="none"/>
        </w:rPr>
      </w:pPr>
    </w:p>
    <w:p w14:paraId="50B82637">
      <w:pPr>
        <w:shd w:val="clear"/>
        <w:rPr>
          <w:color w:val="auto"/>
          <w:highlight w:val="none"/>
        </w:rPr>
      </w:pPr>
    </w:p>
    <w:p w14:paraId="3247622A">
      <w:pPr>
        <w:pStyle w:val="80"/>
        <w:shd w:val="clear"/>
        <w:rPr>
          <w:color w:val="auto"/>
          <w:highlight w:val="none"/>
        </w:rPr>
      </w:pPr>
    </w:p>
    <w:p w14:paraId="02464C82">
      <w:pPr>
        <w:pStyle w:val="81"/>
        <w:shd w:val="clear"/>
        <w:rPr>
          <w:rFonts w:eastAsia="仿宋"/>
          <w:color w:val="auto"/>
          <w:highlight w:val="none"/>
        </w:rPr>
      </w:pPr>
    </w:p>
    <w:p w14:paraId="420EA247">
      <w:pPr>
        <w:shd w:val="clear"/>
        <w:rPr>
          <w:color w:val="auto"/>
          <w:highlight w:val="none"/>
        </w:rPr>
      </w:pPr>
    </w:p>
    <w:p w14:paraId="35CA68A3">
      <w:pPr>
        <w:pStyle w:val="80"/>
        <w:shd w:val="clear"/>
        <w:rPr>
          <w:color w:val="auto"/>
          <w:highlight w:val="none"/>
        </w:rPr>
      </w:pPr>
    </w:p>
    <w:p w14:paraId="294684A2">
      <w:pPr>
        <w:pStyle w:val="81"/>
        <w:shd w:val="clear"/>
        <w:rPr>
          <w:rFonts w:eastAsia="仿宋"/>
          <w:color w:val="auto"/>
          <w:highlight w:val="none"/>
        </w:rPr>
      </w:pPr>
    </w:p>
    <w:p w14:paraId="2D30B267">
      <w:pPr>
        <w:shd w:val="clear"/>
        <w:rPr>
          <w:color w:val="auto"/>
          <w:highlight w:val="none"/>
        </w:rPr>
      </w:pPr>
    </w:p>
    <w:p w14:paraId="07C234F8">
      <w:pPr>
        <w:pStyle w:val="80"/>
        <w:shd w:val="clear"/>
        <w:rPr>
          <w:color w:val="auto"/>
          <w:highlight w:val="none"/>
        </w:rPr>
      </w:pPr>
    </w:p>
    <w:p w14:paraId="5A225FC6">
      <w:pPr>
        <w:pStyle w:val="81"/>
        <w:shd w:val="clear"/>
        <w:rPr>
          <w:rFonts w:eastAsia="仿宋"/>
          <w:color w:val="auto"/>
          <w:highlight w:val="none"/>
        </w:rPr>
      </w:pPr>
    </w:p>
    <w:p w14:paraId="54966BDB">
      <w:pPr>
        <w:shd w:val="clear"/>
        <w:rPr>
          <w:color w:val="auto"/>
          <w:highlight w:val="none"/>
        </w:rPr>
      </w:pPr>
    </w:p>
    <w:p w14:paraId="0F175761">
      <w:pPr>
        <w:pStyle w:val="80"/>
        <w:shd w:val="clear"/>
        <w:rPr>
          <w:color w:val="auto"/>
          <w:highlight w:val="none"/>
        </w:rPr>
      </w:pPr>
    </w:p>
    <w:p w14:paraId="4163EC62">
      <w:pPr>
        <w:pStyle w:val="81"/>
        <w:shd w:val="clear"/>
        <w:rPr>
          <w:rFonts w:eastAsia="仿宋"/>
          <w:color w:val="auto"/>
          <w:highlight w:val="none"/>
        </w:rPr>
      </w:pPr>
    </w:p>
    <w:p w14:paraId="073F71B5">
      <w:pPr>
        <w:shd w:val="clear"/>
        <w:rPr>
          <w:color w:val="auto"/>
          <w:highlight w:val="none"/>
        </w:rPr>
      </w:pPr>
    </w:p>
    <w:p w14:paraId="2758E687">
      <w:pPr>
        <w:pStyle w:val="80"/>
        <w:shd w:val="clear"/>
        <w:rPr>
          <w:color w:val="auto"/>
          <w:highlight w:val="none"/>
        </w:rPr>
      </w:pPr>
    </w:p>
    <w:p w14:paraId="313E20F0">
      <w:pPr>
        <w:pStyle w:val="81"/>
        <w:shd w:val="clear"/>
        <w:rPr>
          <w:rFonts w:eastAsia="仿宋"/>
          <w:color w:val="auto"/>
          <w:highlight w:val="none"/>
        </w:rPr>
      </w:pPr>
    </w:p>
    <w:p w14:paraId="45D9B592">
      <w:pPr>
        <w:shd w:val="clear"/>
        <w:rPr>
          <w:color w:val="auto"/>
          <w:highlight w:val="none"/>
        </w:rPr>
      </w:pPr>
    </w:p>
    <w:p w14:paraId="0717E8A9">
      <w:pPr>
        <w:pStyle w:val="80"/>
        <w:shd w:val="clear"/>
        <w:rPr>
          <w:color w:val="auto"/>
          <w:highlight w:val="none"/>
        </w:rPr>
      </w:pPr>
    </w:p>
    <w:p w14:paraId="3A82CA9F">
      <w:pPr>
        <w:pStyle w:val="81"/>
        <w:shd w:val="clear"/>
        <w:rPr>
          <w:rFonts w:eastAsia="仿宋"/>
          <w:color w:val="auto"/>
          <w:highlight w:val="none"/>
        </w:rPr>
      </w:pPr>
    </w:p>
    <w:p w14:paraId="678E246E">
      <w:pPr>
        <w:shd w:val="clear"/>
        <w:rPr>
          <w:color w:val="auto"/>
          <w:highlight w:val="none"/>
        </w:rPr>
      </w:pPr>
    </w:p>
    <w:p w14:paraId="26EC2406">
      <w:pPr>
        <w:pStyle w:val="80"/>
        <w:shd w:val="clear"/>
        <w:rPr>
          <w:color w:val="auto"/>
          <w:highlight w:val="none"/>
        </w:rPr>
      </w:pPr>
    </w:p>
    <w:p w14:paraId="4827A0D5">
      <w:pPr>
        <w:pStyle w:val="81"/>
        <w:shd w:val="clear"/>
        <w:rPr>
          <w:rFonts w:eastAsia="仿宋"/>
          <w:color w:val="auto"/>
          <w:highlight w:val="none"/>
        </w:rPr>
      </w:pPr>
    </w:p>
    <w:p w14:paraId="7F8C7B2C">
      <w:pPr>
        <w:shd w:val="clear"/>
        <w:rPr>
          <w:color w:val="auto"/>
          <w:highlight w:val="none"/>
        </w:rPr>
      </w:pPr>
    </w:p>
    <w:p w14:paraId="3E151FE3">
      <w:pPr>
        <w:pStyle w:val="80"/>
        <w:shd w:val="clear"/>
        <w:rPr>
          <w:color w:val="auto"/>
          <w:highlight w:val="none"/>
        </w:rPr>
      </w:pPr>
    </w:p>
    <w:p w14:paraId="7BEDC3E1">
      <w:pPr>
        <w:pStyle w:val="81"/>
        <w:shd w:val="clear"/>
        <w:rPr>
          <w:rFonts w:eastAsia="仿宋"/>
          <w:color w:val="auto"/>
          <w:highlight w:val="none"/>
        </w:rPr>
      </w:pPr>
    </w:p>
    <w:p w14:paraId="06943B68">
      <w:pPr>
        <w:shd w:val="clear"/>
        <w:rPr>
          <w:color w:val="auto"/>
          <w:highlight w:val="none"/>
        </w:rPr>
      </w:pPr>
    </w:p>
    <w:p w14:paraId="7E98F851">
      <w:pPr>
        <w:pStyle w:val="80"/>
        <w:shd w:val="clear"/>
        <w:rPr>
          <w:color w:val="auto"/>
          <w:highlight w:val="none"/>
        </w:rPr>
      </w:pPr>
    </w:p>
    <w:p w14:paraId="45AF3176">
      <w:pPr>
        <w:pStyle w:val="81"/>
        <w:shd w:val="clear"/>
        <w:rPr>
          <w:rFonts w:eastAsia="仿宋"/>
          <w:color w:val="auto"/>
          <w:highlight w:val="none"/>
        </w:rPr>
      </w:pPr>
    </w:p>
    <w:p w14:paraId="4BC40107">
      <w:pPr>
        <w:shd w:val="clear"/>
        <w:rPr>
          <w:color w:val="auto"/>
          <w:highlight w:val="none"/>
        </w:rPr>
      </w:pPr>
    </w:p>
    <w:p w14:paraId="3B77027C">
      <w:pPr>
        <w:pStyle w:val="80"/>
        <w:shd w:val="clear"/>
        <w:rPr>
          <w:color w:val="auto"/>
          <w:highlight w:val="none"/>
        </w:rPr>
      </w:pPr>
    </w:p>
    <w:p w14:paraId="686D5C9F">
      <w:pPr>
        <w:pStyle w:val="81"/>
        <w:shd w:val="clear"/>
        <w:rPr>
          <w:rFonts w:eastAsia="仿宋"/>
          <w:color w:val="auto"/>
          <w:highlight w:val="none"/>
        </w:rPr>
      </w:pPr>
    </w:p>
    <w:p w14:paraId="25333F7F">
      <w:pPr>
        <w:pStyle w:val="80"/>
        <w:shd w:val="clear"/>
        <w:rPr>
          <w:color w:val="auto"/>
          <w:highlight w:val="none"/>
        </w:rPr>
      </w:pPr>
    </w:p>
    <w:p w14:paraId="53B4BD4D">
      <w:pPr>
        <w:pStyle w:val="81"/>
        <w:shd w:val="clear"/>
        <w:rPr>
          <w:rFonts w:eastAsia="仿宋"/>
          <w:color w:val="auto"/>
          <w:highlight w:val="none"/>
        </w:rPr>
      </w:pPr>
    </w:p>
    <w:p w14:paraId="183D1CDF">
      <w:pPr>
        <w:shd w:val="clear"/>
        <w:rPr>
          <w:color w:val="auto"/>
          <w:highlight w:val="none"/>
        </w:rPr>
      </w:pPr>
    </w:p>
    <w:p w14:paraId="00C03CC1">
      <w:pPr>
        <w:shd w:val="clea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3：</w:t>
      </w:r>
      <w:r>
        <w:rPr>
          <w:rFonts w:hint="eastAsia" w:ascii="仿宋" w:hAnsi="仿宋" w:eastAsia="仿宋" w:cs="仿宋"/>
          <w:b/>
          <w:bCs/>
          <w:color w:val="auto"/>
          <w:sz w:val="32"/>
          <w:szCs w:val="32"/>
          <w:highlight w:val="none"/>
        </w:rPr>
        <w:t>业务专用章使用说明函</w:t>
      </w:r>
    </w:p>
    <w:p w14:paraId="44333D75">
      <w:pPr>
        <w:shd w:val="clear"/>
        <w:spacing w:line="360" w:lineRule="auto"/>
        <w:rPr>
          <w:rFonts w:ascii="仿宋" w:hAnsi="仿宋" w:eastAsia="仿宋" w:cs="仿宋"/>
          <w:color w:val="auto"/>
          <w:sz w:val="24"/>
          <w:highlight w:val="none"/>
          <w:u w:val="single"/>
        </w:rPr>
      </w:pPr>
    </w:p>
    <w:p w14:paraId="12B2880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5C42B1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w:t>
      </w:r>
      <w:r>
        <w:rPr>
          <w:rFonts w:ascii="仿宋" w:hAnsi="仿宋" w:eastAsia="仿宋" w:cs="仿宋"/>
          <w:color w:val="auto"/>
          <w:sz w:val="24"/>
          <w:highlight w:val="none"/>
        </w:rPr>
        <w:t xml:space="preserve">XX专用章”与法定名称章具有同等的法律效力，对使用“XX专用章”的行为予以完全承认，并愿意承担相应责任。   </w:t>
      </w:r>
    </w:p>
    <w:p w14:paraId="1C734B0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7395F65">
      <w:pPr>
        <w:shd w:val="clear"/>
        <w:spacing w:line="360" w:lineRule="auto"/>
        <w:ind w:firstLine="494"/>
        <w:rPr>
          <w:rFonts w:ascii="仿宋" w:hAnsi="仿宋" w:eastAsia="仿宋" w:cs="仿宋"/>
          <w:color w:val="auto"/>
          <w:sz w:val="24"/>
          <w:highlight w:val="none"/>
        </w:rPr>
      </w:pPr>
    </w:p>
    <w:p w14:paraId="55C0452A">
      <w:pPr>
        <w:shd w:val="clear"/>
        <w:spacing w:line="360" w:lineRule="auto"/>
        <w:ind w:firstLine="494"/>
        <w:rPr>
          <w:rFonts w:ascii="仿宋" w:hAnsi="仿宋" w:eastAsia="仿宋" w:cs="仿宋"/>
          <w:color w:val="auto"/>
          <w:sz w:val="24"/>
          <w:highlight w:val="none"/>
        </w:rPr>
      </w:pPr>
    </w:p>
    <w:p w14:paraId="29E1A378">
      <w:pPr>
        <w:shd w:val="clear"/>
        <w:spacing w:line="360" w:lineRule="auto"/>
        <w:ind w:firstLine="494"/>
        <w:rPr>
          <w:rFonts w:ascii="仿宋" w:hAnsi="仿宋" w:eastAsia="仿宋" w:cs="仿宋"/>
          <w:color w:val="auto"/>
          <w:sz w:val="24"/>
          <w:highlight w:val="none"/>
        </w:rPr>
      </w:pPr>
    </w:p>
    <w:p w14:paraId="6A6B4B71">
      <w:pPr>
        <w:shd w:val="clea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533F60A">
      <w:pPr>
        <w:shd w:val="clear"/>
        <w:ind w:right="1440" w:firstLine="494"/>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510C7ED5">
      <w:pPr>
        <w:pStyle w:val="80"/>
        <w:shd w:val="clear"/>
        <w:rPr>
          <w:color w:val="auto"/>
          <w:highlight w:val="none"/>
        </w:rPr>
      </w:pPr>
    </w:p>
    <w:p w14:paraId="03AB61E9">
      <w:pPr>
        <w:shd w:val="clea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072B2C30">
      <w:pPr>
        <w:shd w:val="clea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投标单位法定名称章（印模）投标单位“</w:t>
      </w:r>
      <w:r>
        <w:rPr>
          <w:rFonts w:ascii="仿宋" w:hAnsi="仿宋" w:eastAsia="仿宋" w:cs="仿宋"/>
          <w:color w:val="auto"/>
          <w:sz w:val="24"/>
          <w:highlight w:val="none"/>
        </w:rPr>
        <w:t>XX专用章”（印模）</w:t>
      </w:r>
    </w:p>
    <w:p w14:paraId="746D7DE3">
      <w:pPr>
        <w:shd w:val="clear"/>
        <w:autoSpaceDE w:val="0"/>
        <w:autoSpaceDN w:val="0"/>
        <w:jc w:val="center"/>
        <w:rPr>
          <w:rFonts w:ascii="仿宋" w:hAnsi="仿宋" w:eastAsia="仿宋" w:cs="仿宋"/>
          <w:b/>
          <w:color w:val="auto"/>
          <w:spacing w:val="6"/>
          <w:sz w:val="32"/>
          <w:szCs w:val="32"/>
          <w:highlight w:val="none"/>
        </w:rPr>
      </w:pPr>
    </w:p>
    <w:p w14:paraId="026212F4">
      <w:pPr>
        <w:shd w:val="clear"/>
        <w:autoSpaceDE w:val="0"/>
        <w:autoSpaceDN w:val="0"/>
        <w:jc w:val="center"/>
        <w:rPr>
          <w:rFonts w:ascii="仿宋" w:hAnsi="仿宋" w:eastAsia="仿宋" w:cs="仿宋"/>
          <w:b/>
          <w:color w:val="auto"/>
          <w:spacing w:val="6"/>
          <w:sz w:val="32"/>
          <w:szCs w:val="32"/>
          <w:highlight w:val="none"/>
        </w:rPr>
      </w:pPr>
    </w:p>
    <w:p w14:paraId="13923703">
      <w:pPr>
        <w:shd w:val="clear"/>
        <w:autoSpaceDE w:val="0"/>
        <w:autoSpaceDN w:val="0"/>
        <w:jc w:val="center"/>
        <w:rPr>
          <w:rFonts w:ascii="仿宋" w:hAnsi="仿宋" w:eastAsia="仿宋" w:cs="仿宋"/>
          <w:b/>
          <w:color w:val="auto"/>
          <w:spacing w:val="6"/>
          <w:sz w:val="32"/>
          <w:szCs w:val="32"/>
          <w:highlight w:val="none"/>
        </w:rPr>
      </w:pPr>
    </w:p>
    <w:p w14:paraId="030DB9AC">
      <w:pPr>
        <w:shd w:val="clear"/>
        <w:autoSpaceDE w:val="0"/>
        <w:autoSpaceDN w:val="0"/>
        <w:jc w:val="center"/>
        <w:rPr>
          <w:rFonts w:ascii="仿宋" w:hAnsi="仿宋" w:eastAsia="仿宋" w:cs="仿宋"/>
          <w:b/>
          <w:color w:val="auto"/>
          <w:spacing w:val="6"/>
          <w:sz w:val="32"/>
          <w:szCs w:val="32"/>
          <w:highlight w:val="none"/>
        </w:rPr>
      </w:pPr>
    </w:p>
    <w:p w14:paraId="45471EF8">
      <w:pPr>
        <w:shd w:val="clear"/>
        <w:autoSpaceDE w:val="0"/>
        <w:autoSpaceDN w:val="0"/>
        <w:jc w:val="center"/>
        <w:rPr>
          <w:rFonts w:ascii="仿宋" w:hAnsi="仿宋" w:eastAsia="仿宋" w:cs="仿宋"/>
          <w:b/>
          <w:color w:val="auto"/>
          <w:spacing w:val="6"/>
          <w:sz w:val="32"/>
          <w:szCs w:val="32"/>
          <w:highlight w:val="none"/>
        </w:rPr>
      </w:pPr>
    </w:p>
    <w:p w14:paraId="005C842D">
      <w:pPr>
        <w:shd w:val="clear"/>
        <w:autoSpaceDE w:val="0"/>
        <w:autoSpaceDN w:val="0"/>
        <w:jc w:val="center"/>
        <w:rPr>
          <w:rFonts w:ascii="仿宋" w:hAnsi="仿宋" w:eastAsia="仿宋" w:cs="仿宋"/>
          <w:b/>
          <w:color w:val="auto"/>
          <w:spacing w:val="6"/>
          <w:sz w:val="32"/>
          <w:szCs w:val="32"/>
          <w:highlight w:val="none"/>
        </w:rPr>
      </w:pPr>
    </w:p>
    <w:p w14:paraId="42F1440E">
      <w:pPr>
        <w:shd w:val="clear"/>
        <w:autoSpaceDE w:val="0"/>
        <w:autoSpaceDN w:val="0"/>
        <w:jc w:val="center"/>
        <w:rPr>
          <w:rFonts w:ascii="仿宋" w:hAnsi="仿宋" w:eastAsia="仿宋" w:cs="仿宋"/>
          <w:b/>
          <w:color w:val="auto"/>
          <w:spacing w:val="6"/>
          <w:sz w:val="32"/>
          <w:szCs w:val="32"/>
          <w:highlight w:val="none"/>
        </w:rPr>
      </w:pPr>
    </w:p>
    <w:p w14:paraId="2087C8FE">
      <w:pPr>
        <w:shd w:val="clear"/>
        <w:autoSpaceDE w:val="0"/>
        <w:autoSpaceDN w:val="0"/>
        <w:jc w:val="center"/>
        <w:rPr>
          <w:rFonts w:ascii="仿宋" w:hAnsi="仿宋" w:eastAsia="仿宋" w:cs="仿宋"/>
          <w:b/>
          <w:color w:val="auto"/>
          <w:spacing w:val="6"/>
          <w:sz w:val="32"/>
          <w:szCs w:val="32"/>
          <w:highlight w:val="none"/>
        </w:rPr>
      </w:pPr>
    </w:p>
    <w:p w14:paraId="79EBC005">
      <w:pPr>
        <w:shd w:val="clear"/>
        <w:autoSpaceDE w:val="0"/>
        <w:autoSpaceDN w:val="0"/>
        <w:jc w:val="center"/>
        <w:rPr>
          <w:rFonts w:ascii="仿宋" w:hAnsi="仿宋" w:eastAsia="仿宋" w:cs="仿宋"/>
          <w:b/>
          <w:color w:val="auto"/>
          <w:spacing w:val="6"/>
          <w:sz w:val="32"/>
          <w:szCs w:val="32"/>
          <w:highlight w:val="none"/>
        </w:rPr>
      </w:pPr>
    </w:p>
    <w:p w14:paraId="367A8D8A">
      <w:pPr>
        <w:shd w:val="clear"/>
        <w:autoSpaceDE w:val="0"/>
        <w:autoSpaceDN w:val="0"/>
        <w:jc w:val="center"/>
        <w:rPr>
          <w:rFonts w:ascii="仿宋" w:hAnsi="仿宋" w:eastAsia="仿宋" w:cs="仿宋"/>
          <w:b/>
          <w:color w:val="auto"/>
          <w:spacing w:val="6"/>
          <w:sz w:val="32"/>
          <w:szCs w:val="32"/>
          <w:highlight w:val="none"/>
        </w:rPr>
      </w:pPr>
    </w:p>
    <w:p w14:paraId="4BE47591">
      <w:pPr>
        <w:shd w:val="clear"/>
        <w:autoSpaceDE w:val="0"/>
        <w:autoSpaceDN w:val="0"/>
        <w:jc w:val="center"/>
        <w:rPr>
          <w:rFonts w:ascii="仿宋" w:hAnsi="仿宋" w:eastAsia="仿宋" w:cs="仿宋"/>
          <w:b/>
          <w:color w:val="auto"/>
          <w:spacing w:val="6"/>
          <w:sz w:val="32"/>
          <w:szCs w:val="32"/>
          <w:highlight w:val="none"/>
        </w:rPr>
      </w:pPr>
    </w:p>
    <w:p w14:paraId="770B8A55">
      <w:pPr>
        <w:shd w:val="clear"/>
        <w:autoSpaceDE w:val="0"/>
        <w:autoSpaceDN w:val="0"/>
        <w:jc w:val="center"/>
        <w:rPr>
          <w:rFonts w:ascii="仿宋" w:hAnsi="仿宋" w:eastAsia="仿宋" w:cs="仿宋"/>
          <w:b/>
          <w:color w:val="auto"/>
          <w:spacing w:val="6"/>
          <w:sz w:val="32"/>
          <w:szCs w:val="32"/>
          <w:highlight w:val="none"/>
        </w:rPr>
      </w:pPr>
    </w:p>
    <w:p w14:paraId="06350E83">
      <w:pPr>
        <w:shd w:val="clear"/>
        <w:autoSpaceDE w:val="0"/>
        <w:autoSpaceDN w:val="0"/>
        <w:jc w:val="center"/>
        <w:rPr>
          <w:rFonts w:ascii="仿宋" w:hAnsi="仿宋" w:eastAsia="仿宋" w:cs="仿宋"/>
          <w:b/>
          <w:color w:val="auto"/>
          <w:spacing w:val="6"/>
          <w:sz w:val="32"/>
          <w:szCs w:val="32"/>
          <w:highlight w:val="none"/>
        </w:rPr>
      </w:pPr>
    </w:p>
    <w:p w14:paraId="0D4518D9">
      <w:pPr>
        <w:shd w:val="clear"/>
        <w:autoSpaceDE w:val="0"/>
        <w:autoSpaceDN w:val="0"/>
        <w:jc w:val="center"/>
        <w:rPr>
          <w:rFonts w:ascii="仿宋" w:hAnsi="仿宋" w:eastAsia="仿宋" w:cs="仿宋"/>
          <w:b/>
          <w:color w:val="auto"/>
          <w:spacing w:val="6"/>
          <w:sz w:val="32"/>
          <w:szCs w:val="32"/>
          <w:highlight w:val="none"/>
        </w:rPr>
      </w:pPr>
    </w:p>
    <w:p w14:paraId="208EAED0">
      <w:pPr>
        <w:shd w:val="clear"/>
        <w:autoSpaceDE w:val="0"/>
        <w:autoSpaceDN w:val="0"/>
        <w:jc w:val="center"/>
        <w:rPr>
          <w:rFonts w:ascii="仿宋" w:hAnsi="仿宋" w:eastAsia="仿宋" w:cs="仿宋"/>
          <w:b/>
          <w:color w:val="auto"/>
          <w:spacing w:val="6"/>
          <w:sz w:val="32"/>
          <w:szCs w:val="32"/>
          <w:highlight w:val="none"/>
        </w:rPr>
      </w:pPr>
    </w:p>
    <w:p w14:paraId="21511C07">
      <w:pPr>
        <w:shd w:val="clea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4：联合协议</w:t>
      </w:r>
    </w:p>
    <w:p w14:paraId="4004F76E">
      <w:pPr>
        <w:widowControl/>
        <w:shd w:val="clear"/>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5E6C49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14:paraId="23936C33">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BA8D8EC">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0AEB24A">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4E369FF">
      <w:pPr>
        <w:shd w:val="clear"/>
        <w:snapToGrid w:val="0"/>
        <w:spacing w:line="360" w:lineRule="auto"/>
        <w:ind w:firstLine="576"/>
        <w:rPr>
          <w:rFonts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lang w:val="zh-CN"/>
        </w:rPr>
        <w:t>承担的工作和义务为：；</w:t>
      </w:r>
    </w:p>
    <w:p w14:paraId="7A714D67">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lang w:val="zh-CN"/>
        </w:rPr>
        <w:t>承担的工作和义务为：；</w:t>
      </w:r>
    </w:p>
    <w:p w14:paraId="537F3DA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14:paraId="32EDD66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1E8364F">
      <w:pPr>
        <w:shd w:val="clear"/>
        <w:snapToGrid w:val="0"/>
        <w:spacing w:line="360" w:lineRule="auto"/>
        <w:ind w:firstLine="576"/>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X,……）</w:t>
      </w:r>
      <w:r>
        <w:rPr>
          <w:rFonts w:hint="eastAsia" w:ascii="仿宋" w:hAnsi="仿宋" w:eastAsia="仿宋" w:cs="仿宋"/>
          <w:color w:val="auto"/>
          <w:kern w:val="0"/>
          <w:sz w:val="24"/>
          <w:highlight w:val="none"/>
        </w:rPr>
        <w:t>提供的全部货物由小微企业制造，其合同份额占到合同总金额</w:t>
      </w:r>
      <w:r>
        <w:rPr>
          <w:rFonts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color w:val="auto"/>
          <w:kern w:val="0"/>
          <w:sz w:val="24"/>
          <w:highlight w:val="none"/>
          <w:lang w:val="zh-CN"/>
        </w:rPr>
        <w:t>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EE48288">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355CCE07">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8BCD896">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C153FEA">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1、联合体各方不再单独参加或者与其他供应商另外组成联合体参加同一合同项下的采购活动。</w:t>
      </w:r>
    </w:p>
    <w:p w14:paraId="0B50E124">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EA310A5">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3、本协议提交采购人、采购代理机构后，联合体各方不得以任何形式对上述内容进行修改或撤销。</w:t>
      </w:r>
    </w:p>
    <w:p w14:paraId="75BEA98E">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081913E0">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2A7E2A00">
      <w:pPr>
        <w:shd w:val="clear"/>
        <w:snapToGrid w:val="0"/>
        <w:spacing w:line="360" w:lineRule="auto"/>
        <w:ind w:right="960"/>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w:t>
      </w:r>
    </w:p>
    <w:p w14:paraId="60677869">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日期：年月日</w:t>
      </w:r>
    </w:p>
    <w:p w14:paraId="33313038">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3EAFF2E">
      <w:pPr>
        <w:shd w:val="clear"/>
        <w:autoSpaceDE w:val="0"/>
        <w:autoSpaceDN w:val="0"/>
        <w:jc w:val="center"/>
        <w:rPr>
          <w:rFonts w:ascii="仿宋" w:hAnsi="仿宋" w:eastAsia="仿宋" w:cs="仿宋"/>
          <w:b/>
          <w:color w:val="auto"/>
          <w:spacing w:val="6"/>
          <w:sz w:val="32"/>
          <w:szCs w:val="32"/>
          <w:highlight w:val="none"/>
        </w:rPr>
      </w:pPr>
    </w:p>
    <w:p w14:paraId="49FA478B">
      <w:pPr>
        <w:shd w:val="clear"/>
        <w:autoSpaceDE w:val="0"/>
        <w:autoSpaceDN w:val="0"/>
        <w:jc w:val="center"/>
        <w:rPr>
          <w:rFonts w:ascii="仿宋" w:hAnsi="仿宋" w:eastAsia="仿宋" w:cs="仿宋"/>
          <w:b/>
          <w:color w:val="auto"/>
          <w:spacing w:val="6"/>
          <w:sz w:val="32"/>
          <w:szCs w:val="32"/>
          <w:highlight w:val="none"/>
        </w:rPr>
      </w:pPr>
    </w:p>
    <w:p w14:paraId="0D3D04C1">
      <w:pPr>
        <w:shd w:val="clear"/>
        <w:autoSpaceDE w:val="0"/>
        <w:autoSpaceDN w:val="0"/>
        <w:jc w:val="center"/>
        <w:rPr>
          <w:rFonts w:ascii="仿宋" w:hAnsi="仿宋" w:eastAsia="仿宋" w:cs="仿宋"/>
          <w:b/>
          <w:color w:val="auto"/>
          <w:spacing w:val="6"/>
          <w:sz w:val="32"/>
          <w:szCs w:val="32"/>
          <w:highlight w:val="none"/>
        </w:rPr>
      </w:pPr>
    </w:p>
    <w:p w14:paraId="7BF7041A">
      <w:pPr>
        <w:shd w:val="clear"/>
        <w:autoSpaceDE w:val="0"/>
        <w:autoSpaceDN w:val="0"/>
        <w:jc w:val="center"/>
        <w:rPr>
          <w:rFonts w:ascii="仿宋" w:hAnsi="仿宋" w:eastAsia="仿宋" w:cs="仿宋"/>
          <w:b/>
          <w:color w:val="auto"/>
          <w:spacing w:val="6"/>
          <w:sz w:val="32"/>
          <w:szCs w:val="32"/>
          <w:highlight w:val="none"/>
        </w:rPr>
      </w:pPr>
    </w:p>
    <w:p w14:paraId="120C0DF1">
      <w:pPr>
        <w:shd w:val="clear"/>
        <w:autoSpaceDE w:val="0"/>
        <w:autoSpaceDN w:val="0"/>
        <w:jc w:val="center"/>
        <w:rPr>
          <w:rFonts w:ascii="仿宋" w:hAnsi="仿宋" w:eastAsia="仿宋" w:cs="仿宋"/>
          <w:b/>
          <w:color w:val="auto"/>
          <w:spacing w:val="6"/>
          <w:sz w:val="32"/>
          <w:szCs w:val="32"/>
          <w:highlight w:val="none"/>
        </w:rPr>
      </w:pPr>
    </w:p>
    <w:p w14:paraId="15ADBECE">
      <w:pPr>
        <w:shd w:val="clear"/>
        <w:autoSpaceDE w:val="0"/>
        <w:autoSpaceDN w:val="0"/>
        <w:jc w:val="center"/>
        <w:rPr>
          <w:rFonts w:ascii="仿宋" w:hAnsi="仿宋" w:eastAsia="仿宋" w:cs="仿宋"/>
          <w:b/>
          <w:color w:val="auto"/>
          <w:spacing w:val="6"/>
          <w:sz w:val="32"/>
          <w:szCs w:val="32"/>
          <w:highlight w:val="none"/>
        </w:rPr>
      </w:pPr>
    </w:p>
    <w:p w14:paraId="18264CF1">
      <w:pPr>
        <w:shd w:val="clear"/>
        <w:autoSpaceDE w:val="0"/>
        <w:autoSpaceDN w:val="0"/>
        <w:jc w:val="center"/>
        <w:rPr>
          <w:rFonts w:ascii="仿宋" w:hAnsi="仿宋" w:eastAsia="仿宋" w:cs="仿宋"/>
          <w:b/>
          <w:color w:val="auto"/>
          <w:spacing w:val="6"/>
          <w:sz w:val="32"/>
          <w:szCs w:val="32"/>
          <w:highlight w:val="none"/>
        </w:rPr>
      </w:pPr>
    </w:p>
    <w:p w14:paraId="48622CED">
      <w:pPr>
        <w:pStyle w:val="80"/>
        <w:shd w:val="clear"/>
        <w:rPr>
          <w:color w:val="auto"/>
          <w:highlight w:val="none"/>
        </w:rPr>
      </w:pPr>
    </w:p>
    <w:p w14:paraId="3B2A1048">
      <w:pPr>
        <w:pStyle w:val="81"/>
        <w:shd w:val="clear"/>
        <w:rPr>
          <w:rFonts w:eastAsia="仿宋"/>
          <w:color w:val="auto"/>
          <w:highlight w:val="none"/>
        </w:rPr>
      </w:pPr>
    </w:p>
    <w:p w14:paraId="0585C2A9">
      <w:pPr>
        <w:shd w:val="clear"/>
        <w:rPr>
          <w:color w:val="auto"/>
          <w:highlight w:val="none"/>
        </w:rPr>
      </w:pPr>
    </w:p>
    <w:p w14:paraId="174ACD03">
      <w:pPr>
        <w:pStyle w:val="80"/>
        <w:shd w:val="clear"/>
        <w:rPr>
          <w:color w:val="auto"/>
          <w:highlight w:val="none"/>
        </w:rPr>
      </w:pPr>
    </w:p>
    <w:p w14:paraId="29710463">
      <w:pPr>
        <w:pStyle w:val="81"/>
        <w:shd w:val="clear"/>
        <w:rPr>
          <w:rFonts w:eastAsia="仿宋"/>
          <w:color w:val="auto"/>
          <w:highlight w:val="none"/>
        </w:rPr>
      </w:pPr>
    </w:p>
    <w:p w14:paraId="23273C78">
      <w:pPr>
        <w:shd w:val="clear"/>
        <w:rPr>
          <w:color w:val="auto"/>
          <w:highlight w:val="none"/>
        </w:rPr>
      </w:pPr>
    </w:p>
    <w:p w14:paraId="19A0F4DA">
      <w:pPr>
        <w:pStyle w:val="80"/>
        <w:shd w:val="clear"/>
        <w:rPr>
          <w:color w:val="auto"/>
          <w:highlight w:val="none"/>
        </w:rPr>
      </w:pPr>
    </w:p>
    <w:p w14:paraId="76EC5FAA">
      <w:pPr>
        <w:shd w:val="clear"/>
        <w:autoSpaceDE w:val="0"/>
        <w:autoSpaceDN w:val="0"/>
        <w:jc w:val="center"/>
        <w:rPr>
          <w:rFonts w:ascii="仿宋" w:hAnsi="仿宋" w:eastAsia="仿宋" w:cs="仿宋"/>
          <w:b/>
          <w:color w:val="auto"/>
          <w:spacing w:val="6"/>
          <w:sz w:val="32"/>
          <w:szCs w:val="32"/>
          <w:highlight w:val="none"/>
        </w:rPr>
      </w:pPr>
    </w:p>
    <w:p w14:paraId="4D6B7D94">
      <w:pPr>
        <w:shd w:val="clear"/>
        <w:autoSpaceDE w:val="0"/>
        <w:autoSpaceDN w:val="0"/>
        <w:jc w:val="center"/>
        <w:rPr>
          <w:rFonts w:ascii="仿宋" w:hAnsi="仿宋" w:eastAsia="仿宋" w:cs="仿宋"/>
          <w:b/>
          <w:color w:val="auto"/>
          <w:spacing w:val="6"/>
          <w:sz w:val="32"/>
          <w:szCs w:val="32"/>
          <w:highlight w:val="none"/>
        </w:rPr>
      </w:pPr>
    </w:p>
    <w:p w14:paraId="3C7175A4">
      <w:pPr>
        <w:shd w:val="clear"/>
        <w:autoSpaceDE w:val="0"/>
        <w:autoSpaceDN w:val="0"/>
        <w:jc w:val="center"/>
        <w:rPr>
          <w:rFonts w:ascii="仿宋" w:hAnsi="仿宋" w:eastAsia="仿宋" w:cs="仿宋"/>
          <w:b/>
          <w:color w:val="auto"/>
          <w:spacing w:val="6"/>
          <w:sz w:val="32"/>
          <w:szCs w:val="32"/>
          <w:highlight w:val="none"/>
        </w:rPr>
      </w:pPr>
    </w:p>
    <w:p w14:paraId="57164608">
      <w:pPr>
        <w:shd w:val="clear"/>
        <w:autoSpaceDE w:val="0"/>
        <w:autoSpaceDN w:val="0"/>
        <w:jc w:val="center"/>
        <w:rPr>
          <w:rFonts w:ascii="仿宋" w:hAnsi="仿宋" w:eastAsia="仿宋" w:cs="仿宋"/>
          <w:b/>
          <w:color w:val="auto"/>
          <w:spacing w:val="6"/>
          <w:sz w:val="32"/>
          <w:szCs w:val="32"/>
          <w:highlight w:val="none"/>
        </w:rPr>
      </w:pPr>
    </w:p>
    <w:p w14:paraId="2370B96B">
      <w:pPr>
        <w:shd w:val="clear"/>
        <w:autoSpaceDE w:val="0"/>
        <w:autoSpaceDN w:val="0"/>
        <w:jc w:val="center"/>
        <w:rPr>
          <w:rFonts w:ascii="仿宋" w:hAnsi="仿宋" w:eastAsia="仿宋" w:cs="仿宋"/>
          <w:b/>
          <w:color w:val="auto"/>
          <w:spacing w:val="6"/>
          <w:sz w:val="32"/>
          <w:szCs w:val="32"/>
          <w:highlight w:val="none"/>
        </w:rPr>
      </w:pPr>
    </w:p>
    <w:p w14:paraId="5485EA5B">
      <w:pPr>
        <w:shd w:val="clear"/>
        <w:autoSpaceDE w:val="0"/>
        <w:autoSpaceDN w:val="0"/>
        <w:jc w:val="center"/>
        <w:rPr>
          <w:rFonts w:ascii="仿宋" w:hAnsi="仿宋" w:eastAsia="仿宋" w:cs="仿宋"/>
          <w:b/>
          <w:color w:val="auto"/>
          <w:spacing w:val="6"/>
          <w:sz w:val="32"/>
          <w:szCs w:val="32"/>
          <w:highlight w:val="none"/>
        </w:rPr>
      </w:pPr>
    </w:p>
    <w:p w14:paraId="35CB44BB">
      <w:pPr>
        <w:shd w:val="clear"/>
        <w:autoSpaceDE w:val="0"/>
        <w:autoSpaceDN w:val="0"/>
        <w:jc w:val="center"/>
        <w:rPr>
          <w:rFonts w:ascii="仿宋" w:hAnsi="仿宋" w:eastAsia="仿宋" w:cs="仿宋"/>
          <w:b/>
          <w:color w:val="auto"/>
          <w:spacing w:val="6"/>
          <w:sz w:val="32"/>
          <w:szCs w:val="32"/>
          <w:highlight w:val="none"/>
        </w:rPr>
      </w:pPr>
    </w:p>
    <w:p w14:paraId="5B63DD6E">
      <w:pPr>
        <w:shd w:val="clear"/>
        <w:autoSpaceDE w:val="0"/>
        <w:autoSpaceDN w:val="0"/>
        <w:jc w:val="center"/>
        <w:rPr>
          <w:rFonts w:ascii="仿宋" w:hAnsi="仿宋" w:eastAsia="仿宋" w:cs="仿宋"/>
          <w:b/>
          <w:color w:val="auto"/>
          <w:spacing w:val="6"/>
          <w:sz w:val="32"/>
          <w:szCs w:val="32"/>
          <w:highlight w:val="none"/>
        </w:rPr>
      </w:pPr>
    </w:p>
    <w:p w14:paraId="469DE870">
      <w:pPr>
        <w:shd w:val="clear"/>
        <w:autoSpaceDE w:val="0"/>
        <w:autoSpaceDN w:val="0"/>
        <w:jc w:val="center"/>
        <w:rPr>
          <w:rFonts w:ascii="仿宋" w:hAnsi="仿宋" w:eastAsia="仿宋" w:cs="仿宋"/>
          <w:b/>
          <w:color w:val="auto"/>
          <w:spacing w:val="6"/>
          <w:sz w:val="32"/>
          <w:szCs w:val="32"/>
          <w:highlight w:val="none"/>
        </w:rPr>
      </w:pPr>
    </w:p>
    <w:p w14:paraId="6DA3FB4B">
      <w:pPr>
        <w:shd w:val="clea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5：分包意向协议</w:t>
      </w:r>
    </w:p>
    <w:p w14:paraId="49462C93">
      <w:pPr>
        <w:widowControl/>
        <w:shd w:val="clear"/>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FB776C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14:paraId="78DB354C">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F1F8852">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6231779">
      <w:pPr>
        <w:pStyle w:val="4"/>
        <w:shd w:val="clear"/>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B6CAD21">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0AE6E5F">
      <w:pPr>
        <w:shd w:val="clear"/>
        <w:snapToGrid w:val="0"/>
        <w:spacing w:line="360" w:lineRule="auto"/>
        <w:ind w:firstLine="576"/>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X,……）提供的货物全部由小微企业制造，</w:t>
      </w:r>
      <w:r>
        <w:rPr>
          <w:rFonts w:hint="eastAsia" w:ascii="仿宋" w:hAnsi="仿宋" w:eastAsia="仿宋" w:cs="仿宋"/>
          <w:color w:val="auto"/>
          <w:kern w:val="0"/>
          <w:sz w:val="24"/>
          <w:highlight w:val="none"/>
        </w:rPr>
        <w:t>其合同份额占到合同总金额</w:t>
      </w:r>
      <w:r>
        <w:rPr>
          <w:rFonts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auto"/>
          <w:kern w:val="0"/>
          <w:sz w:val="24"/>
          <w:highlight w:val="none"/>
          <w:lang w:val="zh-CN"/>
        </w:rPr>
        <w:t>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DE0E35E">
      <w:pPr>
        <w:shd w:val="clear"/>
        <w:spacing w:line="360" w:lineRule="auto"/>
        <w:ind w:firstLine="480" w:firstLineChars="200"/>
        <w:rPr>
          <w:rFonts w:ascii="仿宋" w:hAnsi="仿宋" w:eastAsia="仿宋" w:cs="仿宋"/>
          <w:b/>
          <w:bCs/>
          <w:color w:val="auto"/>
          <w:kern w:val="0"/>
          <w:sz w:val="24"/>
          <w:highlight w:val="none"/>
          <w:lang w:val="zh-CN"/>
        </w:rPr>
      </w:pPr>
      <w:r>
        <w:rPr>
          <w:rFonts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ascii="仿宋" w:hAnsi="仿宋" w:eastAsia="仿宋" w:cs="仿宋"/>
          <w:color w:val="auto"/>
          <w:sz w:val="24"/>
          <w:highlight w:val="none"/>
        </w:rPr>
        <w:t>%，其中小微企业合同金额达到%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14:paraId="66FAE46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5295134">
      <w:pPr>
        <w:shd w:val="clear"/>
        <w:snapToGrid w:val="0"/>
        <w:spacing w:line="360" w:lineRule="auto"/>
        <w:ind w:firstLine="576"/>
        <w:rPr>
          <w:rFonts w:ascii="仿宋" w:hAnsi="仿宋" w:eastAsia="仿宋" w:cs="仿宋"/>
          <w:color w:val="auto"/>
          <w:highlight w:val="none"/>
          <w:u w:val="single"/>
        </w:rPr>
      </w:pPr>
    </w:p>
    <w:p w14:paraId="278048B4">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5EA392">
      <w:pPr>
        <w:shd w:val="clear"/>
        <w:snapToGrid w:val="0"/>
        <w:spacing w:line="360" w:lineRule="auto"/>
        <w:ind w:firstLine="576"/>
        <w:rPr>
          <w:rFonts w:ascii="仿宋" w:hAnsi="仿宋" w:eastAsia="仿宋" w:cs="仿宋"/>
          <w:color w:val="auto"/>
          <w:kern w:val="0"/>
          <w:sz w:val="24"/>
          <w:highlight w:val="none"/>
          <w:lang w:val="zh-CN"/>
        </w:rPr>
      </w:pPr>
    </w:p>
    <w:p w14:paraId="2604D3A6">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8318C49">
      <w:pPr>
        <w:shd w:val="clear"/>
        <w:snapToGrid w:val="0"/>
        <w:spacing w:line="360" w:lineRule="auto"/>
        <w:ind w:left="573" w:leftChars="273"/>
        <w:rPr>
          <w:rFonts w:ascii="仿宋" w:hAnsi="仿宋" w:eastAsia="仿宋" w:cs="仿宋"/>
          <w:color w:val="auto"/>
          <w:kern w:val="0"/>
          <w:sz w:val="24"/>
          <w:highlight w:val="none"/>
          <w:lang w:val="zh-CN"/>
        </w:rPr>
      </w:pPr>
    </w:p>
    <w:p w14:paraId="611FB883">
      <w:pPr>
        <w:shd w:val="clea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2E5695A">
      <w:pPr>
        <w:shd w:val="clear"/>
        <w:snapToGrid w:val="0"/>
        <w:spacing w:line="360" w:lineRule="auto"/>
        <w:ind w:firstLine="576"/>
        <w:rPr>
          <w:rFonts w:ascii="仿宋" w:hAnsi="仿宋" w:eastAsia="仿宋" w:cs="仿宋"/>
          <w:color w:val="auto"/>
          <w:kern w:val="0"/>
          <w:sz w:val="24"/>
          <w:highlight w:val="none"/>
          <w:lang w:val="zh-CN"/>
        </w:rPr>
      </w:pPr>
    </w:p>
    <w:p w14:paraId="4757BB8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73EB366">
      <w:pPr>
        <w:shd w:val="clear"/>
        <w:snapToGrid w:val="0"/>
        <w:spacing w:line="360" w:lineRule="auto"/>
        <w:ind w:firstLine="576"/>
        <w:rPr>
          <w:rFonts w:ascii="仿宋" w:hAnsi="仿宋" w:eastAsia="仿宋" w:cs="仿宋"/>
          <w:color w:val="auto"/>
          <w:kern w:val="0"/>
          <w:sz w:val="24"/>
          <w:highlight w:val="none"/>
          <w:lang w:val="zh-CN"/>
        </w:rPr>
      </w:pPr>
    </w:p>
    <w:p w14:paraId="0AD251F1">
      <w:pPr>
        <w:shd w:val="clear"/>
        <w:snapToGrid w:val="0"/>
        <w:spacing w:line="360" w:lineRule="auto"/>
        <w:ind w:left="5758" w:leftChars="342" w:hanging="5040" w:hangingChars="21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投标人名称(电子签名)：</w:t>
      </w:r>
    </w:p>
    <w:p w14:paraId="7BBA4CAF">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r>
        <w:rPr>
          <w:rFonts w:ascii="仿宋" w:hAnsi="仿宋" w:eastAsia="仿宋" w:cs="仿宋"/>
          <w:color w:val="auto"/>
          <w:kern w:val="0"/>
          <w:sz w:val="24"/>
          <w:highlight w:val="none"/>
          <w:lang w:val="zh-CN"/>
        </w:rPr>
        <w:t>(电子签名/公章)：</w:t>
      </w:r>
    </w:p>
    <w:p w14:paraId="1C070DE7">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7B9DF1B">
      <w:pPr>
        <w:shd w:val="clear"/>
        <w:spacing w:line="360" w:lineRule="auto"/>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14:paraId="31844548">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8B4293">
      <w:pPr>
        <w:shd w:val="clear"/>
        <w:autoSpaceDE w:val="0"/>
        <w:autoSpaceDN w:val="0"/>
        <w:jc w:val="center"/>
        <w:rPr>
          <w:rFonts w:ascii="仿宋" w:hAnsi="仿宋" w:eastAsia="仿宋" w:cs="仿宋"/>
          <w:b/>
          <w:color w:val="auto"/>
          <w:spacing w:val="6"/>
          <w:sz w:val="32"/>
          <w:szCs w:val="32"/>
          <w:highlight w:val="none"/>
        </w:rPr>
      </w:pPr>
    </w:p>
    <w:p w14:paraId="6455EA5F">
      <w:pPr>
        <w:shd w:val="clear"/>
        <w:autoSpaceDE w:val="0"/>
        <w:autoSpaceDN w:val="0"/>
        <w:jc w:val="center"/>
        <w:rPr>
          <w:rFonts w:ascii="仿宋" w:hAnsi="仿宋" w:eastAsia="仿宋" w:cs="仿宋"/>
          <w:b/>
          <w:color w:val="auto"/>
          <w:spacing w:val="6"/>
          <w:sz w:val="32"/>
          <w:szCs w:val="32"/>
          <w:highlight w:val="none"/>
        </w:rPr>
      </w:pPr>
    </w:p>
    <w:p w14:paraId="6C20F538">
      <w:pPr>
        <w:shd w:val="clear"/>
        <w:autoSpaceDE w:val="0"/>
        <w:autoSpaceDN w:val="0"/>
        <w:jc w:val="center"/>
        <w:rPr>
          <w:rFonts w:ascii="仿宋" w:hAnsi="仿宋" w:eastAsia="仿宋" w:cs="仿宋"/>
          <w:b/>
          <w:color w:val="auto"/>
          <w:spacing w:val="6"/>
          <w:sz w:val="32"/>
          <w:szCs w:val="32"/>
          <w:highlight w:val="none"/>
        </w:rPr>
      </w:pPr>
    </w:p>
    <w:p w14:paraId="631A4492">
      <w:pPr>
        <w:shd w:val="clear"/>
        <w:autoSpaceDE w:val="0"/>
        <w:autoSpaceDN w:val="0"/>
        <w:jc w:val="center"/>
        <w:rPr>
          <w:rFonts w:ascii="仿宋" w:hAnsi="仿宋" w:eastAsia="仿宋" w:cs="仿宋"/>
          <w:b/>
          <w:color w:val="auto"/>
          <w:spacing w:val="6"/>
          <w:sz w:val="32"/>
          <w:szCs w:val="32"/>
          <w:highlight w:val="none"/>
        </w:rPr>
      </w:pPr>
    </w:p>
    <w:p w14:paraId="60D653A9">
      <w:pPr>
        <w:shd w:val="clear"/>
        <w:autoSpaceDE w:val="0"/>
        <w:autoSpaceDN w:val="0"/>
        <w:jc w:val="center"/>
        <w:rPr>
          <w:rFonts w:ascii="仿宋" w:hAnsi="仿宋" w:eastAsia="仿宋" w:cs="仿宋"/>
          <w:b/>
          <w:color w:val="auto"/>
          <w:spacing w:val="6"/>
          <w:sz w:val="32"/>
          <w:szCs w:val="32"/>
          <w:highlight w:val="none"/>
        </w:rPr>
      </w:pPr>
    </w:p>
    <w:p w14:paraId="4C31B016">
      <w:pPr>
        <w:shd w:val="clear"/>
        <w:autoSpaceDE w:val="0"/>
        <w:autoSpaceDN w:val="0"/>
        <w:jc w:val="center"/>
        <w:rPr>
          <w:rFonts w:ascii="仿宋" w:hAnsi="仿宋" w:eastAsia="仿宋" w:cs="仿宋"/>
          <w:b/>
          <w:color w:val="auto"/>
          <w:spacing w:val="6"/>
          <w:sz w:val="32"/>
          <w:szCs w:val="32"/>
          <w:highlight w:val="none"/>
        </w:rPr>
      </w:pPr>
    </w:p>
    <w:p w14:paraId="08F5CFFD">
      <w:pPr>
        <w:shd w:val="clear"/>
        <w:autoSpaceDE w:val="0"/>
        <w:autoSpaceDN w:val="0"/>
        <w:jc w:val="center"/>
        <w:rPr>
          <w:rFonts w:ascii="仿宋" w:hAnsi="仿宋" w:eastAsia="仿宋" w:cs="仿宋"/>
          <w:b/>
          <w:color w:val="auto"/>
          <w:spacing w:val="6"/>
          <w:sz w:val="32"/>
          <w:szCs w:val="32"/>
          <w:highlight w:val="none"/>
        </w:rPr>
      </w:pPr>
    </w:p>
    <w:p w14:paraId="183E837F">
      <w:pPr>
        <w:shd w:val="clear"/>
        <w:autoSpaceDE w:val="0"/>
        <w:autoSpaceDN w:val="0"/>
        <w:jc w:val="center"/>
        <w:rPr>
          <w:rFonts w:ascii="仿宋" w:hAnsi="仿宋" w:eastAsia="仿宋" w:cs="仿宋"/>
          <w:b/>
          <w:color w:val="auto"/>
          <w:spacing w:val="6"/>
          <w:sz w:val="32"/>
          <w:szCs w:val="32"/>
          <w:highlight w:val="none"/>
        </w:rPr>
      </w:pPr>
    </w:p>
    <w:p w14:paraId="14E41588">
      <w:pPr>
        <w:shd w:val="clear"/>
        <w:autoSpaceDE w:val="0"/>
        <w:autoSpaceDN w:val="0"/>
        <w:jc w:val="center"/>
        <w:rPr>
          <w:rFonts w:ascii="仿宋" w:hAnsi="仿宋" w:eastAsia="仿宋" w:cs="仿宋"/>
          <w:b/>
          <w:color w:val="auto"/>
          <w:spacing w:val="6"/>
          <w:sz w:val="32"/>
          <w:szCs w:val="32"/>
          <w:highlight w:val="none"/>
        </w:rPr>
      </w:pPr>
    </w:p>
    <w:p w14:paraId="0C18F3AC">
      <w:pPr>
        <w:shd w:val="clear"/>
        <w:autoSpaceDE w:val="0"/>
        <w:autoSpaceDN w:val="0"/>
        <w:jc w:val="center"/>
        <w:rPr>
          <w:rFonts w:ascii="仿宋" w:hAnsi="仿宋" w:eastAsia="仿宋" w:cs="仿宋"/>
          <w:b/>
          <w:color w:val="auto"/>
          <w:spacing w:val="6"/>
          <w:sz w:val="32"/>
          <w:szCs w:val="32"/>
          <w:highlight w:val="none"/>
        </w:rPr>
      </w:pPr>
    </w:p>
    <w:p w14:paraId="55D5B12A">
      <w:pPr>
        <w:shd w:val="clear"/>
        <w:autoSpaceDE w:val="0"/>
        <w:autoSpaceDN w:val="0"/>
        <w:jc w:val="center"/>
        <w:rPr>
          <w:rFonts w:ascii="仿宋" w:hAnsi="仿宋" w:eastAsia="仿宋" w:cs="仿宋"/>
          <w:b/>
          <w:color w:val="auto"/>
          <w:spacing w:val="6"/>
          <w:sz w:val="32"/>
          <w:szCs w:val="32"/>
          <w:highlight w:val="none"/>
        </w:rPr>
      </w:pPr>
    </w:p>
    <w:p w14:paraId="7FAAC5CD">
      <w:pPr>
        <w:pStyle w:val="80"/>
        <w:shd w:val="clear"/>
        <w:rPr>
          <w:rFonts w:ascii="仿宋" w:hAnsi="仿宋" w:eastAsia="仿宋" w:cs="仿宋"/>
          <w:b/>
          <w:color w:val="auto"/>
          <w:spacing w:val="6"/>
          <w:sz w:val="32"/>
          <w:szCs w:val="32"/>
          <w:highlight w:val="none"/>
        </w:rPr>
      </w:pPr>
    </w:p>
    <w:p w14:paraId="6026F279">
      <w:pPr>
        <w:pStyle w:val="81"/>
        <w:shd w:val="clear"/>
        <w:rPr>
          <w:rFonts w:ascii="仿宋" w:hAnsi="仿宋" w:eastAsia="仿宋" w:cs="仿宋"/>
          <w:b/>
          <w:color w:val="auto"/>
          <w:spacing w:val="6"/>
          <w:sz w:val="32"/>
          <w:szCs w:val="32"/>
          <w:highlight w:val="none"/>
        </w:rPr>
      </w:pPr>
    </w:p>
    <w:p w14:paraId="22BCA519">
      <w:pPr>
        <w:shd w:val="clear"/>
        <w:rPr>
          <w:rFonts w:ascii="仿宋" w:hAnsi="仿宋" w:eastAsia="仿宋" w:cs="仿宋"/>
          <w:b/>
          <w:color w:val="auto"/>
          <w:spacing w:val="6"/>
          <w:sz w:val="32"/>
          <w:szCs w:val="32"/>
          <w:highlight w:val="none"/>
        </w:rPr>
      </w:pPr>
    </w:p>
    <w:p w14:paraId="3BA8586C">
      <w:pPr>
        <w:pStyle w:val="80"/>
        <w:shd w:val="clear"/>
        <w:rPr>
          <w:color w:val="auto"/>
          <w:highlight w:val="none"/>
        </w:rPr>
      </w:pPr>
    </w:p>
    <w:p w14:paraId="35BC2D83">
      <w:pPr>
        <w:pStyle w:val="81"/>
        <w:shd w:val="clear"/>
        <w:rPr>
          <w:rFonts w:eastAsia="仿宋"/>
          <w:color w:val="auto"/>
          <w:highlight w:val="none"/>
        </w:rPr>
      </w:pPr>
    </w:p>
    <w:p w14:paraId="1048A2C5">
      <w:pPr>
        <w:shd w:val="clear"/>
        <w:rPr>
          <w:color w:val="auto"/>
          <w:highlight w:val="none"/>
        </w:rPr>
      </w:pPr>
    </w:p>
    <w:p w14:paraId="00C8A729">
      <w:pPr>
        <w:pStyle w:val="80"/>
        <w:shd w:val="clear"/>
        <w:rPr>
          <w:color w:val="auto"/>
          <w:highlight w:val="none"/>
        </w:rPr>
      </w:pPr>
    </w:p>
    <w:p w14:paraId="7DD202D1">
      <w:pPr>
        <w:pStyle w:val="81"/>
        <w:shd w:val="clear"/>
        <w:rPr>
          <w:rFonts w:eastAsia="仿宋"/>
          <w:color w:val="auto"/>
          <w:highlight w:val="none"/>
        </w:rPr>
      </w:pPr>
    </w:p>
    <w:p w14:paraId="1BF6C057">
      <w:pPr>
        <w:shd w:val="clear"/>
        <w:rPr>
          <w:color w:val="auto"/>
          <w:highlight w:val="none"/>
        </w:rPr>
      </w:pPr>
    </w:p>
    <w:p w14:paraId="67498312">
      <w:pPr>
        <w:pStyle w:val="80"/>
        <w:shd w:val="clear"/>
        <w:rPr>
          <w:color w:val="auto"/>
          <w:highlight w:val="none"/>
        </w:rPr>
      </w:pPr>
    </w:p>
    <w:p w14:paraId="23D3A909">
      <w:pPr>
        <w:pStyle w:val="81"/>
        <w:shd w:val="clear"/>
        <w:rPr>
          <w:rFonts w:eastAsia="仿宋"/>
          <w:color w:val="auto"/>
          <w:highlight w:val="none"/>
        </w:rPr>
      </w:pPr>
    </w:p>
    <w:p w14:paraId="21D7A999">
      <w:pPr>
        <w:shd w:val="clear"/>
        <w:rPr>
          <w:color w:val="auto"/>
          <w:highlight w:val="none"/>
        </w:rPr>
      </w:pPr>
    </w:p>
    <w:p w14:paraId="4B7A9C0B">
      <w:pPr>
        <w:pStyle w:val="80"/>
        <w:shd w:val="clear"/>
        <w:rPr>
          <w:color w:val="auto"/>
          <w:highlight w:val="none"/>
        </w:rPr>
      </w:pPr>
    </w:p>
    <w:p w14:paraId="50D62CCA">
      <w:pPr>
        <w:pStyle w:val="81"/>
        <w:shd w:val="clear"/>
        <w:rPr>
          <w:rFonts w:eastAsia="仿宋"/>
          <w:color w:val="auto"/>
          <w:highlight w:val="none"/>
        </w:rPr>
      </w:pPr>
    </w:p>
    <w:p w14:paraId="081BF02E">
      <w:pPr>
        <w:pStyle w:val="80"/>
        <w:shd w:val="clear"/>
        <w:rPr>
          <w:rFonts w:ascii="仿宋" w:hAnsi="仿宋" w:eastAsia="仿宋" w:cs="仿宋"/>
          <w:b/>
          <w:color w:val="auto"/>
          <w:spacing w:val="6"/>
          <w:sz w:val="32"/>
          <w:szCs w:val="32"/>
          <w:highlight w:val="none"/>
        </w:rPr>
      </w:pPr>
    </w:p>
    <w:p w14:paraId="01E88BEB">
      <w:pPr>
        <w:pStyle w:val="81"/>
        <w:shd w:val="clear"/>
        <w:rPr>
          <w:color w:val="auto"/>
          <w:highlight w:val="none"/>
        </w:rPr>
      </w:pPr>
    </w:p>
    <w:p w14:paraId="21069A50">
      <w:pPr>
        <w:shd w:val="clear"/>
        <w:spacing w:line="360" w:lineRule="auto"/>
        <w:rPr>
          <w:rFonts w:ascii="仿宋" w:hAnsi="仿宋" w:eastAsia="仿宋" w:cs="仿宋"/>
          <w:b/>
          <w:color w:val="auto"/>
          <w:spacing w:val="6"/>
          <w:sz w:val="32"/>
          <w:szCs w:val="32"/>
          <w:highlight w:val="none"/>
        </w:rPr>
      </w:pPr>
      <w:bookmarkStart w:id="197" w:name="OLE_LINK13"/>
      <w:bookmarkStart w:id="198" w:name="OLE_LINK14"/>
    </w:p>
    <w:p w14:paraId="48AFF30D">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6：</w:t>
      </w:r>
    </w:p>
    <w:p w14:paraId="119EA0D7">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7"/>
    <w:bookmarkEnd w:id="198"/>
    <w:p w14:paraId="00BE9313">
      <w:pPr>
        <w:shd w:val="clear"/>
        <w:spacing w:line="360" w:lineRule="auto"/>
        <w:rPr>
          <w:rFonts w:ascii="仿宋" w:hAnsi="仿宋" w:eastAsia="仿宋" w:cs="仿宋"/>
          <w:b/>
          <w:color w:val="auto"/>
          <w:spacing w:val="6"/>
          <w:sz w:val="30"/>
          <w:szCs w:val="30"/>
          <w:highlight w:val="none"/>
        </w:rPr>
      </w:pPr>
    </w:p>
    <w:p w14:paraId="33FDC0D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本单位郑重声明，根据《财政部民政部中国残疾人联合会关于促进残疾人就业政府采购政策的通知》（财库〔</w:t>
      </w:r>
      <w:r>
        <w:rPr>
          <w:rFonts w:ascii="仿宋" w:hAnsi="仿宋" w:eastAsia="仿宋" w:cs="仿宋"/>
          <w:color w:val="auto"/>
          <w:sz w:val="24"/>
          <w:highlight w:val="none"/>
        </w:rPr>
        <w:t>2017〕 141号）的规定，本单位为符合条件的残疾人福利性单位，且本单位参加_</w:t>
      </w:r>
      <w:r>
        <w:rPr>
          <w:rFonts w:hint="eastAsia" w:ascii="仿宋" w:hAnsi="仿宋" w:eastAsia="仿宋" w:cs="仿宋"/>
          <w:color w:val="auto"/>
          <w:sz w:val="24"/>
          <w:highlight w:val="none"/>
          <w:u w:val="single"/>
        </w:rPr>
        <w:t>（采购人）</w:t>
      </w:r>
      <w:r>
        <w:rPr>
          <w:rFonts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8429EC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A01993A">
      <w:pPr>
        <w:shd w:val="clear"/>
        <w:spacing w:line="360" w:lineRule="auto"/>
        <w:ind w:firstLine="480" w:firstLineChars="200"/>
        <w:rPr>
          <w:rFonts w:ascii="仿宋" w:hAnsi="仿宋" w:eastAsia="仿宋" w:cs="仿宋"/>
          <w:color w:val="auto"/>
          <w:sz w:val="24"/>
          <w:highlight w:val="none"/>
        </w:rPr>
      </w:pPr>
    </w:p>
    <w:p w14:paraId="448BBCF0">
      <w:pPr>
        <w:shd w:val="clear"/>
        <w:spacing w:line="360" w:lineRule="auto"/>
        <w:ind w:firstLine="480" w:firstLineChars="200"/>
        <w:rPr>
          <w:rFonts w:ascii="仿宋" w:hAnsi="仿宋" w:eastAsia="仿宋" w:cs="仿宋"/>
          <w:color w:val="auto"/>
          <w:sz w:val="24"/>
          <w:highlight w:val="none"/>
        </w:rPr>
      </w:pPr>
    </w:p>
    <w:p w14:paraId="6282EC88">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4350281">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  期：</w:t>
      </w:r>
    </w:p>
    <w:p w14:paraId="15E0A697">
      <w:pPr>
        <w:shd w:val="clear"/>
        <w:autoSpaceDE w:val="0"/>
        <w:autoSpaceDN w:val="0"/>
        <w:jc w:val="center"/>
        <w:rPr>
          <w:rFonts w:ascii="仿宋" w:hAnsi="仿宋" w:eastAsia="仿宋" w:cs="仿宋"/>
          <w:b/>
          <w:color w:val="auto"/>
          <w:spacing w:val="6"/>
          <w:sz w:val="32"/>
          <w:szCs w:val="32"/>
          <w:highlight w:val="none"/>
        </w:rPr>
      </w:pPr>
    </w:p>
    <w:p w14:paraId="7B560081">
      <w:pPr>
        <w:shd w:val="clear"/>
        <w:autoSpaceDE w:val="0"/>
        <w:autoSpaceDN w:val="0"/>
        <w:jc w:val="center"/>
        <w:rPr>
          <w:rFonts w:ascii="仿宋" w:hAnsi="仿宋" w:eastAsia="仿宋" w:cs="仿宋"/>
          <w:b/>
          <w:color w:val="auto"/>
          <w:spacing w:val="6"/>
          <w:sz w:val="32"/>
          <w:szCs w:val="32"/>
          <w:highlight w:val="none"/>
        </w:rPr>
      </w:pPr>
    </w:p>
    <w:p w14:paraId="7B38CC96">
      <w:pPr>
        <w:shd w:val="clear"/>
        <w:autoSpaceDE w:val="0"/>
        <w:autoSpaceDN w:val="0"/>
        <w:jc w:val="center"/>
        <w:rPr>
          <w:rFonts w:ascii="仿宋" w:hAnsi="仿宋" w:eastAsia="仿宋" w:cs="仿宋"/>
          <w:b/>
          <w:color w:val="auto"/>
          <w:spacing w:val="6"/>
          <w:sz w:val="32"/>
          <w:szCs w:val="32"/>
          <w:highlight w:val="none"/>
        </w:rPr>
      </w:pPr>
    </w:p>
    <w:p w14:paraId="6B8F2699">
      <w:pPr>
        <w:shd w:val="clear"/>
        <w:autoSpaceDE w:val="0"/>
        <w:autoSpaceDN w:val="0"/>
        <w:jc w:val="center"/>
        <w:rPr>
          <w:rFonts w:ascii="仿宋" w:hAnsi="仿宋" w:eastAsia="仿宋" w:cs="仿宋"/>
          <w:b/>
          <w:color w:val="auto"/>
          <w:spacing w:val="6"/>
          <w:sz w:val="32"/>
          <w:szCs w:val="32"/>
          <w:highlight w:val="none"/>
        </w:rPr>
      </w:pPr>
    </w:p>
    <w:p w14:paraId="7FB438CC">
      <w:pPr>
        <w:shd w:val="clear"/>
        <w:autoSpaceDE w:val="0"/>
        <w:autoSpaceDN w:val="0"/>
        <w:jc w:val="center"/>
        <w:rPr>
          <w:rFonts w:ascii="仿宋" w:hAnsi="仿宋" w:eastAsia="仿宋" w:cs="仿宋"/>
          <w:b/>
          <w:color w:val="auto"/>
          <w:spacing w:val="6"/>
          <w:sz w:val="32"/>
          <w:szCs w:val="32"/>
          <w:highlight w:val="none"/>
        </w:rPr>
      </w:pPr>
    </w:p>
    <w:p w14:paraId="77209124">
      <w:pPr>
        <w:shd w:val="clear"/>
        <w:autoSpaceDE w:val="0"/>
        <w:autoSpaceDN w:val="0"/>
        <w:jc w:val="center"/>
        <w:rPr>
          <w:rFonts w:ascii="仿宋" w:hAnsi="仿宋" w:eastAsia="仿宋" w:cs="仿宋"/>
          <w:b/>
          <w:color w:val="auto"/>
          <w:spacing w:val="6"/>
          <w:sz w:val="32"/>
          <w:szCs w:val="32"/>
          <w:highlight w:val="none"/>
        </w:rPr>
      </w:pPr>
    </w:p>
    <w:p w14:paraId="2459DD97">
      <w:pPr>
        <w:pStyle w:val="80"/>
        <w:shd w:val="clear"/>
        <w:rPr>
          <w:color w:val="auto"/>
          <w:highlight w:val="none"/>
        </w:rPr>
      </w:pPr>
    </w:p>
    <w:p w14:paraId="1AB97ACF">
      <w:pPr>
        <w:pStyle w:val="81"/>
        <w:shd w:val="clear"/>
        <w:rPr>
          <w:rFonts w:eastAsia="仿宋"/>
          <w:color w:val="auto"/>
          <w:highlight w:val="none"/>
        </w:rPr>
      </w:pPr>
    </w:p>
    <w:p w14:paraId="692DE5B7">
      <w:pPr>
        <w:shd w:val="clear"/>
        <w:rPr>
          <w:color w:val="auto"/>
          <w:highlight w:val="none"/>
        </w:rPr>
      </w:pPr>
    </w:p>
    <w:p w14:paraId="0CA15A07">
      <w:pPr>
        <w:shd w:val="clear"/>
        <w:autoSpaceDE w:val="0"/>
        <w:autoSpaceDN w:val="0"/>
        <w:jc w:val="center"/>
        <w:rPr>
          <w:rFonts w:ascii="仿宋" w:hAnsi="仿宋" w:eastAsia="仿宋" w:cs="仿宋"/>
          <w:b/>
          <w:color w:val="auto"/>
          <w:spacing w:val="6"/>
          <w:sz w:val="32"/>
          <w:szCs w:val="32"/>
          <w:highlight w:val="none"/>
        </w:rPr>
      </w:pPr>
    </w:p>
    <w:p w14:paraId="68B34D64">
      <w:pPr>
        <w:shd w:val="clear"/>
        <w:autoSpaceDE w:val="0"/>
        <w:autoSpaceDN w:val="0"/>
        <w:jc w:val="center"/>
        <w:rPr>
          <w:rFonts w:ascii="仿宋" w:hAnsi="仿宋" w:eastAsia="仿宋" w:cs="仿宋"/>
          <w:b/>
          <w:color w:val="auto"/>
          <w:spacing w:val="6"/>
          <w:sz w:val="32"/>
          <w:szCs w:val="32"/>
          <w:highlight w:val="none"/>
        </w:rPr>
      </w:pPr>
    </w:p>
    <w:p w14:paraId="4408A6EB">
      <w:pPr>
        <w:shd w:val="clear"/>
        <w:autoSpaceDE w:val="0"/>
        <w:autoSpaceDN w:val="0"/>
        <w:jc w:val="center"/>
        <w:rPr>
          <w:rFonts w:ascii="仿宋" w:hAnsi="仿宋" w:eastAsia="仿宋" w:cs="仿宋"/>
          <w:b/>
          <w:color w:val="auto"/>
          <w:spacing w:val="6"/>
          <w:sz w:val="32"/>
          <w:szCs w:val="32"/>
          <w:highlight w:val="none"/>
        </w:rPr>
      </w:pPr>
    </w:p>
    <w:p w14:paraId="4A11BBEA">
      <w:pPr>
        <w:shd w:val="clear"/>
        <w:autoSpaceDE w:val="0"/>
        <w:autoSpaceDN w:val="0"/>
        <w:jc w:val="center"/>
        <w:rPr>
          <w:rFonts w:ascii="仿宋" w:hAnsi="仿宋" w:eastAsia="仿宋" w:cs="仿宋"/>
          <w:b/>
          <w:color w:val="auto"/>
          <w:spacing w:val="6"/>
          <w:sz w:val="32"/>
          <w:szCs w:val="32"/>
          <w:highlight w:val="none"/>
        </w:rPr>
      </w:pPr>
    </w:p>
    <w:p w14:paraId="7FA1AA0E">
      <w:pPr>
        <w:shd w:val="clear"/>
        <w:autoSpaceDE w:val="0"/>
        <w:autoSpaceDN w:val="0"/>
        <w:jc w:val="center"/>
        <w:rPr>
          <w:rFonts w:ascii="仿宋" w:hAnsi="仿宋" w:eastAsia="仿宋" w:cs="仿宋"/>
          <w:b/>
          <w:color w:val="auto"/>
          <w:spacing w:val="6"/>
          <w:sz w:val="32"/>
          <w:szCs w:val="32"/>
          <w:highlight w:val="none"/>
        </w:rPr>
      </w:pPr>
    </w:p>
    <w:p w14:paraId="2FAC6AF7">
      <w:pPr>
        <w:shd w:val="clear"/>
        <w:autoSpaceDE w:val="0"/>
        <w:autoSpaceDN w:val="0"/>
        <w:jc w:val="center"/>
        <w:rPr>
          <w:rFonts w:ascii="仿宋" w:hAnsi="仿宋" w:eastAsia="仿宋" w:cs="仿宋"/>
          <w:b/>
          <w:color w:val="auto"/>
          <w:spacing w:val="6"/>
          <w:sz w:val="32"/>
          <w:szCs w:val="32"/>
          <w:highlight w:val="none"/>
        </w:rPr>
      </w:pPr>
    </w:p>
    <w:p w14:paraId="5A40F3B6">
      <w:pPr>
        <w:shd w:val="clear"/>
        <w:autoSpaceDE w:val="0"/>
        <w:autoSpaceDN w:val="0"/>
        <w:jc w:val="center"/>
        <w:rPr>
          <w:rFonts w:ascii="仿宋" w:hAnsi="仿宋" w:eastAsia="仿宋" w:cs="仿宋"/>
          <w:b/>
          <w:color w:val="auto"/>
          <w:spacing w:val="6"/>
          <w:sz w:val="32"/>
          <w:szCs w:val="32"/>
          <w:highlight w:val="none"/>
        </w:rPr>
      </w:pPr>
    </w:p>
    <w:p w14:paraId="3F9AA5AD">
      <w:pPr>
        <w:shd w:val="clear"/>
        <w:autoSpaceDE w:val="0"/>
        <w:autoSpaceDN w:val="0"/>
        <w:jc w:val="center"/>
        <w:rPr>
          <w:rFonts w:ascii="仿宋" w:hAnsi="仿宋" w:eastAsia="仿宋" w:cs="仿宋"/>
          <w:b/>
          <w:color w:val="auto"/>
          <w:spacing w:val="6"/>
          <w:sz w:val="32"/>
          <w:szCs w:val="32"/>
          <w:highlight w:val="none"/>
        </w:rPr>
      </w:pPr>
    </w:p>
    <w:p w14:paraId="4869C2CA">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7：</w:t>
      </w:r>
    </w:p>
    <w:p w14:paraId="77F35EE4">
      <w:pPr>
        <w:shd w:val="clear"/>
        <w:spacing w:line="360" w:lineRule="auto"/>
        <w:jc w:val="center"/>
        <w:rPr>
          <w:rFonts w:ascii="仿宋" w:hAnsi="仿宋" w:eastAsia="仿宋" w:cs="仿宋"/>
          <w:color w:val="auto"/>
          <w:sz w:val="24"/>
          <w:highlight w:val="none"/>
          <w:u w:val="single"/>
        </w:rPr>
      </w:pPr>
    </w:p>
    <w:p w14:paraId="7CEC15D9">
      <w:pPr>
        <w:shd w:val="clea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3D6174B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w:t>
      </w:r>
      <w:r>
        <w:rPr>
          <w:rFonts w:ascii="仿宋" w:hAnsi="仿宋" w:eastAsia="仿宋" w:cs="仿宋"/>
          <w:color w:val="auto"/>
          <w:sz w:val="24"/>
          <w:highlight w:val="none"/>
        </w:rPr>
        <w:t xml:space="preserve">2020﹞46 号）的规定，本公司（联合体）参加 </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58117F8">
      <w:pPr>
        <w:shd w:val="clea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行业；制造商为</w:t>
      </w:r>
      <w:r>
        <w:rPr>
          <w:rFonts w:ascii="仿宋" w:hAnsi="仿宋" w:eastAsia="仿宋" w:cs="仿宋"/>
          <w:color w:val="auto"/>
          <w:sz w:val="24"/>
          <w:highlight w:val="none"/>
          <w:u w:val="single"/>
        </w:rPr>
        <w:t xml:space="preserve"> （企业名称）</w:t>
      </w:r>
      <w:r>
        <w:rPr>
          <w:rFonts w:ascii="仿宋" w:hAnsi="仿宋" w:eastAsia="仿宋" w:cs="仿宋"/>
          <w:color w:val="auto"/>
          <w:sz w:val="24"/>
          <w:highlight w:val="none"/>
        </w:rPr>
        <w:t xml:space="preserve"> ，从业人员人，营业收入为万元，资产总额为万元，属于</w:t>
      </w:r>
      <w:r>
        <w:rPr>
          <w:rFonts w:ascii="仿宋" w:hAnsi="仿宋" w:eastAsia="仿宋" w:cs="仿宋"/>
          <w:color w:val="auto"/>
          <w:sz w:val="24"/>
          <w:highlight w:val="none"/>
          <w:u w:val="single"/>
        </w:rPr>
        <w:t xml:space="preserve"> （中型企业、小型企业、微型企业）</w:t>
      </w:r>
      <w:r>
        <w:rPr>
          <w:rFonts w:ascii="仿宋" w:hAnsi="仿宋" w:eastAsia="仿宋" w:cs="仿宋"/>
          <w:color w:val="auto"/>
          <w:sz w:val="24"/>
          <w:highlight w:val="none"/>
        </w:rPr>
        <w:t xml:space="preserve"> ；</w:t>
      </w:r>
    </w:p>
    <w:p w14:paraId="71F40C47">
      <w:pPr>
        <w:shd w:val="clear"/>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行业；制造商为</w:t>
      </w:r>
      <w:r>
        <w:rPr>
          <w:rFonts w:ascii="仿宋" w:hAnsi="仿宋" w:eastAsia="仿宋" w:cs="仿宋"/>
          <w:color w:val="auto"/>
          <w:sz w:val="24"/>
          <w:highlight w:val="none"/>
          <w:u w:val="single"/>
        </w:rPr>
        <w:t xml:space="preserve"> （企业名称）</w:t>
      </w:r>
      <w:r>
        <w:rPr>
          <w:rFonts w:ascii="仿宋" w:hAnsi="仿宋" w:eastAsia="仿宋" w:cs="仿宋"/>
          <w:color w:val="auto"/>
          <w:sz w:val="24"/>
          <w:highlight w:val="none"/>
        </w:rPr>
        <w:t xml:space="preserve"> ，从业人员人，营业收入为万元，资产总额为万元，属于</w:t>
      </w:r>
      <w:r>
        <w:rPr>
          <w:rFonts w:ascii="仿宋" w:hAnsi="仿宋" w:eastAsia="仿宋" w:cs="仿宋"/>
          <w:color w:val="auto"/>
          <w:sz w:val="24"/>
          <w:highlight w:val="none"/>
          <w:u w:val="single"/>
        </w:rPr>
        <w:t xml:space="preserve"> （中型企业、小型企业、微型企业）</w:t>
      </w:r>
      <w:r>
        <w:rPr>
          <w:rFonts w:ascii="仿宋" w:hAnsi="仿宋" w:eastAsia="仿宋" w:cs="仿宋"/>
          <w:color w:val="auto"/>
          <w:sz w:val="24"/>
          <w:highlight w:val="none"/>
        </w:rPr>
        <w:t xml:space="preserve"> ；</w:t>
      </w:r>
    </w:p>
    <w:p w14:paraId="7F9BA17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72D0A9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F20D3E8">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25DED09">
      <w:pPr>
        <w:shd w:val="clea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w:t>
      </w:r>
      <w:r>
        <w:rPr>
          <w:rFonts w:ascii="仿宋" w:hAnsi="仿宋" w:eastAsia="仿宋" w:cs="仿宋"/>
          <w:color w:val="auto"/>
          <w:kern w:val="0"/>
          <w:sz w:val="24"/>
          <w:highlight w:val="none"/>
          <w:lang w:val="zh-CN"/>
        </w:rPr>
        <w:t>(电子签名)：</w:t>
      </w:r>
    </w:p>
    <w:p w14:paraId="4FE6A5C3">
      <w:pPr>
        <w:shd w:val="clear"/>
        <w:snapToGrid w:val="0"/>
        <w:spacing w:line="360" w:lineRule="auto"/>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09B21F1">
      <w:pPr>
        <w:shd w:val="clea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26AE5B63">
      <w:pPr>
        <w:shd w:val="clea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6AFA51C8">
      <w:pPr>
        <w:shd w:val="clear"/>
        <w:spacing w:line="360" w:lineRule="auto"/>
        <w:ind w:right="420"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w:t>
      </w:r>
      <w:r>
        <w:rPr>
          <w:rFonts w:hint="eastAsia" w:ascii="仿宋" w:hAnsi="仿宋" w:eastAsia="仿宋" w:cs="仿宋"/>
          <w:color w:val="auto"/>
          <w:sz w:val="24"/>
          <w:highlight w:val="none"/>
        </w:rPr>
        <w:t>内容不实的，属于提供虚假材料谋取中标、成交的，依法承担法律责任。</w:t>
      </w:r>
    </w:p>
    <w:p w14:paraId="0E7FFD61">
      <w:pPr>
        <w:shd w:val="clear"/>
        <w:spacing w:line="360" w:lineRule="auto"/>
        <w:ind w:right="420" w:firstLine="480" w:firstLineChars="200"/>
        <w:rPr>
          <w:rFonts w:ascii="仿宋" w:hAnsi="仿宋" w:eastAsia="仿宋" w:cs="仿宋"/>
          <w:color w:val="auto"/>
          <w:sz w:val="24"/>
          <w:highlight w:val="none"/>
        </w:rPr>
      </w:pPr>
      <w:r>
        <w:rPr>
          <w:rFonts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5CE8122">
      <w:pPr>
        <w:shd w:val="clear"/>
        <w:spacing w:line="360" w:lineRule="auto"/>
        <w:jc w:val="center"/>
        <w:rPr>
          <w:rFonts w:ascii="仿宋" w:hAnsi="仿宋" w:eastAsia="仿宋" w:cs="仿宋"/>
          <w:b/>
          <w:color w:val="auto"/>
          <w:sz w:val="32"/>
          <w:szCs w:val="32"/>
          <w:highlight w:val="none"/>
        </w:rPr>
      </w:pPr>
    </w:p>
    <w:p w14:paraId="7898B6AC">
      <w:pPr>
        <w:shd w:val="clear"/>
        <w:spacing w:line="360" w:lineRule="auto"/>
        <w:jc w:val="center"/>
        <w:rPr>
          <w:rFonts w:ascii="仿宋" w:hAnsi="仿宋" w:eastAsia="仿宋" w:cs="仿宋"/>
          <w:b/>
          <w:color w:val="auto"/>
          <w:sz w:val="32"/>
          <w:szCs w:val="32"/>
          <w:highlight w:val="none"/>
        </w:rPr>
      </w:pPr>
    </w:p>
    <w:p w14:paraId="4EA14852">
      <w:pPr>
        <w:shd w:val="clear"/>
        <w:spacing w:line="360" w:lineRule="auto"/>
        <w:jc w:val="center"/>
        <w:rPr>
          <w:rFonts w:ascii="仿宋" w:hAnsi="仿宋" w:eastAsia="仿宋" w:cs="仿宋"/>
          <w:b/>
          <w:color w:val="auto"/>
          <w:sz w:val="32"/>
          <w:szCs w:val="32"/>
          <w:highlight w:val="none"/>
        </w:rPr>
      </w:pPr>
    </w:p>
    <w:p w14:paraId="4225767E">
      <w:pPr>
        <w:shd w:val="clear"/>
        <w:spacing w:line="360" w:lineRule="auto"/>
        <w:jc w:val="center"/>
        <w:rPr>
          <w:rFonts w:ascii="仿宋" w:hAnsi="仿宋" w:eastAsia="仿宋" w:cs="仿宋"/>
          <w:b/>
          <w:color w:val="auto"/>
          <w:sz w:val="32"/>
          <w:szCs w:val="32"/>
          <w:highlight w:val="none"/>
        </w:rPr>
      </w:pPr>
    </w:p>
    <w:p w14:paraId="7438FFA6">
      <w:pPr>
        <w:shd w:val="clear"/>
        <w:spacing w:line="360" w:lineRule="auto"/>
        <w:jc w:val="center"/>
        <w:rPr>
          <w:rFonts w:ascii="仿宋" w:hAnsi="仿宋" w:eastAsia="仿宋" w:cs="仿宋"/>
          <w:b/>
          <w:color w:val="auto"/>
          <w:sz w:val="32"/>
          <w:szCs w:val="32"/>
          <w:highlight w:val="none"/>
        </w:rPr>
      </w:pPr>
    </w:p>
    <w:p w14:paraId="58084D3D">
      <w:pPr>
        <w:shd w:val="clear"/>
        <w:spacing w:line="360" w:lineRule="auto"/>
        <w:jc w:val="center"/>
        <w:rPr>
          <w:rFonts w:ascii="宋体" w:hAnsi="宋体" w:cs="宋体"/>
          <w:b/>
          <w:color w:val="auto"/>
          <w:sz w:val="32"/>
          <w:szCs w:val="32"/>
          <w:highlight w:val="none"/>
        </w:rPr>
      </w:pPr>
    </w:p>
    <w:p w14:paraId="33D793B0">
      <w:pPr>
        <w:shd w:val="clear"/>
        <w:spacing w:line="360" w:lineRule="auto"/>
        <w:jc w:val="center"/>
        <w:rPr>
          <w:rFonts w:ascii="宋体" w:hAnsi="宋体" w:cs="宋体"/>
          <w:b/>
          <w:color w:val="auto"/>
          <w:sz w:val="32"/>
          <w:szCs w:val="32"/>
          <w:highlight w:val="none"/>
        </w:rPr>
      </w:pPr>
    </w:p>
    <w:p w14:paraId="5DB98B1D">
      <w:pPr>
        <w:shd w:val="clear"/>
        <w:spacing w:line="360" w:lineRule="auto"/>
        <w:jc w:val="center"/>
        <w:rPr>
          <w:rFonts w:ascii="宋体" w:hAnsi="宋体" w:cs="宋体"/>
          <w:b/>
          <w:color w:val="auto"/>
          <w:sz w:val="32"/>
          <w:szCs w:val="32"/>
          <w:highlight w:val="none"/>
        </w:rPr>
      </w:pPr>
    </w:p>
    <w:p w14:paraId="2E26C377">
      <w:pPr>
        <w:shd w:val="clear"/>
        <w:spacing w:line="360" w:lineRule="auto"/>
        <w:jc w:val="center"/>
        <w:rPr>
          <w:rFonts w:ascii="宋体" w:hAnsi="宋体" w:cs="宋体"/>
          <w:b/>
          <w:color w:val="auto"/>
          <w:sz w:val="32"/>
          <w:szCs w:val="32"/>
          <w:highlight w:val="none"/>
        </w:rPr>
      </w:pPr>
    </w:p>
    <w:p w14:paraId="3DD29FF5">
      <w:pPr>
        <w:shd w:val="clear"/>
        <w:spacing w:line="360" w:lineRule="auto"/>
        <w:jc w:val="center"/>
        <w:rPr>
          <w:rFonts w:ascii="宋体" w:hAnsi="宋体" w:cs="宋体"/>
          <w:b/>
          <w:color w:val="auto"/>
          <w:sz w:val="32"/>
          <w:szCs w:val="32"/>
          <w:highlight w:val="none"/>
        </w:rPr>
      </w:pPr>
    </w:p>
    <w:p w14:paraId="06C8F877">
      <w:pPr>
        <w:shd w:val="clear"/>
        <w:spacing w:line="360" w:lineRule="auto"/>
        <w:jc w:val="center"/>
        <w:rPr>
          <w:rFonts w:ascii="宋体" w:hAnsi="宋体" w:cs="宋体"/>
          <w:b/>
          <w:color w:val="auto"/>
          <w:sz w:val="32"/>
          <w:szCs w:val="32"/>
          <w:highlight w:val="none"/>
        </w:rPr>
      </w:pPr>
    </w:p>
    <w:p w14:paraId="4161931A">
      <w:pPr>
        <w:pageBreakBefore/>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w:t>
      </w:r>
      <w:r>
        <w:rPr>
          <w:rFonts w:ascii="仿宋" w:hAnsi="仿宋" w:eastAsia="仿宋" w:cs="仿宋"/>
          <w:b/>
          <w:bCs/>
          <w:color w:val="auto"/>
          <w:kern w:val="0"/>
          <w:sz w:val="36"/>
          <w:szCs w:val="36"/>
          <w:highlight w:val="none"/>
        </w:rPr>
        <w:t>2017）》的通知</w:t>
      </w:r>
    </w:p>
    <w:p w14:paraId="69D02A07">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087A367">
      <w:pPr>
        <w:widowControl/>
        <w:shd w:val="clear" w:color="auto"/>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w:t>
      </w:r>
      <w:r>
        <w:rPr>
          <w:rFonts w:ascii="仿宋" w:hAnsi="仿宋" w:eastAsia="仿宋" w:cs="仿宋"/>
          <w:color w:val="auto"/>
          <w:kern w:val="0"/>
          <w:szCs w:val="21"/>
          <w:highlight w:val="none"/>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6B254BC">
      <w:pPr>
        <w:widowControl/>
        <w:shd w:val="clear"/>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w:t>
      </w:r>
      <w:r>
        <w:rPr>
          <w:rFonts w:ascii="仿宋" w:hAnsi="仿宋" w:eastAsia="仿宋" w:cs="仿宋"/>
          <w:color w:val="auto"/>
          <w:kern w:val="0"/>
          <w:szCs w:val="21"/>
          <w:highlight w:val="none"/>
        </w:rPr>
        <w:t>2017）》修订说明</w:t>
      </w:r>
    </w:p>
    <w:p w14:paraId="075B601D">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11FA56B">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ascii="仿宋" w:hAnsi="仿宋" w:eastAsia="仿宋" w:cs="仿宋"/>
          <w:color w:val="auto"/>
          <w:kern w:val="0"/>
          <w:szCs w:val="21"/>
          <w:highlight w:val="none"/>
        </w:rPr>
        <w:t>2017年12月28日</w:t>
      </w:r>
    </w:p>
    <w:p w14:paraId="414D3C37">
      <w:pPr>
        <w:pStyle w:val="23"/>
        <w:shd w:val="clear"/>
        <w:rPr>
          <w:color w:val="auto"/>
          <w:highlight w:val="none"/>
          <w:lang w:val="en-US"/>
        </w:rPr>
      </w:pPr>
    </w:p>
    <w:p w14:paraId="09219F13">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w:t>
      </w:r>
    </w:p>
    <w:p w14:paraId="64B0E6B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w:t>
      </w:r>
      <w:r>
        <w:rPr>
          <w:rFonts w:ascii="仿宋" w:hAnsi="仿宋" w:eastAsia="仿宋" w:cs="仿宋"/>
          <w:color w:val="auto"/>
          <w:kern w:val="0"/>
          <w:szCs w:val="21"/>
          <w:highlight w:val="none"/>
        </w:rPr>
        <w:t>2011〕300号），以《国民经济行业分类》（GB/T4754-2017）为基础，结合统计工作的实际情况，制定本办法。</w:t>
      </w:r>
    </w:p>
    <w:p w14:paraId="5B4EB36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F7091E8">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szCs w:val="21"/>
          <w:highlight w:val="none"/>
        </w:rPr>
        <w:t>15个行业门类以及社会工作行业大类。</w:t>
      </w:r>
    </w:p>
    <w:p w14:paraId="0273CCF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9FFF27D">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6A3FDC9">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w:t>
      </w:r>
      <w:r>
        <w:rPr>
          <w:rFonts w:ascii="仿宋" w:hAnsi="仿宋" w:eastAsia="仿宋" w:cs="仿宋"/>
          <w:color w:val="auto"/>
          <w:kern w:val="0"/>
          <w:szCs w:val="21"/>
          <w:highlight w:val="none"/>
        </w:rPr>
        <w:t>2011年印发的《统计上大中小微型企业划分办法》（国统字〔2011〕75号）同时废止。</w:t>
      </w:r>
    </w:p>
    <w:p w14:paraId="0F753E9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7CC6660">
      <w:pPr>
        <w:widowControl/>
        <w:shd w:val="clear"/>
        <w:jc w:val="left"/>
        <w:rPr>
          <w:rFonts w:ascii="仿宋" w:hAnsi="仿宋" w:eastAsia="仿宋" w:cs="仿宋"/>
          <w:color w:val="auto"/>
          <w:kern w:val="0"/>
          <w:sz w:val="24"/>
          <w:highlight w:val="none"/>
        </w:rPr>
      </w:pPr>
    </w:p>
    <w:p w14:paraId="6FE78311">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D0DE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99AADCC">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CB0716">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657A767">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1F6C838">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BD1C70B">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99CDAD8">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FEAC714">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5640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A173E">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8DC1BB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42E4633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4E11E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w:t>
            </w:r>
          </w:p>
        </w:tc>
        <w:tc>
          <w:tcPr>
            <w:tcW w:w="1891" w:type="dxa"/>
            <w:vAlign w:val="center"/>
          </w:tcPr>
          <w:p w14:paraId="3880DB3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500≤Y＜20000</w:t>
            </w:r>
          </w:p>
        </w:tc>
        <w:tc>
          <w:tcPr>
            <w:tcW w:w="1730" w:type="dxa"/>
            <w:vAlign w:val="center"/>
          </w:tcPr>
          <w:p w14:paraId="204A613C">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50≤Y＜500</w:t>
            </w:r>
          </w:p>
        </w:tc>
        <w:tc>
          <w:tcPr>
            <w:tcW w:w="1203" w:type="dxa"/>
            <w:vAlign w:val="center"/>
          </w:tcPr>
          <w:p w14:paraId="1068342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w:t>
            </w:r>
          </w:p>
        </w:tc>
      </w:tr>
      <w:tr w14:paraId="67F3D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04485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w:t>
            </w:r>
            <w:r>
              <w:rPr>
                <w:rFonts w:ascii="仿宋" w:hAnsi="仿宋" w:eastAsia="仿宋" w:cs="仿宋"/>
                <w:color w:val="auto"/>
                <w:kern w:val="0"/>
                <w:sz w:val="24"/>
                <w:highlight w:val="none"/>
              </w:rPr>
              <w:t xml:space="preserve"> *</w:t>
            </w:r>
          </w:p>
        </w:tc>
        <w:tc>
          <w:tcPr>
            <w:tcW w:w="1560" w:type="dxa"/>
            <w:vAlign w:val="center"/>
          </w:tcPr>
          <w:p w14:paraId="71B6B803">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4B14093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AE471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6D875BE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4A5D64A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3F1D910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4E000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ACC9EB">
            <w:pPr>
              <w:widowControl/>
              <w:shd w:val="clear"/>
              <w:jc w:val="left"/>
              <w:rPr>
                <w:rFonts w:ascii="仿宋" w:hAnsi="仿宋" w:eastAsia="仿宋" w:cs="仿宋"/>
                <w:color w:val="auto"/>
                <w:kern w:val="0"/>
                <w:sz w:val="24"/>
                <w:highlight w:val="none"/>
              </w:rPr>
            </w:pPr>
          </w:p>
        </w:tc>
        <w:tc>
          <w:tcPr>
            <w:tcW w:w="1560" w:type="dxa"/>
            <w:vAlign w:val="center"/>
          </w:tcPr>
          <w:p w14:paraId="141A5A6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6B93B6B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5F3D8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Y≥40000</w:t>
            </w:r>
          </w:p>
        </w:tc>
        <w:tc>
          <w:tcPr>
            <w:tcW w:w="1891" w:type="dxa"/>
            <w:vAlign w:val="center"/>
          </w:tcPr>
          <w:p w14:paraId="56BDAD1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2000≤Y＜40000</w:t>
            </w:r>
          </w:p>
        </w:tc>
        <w:tc>
          <w:tcPr>
            <w:tcW w:w="1730" w:type="dxa"/>
            <w:vAlign w:val="center"/>
          </w:tcPr>
          <w:p w14:paraId="2702DDF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300≤Y＜2000</w:t>
            </w:r>
          </w:p>
        </w:tc>
        <w:tc>
          <w:tcPr>
            <w:tcW w:w="1203" w:type="dxa"/>
            <w:vAlign w:val="center"/>
          </w:tcPr>
          <w:p w14:paraId="13ACAFE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w:t>
            </w:r>
          </w:p>
        </w:tc>
      </w:tr>
      <w:tr w14:paraId="39434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6F75E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0AEBBB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1F72C2D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F39A7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Y≥80000</w:t>
            </w:r>
          </w:p>
        </w:tc>
        <w:tc>
          <w:tcPr>
            <w:tcW w:w="1891" w:type="dxa"/>
            <w:vAlign w:val="center"/>
          </w:tcPr>
          <w:p w14:paraId="19895F3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6000≤Y＜80000</w:t>
            </w:r>
          </w:p>
        </w:tc>
        <w:tc>
          <w:tcPr>
            <w:tcW w:w="1730" w:type="dxa"/>
            <w:vAlign w:val="center"/>
          </w:tcPr>
          <w:p w14:paraId="6556E58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300≤Y＜6000</w:t>
            </w:r>
          </w:p>
        </w:tc>
        <w:tc>
          <w:tcPr>
            <w:tcW w:w="1203" w:type="dxa"/>
            <w:vAlign w:val="center"/>
          </w:tcPr>
          <w:p w14:paraId="6601E45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w:t>
            </w:r>
          </w:p>
        </w:tc>
      </w:tr>
      <w:tr w14:paraId="6B699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CE4A5B">
            <w:pPr>
              <w:widowControl/>
              <w:shd w:val="clear"/>
              <w:jc w:val="left"/>
              <w:rPr>
                <w:rFonts w:ascii="仿宋" w:hAnsi="仿宋" w:eastAsia="仿宋" w:cs="仿宋"/>
                <w:color w:val="auto"/>
                <w:kern w:val="0"/>
                <w:sz w:val="24"/>
                <w:highlight w:val="none"/>
              </w:rPr>
            </w:pPr>
          </w:p>
        </w:tc>
        <w:tc>
          <w:tcPr>
            <w:tcW w:w="1560" w:type="dxa"/>
            <w:vAlign w:val="center"/>
          </w:tcPr>
          <w:p w14:paraId="06AC959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0C408E0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8E9A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Z≥80000</w:t>
            </w:r>
          </w:p>
        </w:tc>
        <w:tc>
          <w:tcPr>
            <w:tcW w:w="1891" w:type="dxa"/>
            <w:vAlign w:val="center"/>
          </w:tcPr>
          <w:p w14:paraId="6DB6428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5000≤Z＜80000</w:t>
            </w:r>
          </w:p>
        </w:tc>
        <w:tc>
          <w:tcPr>
            <w:tcW w:w="1730" w:type="dxa"/>
            <w:vAlign w:val="center"/>
          </w:tcPr>
          <w:p w14:paraId="79E82A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300≤Z＜5000</w:t>
            </w:r>
          </w:p>
        </w:tc>
        <w:tc>
          <w:tcPr>
            <w:tcW w:w="1203" w:type="dxa"/>
            <w:vAlign w:val="center"/>
          </w:tcPr>
          <w:p w14:paraId="07652E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Z＜300</w:t>
            </w:r>
          </w:p>
        </w:tc>
      </w:tr>
      <w:tr w14:paraId="14F3F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BC02C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B250C9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37EE1D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738DB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w:t>
            </w:r>
          </w:p>
        </w:tc>
        <w:tc>
          <w:tcPr>
            <w:tcW w:w="1891" w:type="dxa"/>
            <w:vAlign w:val="center"/>
          </w:tcPr>
          <w:p w14:paraId="63407E5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20≤X＜200</w:t>
            </w:r>
          </w:p>
        </w:tc>
        <w:tc>
          <w:tcPr>
            <w:tcW w:w="1730" w:type="dxa"/>
            <w:vAlign w:val="center"/>
          </w:tcPr>
          <w:p w14:paraId="00DA5ED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5≤X＜20</w:t>
            </w:r>
          </w:p>
        </w:tc>
        <w:tc>
          <w:tcPr>
            <w:tcW w:w="1203" w:type="dxa"/>
            <w:vAlign w:val="center"/>
          </w:tcPr>
          <w:p w14:paraId="5C4199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X＜5</w:t>
            </w:r>
          </w:p>
        </w:tc>
      </w:tr>
      <w:tr w14:paraId="2EB3F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4CA645">
            <w:pPr>
              <w:widowControl/>
              <w:shd w:val="clear"/>
              <w:jc w:val="left"/>
              <w:rPr>
                <w:rFonts w:ascii="仿宋" w:hAnsi="仿宋" w:eastAsia="仿宋" w:cs="仿宋"/>
                <w:color w:val="auto"/>
                <w:kern w:val="0"/>
                <w:sz w:val="24"/>
                <w:highlight w:val="none"/>
              </w:rPr>
            </w:pPr>
          </w:p>
        </w:tc>
        <w:tc>
          <w:tcPr>
            <w:tcW w:w="1560" w:type="dxa"/>
            <w:vAlign w:val="center"/>
          </w:tcPr>
          <w:p w14:paraId="3619B0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3A0CDE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3751C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Y≥40000</w:t>
            </w:r>
          </w:p>
        </w:tc>
        <w:tc>
          <w:tcPr>
            <w:tcW w:w="1891" w:type="dxa"/>
            <w:vAlign w:val="center"/>
          </w:tcPr>
          <w:p w14:paraId="4E56409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5000≤Y＜40000</w:t>
            </w:r>
          </w:p>
        </w:tc>
        <w:tc>
          <w:tcPr>
            <w:tcW w:w="1730" w:type="dxa"/>
            <w:vAlign w:val="center"/>
          </w:tcPr>
          <w:p w14:paraId="630C324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1000≤Y＜5000</w:t>
            </w:r>
          </w:p>
        </w:tc>
        <w:tc>
          <w:tcPr>
            <w:tcW w:w="1203" w:type="dxa"/>
            <w:vAlign w:val="center"/>
          </w:tcPr>
          <w:p w14:paraId="0B3ACEF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w:t>
            </w:r>
          </w:p>
        </w:tc>
      </w:tr>
      <w:tr w14:paraId="150A8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96B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56E5CF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91A191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928EC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34E9338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50≤X＜300</w:t>
            </w:r>
          </w:p>
        </w:tc>
        <w:tc>
          <w:tcPr>
            <w:tcW w:w="1730" w:type="dxa"/>
            <w:vAlign w:val="center"/>
          </w:tcPr>
          <w:p w14:paraId="1CDA931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10≤X＜50</w:t>
            </w:r>
          </w:p>
        </w:tc>
        <w:tc>
          <w:tcPr>
            <w:tcW w:w="1203" w:type="dxa"/>
            <w:vAlign w:val="center"/>
          </w:tcPr>
          <w:p w14:paraId="28DDA83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110F3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2AF0F4">
            <w:pPr>
              <w:widowControl/>
              <w:shd w:val="clear"/>
              <w:jc w:val="left"/>
              <w:rPr>
                <w:rFonts w:ascii="仿宋" w:hAnsi="仿宋" w:eastAsia="仿宋" w:cs="仿宋"/>
                <w:color w:val="auto"/>
                <w:kern w:val="0"/>
                <w:sz w:val="24"/>
                <w:highlight w:val="none"/>
              </w:rPr>
            </w:pPr>
          </w:p>
        </w:tc>
        <w:tc>
          <w:tcPr>
            <w:tcW w:w="1560" w:type="dxa"/>
            <w:vAlign w:val="center"/>
          </w:tcPr>
          <w:p w14:paraId="4580AA9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4D037B8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DF06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w:t>
            </w:r>
          </w:p>
        </w:tc>
        <w:tc>
          <w:tcPr>
            <w:tcW w:w="1891" w:type="dxa"/>
            <w:vAlign w:val="center"/>
          </w:tcPr>
          <w:p w14:paraId="6AC8B85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500≤Y＜20000</w:t>
            </w:r>
          </w:p>
        </w:tc>
        <w:tc>
          <w:tcPr>
            <w:tcW w:w="1730" w:type="dxa"/>
            <w:vAlign w:val="center"/>
          </w:tcPr>
          <w:p w14:paraId="54F12A7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100≤Y＜500</w:t>
            </w:r>
          </w:p>
        </w:tc>
        <w:tc>
          <w:tcPr>
            <w:tcW w:w="1203" w:type="dxa"/>
            <w:vAlign w:val="center"/>
          </w:tcPr>
          <w:p w14:paraId="0278DD3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68499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74554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w:t>
            </w:r>
            <w:r>
              <w:rPr>
                <w:rFonts w:ascii="仿宋" w:hAnsi="仿宋" w:eastAsia="仿宋" w:cs="仿宋"/>
                <w:color w:val="auto"/>
                <w:kern w:val="0"/>
                <w:sz w:val="24"/>
                <w:highlight w:val="none"/>
              </w:rPr>
              <w:t xml:space="preserve"> *</w:t>
            </w:r>
          </w:p>
        </w:tc>
        <w:tc>
          <w:tcPr>
            <w:tcW w:w="1560" w:type="dxa"/>
            <w:vAlign w:val="center"/>
          </w:tcPr>
          <w:p w14:paraId="09736F4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5B4E4A1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7AF6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422448C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0FF73F3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5F5A4C5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23E81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FB3BA3">
            <w:pPr>
              <w:widowControl/>
              <w:shd w:val="clear"/>
              <w:jc w:val="left"/>
              <w:rPr>
                <w:rFonts w:ascii="仿宋" w:hAnsi="仿宋" w:eastAsia="仿宋" w:cs="仿宋"/>
                <w:color w:val="auto"/>
                <w:kern w:val="0"/>
                <w:sz w:val="24"/>
                <w:highlight w:val="none"/>
              </w:rPr>
            </w:pPr>
          </w:p>
        </w:tc>
        <w:tc>
          <w:tcPr>
            <w:tcW w:w="1560" w:type="dxa"/>
            <w:vAlign w:val="center"/>
          </w:tcPr>
          <w:p w14:paraId="1AA578D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5E5F8C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D9DD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0241F2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3000≤Y＜30000</w:t>
            </w:r>
          </w:p>
        </w:tc>
        <w:tc>
          <w:tcPr>
            <w:tcW w:w="1730" w:type="dxa"/>
            <w:vAlign w:val="center"/>
          </w:tcPr>
          <w:p w14:paraId="1D29E27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200≤Y＜3000</w:t>
            </w:r>
          </w:p>
        </w:tc>
        <w:tc>
          <w:tcPr>
            <w:tcW w:w="1203" w:type="dxa"/>
            <w:vAlign w:val="center"/>
          </w:tcPr>
          <w:p w14:paraId="5EAD67C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w:t>
            </w:r>
          </w:p>
        </w:tc>
      </w:tr>
      <w:tr w14:paraId="60E9C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D8770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r>
              <w:rPr>
                <w:rFonts w:ascii="仿宋" w:hAnsi="仿宋" w:eastAsia="仿宋" w:cs="仿宋"/>
                <w:color w:val="auto"/>
                <w:kern w:val="0"/>
                <w:sz w:val="24"/>
                <w:highlight w:val="none"/>
              </w:rPr>
              <w:t>*</w:t>
            </w:r>
          </w:p>
        </w:tc>
        <w:tc>
          <w:tcPr>
            <w:tcW w:w="1560" w:type="dxa"/>
            <w:vAlign w:val="center"/>
          </w:tcPr>
          <w:p w14:paraId="7A53F3F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093E46F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45C69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w:t>
            </w:r>
          </w:p>
        </w:tc>
        <w:tc>
          <w:tcPr>
            <w:tcW w:w="1891" w:type="dxa"/>
            <w:vAlign w:val="center"/>
          </w:tcPr>
          <w:p w14:paraId="549138C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100≤X＜200</w:t>
            </w:r>
          </w:p>
        </w:tc>
        <w:tc>
          <w:tcPr>
            <w:tcW w:w="1730" w:type="dxa"/>
            <w:vAlign w:val="center"/>
          </w:tcPr>
          <w:p w14:paraId="1F3EE60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20≤X＜100</w:t>
            </w:r>
          </w:p>
        </w:tc>
        <w:tc>
          <w:tcPr>
            <w:tcW w:w="1203" w:type="dxa"/>
            <w:vAlign w:val="center"/>
          </w:tcPr>
          <w:p w14:paraId="3175DAE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26C22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DB6BC2">
            <w:pPr>
              <w:widowControl/>
              <w:shd w:val="clear"/>
              <w:jc w:val="left"/>
              <w:rPr>
                <w:rFonts w:ascii="仿宋" w:hAnsi="仿宋" w:eastAsia="仿宋" w:cs="仿宋"/>
                <w:color w:val="auto"/>
                <w:kern w:val="0"/>
                <w:sz w:val="24"/>
                <w:highlight w:val="none"/>
              </w:rPr>
            </w:pPr>
          </w:p>
        </w:tc>
        <w:tc>
          <w:tcPr>
            <w:tcW w:w="1560" w:type="dxa"/>
            <w:vAlign w:val="center"/>
          </w:tcPr>
          <w:p w14:paraId="2250A1B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9B3E48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01883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6DBB065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1000≤Y＜30000</w:t>
            </w:r>
          </w:p>
        </w:tc>
        <w:tc>
          <w:tcPr>
            <w:tcW w:w="1730" w:type="dxa"/>
            <w:vAlign w:val="center"/>
          </w:tcPr>
          <w:p w14:paraId="5265A0A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6BC20E5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44777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64876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511180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3CA59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FCD62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7FC10D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55D782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0309D40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653C9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15E9AD">
            <w:pPr>
              <w:widowControl/>
              <w:shd w:val="clear"/>
              <w:jc w:val="left"/>
              <w:rPr>
                <w:rFonts w:ascii="仿宋" w:hAnsi="仿宋" w:eastAsia="仿宋" w:cs="仿宋"/>
                <w:color w:val="auto"/>
                <w:kern w:val="0"/>
                <w:sz w:val="24"/>
                <w:highlight w:val="none"/>
              </w:rPr>
            </w:pPr>
          </w:p>
        </w:tc>
        <w:tc>
          <w:tcPr>
            <w:tcW w:w="1560" w:type="dxa"/>
            <w:vAlign w:val="center"/>
          </w:tcPr>
          <w:p w14:paraId="235E597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557ACBB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0F76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786BDA4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2000≤Y＜30000</w:t>
            </w:r>
          </w:p>
        </w:tc>
        <w:tc>
          <w:tcPr>
            <w:tcW w:w="1730" w:type="dxa"/>
            <w:vAlign w:val="center"/>
          </w:tcPr>
          <w:p w14:paraId="2B6D38F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084C3C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2152C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25983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F75AF3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3F7D09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00956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5A248D0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5FC0197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315446E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AC12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9ED5D3">
            <w:pPr>
              <w:widowControl/>
              <w:shd w:val="clear"/>
              <w:jc w:val="left"/>
              <w:rPr>
                <w:rFonts w:ascii="仿宋" w:hAnsi="仿宋" w:eastAsia="仿宋" w:cs="仿宋"/>
                <w:color w:val="auto"/>
                <w:kern w:val="0"/>
                <w:sz w:val="24"/>
                <w:highlight w:val="none"/>
              </w:rPr>
            </w:pPr>
          </w:p>
        </w:tc>
        <w:tc>
          <w:tcPr>
            <w:tcW w:w="1560" w:type="dxa"/>
            <w:vAlign w:val="center"/>
          </w:tcPr>
          <w:p w14:paraId="339C25F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DA4845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61AC3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04B16B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2000≤Y＜10000</w:t>
            </w:r>
          </w:p>
        </w:tc>
        <w:tc>
          <w:tcPr>
            <w:tcW w:w="1730" w:type="dxa"/>
            <w:vAlign w:val="center"/>
          </w:tcPr>
          <w:p w14:paraId="07580A2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2122429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3BFA2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F25F6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CB12D9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3B4FAB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A3C9A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555B4A6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66A1E2C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2D7291C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7E9C4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F210E">
            <w:pPr>
              <w:widowControl/>
              <w:shd w:val="clear"/>
              <w:jc w:val="left"/>
              <w:rPr>
                <w:rFonts w:ascii="仿宋" w:hAnsi="仿宋" w:eastAsia="仿宋" w:cs="仿宋"/>
                <w:color w:val="auto"/>
                <w:kern w:val="0"/>
                <w:sz w:val="24"/>
                <w:highlight w:val="none"/>
              </w:rPr>
            </w:pPr>
          </w:p>
        </w:tc>
        <w:tc>
          <w:tcPr>
            <w:tcW w:w="1560" w:type="dxa"/>
            <w:vAlign w:val="center"/>
          </w:tcPr>
          <w:p w14:paraId="64ED6D7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1AB650D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5E8EB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136322F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2000≤Y＜10000</w:t>
            </w:r>
          </w:p>
        </w:tc>
        <w:tc>
          <w:tcPr>
            <w:tcW w:w="1730" w:type="dxa"/>
            <w:vAlign w:val="center"/>
          </w:tcPr>
          <w:p w14:paraId="701A12C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105AEBF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62B48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CD0EF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w:t>
            </w:r>
            <w:r>
              <w:rPr>
                <w:rFonts w:ascii="仿宋" w:hAnsi="仿宋" w:eastAsia="仿宋" w:cs="仿宋"/>
                <w:color w:val="auto"/>
                <w:kern w:val="0"/>
                <w:sz w:val="24"/>
                <w:highlight w:val="none"/>
              </w:rPr>
              <w:t xml:space="preserve"> *</w:t>
            </w:r>
          </w:p>
        </w:tc>
        <w:tc>
          <w:tcPr>
            <w:tcW w:w="1560" w:type="dxa"/>
            <w:vAlign w:val="center"/>
          </w:tcPr>
          <w:p w14:paraId="402BDB0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73EB111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AD889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X≥2000</w:t>
            </w:r>
          </w:p>
        </w:tc>
        <w:tc>
          <w:tcPr>
            <w:tcW w:w="1891" w:type="dxa"/>
            <w:vAlign w:val="center"/>
          </w:tcPr>
          <w:p w14:paraId="6F87709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100≤X＜2000</w:t>
            </w:r>
          </w:p>
        </w:tc>
        <w:tc>
          <w:tcPr>
            <w:tcW w:w="1730" w:type="dxa"/>
            <w:vAlign w:val="center"/>
          </w:tcPr>
          <w:p w14:paraId="199413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59B1A33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7CC7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373D41">
            <w:pPr>
              <w:widowControl/>
              <w:shd w:val="clear"/>
              <w:jc w:val="left"/>
              <w:rPr>
                <w:rFonts w:ascii="仿宋" w:hAnsi="仿宋" w:eastAsia="仿宋" w:cs="仿宋"/>
                <w:color w:val="auto"/>
                <w:kern w:val="0"/>
                <w:sz w:val="24"/>
                <w:highlight w:val="none"/>
              </w:rPr>
            </w:pPr>
          </w:p>
        </w:tc>
        <w:tc>
          <w:tcPr>
            <w:tcW w:w="1560" w:type="dxa"/>
            <w:vAlign w:val="center"/>
          </w:tcPr>
          <w:p w14:paraId="2DDAD9E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244DB93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57C6E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Y≥100000</w:t>
            </w:r>
          </w:p>
        </w:tc>
        <w:tc>
          <w:tcPr>
            <w:tcW w:w="1891" w:type="dxa"/>
            <w:vAlign w:val="center"/>
          </w:tcPr>
          <w:p w14:paraId="5A6AD97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1000≤Y＜100000</w:t>
            </w:r>
          </w:p>
        </w:tc>
        <w:tc>
          <w:tcPr>
            <w:tcW w:w="1730" w:type="dxa"/>
            <w:vAlign w:val="center"/>
          </w:tcPr>
          <w:p w14:paraId="2ECA114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4F1AA2D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05A75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F70BB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743A5D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271BAC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B7EE2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67FFD0F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6A85949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0A1C053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1BFC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81C15A">
            <w:pPr>
              <w:widowControl/>
              <w:shd w:val="clear"/>
              <w:jc w:val="left"/>
              <w:rPr>
                <w:rFonts w:ascii="仿宋" w:hAnsi="仿宋" w:eastAsia="仿宋" w:cs="仿宋"/>
                <w:color w:val="auto"/>
                <w:kern w:val="0"/>
                <w:sz w:val="24"/>
                <w:highlight w:val="none"/>
              </w:rPr>
            </w:pPr>
          </w:p>
        </w:tc>
        <w:tc>
          <w:tcPr>
            <w:tcW w:w="1560" w:type="dxa"/>
            <w:vAlign w:val="center"/>
          </w:tcPr>
          <w:p w14:paraId="653C64C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28C4DE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0CF7E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1D671D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1000≤Y＜10000</w:t>
            </w:r>
          </w:p>
        </w:tc>
        <w:tc>
          <w:tcPr>
            <w:tcW w:w="1730" w:type="dxa"/>
            <w:vAlign w:val="center"/>
          </w:tcPr>
          <w:p w14:paraId="6A8367F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50≤Y＜1000</w:t>
            </w:r>
          </w:p>
        </w:tc>
        <w:tc>
          <w:tcPr>
            <w:tcW w:w="1203" w:type="dxa"/>
            <w:vAlign w:val="center"/>
          </w:tcPr>
          <w:p w14:paraId="0E90CE4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w:t>
            </w:r>
          </w:p>
        </w:tc>
      </w:tr>
      <w:tr w14:paraId="1DD69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9ACEA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A655CC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5C89A65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E8E93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Y≥200000</w:t>
            </w:r>
          </w:p>
        </w:tc>
        <w:tc>
          <w:tcPr>
            <w:tcW w:w="1891" w:type="dxa"/>
            <w:vAlign w:val="center"/>
          </w:tcPr>
          <w:p w14:paraId="6295830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1000≤Y＜200000</w:t>
            </w:r>
          </w:p>
        </w:tc>
        <w:tc>
          <w:tcPr>
            <w:tcW w:w="1730" w:type="dxa"/>
            <w:vAlign w:val="center"/>
          </w:tcPr>
          <w:p w14:paraId="148A7E0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76BBEF1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0F38F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AE4316">
            <w:pPr>
              <w:widowControl/>
              <w:shd w:val="clear"/>
              <w:jc w:val="left"/>
              <w:rPr>
                <w:rFonts w:ascii="仿宋" w:hAnsi="仿宋" w:eastAsia="仿宋" w:cs="仿宋"/>
                <w:color w:val="auto"/>
                <w:kern w:val="0"/>
                <w:sz w:val="24"/>
                <w:highlight w:val="none"/>
              </w:rPr>
            </w:pPr>
          </w:p>
        </w:tc>
        <w:tc>
          <w:tcPr>
            <w:tcW w:w="1560" w:type="dxa"/>
            <w:vAlign w:val="center"/>
          </w:tcPr>
          <w:p w14:paraId="6DFB05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739040C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FF2AA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Z≥10000</w:t>
            </w:r>
          </w:p>
        </w:tc>
        <w:tc>
          <w:tcPr>
            <w:tcW w:w="1891" w:type="dxa"/>
            <w:vAlign w:val="center"/>
          </w:tcPr>
          <w:p w14:paraId="19EA0E9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5000≤Z＜10000</w:t>
            </w:r>
          </w:p>
        </w:tc>
        <w:tc>
          <w:tcPr>
            <w:tcW w:w="1730" w:type="dxa"/>
            <w:vAlign w:val="center"/>
          </w:tcPr>
          <w:p w14:paraId="43B19E1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2000≤Z＜5000</w:t>
            </w:r>
          </w:p>
        </w:tc>
        <w:tc>
          <w:tcPr>
            <w:tcW w:w="1203" w:type="dxa"/>
            <w:vAlign w:val="center"/>
          </w:tcPr>
          <w:p w14:paraId="3F2A887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Z＜2000</w:t>
            </w:r>
          </w:p>
        </w:tc>
      </w:tr>
      <w:tr w14:paraId="18FE3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DCA26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4A3E13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558BDC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68E5A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303D5D0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2B2613C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203" w:type="dxa"/>
            <w:vAlign w:val="center"/>
          </w:tcPr>
          <w:p w14:paraId="567EB4C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w:t>
            </w:r>
          </w:p>
        </w:tc>
      </w:tr>
      <w:tr w14:paraId="6A857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607BC2">
            <w:pPr>
              <w:widowControl/>
              <w:shd w:val="clear"/>
              <w:jc w:val="left"/>
              <w:rPr>
                <w:rFonts w:ascii="仿宋" w:hAnsi="仿宋" w:eastAsia="仿宋" w:cs="仿宋"/>
                <w:color w:val="auto"/>
                <w:kern w:val="0"/>
                <w:sz w:val="24"/>
                <w:highlight w:val="none"/>
              </w:rPr>
            </w:pPr>
          </w:p>
        </w:tc>
        <w:tc>
          <w:tcPr>
            <w:tcW w:w="1560" w:type="dxa"/>
            <w:vAlign w:val="center"/>
          </w:tcPr>
          <w:p w14:paraId="12A7E80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32100D2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823C8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Y≥5000</w:t>
            </w:r>
          </w:p>
        </w:tc>
        <w:tc>
          <w:tcPr>
            <w:tcW w:w="1891" w:type="dxa"/>
            <w:vAlign w:val="center"/>
          </w:tcPr>
          <w:p w14:paraId="5CE2F63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1000≤Y＜5000</w:t>
            </w:r>
          </w:p>
        </w:tc>
        <w:tc>
          <w:tcPr>
            <w:tcW w:w="1730" w:type="dxa"/>
            <w:vAlign w:val="center"/>
          </w:tcPr>
          <w:p w14:paraId="41495A7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500≤Y＜1000</w:t>
            </w:r>
          </w:p>
        </w:tc>
        <w:tc>
          <w:tcPr>
            <w:tcW w:w="1203" w:type="dxa"/>
            <w:vAlign w:val="center"/>
          </w:tcPr>
          <w:p w14:paraId="2BB5841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Y＜500</w:t>
            </w:r>
          </w:p>
        </w:tc>
      </w:tr>
      <w:tr w14:paraId="2E08A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EBA1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43E8F5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308EF6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5861A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07E6FE8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1A4A4CB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74EE700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32400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AEB9FD">
            <w:pPr>
              <w:widowControl/>
              <w:shd w:val="clear"/>
              <w:jc w:val="left"/>
              <w:rPr>
                <w:rFonts w:ascii="仿宋" w:hAnsi="仿宋" w:eastAsia="仿宋" w:cs="仿宋"/>
                <w:color w:val="auto"/>
                <w:kern w:val="0"/>
                <w:sz w:val="24"/>
                <w:highlight w:val="none"/>
              </w:rPr>
            </w:pPr>
          </w:p>
        </w:tc>
        <w:tc>
          <w:tcPr>
            <w:tcW w:w="1560" w:type="dxa"/>
            <w:vAlign w:val="center"/>
          </w:tcPr>
          <w:p w14:paraId="12DFAA0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19E049D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B6021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Z≥120000</w:t>
            </w:r>
          </w:p>
        </w:tc>
        <w:tc>
          <w:tcPr>
            <w:tcW w:w="1891" w:type="dxa"/>
            <w:vAlign w:val="center"/>
          </w:tcPr>
          <w:p w14:paraId="52B79E2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8000≤Z＜120000</w:t>
            </w:r>
          </w:p>
        </w:tc>
        <w:tc>
          <w:tcPr>
            <w:tcW w:w="1730" w:type="dxa"/>
            <w:vAlign w:val="center"/>
          </w:tcPr>
          <w:p w14:paraId="1296D28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100≤Z＜8000</w:t>
            </w:r>
          </w:p>
        </w:tc>
        <w:tc>
          <w:tcPr>
            <w:tcW w:w="1203" w:type="dxa"/>
            <w:vAlign w:val="center"/>
          </w:tcPr>
          <w:p w14:paraId="2F7D955C">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Z＜100</w:t>
            </w:r>
          </w:p>
        </w:tc>
      </w:tr>
      <w:tr w14:paraId="5988F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D8C55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w:t>
            </w:r>
            <w:r>
              <w:rPr>
                <w:rFonts w:ascii="仿宋" w:hAnsi="仿宋" w:eastAsia="仿宋" w:cs="仿宋"/>
                <w:color w:val="auto"/>
                <w:kern w:val="0"/>
                <w:sz w:val="24"/>
                <w:highlight w:val="none"/>
              </w:rPr>
              <w:t xml:space="preserve"> *</w:t>
            </w:r>
          </w:p>
        </w:tc>
        <w:tc>
          <w:tcPr>
            <w:tcW w:w="1560" w:type="dxa"/>
            <w:vAlign w:val="center"/>
          </w:tcPr>
          <w:p w14:paraId="40A243A6">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547F96DF">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A4685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2127021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5A17E241">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233E6E44">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bl>
    <w:p w14:paraId="7D8E0FC9">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w:t>
      </w:r>
      <w:r>
        <w:rPr>
          <w:rFonts w:ascii="仿宋" w:hAnsi="仿宋" w:eastAsia="仿宋" w:cs="仿宋"/>
          <w:color w:val="auto"/>
          <w:kern w:val="0"/>
          <w:szCs w:val="21"/>
          <w:highlight w:val="none"/>
        </w:rPr>
        <w:t xml:space="preserve"> 　　</w:t>
      </w:r>
    </w:p>
    <w:p w14:paraId="5454B6E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3FC57D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1E5C03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3.企业划分指标以现行统计制度为准。</w:t>
      </w:r>
    </w:p>
    <w:p w14:paraId="47A5987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1）从业人员，是指期末从业人员数，没有期末从业人员数的，采用全年平均人员数代替。</w:t>
      </w:r>
    </w:p>
    <w:p w14:paraId="02CD7CA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3144A4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3）资产总额，采用资产总计代替。</w:t>
      </w:r>
    </w:p>
    <w:p w14:paraId="2A99BD13">
      <w:pPr>
        <w:widowControl/>
        <w:shd w:val="clear"/>
        <w:jc w:val="left"/>
        <w:rPr>
          <w:rFonts w:ascii="仿宋" w:hAnsi="仿宋" w:eastAsia="仿宋" w:cs="仿宋"/>
          <w:color w:val="auto"/>
          <w:kern w:val="0"/>
          <w:sz w:val="24"/>
          <w:highlight w:val="none"/>
        </w:rPr>
      </w:pPr>
    </w:p>
    <w:p w14:paraId="686817C6">
      <w:pPr>
        <w:widowControl/>
        <w:shd w:val="clear"/>
        <w:jc w:val="left"/>
        <w:rPr>
          <w:rFonts w:ascii="仿宋" w:hAnsi="仿宋" w:eastAsia="仿宋" w:cs="仿宋"/>
          <w:color w:val="auto"/>
          <w:kern w:val="0"/>
          <w:sz w:val="24"/>
          <w:highlight w:val="none"/>
        </w:rPr>
      </w:pPr>
    </w:p>
    <w:p w14:paraId="5773F01A">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2017）》修订说明</w:t>
      </w:r>
    </w:p>
    <w:p w14:paraId="440F03EC">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5608FE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w:t>
      </w:r>
      <w:r>
        <w:rPr>
          <w:rFonts w:ascii="仿宋" w:hAnsi="仿宋" w:eastAsia="仿宋" w:cs="仿宋"/>
          <w:color w:val="auto"/>
          <w:kern w:val="0"/>
          <w:szCs w:val="21"/>
          <w:highlight w:val="none"/>
        </w:rPr>
        <w:t>2011年国家统计局根据工业和信息化部、国家统计局、国家发展改革委、财政部《关于印发中小企业划型标准规定的通知》（工信部联企业〔2011〕300号），同时依据《国民经济行业分类》（GB/T4754—2011），制定并颁布的。</w:t>
      </w:r>
    </w:p>
    <w:p w14:paraId="5B7916C7">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w:t>
      </w:r>
      <w:r>
        <w:rPr>
          <w:rFonts w:hint="eastAsia" w:ascii="仿宋" w:hAnsi="仿宋" w:eastAsia="仿宋" w:cs="仿宋"/>
          <w:color w:val="auto"/>
          <w:kern w:val="0"/>
          <w:szCs w:val="21"/>
          <w:highlight w:val="none"/>
        </w:rPr>
        <w:t>从</w:t>
      </w:r>
      <w:r>
        <w:rPr>
          <w:rFonts w:ascii="仿宋" w:hAnsi="仿宋" w:eastAsia="仿宋" w:cs="仿宋"/>
          <w:color w:val="auto"/>
          <w:kern w:val="0"/>
          <w:szCs w:val="21"/>
          <w:highlight w:val="none"/>
        </w:rPr>
        <w:t>2017年统计年报和2018年定期统计报表起统一使用新分类标准。为此，我们对2011年印发的《统计上大中小微型企业划分办法》进行修订。</w:t>
      </w:r>
    </w:p>
    <w:p w14:paraId="055AE32B">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23BF985">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w:t>
      </w:r>
      <w:r>
        <w:rPr>
          <w:rFonts w:ascii="仿宋" w:hAnsi="仿宋" w:eastAsia="仿宋" w:cs="仿宋"/>
          <w:color w:val="auto"/>
          <w:kern w:val="0"/>
          <w:szCs w:val="21"/>
          <w:highlight w:val="none"/>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464E8E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30A163F">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w:t>
      </w:r>
      <w:r>
        <w:rPr>
          <w:rFonts w:ascii="仿宋" w:hAnsi="仿宋" w:eastAsia="仿宋" w:cs="仿宋"/>
          <w:color w:val="auto"/>
          <w:kern w:val="0"/>
          <w:szCs w:val="21"/>
          <w:highlight w:val="none"/>
        </w:rPr>
        <w:t>GB/T4754—2017）调整为“通用仓储，低温仓储，危险品仓储，谷物、棉花等农产品仓储，中药材仓储和其他仓储业”。</w:t>
      </w:r>
    </w:p>
    <w:p w14:paraId="1A064941">
      <w:pPr>
        <w:widowControl/>
        <w:shd w:val="clear"/>
        <w:jc w:val="left"/>
        <w:rPr>
          <w:rFonts w:ascii="仿宋" w:hAnsi="仿宋" w:eastAsia="仿宋" w:cs="仿宋"/>
          <w:color w:val="auto"/>
          <w:kern w:val="0"/>
          <w:sz w:val="18"/>
          <w:szCs w:val="18"/>
          <w:highlight w:val="none"/>
        </w:rPr>
      </w:pPr>
    </w:p>
    <w:p w14:paraId="43B7BF61">
      <w:pPr>
        <w:pStyle w:val="80"/>
        <w:shd w:val="clear"/>
        <w:rPr>
          <w:color w:val="auto"/>
          <w:highlight w:val="none"/>
        </w:rPr>
      </w:pPr>
    </w:p>
    <w:p w14:paraId="3602D4AD">
      <w:pPr>
        <w:pStyle w:val="81"/>
        <w:shd w:val="clear"/>
        <w:rPr>
          <w:rFonts w:eastAsia="仿宋"/>
          <w:color w:val="auto"/>
          <w:highlight w:val="none"/>
        </w:rPr>
      </w:pPr>
    </w:p>
    <w:p w14:paraId="28BA9158">
      <w:pPr>
        <w:shd w:val="clear"/>
        <w:rPr>
          <w:color w:val="auto"/>
          <w:highlight w:val="none"/>
        </w:rPr>
      </w:pPr>
    </w:p>
    <w:p w14:paraId="37EF4617">
      <w:pPr>
        <w:pStyle w:val="81"/>
        <w:shd w:val="clear"/>
        <w:rPr>
          <w:rFonts w:eastAsia="仿宋"/>
          <w:color w:val="auto"/>
          <w:highlight w:val="none"/>
        </w:rPr>
      </w:pPr>
    </w:p>
    <w:p w14:paraId="57089601">
      <w:pPr>
        <w:shd w:val="clear"/>
        <w:rPr>
          <w:color w:val="auto"/>
          <w:highlight w:val="none"/>
        </w:rPr>
      </w:pPr>
    </w:p>
    <w:p w14:paraId="6E900F66">
      <w:pPr>
        <w:shd w:val="clear"/>
        <w:rPr>
          <w:color w:val="auto"/>
          <w:highlight w:val="none"/>
        </w:rPr>
      </w:pPr>
    </w:p>
    <w:p w14:paraId="7610CBEA">
      <w:pPr>
        <w:pStyle w:val="80"/>
        <w:shd w:val="clear"/>
        <w:rPr>
          <w:color w:val="auto"/>
          <w:highlight w:val="none"/>
        </w:rPr>
      </w:pPr>
    </w:p>
    <w:p w14:paraId="3A1BF57F">
      <w:pPr>
        <w:pStyle w:val="81"/>
        <w:shd w:val="clear"/>
        <w:rPr>
          <w:rFonts w:eastAsia="仿宋"/>
          <w:color w:val="auto"/>
          <w:highlight w:val="none"/>
        </w:rPr>
      </w:pPr>
    </w:p>
    <w:p w14:paraId="744EFB3A">
      <w:pPr>
        <w:shd w:val="clear"/>
        <w:rPr>
          <w:color w:val="auto"/>
          <w:highlight w:val="none"/>
        </w:rPr>
      </w:pPr>
    </w:p>
    <w:p w14:paraId="0D3E920E">
      <w:pPr>
        <w:pStyle w:val="80"/>
        <w:shd w:val="clear"/>
        <w:rPr>
          <w:color w:val="auto"/>
          <w:highlight w:val="none"/>
        </w:rPr>
      </w:pPr>
    </w:p>
    <w:p w14:paraId="6FEE6EC9">
      <w:pPr>
        <w:pStyle w:val="81"/>
        <w:shd w:val="clear"/>
        <w:rPr>
          <w:rFonts w:eastAsia="仿宋"/>
          <w:color w:val="auto"/>
          <w:highlight w:val="none"/>
        </w:rPr>
      </w:pPr>
    </w:p>
    <w:p w14:paraId="18CCAA35">
      <w:pPr>
        <w:shd w:val="clear"/>
        <w:rPr>
          <w:color w:val="auto"/>
          <w:highlight w:val="none"/>
        </w:rPr>
      </w:pPr>
    </w:p>
    <w:p w14:paraId="012E4782">
      <w:pPr>
        <w:pStyle w:val="80"/>
        <w:shd w:val="clear"/>
        <w:rPr>
          <w:color w:val="auto"/>
          <w:highlight w:val="none"/>
        </w:rPr>
      </w:pPr>
    </w:p>
    <w:p w14:paraId="52841FA3">
      <w:pPr>
        <w:pStyle w:val="81"/>
        <w:shd w:val="clear"/>
        <w:rPr>
          <w:rFonts w:eastAsia="仿宋"/>
          <w:color w:val="auto"/>
          <w:highlight w:val="none"/>
        </w:rPr>
      </w:pPr>
    </w:p>
    <w:p w14:paraId="1D5A9C4F">
      <w:pPr>
        <w:widowControl/>
        <w:shd w:val="clear"/>
        <w:jc w:val="left"/>
        <w:rPr>
          <w:rFonts w:ascii="仿宋" w:hAnsi="仿宋" w:eastAsia="仿宋" w:cs="仿宋"/>
          <w:color w:val="auto"/>
          <w:kern w:val="0"/>
          <w:sz w:val="18"/>
          <w:szCs w:val="18"/>
          <w:highlight w:val="none"/>
        </w:rPr>
      </w:pPr>
    </w:p>
    <w:p w14:paraId="011F9C83">
      <w:pPr>
        <w:widowControl/>
        <w:shd w:val="clear"/>
        <w:jc w:val="left"/>
        <w:rPr>
          <w:rFonts w:ascii="仿宋" w:hAnsi="仿宋" w:eastAsia="仿宋" w:cs="仿宋"/>
          <w:color w:val="auto"/>
          <w:kern w:val="0"/>
          <w:sz w:val="18"/>
          <w:szCs w:val="18"/>
          <w:highlight w:val="none"/>
        </w:rPr>
      </w:pPr>
    </w:p>
    <w:p w14:paraId="6609D05B">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49B8A95">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E421F3A">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80D048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w:t>
      </w:r>
      <w:r>
        <w:rPr>
          <w:rFonts w:ascii="仿宋" w:hAnsi="仿宋" w:eastAsia="仿宋" w:cs="仿宋"/>
          <w:color w:val="auto"/>
          <w:kern w:val="0"/>
          <w:szCs w:val="21"/>
          <w:highlight w:val="none"/>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auto"/>
          <w:kern w:val="0"/>
          <w:szCs w:val="21"/>
          <w:highlight w:val="none"/>
        </w:rPr>
        <w:t>经国务院同意，现印发给你们，请遵照执行。</w:t>
      </w:r>
    </w:p>
    <w:p w14:paraId="5159ECC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7E236FA">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9185E0C">
      <w:pPr>
        <w:pStyle w:val="80"/>
        <w:shd w:val="clear"/>
        <w:rPr>
          <w:color w:val="auto"/>
          <w:highlight w:val="none"/>
        </w:rPr>
      </w:pPr>
    </w:p>
    <w:p w14:paraId="5F849BDD">
      <w:pPr>
        <w:pStyle w:val="81"/>
        <w:shd w:val="clear"/>
        <w:rPr>
          <w:rFonts w:eastAsia="仿宋"/>
          <w:color w:val="auto"/>
          <w:highlight w:val="none"/>
        </w:rPr>
      </w:pPr>
    </w:p>
    <w:p w14:paraId="75864C0F">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B03E49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w:t>
      </w:r>
      <w:r>
        <w:rPr>
          <w:rFonts w:ascii="仿宋" w:hAnsi="仿宋" w:eastAsia="仿宋" w:cs="仿宋"/>
          <w:color w:val="auto"/>
          <w:kern w:val="0"/>
          <w:szCs w:val="21"/>
          <w:highlight w:val="none"/>
        </w:rPr>
        <w:t>2009〕36号）和《国务院办公厅关于金融支持小微企业发展的实施意见》（国办发〔2013〕87号），制定本规定。</w:t>
      </w:r>
    </w:p>
    <w:p w14:paraId="6BC0306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w:t>
      </w:r>
      <w:r>
        <w:rPr>
          <w:rFonts w:ascii="仿宋" w:hAnsi="仿宋" w:eastAsia="仿宋" w:cs="仿宋"/>
          <w:color w:val="auto"/>
          <w:kern w:val="0"/>
          <w:szCs w:val="21"/>
          <w:highlight w:val="none"/>
        </w:rPr>
        <w:t>(GB/T4754-2011)中J门类（金融业）活动的企业。</w:t>
      </w:r>
    </w:p>
    <w:p w14:paraId="6DF12CB0">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B694F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052955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51A12E78">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(一) </w:t>
      </w:r>
      <w:r>
        <w:rPr>
          <w:rFonts w:hint="eastAsia" w:ascii="仿宋" w:hAnsi="仿宋" w:eastAsia="仿宋" w:cs="仿宋"/>
          <w:color w:val="auto"/>
          <w:kern w:val="0"/>
          <w:szCs w:val="21"/>
          <w:highlight w:val="none"/>
        </w:rPr>
        <w:t>银行业存款类金融机构。资产总额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7FA4001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(二) </w:t>
      </w:r>
      <w:r>
        <w:rPr>
          <w:rFonts w:hint="eastAsia" w:ascii="仿宋" w:hAnsi="仿宋" w:eastAsia="仿宋" w:cs="仿宋"/>
          <w:color w:val="auto"/>
          <w:kern w:val="0"/>
          <w:szCs w:val="21"/>
          <w:highlight w:val="none"/>
        </w:rPr>
        <w:t>银行业非存款类金融机构。资产总额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09054D50">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(三) </w:t>
      </w:r>
      <w:r>
        <w:rPr>
          <w:rFonts w:hint="eastAsia" w:ascii="仿宋" w:hAnsi="仿宋" w:eastAsia="仿宋" w:cs="仿宋"/>
          <w:color w:val="auto"/>
          <w:kern w:val="0"/>
          <w:szCs w:val="21"/>
          <w:highlight w:val="none"/>
        </w:rPr>
        <w:t>贷款公司、小额贷款公司及典当行。资产总额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73E9386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(四) </w:t>
      </w:r>
      <w:r>
        <w:rPr>
          <w:rFonts w:hint="eastAsia" w:ascii="仿宋" w:hAnsi="仿宋" w:eastAsia="仿宋" w:cs="仿宋"/>
          <w:color w:val="auto"/>
          <w:kern w:val="0"/>
          <w:szCs w:val="21"/>
          <w:highlight w:val="none"/>
        </w:rPr>
        <w:t>证券业金融机构。资产总额</w:t>
      </w:r>
      <w:r>
        <w:rPr>
          <w:rFonts w:ascii="仿宋" w:hAnsi="仿宋" w:eastAsia="仿宋" w:cs="仿宋"/>
          <w:color w:val="auto"/>
          <w:kern w:val="0"/>
          <w:szCs w:val="21"/>
          <w:highlight w:val="none"/>
        </w:rPr>
        <w:t>1000亿元以下的为中小微型企业。其中，资产总额100亿元及以上的为中型企业，资产总额10亿元及以上的为小型企业，资产总额10亿元以下的为微型企业。</w:t>
      </w:r>
    </w:p>
    <w:p w14:paraId="644EA87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(五) </w:t>
      </w:r>
      <w:r>
        <w:rPr>
          <w:rFonts w:hint="eastAsia" w:ascii="仿宋" w:hAnsi="仿宋" w:eastAsia="仿宋" w:cs="仿宋"/>
          <w:color w:val="auto"/>
          <w:kern w:val="0"/>
          <w:szCs w:val="21"/>
          <w:highlight w:val="none"/>
        </w:rPr>
        <w:t>保险业金融机构。资产总额</w:t>
      </w:r>
      <w:r>
        <w:rPr>
          <w:rFonts w:ascii="仿宋" w:hAnsi="仿宋" w:eastAsia="仿宋" w:cs="仿宋"/>
          <w:color w:val="auto"/>
          <w:kern w:val="0"/>
          <w:szCs w:val="21"/>
          <w:highlight w:val="none"/>
        </w:rPr>
        <w:t>5000亿元以下的为中小微型企业。其中，资产总额400亿元及以上的为中型企业，资产总额20亿元及以上的为小型企业，资产总额20亿元以下的为微型企业。</w:t>
      </w:r>
    </w:p>
    <w:p w14:paraId="6B4CF2F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(六) </w:t>
      </w:r>
      <w:r>
        <w:rPr>
          <w:rFonts w:hint="eastAsia" w:ascii="仿宋" w:hAnsi="仿宋" w:eastAsia="仿宋" w:cs="仿宋"/>
          <w:color w:val="auto"/>
          <w:kern w:val="0"/>
          <w:szCs w:val="21"/>
          <w:highlight w:val="none"/>
        </w:rPr>
        <w:t>信托公司。信托资产</w:t>
      </w:r>
      <w:r>
        <w:rPr>
          <w:rFonts w:ascii="仿宋" w:hAnsi="仿宋" w:eastAsia="仿宋" w:cs="仿宋"/>
          <w:color w:val="auto"/>
          <w:kern w:val="0"/>
          <w:szCs w:val="21"/>
          <w:highlight w:val="none"/>
        </w:rPr>
        <w:t>1000亿元以下的为中小微型企业。其中，信托资产400亿元及以上的为中型企业，信托资产20亿元及以上的为小型企业，信托资产20亿元以下的为微型企业。</w:t>
      </w:r>
    </w:p>
    <w:p w14:paraId="00C6C6F1">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(七) </w:t>
      </w:r>
      <w:r>
        <w:rPr>
          <w:rFonts w:hint="eastAsia" w:ascii="仿宋" w:hAnsi="仿宋" w:eastAsia="仿宋" w:cs="仿宋"/>
          <w:color w:val="auto"/>
          <w:kern w:val="0"/>
          <w:szCs w:val="21"/>
          <w:highlight w:val="none"/>
        </w:rPr>
        <w:t>金融控股公司。资产总额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514A303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(八) </w:t>
      </w:r>
      <w:r>
        <w:rPr>
          <w:rFonts w:hint="eastAsia" w:ascii="仿宋" w:hAnsi="仿宋" w:eastAsia="仿宋" w:cs="仿宋"/>
          <w:color w:val="auto"/>
          <w:kern w:val="0"/>
          <w:szCs w:val="21"/>
          <w:highlight w:val="none"/>
        </w:rPr>
        <w:t>除贷款公司、小额贷款公司，典当行以外的其他金融机构。资产总额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5053B28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D894FF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EEDA3B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0DC4B97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4744D9B5">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2D15D2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59E7FA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39321D7">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8B66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5D8D4DE3">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center"/>
          </w:tcPr>
          <w:p w14:paraId="133E22E1">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center"/>
          </w:tcPr>
          <w:p w14:paraId="699014AA">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center"/>
          </w:tcPr>
          <w:p w14:paraId="414F4DC1">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D8AE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37F9621">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BE45D99">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3AA49CC">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AF269E8">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6E84F8">
            <w:pPr>
              <w:widowControl/>
              <w:shd w:val="clear"/>
              <w:autoSpaceDE w:val="0"/>
              <w:autoSpaceDN w:val="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14:paraId="5BE20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3E2FC6">
            <w:pPr>
              <w:widowControl/>
              <w:shd w:val="clear"/>
              <w:jc w:val="left"/>
              <w:rPr>
                <w:rFonts w:ascii="仿宋" w:hAnsi="仿宋" w:eastAsia="仿宋" w:cs="仿宋"/>
                <w:color w:val="auto"/>
                <w:kern w:val="0"/>
                <w:sz w:val="24"/>
                <w:highlight w:val="none"/>
              </w:rPr>
            </w:pPr>
          </w:p>
        </w:tc>
        <w:tc>
          <w:tcPr>
            <w:tcW w:w="1025" w:type="dxa"/>
            <w:vMerge w:val="continue"/>
            <w:vAlign w:val="center"/>
          </w:tcPr>
          <w:p w14:paraId="7D6ED693">
            <w:pPr>
              <w:widowControl/>
              <w:shd w:val="clear"/>
              <w:jc w:val="left"/>
              <w:rPr>
                <w:rFonts w:ascii="仿宋" w:hAnsi="仿宋" w:eastAsia="仿宋" w:cs="仿宋"/>
                <w:color w:val="auto"/>
                <w:kern w:val="0"/>
                <w:sz w:val="24"/>
                <w:highlight w:val="none"/>
              </w:rPr>
            </w:pPr>
          </w:p>
        </w:tc>
        <w:tc>
          <w:tcPr>
            <w:tcW w:w="2836" w:type="dxa"/>
            <w:vMerge w:val="continue"/>
            <w:vAlign w:val="center"/>
          </w:tcPr>
          <w:p w14:paraId="47465169">
            <w:pPr>
              <w:widowControl/>
              <w:shd w:val="clear"/>
              <w:jc w:val="left"/>
              <w:rPr>
                <w:rFonts w:ascii="仿宋" w:hAnsi="仿宋" w:eastAsia="仿宋" w:cs="仿宋"/>
                <w:color w:val="auto"/>
                <w:kern w:val="0"/>
                <w:sz w:val="24"/>
                <w:highlight w:val="none"/>
              </w:rPr>
            </w:pPr>
          </w:p>
        </w:tc>
        <w:tc>
          <w:tcPr>
            <w:tcW w:w="606" w:type="dxa"/>
            <w:vAlign w:val="center"/>
          </w:tcPr>
          <w:p w14:paraId="6F267A9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E9900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14:paraId="2CB4B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A91BA8">
            <w:pPr>
              <w:widowControl/>
              <w:shd w:val="clear"/>
              <w:jc w:val="left"/>
              <w:rPr>
                <w:rFonts w:ascii="仿宋" w:hAnsi="仿宋" w:eastAsia="仿宋" w:cs="仿宋"/>
                <w:color w:val="auto"/>
                <w:kern w:val="0"/>
                <w:sz w:val="24"/>
                <w:highlight w:val="none"/>
              </w:rPr>
            </w:pPr>
          </w:p>
        </w:tc>
        <w:tc>
          <w:tcPr>
            <w:tcW w:w="1025" w:type="dxa"/>
            <w:vMerge w:val="continue"/>
            <w:vAlign w:val="center"/>
          </w:tcPr>
          <w:p w14:paraId="73E2B065">
            <w:pPr>
              <w:widowControl/>
              <w:shd w:val="clear"/>
              <w:jc w:val="left"/>
              <w:rPr>
                <w:rFonts w:ascii="仿宋" w:hAnsi="仿宋" w:eastAsia="仿宋" w:cs="仿宋"/>
                <w:color w:val="auto"/>
                <w:kern w:val="0"/>
                <w:sz w:val="24"/>
                <w:highlight w:val="none"/>
              </w:rPr>
            </w:pPr>
          </w:p>
        </w:tc>
        <w:tc>
          <w:tcPr>
            <w:tcW w:w="2836" w:type="dxa"/>
            <w:vMerge w:val="continue"/>
            <w:vAlign w:val="center"/>
          </w:tcPr>
          <w:p w14:paraId="65B1E6EA">
            <w:pPr>
              <w:widowControl/>
              <w:shd w:val="clear"/>
              <w:jc w:val="left"/>
              <w:rPr>
                <w:rFonts w:ascii="仿宋" w:hAnsi="仿宋" w:eastAsia="仿宋" w:cs="仿宋"/>
                <w:color w:val="auto"/>
                <w:kern w:val="0"/>
                <w:sz w:val="24"/>
                <w:highlight w:val="none"/>
              </w:rPr>
            </w:pPr>
          </w:p>
        </w:tc>
        <w:tc>
          <w:tcPr>
            <w:tcW w:w="606" w:type="dxa"/>
            <w:vAlign w:val="center"/>
          </w:tcPr>
          <w:p w14:paraId="7E5D8B6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B8B3E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6C74C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41A8F1">
            <w:pPr>
              <w:widowControl/>
              <w:shd w:val="clear"/>
              <w:jc w:val="left"/>
              <w:rPr>
                <w:rFonts w:ascii="仿宋" w:hAnsi="仿宋" w:eastAsia="仿宋" w:cs="仿宋"/>
                <w:color w:val="auto"/>
                <w:kern w:val="0"/>
                <w:sz w:val="24"/>
                <w:highlight w:val="none"/>
              </w:rPr>
            </w:pPr>
          </w:p>
        </w:tc>
        <w:tc>
          <w:tcPr>
            <w:tcW w:w="1025" w:type="dxa"/>
            <w:vMerge w:val="restart"/>
            <w:vAlign w:val="center"/>
          </w:tcPr>
          <w:p w14:paraId="549F90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ACBFF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807C4B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3D4BB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37754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B84B2A">
            <w:pPr>
              <w:widowControl/>
              <w:shd w:val="clear"/>
              <w:jc w:val="left"/>
              <w:rPr>
                <w:rFonts w:ascii="仿宋" w:hAnsi="仿宋" w:eastAsia="仿宋" w:cs="仿宋"/>
                <w:color w:val="auto"/>
                <w:kern w:val="0"/>
                <w:sz w:val="24"/>
                <w:highlight w:val="none"/>
              </w:rPr>
            </w:pPr>
          </w:p>
        </w:tc>
        <w:tc>
          <w:tcPr>
            <w:tcW w:w="1025" w:type="dxa"/>
            <w:vMerge w:val="continue"/>
            <w:vAlign w:val="center"/>
          </w:tcPr>
          <w:p w14:paraId="4B808BDD">
            <w:pPr>
              <w:widowControl/>
              <w:shd w:val="clear"/>
              <w:jc w:val="left"/>
              <w:rPr>
                <w:rFonts w:ascii="仿宋" w:hAnsi="仿宋" w:eastAsia="仿宋" w:cs="仿宋"/>
                <w:color w:val="auto"/>
                <w:kern w:val="0"/>
                <w:sz w:val="24"/>
                <w:highlight w:val="none"/>
              </w:rPr>
            </w:pPr>
          </w:p>
        </w:tc>
        <w:tc>
          <w:tcPr>
            <w:tcW w:w="2836" w:type="dxa"/>
            <w:vMerge w:val="continue"/>
            <w:vAlign w:val="center"/>
          </w:tcPr>
          <w:p w14:paraId="043931B1">
            <w:pPr>
              <w:widowControl/>
              <w:shd w:val="clear"/>
              <w:jc w:val="left"/>
              <w:rPr>
                <w:rFonts w:ascii="仿宋" w:hAnsi="仿宋" w:eastAsia="仿宋" w:cs="仿宋"/>
                <w:color w:val="auto"/>
                <w:kern w:val="0"/>
                <w:sz w:val="24"/>
                <w:highlight w:val="none"/>
              </w:rPr>
            </w:pPr>
          </w:p>
        </w:tc>
        <w:tc>
          <w:tcPr>
            <w:tcW w:w="606" w:type="dxa"/>
            <w:vAlign w:val="center"/>
          </w:tcPr>
          <w:p w14:paraId="1A28321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9023B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11A50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6AF65B">
            <w:pPr>
              <w:widowControl/>
              <w:shd w:val="clear"/>
              <w:jc w:val="left"/>
              <w:rPr>
                <w:rFonts w:ascii="仿宋" w:hAnsi="仿宋" w:eastAsia="仿宋" w:cs="仿宋"/>
                <w:color w:val="auto"/>
                <w:kern w:val="0"/>
                <w:sz w:val="24"/>
                <w:highlight w:val="none"/>
              </w:rPr>
            </w:pPr>
          </w:p>
        </w:tc>
        <w:tc>
          <w:tcPr>
            <w:tcW w:w="1025" w:type="dxa"/>
            <w:vMerge w:val="continue"/>
            <w:vAlign w:val="center"/>
          </w:tcPr>
          <w:p w14:paraId="3BA55BB1">
            <w:pPr>
              <w:widowControl/>
              <w:shd w:val="clear"/>
              <w:jc w:val="left"/>
              <w:rPr>
                <w:rFonts w:ascii="仿宋" w:hAnsi="仿宋" w:eastAsia="仿宋" w:cs="仿宋"/>
                <w:color w:val="auto"/>
                <w:kern w:val="0"/>
                <w:sz w:val="24"/>
                <w:highlight w:val="none"/>
              </w:rPr>
            </w:pPr>
          </w:p>
        </w:tc>
        <w:tc>
          <w:tcPr>
            <w:tcW w:w="2836" w:type="dxa"/>
            <w:vMerge w:val="continue"/>
            <w:vAlign w:val="center"/>
          </w:tcPr>
          <w:p w14:paraId="7DD125B1">
            <w:pPr>
              <w:widowControl/>
              <w:shd w:val="clear"/>
              <w:jc w:val="left"/>
              <w:rPr>
                <w:rFonts w:ascii="仿宋" w:hAnsi="仿宋" w:eastAsia="仿宋" w:cs="仿宋"/>
                <w:color w:val="auto"/>
                <w:kern w:val="0"/>
                <w:sz w:val="24"/>
                <w:highlight w:val="none"/>
              </w:rPr>
            </w:pPr>
          </w:p>
        </w:tc>
        <w:tc>
          <w:tcPr>
            <w:tcW w:w="606" w:type="dxa"/>
            <w:vAlign w:val="center"/>
          </w:tcPr>
          <w:p w14:paraId="4455A4C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1DB4E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6CC15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B657F">
            <w:pPr>
              <w:widowControl/>
              <w:shd w:val="clear"/>
              <w:jc w:val="left"/>
              <w:rPr>
                <w:rFonts w:ascii="仿宋" w:hAnsi="仿宋" w:eastAsia="仿宋" w:cs="仿宋"/>
                <w:color w:val="auto"/>
                <w:kern w:val="0"/>
                <w:sz w:val="24"/>
                <w:highlight w:val="none"/>
              </w:rPr>
            </w:pPr>
          </w:p>
        </w:tc>
        <w:tc>
          <w:tcPr>
            <w:tcW w:w="1025" w:type="dxa"/>
            <w:vMerge w:val="continue"/>
            <w:vAlign w:val="center"/>
          </w:tcPr>
          <w:p w14:paraId="3CD0626D">
            <w:pPr>
              <w:widowControl/>
              <w:shd w:val="clear"/>
              <w:jc w:val="left"/>
              <w:rPr>
                <w:rFonts w:ascii="仿宋" w:hAnsi="仿宋" w:eastAsia="仿宋" w:cs="仿宋"/>
                <w:color w:val="auto"/>
                <w:kern w:val="0"/>
                <w:sz w:val="24"/>
                <w:highlight w:val="none"/>
              </w:rPr>
            </w:pPr>
          </w:p>
        </w:tc>
        <w:tc>
          <w:tcPr>
            <w:tcW w:w="2836" w:type="dxa"/>
            <w:vMerge w:val="restart"/>
            <w:vAlign w:val="center"/>
          </w:tcPr>
          <w:p w14:paraId="677AF3A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0581E5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5F7CF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21E9A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9DF124">
            <w:pPr>
              <w:widowControl/>
              <w:shd w:val="clear"/>
              <w:jc w:val="left"/>
              <w:rPr>
                <w:rFonts w:ascii="仿宋" w:hAnsi="仿宋" w:eastAsia="仿宋" w:cs="仿宋"/>
                <w:color w:val="auto"/>
                <w:kern w:val="0"/>
                <w:sz w:val="24"/>
                <w:highlight w:val="none"/>
              </w:rPr>
            </w:pPr>
          </w:p>
        </w:tc>
        <w:tc>
          <w:tcPr>
            <w:tcW w:w="1025" w:type="dxa"/>
            <w:vMerge w:val="continue"/>
            <w:vAlign w:val="center"/>
          </w:tcPr>
          <w:p w14:paraId="212B81E6">
            <w:pPr>
              <w:widowControl/>
              <w:shd w:val="clear"/>
              <w:jc w:val="left"/>
              <w:rPr>
                <w:rFonts w:ascii="仿宋" w:hAnsi="仿宋" w:eastAsia="仿宋" w:cs="仿宋"/>
                <w:color w:val="auto"/>
                <w:kern w:val="0"/>
                <w:sz w:val="24"/>
                <w:highlight w:val="none"/>
              </w:rPr>
            </w:pPr>
          </w:p>
        </w:tc>
        <w:tc>
          <w:tcPr>
            <w:tcW w:w="2836" w:type="dxa"/>
            <w:vMerge w:val="continue"/>
            <w:vAlign w:val="center"/>
          </w:tcPr>
          <w:p w14:paraId="4C8B673E">
            <w:pPr>
              <w:widowControl/>
              <w:shd w:val="clear"/>
              <w:jc w:val="left"/>
              <w:rPr>
                <w:rFonts w:ascii="仿宋" w:hAnsi="仿宋" w:eastAsia="仿宋" w:cs="仿宋"/>
                <w:color w:val="auto"/>
                <w:kern w:val="0"/>
                <w:sz w:val="24"/>
                <w:highlight w:val="none"/>
              </w:rPr>
            </w:pPr>
          </w:p>
        </w:tc>
        <w:tc>
          <w:tcPr>
            <w:tcW w:w="606" w:type="dxa"/>
            <w:vAlign w:val="center"/>
          </w:tcPr>
          <w:p w14:paraId="2CAB3E8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C2490B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5B531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E5FCE">
            <w:pPr>
              <w:widowControl/>
              <w:shd w:val="clear"/>
              <w:jc w:val="left"/>
              <w:rPr>
                <w:rFonts w:ascii="仿宋" w:hAnsi="仿宋" w:eastAsia="仿宋" w:cs="仿宋"/>
                <w:color w:val="auto"/>
                <w:kern w:val="0"/>
                <w:sz w:val="24"/>
                <w:highlight w:val="none"/>
              </w:rPr>
            </w:pPr>
          </w:p>
        </w:tc>
        <w:tc>
          <w:tcPr>
            <w:tcW w:w="1025" w:type="dxa"/>
            <w:vMerge w:val="continue"/>
            <w:vAlign w:val="center"/>
          </w:tcPr>
          <w:p w14:paraId="152D793D">
            <w:pPr>
              <w:widowControl/>
              <w:shd w:val="clear"/>
              <w:jc w:val="left"/>
              <w:rPr>
                <w:rFonts w:ascii="仿宋" w:hAnsi="仿宋" w:eastAsia="仿宋" w:cs="仿宋"/>
                <w:color w:val="auto"/>
                <w:kern w:val="0"/>
                <w:sz w:val="24"/>
                <w:highlight w:val="none"/>
              </w:rPr>
            </w:pPr>
          </w:p>
        </w:tc>
        <w:tc>
          <w:tcPr>
            <w:tcW w:w="2836" w:type="dxa"/>
            <w:vMerge w:val="continue"/>
            <w:vAlign w:val="center"/>
          </w:tcPr>
          <w:p w14:paraId="098DF640">
            <w:pPr>
              <w:widowControl/>
              <w:shd w:val="clear"/>
              <w:jc w:val="left"/>
              <w:rPr>
                <w:rFonts w:ascii="仿宋" w:hAnsi="仿宋" w:eastAsia="仿宋" w:cs="仿宋"/>
                <w:color w:val="auto"/>
                <w:kern w:val="0"/>
                <w:sz w:val="24"/>
                <w:highlight w:val="none"/>
              </w:rPr>
            </w:pPr>
          </w:p>
        </w:tc>
        <w:tc>
          <w:tcPr>
            <w:tcW w:w="606" w:type="dxa"/>
            <w:vAlign w:val="center"/>
          </w:tcPr>
          <w:p w14:paraId="229EE41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72DFD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7BF26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F5A60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E65B6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B5A1BD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ABDE5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100亿元（含）至1000亿元</w:t>
            </w:r>
          </w:p>
        </w:tc>
      </w:tr>
      <w:tr w14:paraId="379E4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31E85A">
            <w:pPr>
              <w:widowControl/>
              <w:shd w:val="clear"/>
              <w:jc w:val="left"/>
              <w:rPr>
                <w:rFonts w:ascii="仿宋" w:hAnsi="仿宋" w:eastAsia="仿宋" w:cs="仿宋"/>
                <w:color w:val="auto"/>
                <w:kern w:val="0"/>
                <w:sz w:val="24"/>
                <w:highlight w:val="none"/>
              </w:rPr>
            </w:pPr>
          </w:p>
        </w:tc>
        <w:tc>
          <w:tcPr>
            <w:tcW w:w="2836" w:type="dxa"/>
            <w:vMerge w:val="continue"/>
            <w:vAlign w:val="center"/>
          </w:tcPr>
          <w:p w14:paraId="60D6FDF3">
            <w:pPr>
              <w:widowControl/>
              <w:shd w:val="clear"/>
              <w:jc w:val="left"/>
              <w:rPr>
                <w:rFonts w:ascii="仿宋" w:hAnsi="仿宋" w:eastAsia="仿宋" w:cs="仿宋"/>
                <w:color w:val="auto"/>
                <w:kern w:val="0"/>
                <w:sz w:val="24"/>
                <w:highlight w:val="none"/>
              </w:rPr>
            </w:pPr>
          </w:p>
        </w:tc>
        <w:tc>
          <w:tcPr>
            <w:tcW w:w="606" w:type="dxa"/>
            <w:vAlign w:val="center"/>
          </w:tcPr>
          <w:p w14:paraId="3FAB195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4355E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10亿元（含）至100亿元</w:t>
            </w:r>
          </w:p>
        </w:tc>
      </w:tr>
      <w:tr w14:paraId="1057B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2394A5">
            <w:pPr>
              <w:widowControl/>
              <w:shd w:val="clear"/>
              <w:jc w:val="left"/>
              <w:rPr>
                <w:rFonts w:ascii="仿宋" w:hAnsi="仿宋" w:eastAsia="仿宋" w:cs="仿宋"/>
                <w:color w:val="auto"/>
                <w:kern w:val="0"/>
                <w:sz w:val="24"/>
                <w:highlight w:val="none"/>
              </w:rPr>
            </w:pPr>
          </w:p>
        </w:tc>
        <w:tc>
          <w:tcPr>
            <w:tcW w:w="2836" w:type="dxa"/>
            <w:vMerge w:val="continue"/>
            <w:vAlign w:val="center"/>
          </w:tcPr>
          <w:p w14:paraId="6A7A94F6">
            <w:pPr>
              <w:widowControl/>
              <w:shd w:val="clear"/>
              <w:jc w:val="left"/>
              <w:rPr>
                <w:rFonts w:ascii="仿宋" w:hAnsi="仿宋" w:eastAsia="仿宋" w:cs="仿宋"/>
                <w:color w:val="auto"/>
                <w:kern w:val="0"/>
                <w:sz w:val="24"/>
                <w:highlight w:val="none"/>
              </w:rPr>
            </w:pPr>
          </w:p>
        </w:tc>
        <w:tc>
          <w:tcPr>
            <w:tcW w:w="606" w:type="dxa"/>
            <w:vAlign w:val="center"/>
          </w:tcPr>
          <w:p w14:paraId="48C2964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DA6B2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10亿元以下</w:t>
            </w:r>
          </w:p>
        </w:tc>
      </w:tr>
      <w:tr w14:paraId="2B255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F3B95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33F4DE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4D0298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BB794D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400亿元（含）至5000亿元</w:t>
            </w:r>
          </w:p>
        </w:tc>
      </w:tr>
      <w:tr w14:paraId="62D68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7C7DD">
            <w:pPr>
              <w:widowControl/>
              <w:shd w:val="clear"/>
              <w:jc w:val="left"/>
              <w:rPr>
                <w:rFonts w:ascii="仿宋" w:hAnsi="仿宋" w:eastAsia="仿宋" w:cs="仿宋"/>
                <w:color w:val="auto"/>
                <w:kern w:val="0"/>
                <w:sz w:val="24"/>
                <w:highlight w:val="none"/>
              </w:rPr>
            </w:pPr>
          </w:p>
        </w:tc>
        <w:tc>
          <w:tcPr>
            <w:tcW w:w="2836" w:type="dxa"/>
            <w:vMerge w:val="continue"/>
            <w:vAlign w:val="center"/>
          </w:tcPr>
          <w:p w14:paraId="76047A3B">
            <w:pPr>
              <w:widowControl/>
              <w:shd w:val="clear"/>
              <w:jc w:val="left"/>
              <w:rPr>
                <w:rFonts w:ascii="仿宋" w:hAnsi="仿宋" w:eastAsia="仿宋" w:cs="仿宋"/>
                <w:color w:val="auto"/>
                <w:kern w:val="0"/>
                <w:sz w:val="24"/>
                <w:highlight w:val="none"/>
              </w:rPr>
            </w:pPr>
          </w:p>
        </w:tc>
        <w:tc>
          <w:tcPr>
            <w:tcW w:w="606" w:type="dxa"/>
            <w:vAlign w:val="center"/>
          </w:tcPr>
          <w:p w14:paraId="23178ED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DDDB4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14:paraId="13E29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9654E3">
            <w:pPr>
              <w:widowControl/>
              <w:shd w:val="clear"/>
              <w:jc w:val="left"/>
              <w:rPr>
                <w:rFonts w:ascii="仿宋" w:hAnsi="仿宋" w:eastAsia="仿宋" w:cs="仿宋"/>
                <w:color w:val="auto"/>
                <w:kern w:val="0"/>
                <w:sz w:val="24"/>
                <w:highlight w:val="none"/>
              </w:rPr>
            </w:pPr>
          </w:p>
        </w:tc>
        <w:tc>
          <w:tcPr>
            <w:tcW w:w="2836" w:type="dxa"/>
            <w:vMerge w:val="continue"/>
            <w:vAlign w:val="center"/>
          </w:tcPr>
          <w:p w14:paraId="3AA75A64">
            <w:pPr>
              <w:widowControl/>
              <w:shd w:val="clear"/>
              <w:jc w:val="left"/>
              <w:rPr>
                <w:rFonts w:ascii="仿宋" w:hAnsi="仿宋" w:eastAsia="仿宋" w:cs="仿宋"/>
                <w:color w:val="auto"/>
                <w:kern w:val="0"/>
                <w:sz w:val="24"/>
                <w:highlight w:val="none"/>
              </w:rPr>
            </w:pPr>
          </w:p>
        </w:tc>
        <w:tc>
          <w:tcPr>
            <w:tcW w:w="606" w:type="dxa"/>
            <w:vAlign w:val="center"/>
          </w:tcPr>
          <w:p w14:paraId="149B40D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87F9D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14:paraId="7AE61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B350DE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CF981D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A3749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B7BB4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1CD4D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400亿元（含）至1000亿元</w:t>
            </w:r>
          </w:p>
        </w:tc>
      </w:tr>
      <w:tr w14:paraId="6EED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AFC2E8">
            <w:pPr>
              <w:widowControl/>
              <w:shd w:val="clear"/>
              <w:jc w:val="left"/>
              <w:rPr>
                <w:rFonts w:ascii="仿宋" w:hAnsi="仿宋" w:eastAsia="仿宋" w:cs="仿宋"/>
                <w:color w:val="auto"/>
                <w:kern w:val="0"/>
                <w:sz w:val="24"/>
                <w:highlight w:val="none"/>
              </w:rPr>
            </w:pPr>
          </w:p>
        </w:tc>
        <w:tc>
          <w:tcPr>
            <w:tcW w:w="1025" w:type="dxa"/>
            <w:vMerge w:val="continue"/>
            <w:vAlign w:val="center"/>
          </w:tcPr>
          <w:p w14:paraId="592CE128">
            <w:pPr>
              <w:widowControl/>
              <w:shd w:val="clear"/>
              <w:jc w:val="left"/>
              <w:rPr>
                <w:rFonts w:ascii="仿宋" w:hAnsi="仿宋" w:eastAsia="仿宋" w:cs="仿宋"/>
                <w:color w:val="auto"/>
                <w:kern w:val="0"/>
                <w:sz w:val="24"/>
                <w:highlight w:val="none"/>
              </w:rPr>
            </w:pPr>
          </w:p>
        </w:tc>
        <w:tc>
          <w:tcPr>
            <w:tcW w:w="2836" w:type="dxa"/>
            <w:vMerge w:val="continue"/>
            <w:vAlign w:val="center"/>
          </w:tcPr>
          <w:p w14:paraId="245CE4A2">
            <w:pPr>
              <w:widowControl/>
              <w:shd w:val="clear"/>
              <w:jc w:val="left"/>
              <w:rPr>
                <w:rFonts w:ascii="仿宋" w:hAnsi="仿宋" w:eastAsia="仿宋" w:cs="仿宋"/>
                <w:color w:val="auto"/>
                <w:kern w:val="0"/>
                <w:sz w:val="24"/>
                <w:highlight w:val="none"/>
              </w:rPr>
            </w:pPr>
          </w:p>
        </w:tc>
        <w:tc>
          <w:tcPr>
            <w:tcW w:w="606" w:type="dxa"/>
            <w:vAlign w:val="center"/>
          </w:tcPr>
          <w:p w14:paraId="089D704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53C81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14:paraId="04DA9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EA9382">
            <w:pPr>
              <w:widowControl/>
              <w:shd w:val="clear"/>
              <w:jc w:val="left"/>
              <w:rPr>
                <w:rFonts w:ascii="仿宋" w:hAnsi="仿宋" w:eastAsia="仿宋" w:cs="仿宋"/>
                <w:color w:val="auto"/>
                <w:kern w:val="0"/>
                <w:sz w:val="24"/>
                <w:highlight w:val="none"/>
              </w:rPr>
            </w:pPr>
          </w:p>
        </w:tc>
        <w:tc>
          <w:tcPr>
            <w:tcW w:w="1025" w:type="dxa"/>
            <w:vMerge w:val="continue"/>
            <w:vAlign w:val="center"/>
          </w:tcPr>
          <w:p w14:paraId="69997083">
            <w:pPr>
              <w:widowControl/>
              <w:shd w:val="clear"/>
              <w:jc w:val="left"/>
              <w:rPr>
                <w:rFonts w:ascii="仿宋" w:hAnsi="仿宋" w:eastAsia="仿宋" w:cs="仿宋"/>
                <w:color w:val="auto"/>
                <w:kern w:val="0"/>
                <w:sz w:val="24"/>
                <w:highlight w:val="none"/>
              </w:rPr>
            </w:pPr>
          </w:p>
        </w:tc>
        <w:tc>
          <w:tcPr>
            <w:tcW w:w="2836" w:type="dxa"/>
            <w:vMerge w:val="continue"/>
            <w:vAlign w:val="center"/>
          </w:tcPr>
          <w:p w14:paraId="2EC28E28">
            <w:pPr>
              <w:widowControl/>
              <w:shd w:val="clear"/>
              <w:jc w:val="left"/>
              <w:rPr>
                <w:rFonts w:ascii="仿宋" w:hAnsi="仿宋" w:eastAsia="仿宋" w:cs="仿宋"/>
                <w:color w:val="auto"/>
                <w:kern w:val="0"/>
                <w:sz w:val="24"/>
                <w:highlight w:val="none"/>
              </w:rPr>
            </w:pPr>
          </w:p>
        </w:tc>
        <w:tc>
          <w:tcPr>
            <w:tcW w:w="606" w:type="dxa"/>
            <w:vAlign w:val="center"/>
          </w:tcPr>
          <w:p w14:paraId="1591DC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851A1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14:paraId="2A7D2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E00B24">
            <w:pPr>
              <w:widowControl/>
              <w:shd w:val="clear"/>
              <w:jc w:val="left"/>
              <w:rPr>
                <w:rFonts w:ascii="仿宋" w:hAnsi="仿宋" w:eastAsia="仿宋" w:cs="仿宋"/>
                <w:color w:val="auto"/>
                <w:kern w:val="0"/>
                <w:sz w:val="24"/>
                <w:highlight w:val="none"/>
              </w:rPr>
            </w:pPr>
          </w:p>
        </w:tc>
        <w:tc>
          <w:tcPr>
            <w:tcW w:w="1025" w:type="dxa"/>
            <w:vMerge w:val="restart"/>
            <w:vAlign w:val="center"/>
          </w:tcPr>
          <w:p w14:paraId="7750CC3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BED5CC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5C40EC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8CEF8B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14:paraId="66EC0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AC8732">
            <w:pPr>
              <w:widowControl/>
              <w:shd w:val="clear"/>
              <w:jc w:val="left"/>
              <w:rPr>
                <w:rFonts w:ascii="仿宋" w:hAnsi="仿宋" w:eastAsia="仿宋" w:cs="仿宋"/>
                <w:color w:val="auto"/>
                <w:kern w:val="0"/>
                <w:sz w:val="24"/>
                <w:highlight w:val="none"/>
              </w:rPr>
            </w:pPr>
          </w:p>
        </w:tc>
        <w:tc>
          <w:tcPr>
            <w:tcW w:w="1025" w:type="dxa"/>
            <w:vMerge w:val="continue"/>
            <w:vAlign w:val="center"/>
          </w:tcPr>
          <w:p w14:paraId="54217A18">
            <w:pPr>
              <w:widowControl/>
              <w:shd w:val="clear"/>
              <w:jc w:val="left"/>
              <w:rPr>
                <w:rFonts w:ascii="仿宋" w:hAnsi="仿宋" w:eastAsia="仿宋" w:cs="仿宋"/>
                <w:color w:val="auto"/>
                <w:kern w:val="0"/>
                <w:sz w:val="24"/>
                <w:highlight w:val="none"/>
              </w:rPr>
            </w:pPr>
          </w:p>
        </w:tc>
        <w:tc>
          <w:tcPr>
            <w:tcW w:w="2836" w:type="dxa"/>
            <w:vMerge w:val="continue"/>
            <w:vAlign w:val="center"/>
          </w:tcPr>
          <w:p w14:paraId="632A64C4">
            <w:pPr>
              <w:widowControl/>
              <w:shd w:val="clear"/>
              <w:jc w:val="left"/>
              <w:rPr>
                <w:rFonts w:ascii="仿宋" w:hAnsi="仿宋" w:eastAsia="仿宋" w:cs="仿宋"/>
                <w:color w:val="auto"/>
                <w:kern w:val="0"/>
                <w:sz w:val="24"/>
                <w:highlight w:val="none"/>
              </w:rPr>
            </w:pPr>
          </w:p>
        </w:tc>
        <w:tc>
          <w:tcPr>
            <w:tcW w:w="606" w:type="dxa"/>
            <w:vAlign w:val="center"/>
          </w:tcPr>
          <w:p w14:paraId="1DE4A79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C4C4E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14:paraId="107B9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3A39CA">
            <w:pPr>
              <w:widowControl/>
              <w:shd w:val="clear"/>
              <w:jc w:val="left"/>
              <w:rPr>
                <w:rFonts w:ascii="仿宋" w:hAnsi="仿宋" w:eastAsia="仿宋" w:cs="仿宋"/>
                <w:color w:val="auto"/>
                <w:kern w:val="0"/>
                <w:sz w:val="24"/>
                <w:highlight w:val="none"/>
              </w:rPr>
            </w:pPr>
          </w:p>
        </w:tc>
        <w:tc>
          <w:tcPr>
            <w:tcW w:w="1025" w:type="dxa"/>
            <w:vMerge w:val="continue"/>
            <w:vAlign w:val="center"/>
          </w:tcPr>
          <w:p w14:paraId="62DB63FF">
            <w:pPr>
              <w:widowControl/>
              <w:shd w:val="clear"/>
              <w:jc w:val="left"/>
              <w:rPr>
                <w:rFonts w:ascii="仿宋" w:hAnsi="仿宋" w:eastAsia="仿宋" w:cs="仿宋"/>
                <w:color w:val="auto"/>
                <w:kern w:val="0"/>
                <w:sz w:val="24"/>
                <w:highlight w:val="none"/>
              </w:rPr>
            </w:pPr>
          </w:p>
        </w:tc>
        <w:tc>
          <w:tcPr>
            <w:tcW w:w="2836" w:type="dxa"/>
            <w:vMerge w:val="continue"/>
            <w:vAlign w:val="center"/>
          </w:tcPr>
          <w:p w14:paraId="7C6FD6C3">
            <w:pPr>
              <w:widowControl/>
              <w:shd w:val="clear"/>
              <w:jc w:val="left"/>
              <w:rPr>
                <w:rFonts w:ascii="仿宋" w:hAnsi="仿宋" w:eastAsia="仿宋" w:cs="仿宋"/>
                <w:color w:val="auto"/>
                <w:kern w:val="0"/>
                <w:sz w:val="24"/>
                <w:highlight w:val="none"/>
              </w:rPr>
            </w:pPr>
          </w:p>
        </w:tc>
        <w:tc>
          <w:tcPr>
            <w:tcW w:w="606" w:type="dxa"/>
            <w:vAlign w:val="center"/>
          </w:tcPr>
          <w:p w14:paraId="35581E3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3F05C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49DFC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EC17F7">
            <w:pPr>
              <w:widowControl/>
              <w:shd w:val="clear"/>
              <w:jc w:val="left"/>
              <w:rPr>
                <w:rFonts w:ascii="仿宋" w:hAnsi="仿宋" w:eastAsia="仿宋" w:cs="仿宋"/>
                <w:color w:val="auto"/>
                <w:kern w:val="0"/>
                <w:sz w:val="24"/>
                <w:highlight w:val="none"/>
              </w:rPr>
            </w:pPr>
          </w:p>
        </w:tc>
        <w:tc>
          <w:tcPr>
            <w:tcW w:w="1025" w:type="dxa"/>
            <w:vMerge w:val="restart"/>
            <w:vAlign w:val="center"/>
          </w:tcPr>
          <w:p w14:paraId="3D6FA0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2E11AF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3F17DF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D933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4E46C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F863EB">
            <w:pPr>
              <w:widowControl/>
              <w:shd w:val="clear"/>
              <w:jc w:val="left"/>
              <w:rPr>
                <w:rFonts w:ascii="仿宋" w:hAnsi="仿宋" w:eastAsia="仿宋" w:cs="仿宋"/>
                <w:color w:val="auto"/>
                <w:kern w:val="0"/>
                <w:sz w:val="24"/>
                <w:highlight w:val="none"/>
              </w:rPr>
            </w:pPr>
          </w:p>
        </w:tc>
        <w:tc>
          <w:tcPr>
            <w:tcW w:w="1025" w:type="dxa"/>
            <w:vMerge w:val="continue"/>
            <w:vAlign w:val="center"/>
          </w:tcPr>
          <w:p w14:paraId="2518C25E">
            <w:pPr>
              <w:widowControl/>
              <w:shd w:val="clear"/>
              <w:jc w:val="left"/>
              <w:rPr>
                <w:rFonts w:ascii="仿宋" w:hAnsi="仿宋" w:eastAsia="仿宋" w:cs="仿宋"/>
                <w:color w:val="auto"/>
                <w:kern w:val="0"/>
                <w:sz w:val="24"/>
                <w:highlight w:val="none"/>
              </w:rPr>
            </w:pPr>
          </w:p>
        </w:tc>
        <w:tc>
          <w:tcPr>
            <w:tcW w:w="2836" w:type="dxa"/>
            <w:vMerge w:val="continue"/>
            <w:vAlign w:val="center"/>
          </w:tcPr>
          <w:p w14:paraId="2C11756D">
            <w:pPr>
              <w:widowControl/>
              <w:shd w:val="clear"/>
              <w:jc w:val="left"/>
              <w:rPr>
                <w:rFonts w:ascii="仿宋" w:hAnsi="仿宋" w:eastAsia="仿宋" w:cs="仿宋"/>
                <w:color w:val="auto"/>
                <w:kern w:val="0"/>
                <w:sz w:val="24"/>
                <w:highlight w:val="none"/>
              </w:rPr>
            </w:pPr>
          </w:p>
        </w:tc>
        <w:tc>
          <w:tcPr>
            <w:tcW w:w="606" w:type="dxa"/>
            <w:vAlign w:val="center"/>
          </w:tcPr>
          <w:p w14:paraId="60FB311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D5368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0ADBB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D9DE72">
            <w:pPr>
              <w:widowControl/>
              <w:shd w:val="clear"/>
              <w:jc w:val="left"/>
              <w:rPr>
                <w:rFonts w:ascii="仿宋" w:hAnsi="仿宋" w:eastAsia="仿宋" w:cs="仿宋"/>
                <w:color w:val="auto"/>
                <w:kern w:val="0"/>
                <w:sz w:val="24"/>
                <w:highlight w:val="none"/>
              </w:rPr>
            </w:pPr>
          </w:p>
        </w:tc>
        <w:tc>
          <w:tcPr>
            <w:tcW w:w="1025" w:type="dxa"/>
            <w:vMerge w:val="continue"/>
            <w:vAlign w:val="center"/>
          </w:tcPr>
          <w:p w14:paraId="602A4A84">
            <w:pPr>
              <w:widowControl/>
              <w:shd w:val="clear"/>
              <w:jc w:val="left"/>
              <w:rPr>
                <w:rFonts w:ascii="仿宋" w:hAnsi="仿宋" w:eastAsia="仿宋" w:cs="仿宋"/>
                <w:color w:val="auto"/>
                <w:kern w:val="0"/>
                <w:sz w:val="24"/>
                <w:highlight w:val="none"/>
              </w:rPr>
            </w:pPr>
          </w:p>
        </w:tc>
        <w:tc>
          <w:tcPr>
            <w:tcW w:w="2836" w:type="dxa"/>
            <w:vMerge w:val="continue"/>
            <w:vAlign w:val="center"/>
          </w:tcPr>
          <w:p w14:paraId="18BDF1BE">
            <w:pPr>
              <w:widowControl/>
              <w:shd w:val="clear"/>
              <w:jc w:val="left"/>
              <w:rPr>
                <w:rFonts w:ascii="仿宋" w:hAnsi="仿宋" w:eastAsia="仿宋" w:cs="仿宋"/>
                <w:color w:val="auto"/>
                <w:kern w:val="0"/>
                <w:sz w:val="24"/>
                <w:highlight w:val="none"/>
              </w:rPr>
            </w:pPr>
          </w:p>
        </w:tc>
        <w:tc>
          <w:tcPr>
            <w:tcW w:w="606" w:type="dxa"/>
            <w:vAlign w:val="center"/>
          </w:tcPr>
          <w:p w14:paraId="7370313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14C8B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bl>
    <w:p w14:paraId="05654B2E">
      <w:pPr>
        <w:shd w:val="clear"/>
        <w:rPr>
          <w:rFonts w:ascii="仿宋" w:hAnsi="仿宋" w:eastAsia="仿宋" w:cs="仿宋"/>
          <w:color w:val="auto"/>
          <w:sz w:val="24"/>
          <w:highlight w:val="none"/>
        </w:rPr>
      </w:pPr>
    </w:p>
    <w:p w14:paraId="2D073893">
      <w:pPr>
        <w:shd w:val="clear"/>
        <w:ind w:firstLine="420" w:firstLineChars="200"/>
        <w:rPr>
          <w:rFonts w:ascii="仿宋" w:hAnsi="仿宋" w:eastAsia="仿宋" w:cs="仿宋"/>
          <w:color w:val="auto"/>
          <w:highlight w:val="none"/>
        </w:rPr>
      </w:pPr>
    </w:p>
    <w:p w14:paraId="432D90CE">
      <w:pPr>
        <w:shd w:val="clear"/>
        <w:spacing w:line="360" w:lineRule="auto"/>
        <w:rPr>
          <w:rFonts w:ascii="宋体" w:hAnsi="宋体" w:cs="宋体"/>
          <w:bCs/>
          <w:color w:val="auto"/>
          <w:sz w:val="24"/>
          <w:highlight w:val="none"/>
        </w:rPr>
      </w:pPr>
    </w:p>
    <w:sectPr>
      <w:headerReference r:id="rId20" w:type="first"/>
      <w:footerReference r:id="rId23" w:type="first"/>
      <w:headerReference r:id="rId19" w:type="default"/>
      <w:footerReference r:id="rId21" w:type="default"/>
      <w:footerReference r:id="rId22"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D69BF">
    <w:pPr>
      <w:pStyle w:val="4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5370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DE5370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3DD39">
    <w:pPr>
      <w:spacing w:line="209" w:lineRule="auto"/>
      <w:ind w:left="4149"/>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3DB8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FF3DB8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41</w:t>
                    </w:r>
                    <w:r>
                      <w:rPr>
                        <w:rFonts w:hint="eastAsia"/>
                        <w:sz w:val="1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A8754">
    <w:pPr>
      <w:pStyle w:val="40"/>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5C05B">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C85C05B">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v:textbox>
            </v:shape>
          </w:pict>
        </mc:Fallback>
      </mc:AlternateContent>
    </w:r>
  </w:p>
  <w:p w14:paraId="39C7246B">
    <w:pPr>
      <w:pStyle w:val="40"/>
      <w:jc w:val="center"/>
      <w:rPr>
        <w:rFonts w:ascii="仿宋_GB2312" w:eastAsia="仿宋_GB2312"/>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99EF6">
    <w:pPr>
      <w:pStyle w:val="40"/>
      <w:framePr w:wrap="around" w:vAnchor="text" w:hAnchor="margin" w:xAlign="right" w:y="1"/>
      <w:rPr>
        <w:rStyle w:val="72"/>
      </w:rPr>
    </w:pPr>
    <w:r>
      <w:fldChar w:fldCharType="begin"/>
    </w:r>
    <w:r>
      <w:rPr>
        <w:rStyle w:val="72"/>
      </w:rPr>
      <w:instrText xml:space="preserve">PAGE  </w:instrText>
    </w:r>
    <w:r>
      <w:fldChar w:fldCharType="end"/>
    </w:r>
  </w:p>
  <w:p w14:paraId="371E63A9">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E8D21">
    <w:pPr>
      <w:pStyle w:val="4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A6FF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FCA6FF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v:textbox>
            </v:shape>
          </w:pict>
        </mc:Fallback>
      </mc:AlternateContent>
    </w:r>
  </w:p>
  <w:p w14:paraId="33C4851A">
    <w:pPr>
      <w:pStyle w:val="40"/>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30D7">
    <w:pPr>
      <w:pStyle w:val="40"/>
      <w:framePr w:wrap="around" w:vAnchor="text" w:hAnchor="margin" w:xAlign="right" w:y="1"/>
      <w:rPr>
        <w:rStyle w:val="72"/>
      </w:rPr>
    </w:pPr>
    <w:r>
      <w:fldChar w:fldCharType="begin"/>
    </w:r>
    <w:r>
      <w:rPr>
        <w:rStyle w:val="72"/>
      </w:rPr>
      <w:instrText xml:space="preserve">PAGE  </w:instrText>
    </w:r>
    <w:r>
      <w:fldChar w:fldCharType="end"/>
    </w:r>
  </w:p>
  <w:p w14:paraId="3A29000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07C33">
    <w:pPr>
      <w:pStyle w:val="4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BD1B2">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33BD1B2">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p w14:paraId="32200950">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201A7">
    <w:pPr>
      <w:pStyle w:val="40"/>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23E6D">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73123E6D">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4146">
    <w:pPr>
      <w:pStyle w:val="40"/>
      <w:framePr w:wrap="around" w:vAnchor="text" w:hAnchor="margin" w:xAlign="right" w:y="1"/>
      <w:rPr>
        <w:rStyle w:val="72"/>
      </w:rPr>
    </w:pPr>
    <w:r>
      <w:fldChar w:fldCharType="begin"/>
    </w:r>
    <w:r>
      <w:rPr>
        <w:rStyle w:val="72"/>
      </w:rPr>
      <w:instrText xml:space="preserve">PAGE  </w:instrText>
    </w:r>
    <w:r>
      <w:fldChar w:fldCharType="end"/>
    </w:r>
  </w:p>
  <w:p w14:paraId="7C7753C4">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4D4A">
    <w:pPr>
      <w:pStyle w:val="4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B050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7BB050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p w14:paraId="0F62872C">
    <w:pPr>
      <w:pStyle w:val="40"/>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C4915">
    <w:pPr>
      <w:pStyle w:val="4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94820">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5E94820">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v:textbox>
            </v:shape>
          </w:pict>
        </mc:Fallback>
      </mc:AlternateContent>
    </w:r>
  </w:p>
  <w:p w14:paraId="6931C231">
    <w:pPr>
      <w:pStyle w:val="40"/>
      <w:jc w:val="cente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B3320">
    <w:pPr>
      <w:pStyle w:val="40"/>
      <w:jc w:val="center"/>
      <w:rPr>
        <w:rFonts w:hint="eastAsia" w:ascii="仿宋_GB2312" w:eastAsia="仿宋_GB2312"/>
        <w:lang w:val="en-US" w:eastAsia="zh-CN"/>
      </w:rPr>
    </w:pPr>
    <w:r>
      <w:rPr>
        <w:rFonts w:hint="eastAsia" w:ascii="仿宋_GB2312" w:eastAsia="仿宋_GB2312"/>
        <w:lang w:val="en-US" w:eastAsia="zh-CN"/>
      </w:rPr>
      <w:t>40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E26CF">
    <w:pPr>
      <w:spacing w:line="209" w:lineRule="auto"/>
      <w:ind w:left="3409"/>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5B3A4">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E85B3A4">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80C4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AFB1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2348E">
    <w:pPr>
      <w:pStyle w:val="41"/>
      <w:jc w:val="left"/>
      <w:rPr>
        <w:rFonts w:ascii="仿宋_GB2312" w:eastAsia="仿宋_GB2312"/>
        <w:i/>
        <w:u w:val="single"/>
      </w:rPr>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文件编号:CGSHZJ-2024-N000987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9E7F1">
    <w:pPr>
      <w:pStyle w:val="41"/>
      <w:jc w:val="left"/>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文件编号:CGSHZJ-2024-N000987</w:t>
    </w:r>
  </w:p>
  <w:p w14:paraId="21D13C4E">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60124">
    <w:pPr>
      <w:pBdr>
        <w:bottom w:val="single" w:color="auto" w:sz="4" w:space="0"/>
      </w:pBdr>
      <w:spacing w:line="222" w:lineRule="auto"/>
      <w:ind w:left="41"/>
      <w:rPr>
        <w:rFonts w:ascii="仿宋" w:hAnsi="仿宋" w:eastAsia="仿宋" w:cs="仿宋"/>
        <w:sz w:val="18"/>
        <w:szCs w:val="18"/>
      </w:rPr>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文件编号:CGSHZJ-2024-N000987</w:t>
    </w:r>
    <w:r>
      <mc:AlternateContent>
        <mc:Choice Requires="wps">
          <w:drawing>
            <wp:anchor distT="0" distB="0" distL="114300" distR="114300" simplePos="0" relativeHeight="251662336" behindDoc="0" locked="0" layoutInCell="0" allowOverlap="1">
              <wp:simplePos x="0" y="0"/>
              <wp:positionH relativeFrom="page">
                <wp:posOffset>1151890</wp:posOffset>
              </wp:positionH>
              <wp:positionV relativeFrom="page">
                <wp:posOffset>701040</wp:posOffset>
              </wp:positionV>
              <wp:extent cx="5257165" cy="9525"/>
              <wp:effectExtent l="0" t="0" r="0" b="0"/>
              <wp:wrapNone/>
              <wp:docPr id="9" name="任意多边形 9"/>
              <wp:cNvGraphicFramePr/>
              <a:graphic xmlns:a="http://schemas.openxmlformats.org/drawingml/2006/main">
                <a:graphicData uri="http://schemas.microsoft.com/office/word/2010/wordprocessingShape">
                  <wps:wsp>
                    <wps:cNvSpPr/>
                    <wps:spPr>
                      <a:xfrm>
                        <a:off x="0" y="0"/>
                        <a:ext cx="5257165" cy="9525"/>
                      </a:xfrm>
                      <a:custGeom>
                        <a:avLst/>
                        <a:gdLst/>
                        <a:ahLst/>
                        <a:cxnLst/>
                        <a:pathLst>
                          <a:path w="8279" h="15">
                            <a:moveTo>
                              <a:pt x="0" y="0"/>
                            </a:moveTo>
                            <a:lnTo>
                              <a:pt x="8278" y="0"/>
                            </a:lnTo>
                            <a:lnTo>
                              <a:pt x="8278" y="14"/>
                            </a:lnTo>
                            <a:lnTo>
                              <a:pt x="0" y="14"/>
                            </a:lnTo>
                            <a:lnTo>
                              <a:pt x="0" y="0"/>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90.7pt;margin-top:55.2pt;height:0.75pt;width:413.95pt;mso-position-horizontal-relative:page;mso-position-vertical-relative:page;z-index:251662336;mso-width-relative:page;mso-height-relative:page;" fillcolor="#000000" filled="t" stroked="f" coordsize="8279,15" o:allowincell="f" o:gfxdata="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qHxLN1QAAAAwBAAAPAAAA&#10;AAAAAAEAIAAAACIAAABkcnMvZG93bnJldi54bWxQSwECFAAUAAAACACHTuJA3aZjIxgCAACEBAAA&#10;DgAAAAAAAAABACAAAAAkAQAAZHJzL2Uyb0RvYy54bWxQSwUGAAAAAAYABgBZAQAArgUAAAAA&#10;" path="m0,0l8278,0,8278,14,0,14,0,0xe">
              <v:fill on="t" focussize="0,0"/>
              <v:stroke on="f"/>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3612515</wp:posOffset>
              </wp:positionH>
              <wp:positionV relativeFrom="paragraph">
                <wp:posOffset>-12065</wp:posOffset>
              </wp:positionV>
              <wp:extent cx="532765" cy="16319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32765" cy="163195"/>
                      </a:xfrm>
                      <a:prstGeom prst="rect">
                        <a:avLst/>
                      </a:prstGeom>
                      <a:noFill/>
                      <a:ln w="9525">
                        <a:noFill/>
                      </a:ln>
                    </wps:spPr>
                    <wps:txbx>
                      <w:txbxContent>
                        <w:p w14:paraId="2D97161E">
                          <w:pPr>
                            <w:spacing w:before="20" w:line="222" w:lineRule="auto"/>
                            <w:ind w:left="20"/>
                            <w:rPr>
                              <w:rFonts w:ascii="仿宋" w:hAnsi="仿宋" w:eastAsia="仿宋" w:cs="仿宋"/>
                              <w:sz w:val="18"/>
                              <w:szCs w:val="18"/>
                            </w:rPr>
                          </w:pPr>
                        </w:p>
                      </w:txbxContent>
                    </wps:txbx>
                    <wps:bodyPr lIns="0" tIns="0" rIns="0" bIns="0" upright="1"/>
                  </wps:wsp>
                </a:graphicData>
              </a:graphic>
            </wp:anchor>
          </w:drawing>
        </mc:Choice>
        <mc:Fallback>
          <w:pict>
            <v:shape id="_x0000_s1026" o:spid="_x0000_s1026" o:spt="202" type="#_x0000_t202" style="position:absolute;left:0pt;margin-left:284.45pt;margin-top:-0.95pt;height:12.85pt;width:41.95pt;z-index:251661312;mso-width-relative:page;mso-height-relative:page;" filled="f" stroked="f" coordsize="21600,21600" o:gfxdata="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uSZK/ZAAAACQEAAA8AAAAAAAAAAQAgAAAAIgAAAGRycy9kb3ducmV2&#10;LnhtbFBLAQIUABQAAAAIAIdO4kClTDwYwgEAAHwDAAAOAAAAAAAAAAEAIAAAACgBAABkcnMvZTJv&#10;RG9jLnhtbFBLBQYAAAAABgAGAFkBAABcBQAAAAA=&#10;">
              <v:fill on="f" focussize="0,0"/>
              <v:stroke on="f"/>
              <v:imagedata o:title=""/>
              <o:lock v:ext="edit" aspectratio="f"/>
              <v:textbox inset="0mm,0mm,0mm,0mm">
                <w:txbxContent>
                  <w:p w14:paraId="2D97161E">
                    <w:pPr>
                      <w:spacing w:before="20" w:line="222" w:lineRule="auto"/>
                      <w:ind w:left="20"/>
                      <w:rPr>
                        <w:rFonts w:ascii="仿宋" w:hAnsi="仿宋" w:eastAsia="仿宋" w:cs="仿宋"/>
                        <w:sz w:val="18"/>
                        <w:szCs w:val="18"/>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9FCD4">
    <w:pPr>
      <w:spacing w:line="222" w:lineRule="auto"/>
      <w:rPr>
        <w:rFonts w:ascii="仿宋" w:hAnsi="仿宋" w:eastAsia="仿宋" w:cs="仿宋"/>
        <w:sz w:val="18"/>
        <w:szCs w:val="18"/>
      </w:rPr>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文件编号:CGSHZJ-2024-N000987</w:t>
    </w:r>
    <w:r>
      <mc:AlternateContent>
        <mc:Choice Requires="wps">
          <w:drawing>
            <wp:anchor distT="0" distB="0" distL="114300" distR="114300" simplePos="0" relativeHeight="251667456" behindDoc="0" locked="0" layoutInCell="0" allowOverlap="1">
              <wp:simplePos x="0" y="0"/>
              <wp:positionH relativeFrom="page">
                <wp:posOffset>935990</wp:posOffset>
              </wp:positionH>
              <wp:positionV relativeFrom="page">
                <wp:posOffset>701040</wp:posOffset>
              </wp:positionV>
              <wp:extent cx="5688965" cy="9525"/>
              <wp:effectExtent l="0" t="0" r="0" b="0"/>
              <wp:wrapNone/>
              <wp:docPr id="11" name="任意多边形 11"/>
              <wp:cNvGraphicFramePr/>
              <a:graphic xmlns:a="http://schemas.openxmlformats.org/drawingml/2006/main">
                <a:graphicData uri="http://schemas.microsoft.com/office/word/2010/wordprocessingShape">
                  <wps:wsp>
                    <wps:cNvSpPr/>
                    <wps:spPr>
                      <a:xfrm>
                        <a:off x="0" y="0"/>
                        <a:ext cx="5688965" cy="9525"/>
                      </a:xfrm>
                      <a:custGeom>
                        <a:avLst/>
                        <a:gdLst/>
                        <a:ahLst/>
                        <a:cxnLst/>
                        <a:pathLst>
                          <a:path w="8959" h="15">
                            <a:moveTo>
                              <a:pt x="0" y="0"/>
                            </a:moveTo>
                            <a:lnTo>
                              <a:pt x="8958" y="0"/>
                            </a:lnTo>
                            <a:lnTo>
                              <a:pt x="8958" y="14"/>
                            </a:lnTo>
                            <a:lnTo>
                              <a:pt x="0" y="14"/>
                            </a:lnTo>
                            <a:lnTo>
                              <a:pt x="0" y="0"/>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73.7pt;margin-top:55.2pt;height:0.75pt;width:447.95pt;mso-position-horizontal-relative:page;mso-position-vertical-relative:page;z-index:251667456;mso-width-relative:page;mso-height-relative:page;" fillcolor="#000000" filled="t" stroked="f" coordsize="8959,15" o:allowincell="f" o:gfxdata="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Ji37ZAAAADAEA&#10;AA8AAAAAAAAAAQAgAAAAIgAAAGRycy9kb3ducmV2LnhtbFBLAQIUABQAAAAIAIdO4kDKIQYMGQIA&#10;AIYEAAAOAAAAAAAAAAEAIAAAACgBAABkcnMvZTJvRG9jLnhtbFBLBQYAAAAABgAGAFkBAACzBQAA&#10;AAA=&#10;" path="m0,0l8958,0,8958,14,0,14,0,0xe">
              <v:fill on="t" focussize="0,0"/>
              <v:stroke on="f"/>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3782060</wp:posOffset>
              </wp:positionH>
              <wp:positionV relativeFrom="paragraph">
                <wp:posOffset>-12065</wp:posOffset>
              </wp:positionV>
              <wp:extent cx="532765" cy="16319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32765" cy="163195"/>
                      </a:xfrm>
                      <a:prstGeom prst="rect">
                        <a:avLst/>
                      </a:prstGeom>
                      <a:noFill/>
                      <a:ln w="9525">
                        <a:noFill/>
                      </a:ln>
                    </wps:spPr>
                    <wps:txbx>
                      <w:txbxContent>
                        <w:p w14:paraId="76E0A860">
                          <w:pPr>
                            <w:spacing w:before="20" w:line="222" w:lineRule="auto"/>
                            <w:ind w:left="20"/>
                            <w:rPr>
                              <w:rFonts w:ascii="仿宋" w:hAnsi="仿宋" w:eastAsia="仿宋" w:cs="仿宋"/>
                              <w:sz w:val="18"/>
                              <w:szCs w:val="18"/>
                            </w:rPr>
                          </w:pPr>
                        </w:p>
                      </w:txbxContent>
                    </wps:txbx>
                    <wps:bodyPr lIns="0" tIns="0" rIns="0" bIns="0" upright="1"/>
                  </wps:wsp>
                </a:graphicData>
              </a:graphic>
            </wp:anchor>
          </w:drawing>
        </mc:Choice>
        <mc:Fallback>
          <w:pict>
            <v:shape id="_x0000_s1026" o:spid="_x0000_s1026" o:spt="202" type="#_x0000_t202" style="position:absolute;left:0pt;margin-left:297.8pt;margin-top:-0.95pt;height:12.85pt;width:41.95pt;z-index:251666432;mso-width-relative:page;mso-height-relative:page;" filled="f" stroked="f" coordsize="21600,21600" o:gfxdata="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w6VH2QAAAAkBAAAPAAAAAAAAAAEAIAAAACIAAABkcnMvZG93bnJl&#10;di54bWxQSwECFAAUAAAACACHTuJAGsufCMMBAAB8AwAADgAAAAAAAAABACAAAAAoAQAAZHJzL2Uy&#10;b0RvYy54bWxQSwUGAAAAAAYABgBZAQAAXQUAAAAA&#10;">
              <v:fill on="f" focussize="0,0"/>
              <v:stroke on="f"/>
              <v:imagedata o:title=""/>
              <o:lock v:ext="edit" aspectratio="f"/>
              <v:textbox inset="0mm,0mm,0mm,0mm">
                <w:txbxContent>
                  <w:p w14:paraId="76E0A860">
                    <w:pPr>
                      <w:spacing w:before="20" w:line="222" w:lineRule="auto"/>
                      <w:ind w:left="20"/>
                      <w:rPr>
                        <w:rFonts w:ascii="仿宋" w:hAnsi="仿宋" w:eastAsia="仿宋" w:cs="仿宋"/>
                        <w:sz w:val="18"/>
                        <w:szCs w:val="18"/>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FBB6F">
    <w:pPr>
      <w:pStyle w:val="41"/>
      <w:jc w:val="left"/>
      <w:rPr>
        <w:rFonts w:ascii="仿宋_GB2312" w:eastAsia="仿宋_GB2312"/>
        <w:b/>
        <w:i/>
        <w:iCs/>
        <w:u w:val="single"/>
      </w:rPr>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文件编号:CGSHZJ-2024-N000987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9E11F">
    <w:pPr>
      <w:pStyle w:val="41"/>
      <w:jc w:val="left"/>
    </w:pPr>
    <w:r>
      <w:rPr>
        <w:rFonts w:hint="eastAsia" w:ascii="仿宋" w:hAnsi="仿宋" w:eastAsia="仿宋" w:cs="仿宋"/>
      </w:rPr>
      <w:t xml:space="preserve">浙江天源工程管理咨询有限公司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文件编号:CGSHZJ-2024-N000987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yNTRiMTdiZWIzYTg0ZWJiNDkwM2ExZmYyNjNkNTgifQ=="/>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31928"/>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1023736"/>
    <w:rsid w:val="0119677B"/>
    <w:rsid w:val="01843187"/>
    <w:rsid w:val="023F3E55"/>
    <w:rsid w:val="026B00EE"/>
    <w:rsid w:val="028538DC"/>
    <w:rsid w:val="0317375A"/>
    <w:rsid w:val="033E089E"/>
    <w:rsid w:val="037070C9"/>
    <w:rsid w:val="04463E11"/>
    <w:rsid w:val="046C0A24"/>
    <w:rsid w:val="04B56EB8"/>
    <w:rsid w:val="052A00C2"/>
    <w:rsid w:val="054A344A"/>
    <w:rsid w:val="06997DC9"/>
    <w:rsid w:val="06D74677"/>
    <w:rsid w:val="06DC09CE"/>
    <w:rsid w:val="06F63E3E"/>
    <w:rsid w:val="073931F7"/>
    <w:rsid w:val="081B54F3"/>
    <w:rsid w:val="081D6BBB"/>
    <w:rsid w:val="081F52B6"/>
    <w:rsid w:val="08DE2268"/>
    <w:rsid w:val="0919585B"/>
    <w:rsid w:val="0983157E"/>
    <w:rsid w:val="0A6737B3"/>
    <w:rsid w:val="0A7A1679"/>
    <w:rsid w:val="0B754F03"/>
    <w:rsid w:val="0BC27D4E"/>
    <w:rsid w:val="0BE65FDD"/>
    <w:rsid w:val="0C9A236E"/>
    <w:rsid w:val="0CB83B34"/>
    <w:rsid w:val="0D07410B"/>
    <w:rsid w:val="0E764FD0"/>
    <w:rsid w:val="0EB862CB"/>
    <w:rsid w:val="0EFE626C"/>
    <w:rsid w:val="0F20786F"/>
    <w:rsid w:val="0F2B249C"/>
    <w:rsid w:val="0F500B5E"/>
    <w:rsid w:val="0F982194"/>
    <w:rsid w:val="0FA0239A"/>
    <w:rsid w:val="100D1044"/>
    <w:rsid w:val="1043449E"/>
    <w:rsid w:val="10774E8C"/>
    <w:rsid w:val="107B02B6"/>
    <w:rsid w:val="10C62000"/>
    <w:rsid w:val="10CD2ED3"/>
    <w:rsid w:val="11C42D5D"/>
    <w:rsid w:val="11D32C46"/>
    <w:rsid w:val="11D7411C"/>
    <w:rsid w:val="129454A6"/>
    <w:rsid w:val="129904E0"/>
    <w:rsid w:val="129A6C37"/>
    <w:rsid w:val="129C5E9E"/>
    <w:rsid w:val="13BC2A3C"/>
    <w:rsid w:val="13CD7CB6"/>
    <w:rsid w:val="14127BE9"/>
    <w:rsid w:val="14427A07"/>
    <w:rsid w:val="14F44C23"/>
    <w:rsid w:val="15744FA5"/>
    <w:rsid w:val="15851DDC"/>
    <w:rsid w:val="15C947BC"/>
    <w:rsid w:val="1604772E"/>
    <w:rsid w:val="16625FEA"/>
    <w:rsid w:val="1666025D"/>
    <w:rsid w:val="169E17AF"/>
    <w:rsid w:val="16C66664"/>
    <w:rsid w:val="16F93DE6"/>
    <w:rsid w:val="17814C8F"/>
    <w:rsid w:val="17B344AB"/>
    <w:rsid w:val="17DE0EC4"/>
    <w:rsid w:val="180E29D7"/>
    <w:rsid w:val="18340FC1"/>
    <w:rsid w:val="18B306F2"/>
    <w:rsid w:val="18E81974"/>
    <w:rsid w:val="192D4C83"/>
    <w:rsid w:val="195375EF"/>
    <w:rsid w:val="197E53F0"/>
    <w:rsid w:val="1A76493A"/>
    <w:rsid w:val="1BAF6202"/>
    <w:rsid w:val="1C16238A"/>
    <w:rsid w:val="1C1E79A4"/>
    <w:rsid w:val="1CCF75ED"/>
    <w:rsid w:val="1D193A9B"/>
    <w:rsid w:val="1DEC33D8"/>
    <w:rsid w:val="1E2A4A65"/>
    <w:rsid w:val="206155F1"/>
    <w:rsid w:val="217F5A51"/>
    <w:rsid w:val="21844AF7"/>
    <w:rsid w:val="21E15FAC"/>
    <w:rsid w:val="2270315E"/>
    <w:rsid w:val="229915BB"/>
    <w:rsid w:val="22B606E8"/>
    <w:rsid w:val="22CB3C25"/>
    <w:rsid w:val="22D97241"/>
    <w:rsid w:val="23825FAA"/>
    <w:rsid w:val="23841DEC"/>
    <w:rsid w:val="239E612C"/>
    <w:rsid w:val="23C76A86"/>
    <w:rsid w:val="248421CD"/>
    <w:rsid w:val="24883AC9"/>
    <w:rsid w:val="24DD1E94"/>
    <w:rsid w:val="25255EDA"/>
    <w:rsid w:val="252B1751"/>
    <w:rsid w:val="25E66CC5"/>
    <w:rsid w:val="26F27DD3"/>
    <w:rsid w:val="275119FE"/>
    <w:rsid w:val="27912A9D"/>
    <w:rsid w:val="2884750B"/>
    <w:rsid w:val="28C00003"/>
    <w:rsid w:val="28E55011"/>
    <w:rsid w:val="29253BFC"/>
    <w:rsid w:val="29843B92"/>
    <w:rsid w:val="2A23346E"/>
    <w:rsid w:val="2A4C6D4A"/>
    <w:rsid w:val="2A6F0DE1"/>
    <w:rsid w:val="2A7523C5"/>
    <w:rsid w:val="2B105226"/>
    <w:rsid w:val="2B2D47B2"/>
    <w:rsid w:val="2C1960D0"/>
    <w:rsid w:val="2C4A6B90"/>
    <w:rsid w:val="2C8E2CD1"/>
    <w:rsid w:val="2CDA6E57"/>
    <w:rsid w:val="2D257581"/>
    <w:rsid w:val="2D482013"/>
    <w:rsid w:val="2EA33E09"/>
    <w:rsid w:val="2F221674"/>
    <w:rsid w:val="2F2E100C"/>
    <w:rsid w:val="2FD5441A"/>
    <w:rsid w:val="30187960"/>
    <w:rsid w:val="30E04168"/>
    <w:rsid w:val="30F11E90"/>
    <w:rsid w:val="31125D0A"/>
    <w:rsid w:val="31351344"/>
    <w:rsid w:val="31B04E95"/>
    <w:rsid w:val="31BD7B21"/>
    <w:rsid w:val="31D27BEB"/>
    <w:rsid w:val="321C1A28"/>
    <w:rsid w:val="32642FF3"/>
    <w:rsid w:val="338B09EB"/>
    <w:rsid w:val="339234A0"/>
    <w:rsid w:val="35AB0064"/>
    <w:rsid w:val="36FD3950"/>
    <w:rsid w:val="373F7FE3"/>
    <w:rsid w:val="3759254D"/>
    <w:rsid w:val="377F1C8C"/>
    <w:rsid w:val="37FF5E91"/>
    <w:rsid w:val="380C61E4"/>
    <w:rsid w:val="38AC2A30"/>
    <w:rsid w:val="38ED44EA"/>
    <w:rsid w:val="38EE7F12"/>
    <w:rsid w:val="39087146"/>
    <w:rsid w:val="392E399F"/>
    <w:rsid w:val="398E32FF"/>
    <w:rsid w:val="399D2FA0"/>
    <w:rsid w:val="399F2981"/>
    <w:rsid w:val="39FB3D9D"/>
    <w:rsid w:val="3A214E35"/>
    <w:rsid w:val="3A544138"/>
    <w:rsid w:val="3A9643BE"/>
    <w:rsid w:val="3AF57769"/>
    <w:rsid w:val="3BEF4CF5"/>
    <w:rsid w:val="3C0655EF"/>
    <w:rsid w:val="3CB52AF5"/>
    <w:rsid w:val="3D4E536F"/>
    <w:rsid w:val="3D5C3A37"/>
    <w:rsid w:val="3D683FC1"/>
    <w:rsid w:val="3DB429A4"/>
    <w:rsid w:val="3DF33184"/>
    <w:rsid w:val="3E0F5B2A"/>
    <w:rsid w:val="3E645B10"/>
    <w:rsid w:val="3E946E4C"/>
    <w:rsid w:val="3F1C5AF3"/>
    <w:rsid w:val="3F326AC0"/>
    <w:rsid w:val="3F3977DC"/>
    <w:rsid w:val="3FED38F9"/>
    <w:rsid w:val="401410EB"/>
    <w:rsid w:val="409B3A0B"/>
    <w:rsid w:val="40B82F2D"/>
    <w:rsid w:val="41722DB0"/>
    <w:rsid w:val="4192009A"/>
    <w:rsid w:val="42204D53"/>
    <w:rsid w:val="42380E92"/>
    <w:rsid w:val="42605E7B"/>
    <w:rsid w:val="42791A4F"/>
    <w:rsid w:val="428C166B"/>
    <w:rsid w:val="43617533"/>
    <w:rsid w:val="436E4003"/>
    <w:rsid w:val="43DE5828"/>
    <w:rsid w:val="443D43F5"/>
    <w:rsid w:val="44962C0D"/>
    <w:rsid w:val="449B7E50"/>
    <w:rsid w:val="44AB7BE3"/>
    <w:rsid w:val="44E77DC4"/>
    <w:rsid w:val="456D4FF6"/>
    <w:rsid w:val="477452CD"/>
    <w:rsid w:val="477F2E1F"/>
    <w:rsid w:val="47A1193C"/>
    <w:rsid w:val="48314C4F"/>
    <w:rsid w:val="48FB5D34"/>
    <w:rsid w:val="491C136D"/>
    <w:rsid w:val="498369FB"/>
    <w:rsid w:val="49B43EBA"/>
    <w:rsid w:val="49EF401D"/>
    <w:rsid w:val="4A467E9F"/>
    <w:rsid w:val="4A4C00A5"/>
    <w:rsid w:val="4A763D42"/>
    <w:rsid w:val="4AF745F1"/>
    <w:rsid w:val="4AFB50EE"/>
    <w:rsid w:val="4B562203"/>
    <w:rsid w:val="4B85075E"/>
    <w:rsid w:val="4BE70745"/>
    <w:rsid w:val="4C497E49"/>
    <w:rsid w:val="4C725E87"/>
    <w:rsid w:val="4C9562B7"/>
    <w:rsid w:val="4CDC550F"/>
    <w:rsid w:val="4D367F52"/>
    <w:rsid w:val="4D6F52B5"/>
    <w:rsid w:val="4DD83800"/>
    <w:rsid w:val="4DE4148C"/>
    <w:rsid w:val="4E04690E"/>
    <w:rsid w:val="4E0838DB"/>
    <w:rsid w:val="4E1A20B6"/>
    <w:rsid w:val="4E2D698F"/>
    <w:rsid w:val="4E6C395B"/>
    <w:rsid w:val="4FAE554B"/>
    <w:rsid w:val="502E2B58"/>
    <w:rsid w:val="50513948"/>
    <w:rsid w:val="50834CF8"/>
    <w:rsid w:val="50B5329D"/>
    <w:rsid w:val="50C301CB"/>
    <w:rsid w:val="50D447CC"/>
    <w:rsid w:val="50D64F51"/>
    <w:rsid w:val="51A43C27"/>
    <w:rsid w:val="529E60AD"/>
    <w:rsid w:val="530F02B0"/>
    <w:rsid w:val="530F48B5"/>
    <w:rsid w:val="5347421D"/>
    <w:rsid w:val="53B611D5"/>
    <w:rsid w:val="53FE7355"/>
    <w:rsid w:val="5445185E"/>
    <w:rsid w:val="54D71622"/>
    <w:rsid w:val="553375B7"/>
    <w:rsid w:val="555D73F0"/>
    <w:rsid w:val="55931E0A"/>
    <w:rsid w:val="56130663"/>
    <w:rsid w:val="565714CC"/>
    <w:rsid w:val="56E7A438"/>
    <w:rsid w:val="571742C2"/>
    <w:rsid w:val="57BB2FB4"/>
    <w:rsid w:val="57DAE6E1"/>
    <w:rsid w:val="57EE49F5"/>
    <w:rsid w:val="58004358"/>
    <w:rsid w:val="587B0B22"/>
    <w:rsid w:val="58895EA9"/>
    <w:rsid w:val="590D5D3B"/>
    <w:rsid w:val="5AAE77D1"/>
    <w:rsid w:val="5B034EA0"/>
    <w:rsid w:val="5B5B6497"/>
    <w:rsid w:val="5BA8433F"/>
    <w:rsid w:val="5BB911EE"/>
    <w:rsid w:val="5CA5561A"/>
    <w:rsid w:val="5D186A5C"/>
    <w:rsid w:val="5D3E531F"/>
    <w:rsid w:val="5DA365F4"/>
    <w:rsid w:val="5DA623C4"/>
    <w:rsid w:val="5DB41711"/>
    <w:rsid w:val="5E1B0894"/>
    <w:rsid w:val="5E40626B"/>
    <w:rsid w:val="5F665FB3"/>
    <w:rsid w:val="5F816E4D"/>
    <w:rsid w:val="5FC778E7"/>
    <w:rsid w:val="5FE743C4"/>
    <w:rsid w:val="60C3011D"/>
    <w:rsid w:val="617A3BBF"/>
    <w:rsid w:val="61A40A56"/>
    <w:rsid w:val="62D17772"/>
    <w:rsid w:val="62E23D94"/>
    <w:rsid w:val="62E577BD"/>
    <w:rsid w:val="62F7664A"/>
    <w:rsid w:val="634C6E04"/>
    <w:rsid w:val="63A86C08"/>
    <w:rsid w:val="63B962CC"/>
    <w:rsid w:val="642152E2"/>
    <w:rsid w:val="6454744A"/>
    <w:rsid w:val="64A73ECE"/>
    <w:rsid w:val="65077AE2"/>
    <w:rsid w:val="656F409A"/>
    <w:rsid w:val="65FC23FC"/>
    <w:rsid w:val="661B569B"/>
    <w:rsid w:val="66606823"/>
    <w:rsid w:val="669352A7"/>
    <w:rsid w:val="684D6576"/>
    <w:rsid w:val="68945DDB"/>
    <w:rsid w:val="6A8D1F84"/>
    <w:rsid w:val="6A9746DE"/>
    <w:rsid w:val="6AEF1016"/>
    <w:rsid w:val="6AFA59EE"/>
    <w:rsid w:val="6C4418A4"/>
    <w:rsid w:val="6CD33B97"/>
    <w:rsid w:val="6D2C19B4"/>
    <w:rsid w:val="6D521B17"/>
    <w:rsid w:val="6E7C2CAA"/>
    <w:rsid w:val="6F2D472F"/>
    <w:rsid w:val="6F665726"/>
    <w:rsid w:val="6F681288"/>
    <w:rsid w:val="6F7337F5"/>
    <w:rsid w:val="6F7B6F63"/>
    <w:rsid w:val="6F844F25"/>
    <w:rsid w:val="6F9629BC"/>
    <w:rsid w:val="6FA00A07"/>
    <w:rsid w:val="6FE2091C"/>
    <w:rsid w:val="6FEA4288"/>
    <w:rsid w:val="71547E7C"/>
    <w:rsid w:val="71D23226"/>
    <w:rsid w:val="71E06599"/>
    <w:rsid w:val="722D6901"/>
    <w:rsid w:val="723E10C2"/>
    <w:rsid w:val="729E74BD"/>
    <w:rsid w:val="72E9294A"/>
    <w:rsid w:val="7308039F"/>
    <w:rsid w:val="73704A73"/>
    <w:rsid w:val="73706C87"/>
    <w:rsid w:val="73BC23E0"/>
    <w:rsid w:val="74A7547B"/>
    <w:rsid w:val="757F168E"/>
    <w:rsid w:val="75C01552"/>
    <w:rsid w:val="762140B4"/>
    <w:rsid w:val="76C6504A"/>
    <w:rsid w:val="77EA3C8A"/>
    <w:rsid w:val="7818138B"/>
    <w:rsid w:val="782D1C34"/>
    <w:rsid w:val="78413EA6"/>
    <w:rsid w:val="78DFEEB0"/>
    <w:rsid w:val="791441C8"/>
    <w:rsid w:val="792561FF"/>
    <w:rsid w:val="79B2031B"/>
    <w:rsid w:val="7A5B6B40"/>
    <w:rsid w:val="7AB65670"/>
    <w:rsid w:val="7ABD3C4E"/>
    <w:rsid w:val="7AE076D1"/>
    <w:rsid w:val="7B1D3764"/>
    <w:rsid w:val="7B2E3BC3"/>
    <w:rsid w:val="7BD430CE"/>
    <w:rsid w:val="7BFE0C03"/>
    <w:rsid w:val="7C5F7ADD"/>
    <w:rsid w:val="7C914149"/>
    <w:rsid w:val="7DB6BB7B"/>
    <w:rsid w:val="7DDBAEB0"/>
    <w:rsid w:val="7E231481"/>
    <w:rsid w:val="7EB7B118"/>
    <w:rsid w:val="7F2D4191"/>
    <w:rsid w:val="7F4DBC21"/>
    <w:rsid w:val="7F9D10C7"/>
    <w:rsid w:val="7FB37DF6"/>
    <w:rsid w:val="9CFB67A8"/>
    <w:rsid w:val="DD7BA43F"/>
    <w:rsid w:val="EBDF4C7D"/>
    <w:rsid w:val="ECDF148A"/>
    <w:rsid w:val="FEDFEBD8"/>
    <w:rsid w:val="FEFF614D"/>
    <w:rsid w:val="FF3F6555"/>
    <w:rsid w:val="FFB64B99"/>
    <w:rsid w:val="FFEE74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23"/>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next w:val="28"/>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99"/>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99"/>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2"/>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2"/>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table" w:customStyle="1" w:styleId="963">
    <w:name w:val="Table Normal"/>
    <w:unhideWhenUsed/>
    <w:qFormat/>
    <w:uiPriority w:val="0"/>
    <w:tblPr>
      <w:tblCellMar>
        <w:top w:w="0" w:type="dxa"/>
        <w:left w:w="0" w:type="dxa"/>
        <w:bottom w:w="0" w:type="dxa"/>
        <w:right w:w="0" w:type="dxa"/>
      </w:tblCellMar>
    </w:tbl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浅色列表1"/>
    <w:basedOn w:val="1"/>
    <w:next w:val="59"/>
    <w:qFormat/>
    <w:uiPriority w:val="0"/>
    <w:pPr>
      <w:widowControl/>
      <w:adjustRightInd w:val="0"/>
      <w:spacing w:after="200" w:line="276" w:lineRule="auto"/>
      <w:ind w:left="720"/>
      <w:contextualSpacing/>
      <w:jc w:val="left"/>
    </w:pPr>
    <w:rPr>
      <w:rFonts w:ascii="Calibri" w:hAnsi="Calibri" w:eastAsia="宋体" w:cs="Times New Roman"/>
      <w:kern w:val="0"/>
      <w:sz w:val="22"/>
      <w:szCs w:val="22"/>
      <w:lang w:val="en-US" w:eastAsia="zh-CN" w:bidi="ar-SA"/>
    </w:rPr>
  </w:style>
  <w:style w:type="character" w:customStyle="1" w:styleId="966">
    <w:name w:val="无"/>
    <w:qFormat/>
    <w:uiPriority w:val="0"/>
  </w:style>
  <w:style w:type="paragraph" w:customStyle="1" w:styleId="96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4.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3.emf"/><Relationship Id="rId27" Type="http://schemas.openxmlformats.org/officeDocument/2006/relationships/oleObject" Target="embeddings/oleObject1.bin"/><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124</Pages>
  <Words>8638</Words>
  <Characters>9384</Characters>
  <Lines>338</Lines>
  <Paragraphs>95</Paragraphs>
  <TotalTime>17</TotalTime>
  <ScaleCrop>false</ScaleCrop>
  <LinksUpToDate>false</LinksUpToDate>
  <CharactersWithSpaces>10774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2023-12-27T10:08:00Z</dcterms:created>
  <dc:creator>玥</dc:creator>
  <cp:lastModifiedBy>芝士边</cp:lastModifiedBy>
  <cp:lastPrinted>2024-11-27T06:33:00Z</cp:lastPrinted>
  <dcterms:modified xsi:type="dcterms:W3CDTF">2024-12-10T09:04:37Z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D1DC0F78D6424BF6A990C6585AD769F3_13</vt:lpwstr>
  </property>
</Properties>
</file>