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875353">
      <w:pPr>
        <w:spacing w:after="120" w:line="360" w:lineRule="auto"/>
        <w:jc w:val="center"/>
        <w:rPr>
          <w:rFonts w:hint="eastAsia" w:ascii="宋体" w:hAnsi="宋体" w:eastAsia="宋体"/>
          <w:b/>
          <w:color w:val="auto"/>
          <w:sz w:val="52"/>
          <w:highlight w:val="none"/>
        </w:rPr>
      </w:pPr>
    </w:p>
    <w:p w14:paraId="3902FC2F">
      <w:pPr>
        <w:widowControl/>
        <w:jc w:val="center"/>
        <w:rPr>
          <w:rFonts w:hint="eastAsia" w:ascii="宋体" w:hAnsi="宋体" w:eastAsia="宋体"/>
          <w:b/>
          <w:color w:val="auto"/>
          <w:sz w:val="56"/>
          <w:szCs w:val="18"/>
          <w:highlight w:val="none"/>
          <w:lang w:bidi="ar"/>
        </w:rPr>
      </w:pPr>
      <w:r>
        <w:rPr>
          <w:rFonts w:hint="eastAsia" w:ascii="宋体" w:hAnsi="宋体" w:eastAsia="宋体"/>
          <w:b/>
          <w:color w:val="auto"/>
          <w:sz w:val="56"/>
          <w:szCs w:val="18"/>
          <w:highlight w:val="none"/>
          <w:lang w:bidi="ar"/>
        </w:rPr>
        <w:t>政府采购公开招标采购文件</w:t>
      </w:r>
    </w:p>
    <w:p w14:paraId="1873B92D">
      <w:pPr>
        <w:tabs>
          <w:tab w:val="left" w:pos="6345"/>
        </w:tabs>
        <w:spacing w:before="142"/>
        <w:jc w:val="left"/>
        <w:rPr>
          <w:rFonts w:hint="eastAsia" w:ascii="宋体" w:hAnsi="宋体" w:eastAsia="宋体"/>
          <w:color w:val="auto"/>
          <w:sz w:val="52"/>
          <w:szCs w:val="52"/>
          <w:highlight w:val="none"/>
        </w:rPr>
      </w:pPr>
      <w:r>
        <w:rPr>
          <w:rFonts w:hint="eastAsia" w:ascii="宋体" w:hAnsi="宋体" w:eastAsia="宋体"/>
          <w:color w:val="auto"/>
          <w:sz w:val="52"/>
          <w:szCs w:val="52"/>
          <w:highlight w:val="none"/>
        </w:rPr>
        <w:tab/>
      </w:r>
    </w:p>
    <w:p w14:paraId="5643E4D3">
      <w:pPr>
        <w:pStyle w:val="43"/>
        <w:snapToGrid w:val="0"/>
        <w:spacing w:before="120" w:after="120" w:line="360" w:lineRule="auto"/>
        <w:rPr>
          <w:rFonts w:hint="eastAsia" w:ascii="宋体" w:hAnsi="宋体" w:eastAsia="宋体"/>
          <w:b/>
          <w:color w:val="auto"/>
          <w:sz w:val="30"/>
          <w:szCs w:val="48"/>
          <w:highlight w:val="none"/>
        </w:rPr>
      </w:pPr>
    </w:p>
    <w:p w14:paraId="7EB5BB82">
      <w:pPr>
        <w:pStyle w:val="43"/>
        <w:snapToGrid w:val="0"/>
        <w:spacing w:before="120" w:after="120" w:line="360" w:lineRule="auto"/>
        <w:rPr>
          <w:rFonts w:hint="eastAsia" w:ascii="宋体" w:hAnsi="宋体" w:eastAsia="宋体"/>
          <w:b/>
          <w:color w:val="auto"/>
          <w:sz w:val="30"/>
          <w:szCs w:val="48"/>
          <w:highlight w:val="none"/>
        </w:rPr>
      </w:pPr>
    </w:p>
    <w:tbl>
      <w:tblPr>
        <w:tblStyle w:val="5"/>
        <w:tblpPr w:leftFromText="180" w:rightFromText="180" w:vertAnchor="text" w:horzAnchor="page" w:tblpXSpec="center"/>
        <w:tblW w:w="103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66"/>
        <w:gridCol w:w="7835"/>
      </w:tblGrid>
      <w:tr w14:paraId="45CDB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atLeast"/>
          <w:jc w:val="center"/>
        </w:trPr>
        <w:tc>
          <w:tcPr>
            <w:tcW w:w="2466" w:type="dxa"/>
            <w:vAlign w:val="center"/>
          </w:tcPr>
          <w:p w14:paraId="55CCDCF7">
            <w:pPr>
              <w:ind w:right="-216"/>
              <w:jc w:val="center"/>
              <w:rPr>
                <w:rFonts w:hint="eastAsia" w:ascii="宋体" w:hAnsi="宋体" w:eastAsia="宋体"/>
                <w:b/>
                <w:color w:val="auto"/>
                <w:sz w:val="44"/>
                <w:szCs w:val="44"/>
                <w:highlight w:val="none"/>
                <w:lang w:bidi="ar"/>
              </w:rPr>
            </w:pPr>
            <w:r>
              <w:rPr>
                <w:rFonts w:hint="eastAsia" w:ascii="宋体" w:hAnsi="宋体" w:eastAsia="宋体"/>
                <w:b/>
                <w:color w:val="auto"/>
                <w:sz w:val="44"/>
                <w:szCs w:val="44"/>
                <w:highlight w:val="none"/>
                <w:lang w:bidi="ar"/>
              </w:rPr>
              <w:t>项目编号：</w:t>
            </w:r>
          </w:p>
        </w:tc>
        <w:tc>
          <w:tcPr>
            <w:tcW w:w="7835" w:type="dxa"/>
            <w:vAlign w:val="center"/>
          </w:tcPr>
          <w:p w14:paraId="3872A84A">
            <w:pPr>
              <w:jc w:val="center"/>
              <w:rPr>
                <w:rFonts w:hint="eastAsia" w:ascii="宋体" w:hAnsi="宋体" w:eastAsia="宋体"/>
                <w:b/>
                <w:color w:val="auto"/>
                <w:sz w:val="44"/>
                <w:szCs w:val="44"/>
                <w:highlight w:val="none"/>
                <w:lang w:eastAsia="zh-CN"/>
              </w:rPr>
            </w:pPr>
            <w:r>
              <w:rPr>
                <w:rFonts w:hint="eastAsia" w:ascii="宋体" w:hAnsi="宋体"/>
                <w:b/>
                <w:color w:val="auto"/>
                <w:sz w:val="44"/>
                <w:szCs w:val="44"/>
                <w:highlight w:val="none"/>
                <w:lang w:eastAsia="zh-CN"/>
              </w:rPr>
              <w:t>NBGODOZB324087</w:t>
            </w:r>
          </w:p>
        </w:tc>
      </w:tr>
      <w:tr w14:paraId="35AE7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2" w:hRule="atLeast"/>
          <w:jc w:val="center"/>
        </w:trPr>
        <w:tc>
          <w:tcPr>
            <w:tcW w:w="2466" w:type="dxa"/>
            <w:vAlign w:val="center"/>
          </w:tcPr>
          <w:p w14:paraId="3A0E6D77">
            <w:pPr>
              <w:ind w:right="-216"/>
              <w:jc w:val="center"/>
              <w:rPr>
                <w:rFonts w:hint="eastAsia" w:ascii="宋体" w:hAnsi="宋体" w:eastAsia="宋体"/>
                <w:b/>
                <w:color w:val="auto"/>
                <w:sz w:val="44"/>
                <w:szCs w:val="44"/>
                <w:highlight w:val="none"/>
                <w:lang w:bidi="ar"/>
              </w:rPr>
            </w:pPr>
            <w:r>
              <w:rPr>
                <w:rFonts w:hint="eastAsia" w:ascii="宋体" w:hAnsi="宋体" w:eastAsia="宋体"/>
                <w:b/>
                <w:color w:val="auto"/>
                <w:sz w:val="44"/>
                <w:szCs w:val="44"/>
                <w:highlight w:val="none"/>
                <w:lang w:bidi="ar"/>
              </w:rPr>
              <w:t>项目名称：</w:t>
            </w:r>
          </w:p>
        </w:tc>
        <w:tc>
          <w:tcPr>
            <w:tcW w:w="7835" w:type="dxa"/>
            <w:vAlign w:val="center"/>
          </w:tcPr>
          <w:p w14:paraId="47EF7691">
            <w:pPr>
              <w:jc w:val="center"/>
              <w:rPr>
                <w:rFonts w:hint="eastAsia" w:ascii="宋体" w:hAnsi="宋体" w:eastAsia="宋体"/>
                <w:b/>
                <w:color w:val="auto"/>
                <w:sz w:val="44"/>
                <w:szCs w:val="44"/>
                <w:highlight w:val="none"/>
                <w:lang w:eastAsia="zh-CN" w:bidi="ar"/>
              </w:rPr>
            </w:pPr>
            <w:r>
              <w:rPr>
                <w:rFonts w:hint="eastAsia" w:ascii="宋体" w:hAnsi="宋体"/>
                <w:b/>
                <w:color w:val="auto"/>
                <w:sz w:val="44"/>
                <w:szCs w:val="44"/>
                <w:highlight w:val="none"/>
                <w:lang w:eastAsia="zh-CN" w:bidi="ar"/>
              </w:rPr>
              <w:t>象山县水务集团有限公司</w:t>
            </w:r>
            <w:r>
              <w:rPr>
                <w:rFonts w:hint="eastAsia" w:ascii="宋体" w:hAnsi="宋体" w:eastAsia="宋体"/>
                <w:b/>
                <w:color w:val="auto"/>
                <w:sz w:val="44"/>
                <w:szCs w:val="44"/>
                <w:highlight w:val="none"/>
                <w:lang w:eastAsia="zh-CN" w:bidi="ar"/>
              </w:rPr>
              <w:t>2025</w:t>
            </w:r>
            <w:r>
              <w:rPr>
                <w:rFonts w:hint="eastAsia" w:ascii="宋体" w:hAnsi="宋体"/>
                <w:b/>
                <w:color w:val="auto"/>
                <w:sz w:val="44"/>
                <w:szCs w:val="44"/>
                <w:highlight w:val="none"/>
                <w:lang w:val="en-US" w:eastAsia="zh-CN" w:bidi="ar"/>
              </w:rPr>
              <w:t>-2026</w:t>
            </w:r>
            <w:r>
              <w:rPr>
                <w:rFonts w:hint="eastAsia" w:ascii="宋体" w:hAnsi="宋体" w:eastAsia="宋体"/>
                <w:b/>
                <w:color w:val="auto"/>
                <w:sz w:val="44"/>
                <w:szCs w:val="44"/>
                <w:highlight w:val="none"/>
                <w:lang w:eastAsia="zh-CN" w:bidi="ar"/>
              </w:rPr>
              <w:t>年度次氯酸钠、氢氧化钠采购项目</w:t>
            </w:r>
          </w:p>
        </w:tc>
      </w:tr>
    </w:tbl>
    <w:p w14:paraId="23F6CE00">
      <w:pPr>
        <w:pStyle w:val="43"/>
        <w:snapToGrid w:val="0"/>
        <w:spacing w:before="300" w:after="300" w:line="360" w:lineRule="auto"/>
        <w:rPr>
          <w:rFonts w:hint="eastAsia" w:ascii="宋体" w:hAnsi="宋体" w:eastAsia="宋体"/>
          <w:b/>
          <w:color w:val="auto"/>
          <w:sz w:val="30"/>
          <w:szCs w:val="48"/>
          <w:highlight w:val="none"/>
        </w:rPr>
      </w:pPr>
    </w:p>
    <w:p w14:paraId="51487626">
      <w:pPr>
        <w:pStyle w:val="43"/>
        <w:snapToGrid w:val="0"/>
        <w:spacing w:before="300" w:after="300" w:line="360" w:lineRule="auto"/>
        <w:rPr>
          <w:rFonts w:hint="eastAsia" w:ascii="宋体" w:hAnsi="宋体" w:eastAsia="宋体"/>
          <w:b/>
          <w:color w:val="auto"/>
          <w:sz w:val="30"/>
          <w:szCs w:val="48"/>
          <w:highlight w:val="none"/>
        </w:rPr>
      </w:pPr>
    </w:p>
    <w:p w14:paraId="5D9BAC3F">
      <w:pPr>
        <w:pStyle w:val="43"/>
        <w:snapToGrid w:val="0"/>
        <w:spacing w:before="300" w:after="300"/>
        <w:ind w:firstLine="2100" w:firstLineChars="700"/>
        <w:rPr>
          <w:rFonts w:hint="eastAsia" w:ascii="宋体" w:hAnsi="宋体" w:eastAsia="宋体"/>
          <w:b/>
          <w:color w:val="auto"/>
          <w:sz w:val="30"/>
          <w:szCs w:val="48"/>
          <w:highlight w:val="none"/>
        </w:rPr>
      </w:pPr>
      <w:r>
        <w:rPr>
          <w:rFonts w:hint="eastAsia" w:ascii="宋体" w:hAnsi="宋体" w:eastAsia="宋体"/>
          <w:b/>
          <w:color w:val="auto"/>
          <w:sz w:val="30"/>
          <w:szCs w:val="48"/>
          <w:highlight w:val="none"/>
        </w:rPr>
        <w:t>采购人：</w:t>
      </w:r>
      <w:r>
        <w:rPr>
          <w:rFonts w:hint="eastAsia" w:hAnsi="宋体"/>
          <w:b/>
          <w:color w:val="auto"/>
          <w:sz w:val="30"/>
          <w:szCs w:val="48"/>
          <w:highlight w:val="none"/>
          <w:lang w:eastAsia="zh-CN"/>
        </w:rPr>
        <w:t>象山县水务集团有限公司</w:t>
      </w:r>
    </w:p>
    <w:p w14:paraId="3DB1B7E3">
      <w:pPr>
        <w:pStyle w:val="43"/>
        <w:snapToGrid w:val="0"/>
        <w:spacing w:before="300" w:after="300"/>
        <w:ind w:firstLine="600" w:firstLineChars="200"/>
        <w:jc w:val="center"/>
        <w:rPr>
          <w:rFonts w:hint="eastAsia" w:ascii="宋体" w:hAnsi="宋体" w:eastAsia="宋体"/>
          <w:b/>
          <w:color w:val="auto"/>
          <w:sz w:val="30"/>
          <w:szCs w:val="48"/>
          <w:highlight w:val="none"/>
        </w:rPr>
      </w:pPr>
      <w:r>
        <w:rPr>
          <w:rFonts w:hint="eastAsia" w:ascii="宋体" w:hAnsi="宋体" w:eastAsia="宋体"/>
          <w:b/>
          <w:color w:val="auto"/>
          <w:sz w:val="30"/>
          <w:szCs w:val="48"/>
          <w:highlight w:val="none"/>
        </w:rPr>
        <w:t xml:space="preserve">   采购代理机构：宁波国际投资咨询有限公司</w:t>
      </w:r>
    </w:p>
    <w:p w14:paraId="264F6E0B">
      <w:pPr>
        <w:spacing w:after="120"/>
        <w:jc w:val="center"/>
        <w:rPr>
          <w:rFonts w:hint="eastAsia" w:ascii="宋体" w:hAnsi="宋体" w:eastAsia="宋体"/>
          <w:b/>
          <w:bCs/>
          <w:color w:val="auto"/>
          <w:w w:val="95"/>
          <w:sz w:val="30"/>
          <w:szCs w:val="30"/>
          <w:highlight w:val="none"/>
        </w:rPr>
      </w:pPr>
      <w:r>
        <w:rPr>
          <w:rFonts w:hint="eastAsia" w:ascii="宋体" w:hAnsi="宋体" w:eastAsia="宋体"/>
          <w:b/>
          <w:bCs/>
          <w:color w:val="auto"/>
          <w:w w:val="95"/>
          <w:sz w:val="30"/>
          <w:szCs w:val="30"/>
          <w:highlight w:val="none"/>
        </w:rPr>
        <w:t>202</w:t>
      </w:r>
      <w:r>
        <w:rPr>
          <w:rFonts w:hint="eastAsia" w:ascii="宋体" w:hAnsi="宋体"/>
          <w:b/>
          <w:bCs/>
          <w:color w:val="auto"/>
          <w:w w:val="95"/>
          <w:sz w:val="30"/>
          <w:szCs w:val="30"/>
          <w:highlight w:val="none"/>
          <w:lang w:val="en-US" w:eastAsia="zh-CN"/>
        </w:rPr>
        <w:t>5</w:t>
      </w:r>
      <w:r>
        <w:rPr>
          <w:rFonts w:hint="eastAsia" w:ascii="宋体" w:hAnsi="宋体" w:eastAsia="宋体"/>
          <w:b/>
          <w:bCs/>
          <w:color w:val="auto"/>
          <w:w w:val="95"/>
          <w:sz w:val="30"/>
          <w:szCs w:val="30"/>
          <w:highlight w:val="none"/>
        </w:rPr>
        <w:t>年</w:t>
      </w:r>
      <w:r>
        <w:rPr>
          <w:rFonts w:hint="eastAsia" w:ascii="宋体" w:hAnsi="宋体"/>
          <w:b/>
          <w:bCs/>
          <w:color w:val="auto"/>
          <w:w w:val="95"/>
          <w:sz w:val="30"/>
          <w:szCs w:val="30"/>
          <w:highlight w:val="none"/>
          <w:lang w:val="en-US" w:eastAsia="zh-CN"/>
        </w:rPr>
        <w:t>01</w:t>
      </w:r>
      <w:r>
        <w:rPr>
          <w:rFonts w:hint="eastAsia" w:ascii="宋体" w:hAnsi="宋体" w:eastAsia="宋体"/>
          <w:b/>
          <w:bCs/>
          <w:color w:val="auto"/>
          <w:w w:val="95"/>
          <w:sz w:val="30"/>
          <w:szCs w:val="30"/>
          <w:highlight w:val="none"/>
        </w:rPr>
        <w:t>月</w:t>
      </w:r>
    </w:p>
    <w:p w14:paraId="5662024D">
      <w:pPr>
        <w:spacing w:line="360" w:lineRule="auto"/>
        <w:jc w:val="center"/>
        <w:rPr>
          <w:rFonts w:hint="eastAsia" w:ascii="宋体" w:hAnsi="宋体" w:eastAsia="宋体"/>
          <w:b/>
          <w:color w:val="auto"/>
          <w:sz w:val="36"/>
          <w:highlight w:val="none"/>
        </w:rPr>
      </w:pPr>
    </w:p>
    <w:p w14:paraId="3A7488F5">
      <w:pPr>
        <w:spacing w:line="360" w:lineRule="auto"/>
        <w:jc w:val="center"/>
        <w:rPr>
          <w:rFonts w:hint="eastAsia" w:ascii="宋体" w:hAnsi="宋体" w:eastAsia="宋体"/>
          <w:b/>
          <w:color w:val="auto"/>
          <w:sz w:val="36"/>
          <w:highlight w:val="none"/>
        </w:rPr>
      </w:pPr>
    </w:p>
    <w:p w14:paraId="6D6DB732">
      <w:pPr>
        <w:spacing w:line="360" w:lineRule="auto"/>
        <w:jc w:val="center"/>
        <w:rPr>
          <w:rFonts w:hint="eastAsia" w:ascii="宋体" w:hAnsi="宋体" w:eastAsia="宋体"/>
          <w:b/>
          <w:color w:val="auto"/>
          <w:sz w:val="36"/>
          <w:highlight w:val="none"/>
        </w:rPr>
      </w:pPr>
    </w:p>
    <w:p w14:paraId="6013619C">
      <w:pPr>
        <w:spacing w:line="360" w:lineRule="auto"/>
        <w:jc w:val="center"/>
        <w:rPr>
          <w:rFonts w:hint="eastAsia" w:ascii="宋体" w:hAnsi="宋体" w:eastAsia="宋体"/>
          <w:b/>
          <w:color w:val="auto"/>
          <w:sz w:val="36"/>
          <w:highlight w:val="none"/>
        </w:rPr>
      </w:pPr>
      <w:r>
        <w:rPr>
          <w:rFonts w:hint="eastAsia" w:ascii="宋体" w:hAnsi="宋体" w:eastAsia="宋体"/>
          <w:b/>
          <w:color w:val="auto"/>
          <w:sz w:val="36"/>
          <w:highlight w:val="none"/>
        </w:rPr>
        <w:br w:type="page"/>
      </w:r>
      <w:r>
        <w:rPr>
          <w:rFonts w:hint="eastAsia" w:ascii="宋体" w:hAnsi="宋体" w:eastAsia="宋体"/>
          <w:b/>
          <w:color w:val="auto"/>
          <w:sz w:val="36"/>
          <w:highlight w:val="none"/>
        </w:rPr>
        <w:t>目    录</w:t>
      </w:r>
    </w:p>
    <w:p w14:paraId="61520FE2">
      <w:pPr>
        <w:spacing w:line="360" w:lineRule="auto"/>
        <w:jc w:val="center"/>
        <w:rPr>
          <w:rFonts w:hint="eastAsia" w:ascii="宋体" w:hAnsi="宋体" w:eastAsia="宋体"/>
          <w:b/>
          <w:color w:val="auto"/>
          <w:sz w:val="36"/>
          <w:highlight w:val="none"/>
        </w:rPr>
      </w:pPr>
    </w:p>
    <w:p w14:paraId="5304C424">
      <w:pPr>
        <w:pStyle w:val="3"/>
        <w:keepNext w:val="0"/>
        <w:keepLines w:val="0"/>
        <w:pageBreakBefore w:val="0"/>
        <w:widowControl w:val="0"/>
        <w:tabs>
          <w:tab w:val="right" w:leader="dot" w:pos="8505"/>
        </w:tabs>
        <w:kinsoku/>
        <w:wordWrap/>
        <w:overflowPunct/>
        <w:topLinePunct w:val="0"/>
        <w:autoSpaceDE/>
        <w:autoSpaceDN/>
        <w:bidi w:val="0"/>
        <w:adjustRightInd/>
        <w:snapToGrid/>
        <w:spacing w:line="480" w:lineRule="auto"/>
        <w:textAlignment w:val="auto"/>
        <w:rPr>
          <w:rFonts w:hint="default" w:ascii="Times New Roman" w:hAnsi="Times New Roman" w:cs="Times New Roman"/>
          <w:color w:val="auto"/>
          <w:sz w:val="24"/>
          <w:szCs w:val="24"/>
          <w:highlight w:val="none"/>
        </w:rPr>
      </w:pPr>
      <w:r>
        <w:rPr>
          <w:rFonts w:hint="eastAsia" w:ascii="宋体" w:hAnsi="宋体" w:eastAsia="宋体"/>
          <w:b/>
          <w:color w:val="auto"/>
          <w:highlight w:val="none"/>
        </w:rPr>
        <w:fldChar w:fldCharType="begin"/>
      </w:r>
      <w:r>
        <w:rPr>
          <w:rFonts w:hint="eastAsia" w:ascii="宋体" w:hAnsi="宋体" w:eastAsia="宋体"/>
          <w:b/>
          <w:color w:val="auto"/>
          <w:highlight w:val="none"/>
        </w:rPr>
        <w:instrText xml:space="preserve"> TOC \o "1-3" \h \z \u </w:instrText>
      </w:r>
      <w:r>
        <w:rPr>
          <w:rFonts w:hint="eastAsia" w:ascii="宋体" w:hAnsi="宋体" w:eastAsia="宋体"/>
          <w:b/>
          <w:color w:val="auto"/>
          <w:highlight w:val="none"/>
        </w:rPr>
        <w:fldChar w:fldCharType="separate"/>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_Toc27066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rPr>
        <w:t>第一部分 采购公告</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_Toc27066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w:t>
      </w:r>
      <w:r>
        <w:rPr>
          <w:rFonts w:hint="default" w:ascii="Times New Roman" w:hAnsi="Times New Roman"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D380D29">
      <w:pPr>
        <w:pStyle w:val="3"/>
        <w:keepNext w:val="0"/>
        <w:keepLines w:val="0"/>
        <w:pageBreakBefore w:val="0"/>
        <w:widowControl w:val="0"/>
        <w:tabs>
          <w:tab w:val="right" w:leader="dot" w:pos="8505"/>
        </w:tabs>
        <w:kinsoku/>
        <w:wordWrap/>
        <w:overflowPunct/>
        <w:topLinePunct w:val="0"/>
        <w:autoSpaceDE/>
        <w:autoSpaceDN/>
        <w:bidi w:val="0"/>
        <w:adjustRightInd/>
        <w:snapToGrid/>
        <w:spacing w:line="480" w:lineRule="auto"/>
        <w:textAlignment w:val="auto"/>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_Toc28668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第二部分 供应商须知</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_Toc28668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5</w:t>
      </w:r>
      <w:r>
        <w:rPr>
          <w:rFonts w:hint="default" w:ascii="Times New Roman" w:hAnsi="Times New Roman"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5AF1676">
      <w:pPr>
        <w:pStyle w:val="3"/>
        <w:keepNext w:val="0"/>
        <w:keepLines w:val="0"/>
        <w:pageBreakBefore w:val="0"/>
        <w:widowControl w:val="0"/>
        <w:tabs>
          <w:tab w:val="right" w:leader="dot" w:pos="8505"/>
        </w:tabs>
        <w:kinsoku/>
        <w:wordWrap/>
        <w:overflowPunct/>
        <w:topLinePunct w:val="0"/>
        <w:autoSpaceDE/>
        <w:autoSpaceDN/>
        <w:bidi w:val="0"/>
        <w:adjustRightInd/>
        <w:snapToGrid/>
        <w:spacing w:line="480" w:lineRule="auto"/>
        <w:textAlignment w:val="auto"/>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_Toc19340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第三部分 采购需求</w:t>
      </w:r>
      <w:bookmarkStart w:id="509" w:name="_GoBack"/>
      <w:bookmarkEnd w:id="509"/>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_Toc19340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17</w:t>
      </w:r>
      <w:r>
        <w:rPr>
          <w:rFonts w:hint="default" w:ascii="Times New Roman" w:hAnsi="Times New Roman"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799C99FC">
      <w:pPr>
        <w:pStyle w:val="3"/>
        <w:keepNext w:val="0"/>
        <w:keepLines w:val="0"/>
        <w:pageBreakBefore w:val="0"/>
        <w:widowControl w:val="0"/>
        <w:tabs>
          <w:tab w:val="right" w:leader="dot" w:pos="8505"/>
        </w:tabs>
        <w:kinsoku/>
        <w:wordWrap/>
        <w:overflowPunct/>
        <w:topLinePunct w:val="0"/>
        <w:autoSpaceDE/>
        <w:autoSpaceDN/>
        <w:bidi w:val="0"/>
        <w:adjustRightInd/>
        <w:snapToGrid/>
        <w:spacing w:line="480" w:lineRule="auto"/>
        <w:textAlignment w:val="auto"/>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_Toc16340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第四部分 评标办法</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_Toc16340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24</w:t>
      </w:r>
      <w:r>
        <w:rPr>
          <w:rFonts w:hint="default" w:ascii="Times New Roman" w:hAnsi="Times New Roman"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A8642C3">
      <w:pPr>
        <w:pStyle w:val="3"/>
        <w:keepNext w:val="0"/>
        <w:keepLines w:val="0"/>
        <w:pageBreakBefore w:val="0"/>
        <w:widowControl w:val="0"/>
        <w:tabs>
          <w:tab w:val="right" w:leader="dot" w:pos="8505"/>
        </w:tabs>
        <w:kinsoku/>
        <w:wordWrap/>
        <w:overflowPunct/>
        <w:topLinePunct w:val="0"/>
        <w:autoSpaceDE/>
        <w:autoSpaceDN/>
        <w:bidi w:val="0"/>
        <w:adjustRightInd/>
        <w:snapToGrid/>
        <w:spacing w:line="480" w:lineRule="auto"/>
        <w:textAlignment w:val="auto"/>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_Toc1458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第五部分 拟签订的合同文本</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_Toc1458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30</w:t>
      </w:r>
      <w:r>
        <w:rPr>
          <w:rFonts w:hint="default" w:ascii="Times New Roman" w:hAnsi="Times New Roman"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19711659">
      <w:pPr>
        <w:pStyle w:val="3"/>
        <w:keepNext w:val="0"/>
        <w:keepLines w:val="0"/>
        <w:pageBreakBefore w:val="0"/>
        <w:widowControl w:val="0"/>
        <w:tabs>
          <w:tab w:val="right" w:leader="dot" w:pos="8505"/>
        </w:tabs>
        <w:kinsoku/>
        <w:wordWrap/>
        <w:overflowPunct/>
        <w:topLinePunct w:val="0"/>
        <w:autoSpaceDE/>
        <w:autoSpaceDN/>
        <w:bidi w:val="0"/>
        <w:adjustRightInd/>
        <w:snapToGrid/>
        <w:spacing w:line="480" w:lineRule="auto"/>
        <w:textAlignment w:val="auto"/>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_Toc16391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第六部分 应提交的有关格式范例</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_Toc16391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36</w:t>
      </w:r>
      <w:r>
        <w:rPr>
          <w:rFonts w:hint="default" w:ascii="Times New Roman" w:hAnsi="Times New Roman"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14:paraId="5F04EA39">
      <w:pPr>
        <w:pStyle w:val="4"/>
        <w:tabs>
          <w:tab w:val="right" w:leader="dot" w:pos="8505"/>
        </w:tabs>
        <w:rPr>
          <w:color w:val="auto"/>
          <w:highlight w:val="none"/>
        </w:rPr>
      </w:pPr>
    </w:p>
    <w:p w14:paraId="78482625">
      <w:pPr>
        <w:spacing w:line="360" w:lineRule="auto"/>
        <w:jc w:val="center"/>
        <w:rPr>
          <w:rFonts w:hint="eastAsia" w:ascii="宋体" w:hAnsi="宋体" w:eastAsia="宋体"/>
          <w:b/>
          <w:color w:val="auto"/>
          <w:highlight w:val="none"/>
        </w:rPr>
        <w:sectPr>
          <w:headerReference r:id="rId3" w:type="default"/>
          <w:footerReference r:id="rId4" w:type="default"/>
          <w:pgSz w:w="11907" w:h="16840"/>
          <w:pgMar w:top="1276" w:right="1701" w:bottom="1276" w:left="1701" w:header="720" w:footer="720" w:gutter="0"/>
          <w:pgBorders>
            <w:top w:val="none" w:sz="0" w:space="0"/>
            <w:left w:val="none" w:sz="0" w:space="0"/>
            <w:bottom w:val="none" w:sz="0" w:space="0"/>
            <w:right w:val="none" w:sz="0" w:space="0"/>
          </w:pgBorders>
          <w:pgNumType w:start="1"/>
          <w:cols w:space="720" w:num="1"/>
          <w:docGrid w:type="linesAndChars" w:linePitch="285" w:charSpace="0"/>
        </w:sectPr>
      </w:pPr>
      <w:r>
        <w:rPr>
          <w:rFonts w:hint="eastAsia" w:ascii="宋体" w:hAnsi="宋体" w:eastAsia="宋体"/>
          <w:color w:val="auto"/>
          <w:highlight w:val="none"/>
        </w:rPr>
        <w:fldChar w:fldCharType="end"/>
      </w:r>
    </w:p>
    <w:p w14:paraId="0F84733D">
      <w:pPr>
        <w:spacing w:line="360" w:lineRule="auto"/>
        <w:jc w:val="center"/>
        <w:outlineLvl w:val="0"/>
        <w:rPr>
          <w:rFonts w:hint="eastAsia" w:ascii="宋体" w:hAnsi="宋体" w:eastAsia="宋体"/>
          <w:b/>
          <w:bCs/>
          <w:color w:val="auto"/>
          <w:sz w:val="32"/>
          <w:szCs w:val="32"/>
          <w:highlight w:val="none"/>
        </w:rPr>
      </w:pPr>
      <w:bookmarkStart w:id="0" w:name="_Toc27066"/>
      <w:r>
        <w:rPr>
          <w:rFonts w:hint="eastAsia" w:ascii="宋体" w:hAnsi="宋体" w:eastAsia="宋体"/>
          <w:b/>
          <w:bCs/>
          <w:color w:val="auto"/>
          <w:sz w:val="32"/>
          <w:szCs w:val="32"/>
          <w:highlight w:val="none"/>
        </w:rPr>
        <w:t>第一部分  采购公告</w:t>
      </w:r>
      <w:bookmarkEnd w:id="0"/>
    </w:p>
    <w:p w14:paraId="3D77C539">
      <w:pPr>
        <w:pBdr>
          <w:top w:val="single" w:color="000000" w:sz="4" w:space="1"/>
          <w:left w:val="single" w:color="000000" w:sz="4" w:space="4"/>
          <w:bottom w:val="single" w:color="000000" w:sz="4" w:space="1"/>
          <w:right w:val="single" w:color="000000" w:sz="4" w:space="4"/>
        </w:pBd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项目概况</w:t>
      </w:r>
    </w:p>
    <w:p w14:paraId="6915EA5F">
      <w:pPr>
        <w:pBdr>
          <w:top w:val="single" w:color="000000" w:sz="4" w:space="1"/>
          <w:left w:val="single" w:color="000000" w:sz="4" w:space="4"/>
          <w:bottom w:val="single" w:color="000000" w:sz="4" w:space="1"/>
          <w:right w:val="single" w:color="000000" w:sz="4" w:space="4"/>
        </w:pBdr>
        <w:spacing w:line="360" w:lineRule="auto"/>
        <w:ind w:firstLine="420" w:firstLineChars="200"/>
        <w:rPr>
          <w:rFonts w:hint="eastAsia" w:ascii="宋体" w:hAnsi="宋体" w:eastAsia="宋体"/>
          <w:color w:val="auto"/>
          <w:highlight w:val="none"/>
          <w:u w:val="single"/>
          <w:lang w:eastAsia="zh-CN"/>
        </w:rPr>
      </w:pPr>
      <w:r>
        <w:rPr>
          <w:rFonts w:hint="eastAsia" w:ascii="宋体" w:hAnsi="宋体"/>
          <w:color w:val="auto"/>
          <w:highlight w:val="none"/>
          <w:u w:val="single"/>
          <w:lang w:eastAsia="zh-CN"/>
        </w:rPr>
        <w:t>象山县水务集团有限公司</w:t>
      </w:r>
      <w:r>
        <w:rPr>
          <w:rFonts w:hint="eastAsia" w:ascii="宋体" w:hAnsi="宋体" w:eastAsia="宋体"/>
          <w:color w:val="auto"/>
          <w:highlight w:val="none"/>
          <w:u w:val="single"/>
          <w:lang w:eastAsia="zh-CN"/>
        </w:rPr>
        <w:t>2025</w:t>
      </w:r>
      <w:r>
        <w:rPr>
          <w:rFonts w:hint="eastAsia" w:ascii="宋体" w:hAnsi="宋体"/>
          <w:color w:val="auto"/>
          <w:highlight w:val="none"/>
          <w:u w:val="single"/>
          <w:lang w:val="en-US" w:eastAsia="zh-CN"/>
        </w:rPr>
        <w:t>-2026</w:t>
      </w:r>
      <w:r>
        <w:rPr>
          <w:rFonts w:hint="eastAsia" w:ascii="宋体" w:hAnsi="宋体" w:eastAsia="宋体"/>
          <w:color w:val="auto"/>
          <w:highlight w:val="none"/>
          <w:u w:val="single"/>
          <w:lang w:eastAsia="zh-CN"/>
        </w:rPr>
        <w:t>年度次氯酸钠、氢氧化钠采购项目</w:t>
      </w:r>
      <w:r>
        <w:rPr>
          <w:rFonts w:hint="eastAsia" w:ascii="宋体" w:hAnsi="宋体" w:eastAsia="宋体"/>
          <w:color w:val="auto"/>
          <w:highlight w:val="none"/>
        </w:rPr>
        <w:t>招标项目的潜在投标人应在</w:t>
      </w:r>
      <w:r>
        <w:rPr>
          <w:rFonts w:hint="eastAsia" w:ascii="宋体" w:hAnsi="宋体" w:eastAsia="宋体"/>
          <w:color w:val="auto"/>
          <w:highlight w:val="none"/>
          <w:u w:val="single"/>
          <w:lang w:val="en-US" w:eastAsia="zh-CN"/>
        </w:rPr>
        <w:t>乐采云</w:t>
      </w:r>
      <w:r>
        <w:rPr>
          <w:rFonts w:hint="eastAsia" w:ascii="宋体" w:hAnsi="宋体" w:eastAsia="宋体"/>
          <w:color w:val="auto"/>
          <w:highlight w:val="none"/>
          <w:u w:val="single"/>
        </w:rPr>
        <w:t>平台（</w:t>
      </w: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"http://www.zcygov.cn）获取（下载）招标文件，并于2020年" </w:instrText>
      </w:r>
      <w:r>
        <w:rPr>
          <w:rFonts w:hint="eastAsia" w:ascii="宋体" w:hAnsi="宋体" w:eastAsia="宋体"/>
          <w:color w:val="auto"/>
          <w:highlight w:val="none"/>
        </w:rPr>
        <w:fldChar w:fldCharType="separate"/>
      </w:r>
      <w:r>
        <w:rPr>
          <w:rStyle w:val="72"/>
          <w:rFonts w:hint="eastAsia" w:ascii="宋体" w:hAnsi="宋体" w:eastAsia="宋体"/>
          <w:color w:val="auto"/>
          <w:highlight w:val="none"/>
          <w:lang w:eastAsia="zh-CN"/>
        </w:rPr>
        <w:t>https://www.lecaiyun.com/</w:t>
      </w:r>
      <w:r>
        <w:rPr>
          <w:rStyle w:val="72"/>
          <w:rFonts w:hint="eastAsia" w:ascii="宋体" w:hAnsi="宋体" w:eastAsia="宋体"/>
          <w:color w:val="auto"/>
          <w:highlight w:val="none"/>
        </w:rPr>
        <w:t>）获取（下载）招标文件，并于202</w:t>
      </w:r>
      <w:r>
        <w:rPr>
          <w:rStyle w:val="72"/>
          <w:rFonts w:hint="eastAsia" w:ascii="宋体" w:hAnsi="宋体"/>
          <w:color w:val="auto"/>
          <w:highlight w:val="none"/>
          <w:lang w:val="en-US" w:eastAsia="zh-CN"/>
        </w:rPr>
        <w:t>5</w:t>
      </w:r>
      <w:r>
        <w:rPr>
          <w:rStyle w:val="72"/>
          <w:rFonts w:hint="eastAsia" w:ascii="宋体" w:hAnsi="宋体" w:eastAsia="宋体"/>
          <w:bCs/>
          <w:color w:val="auto"/>
          <w:highlight w:val="none"/>
        </w:rPr>
        <w:t>年</w:t>
      </w:r>
      <w:r>
        <w:rPr>
          <w:rFonts w:hint="eastAsia" w:ascii="宋体" w:hAnsi="宋体" w:eastAsia="宋体"/>
          <w:bCs/>
          <w:color w:val="auto"/>
          <w:highlight w:val="none"/>
        </w:rPr>
        <w:fldChar w:fldCharType="end"/>
      </w:r>
      <w:r>
        <w:rPr>
          <w:rFonts w:hint="eastAsia" w:ascii="宋体" w:hAnsi="宋体"/>
          <w:bCs/>
          <w:color w:val="auto"/>
          <w:highlight w:val="none"/>
          <w:u w:val="single"/>
          <w:lang w:val="en-US" w:eastAsia="zh-CN"/>
        </w:rPr>
        <w:t>2</w:t>
      </w:r>
      <w:r>
        <w:rPr>
          <w:rFonts w:hint="eastAsia" w:ascii="宋体" w:hAnsi="宋体" w:eastAsia="宋体"/>
          <w:bCs/>
          <w:color w:val="auto"/>
          <w:highlight w:val="none"/>
          <w:u w:val="single"/>
        </w:rPr>
        <w:t>月</w:t>
      </w:r>
      <w:r>
        <w:rPr>
          <w:rFonts w:hint="eastAsia" w:ascii="宋体" w:hAnsi="宋体"/>
          <w:bCs/>
          <w:color w:val="auto"/>
          <w:highlight w:val="none"/>
          <w:u w:val="single"/>
          <w:lang w:val="en-US" w:eastAsia="zh-CN"/>
        </w:rPr>
        <w:t>13</w:t>
      </w:r>
      <w:r>
        <w:rPr>
          <w:rFonts w:hint="eastAsia" w:ascii="宋体" w:hAnsi="宋体" w:eastAsia="宋体"/>
          <w:bCs/>
          <w:color w:val="auto"/>
          <w:highlight w:val="none"/>
          <w:u w:val="single"/>
        </w:rPr>
        <w:t>日</w:t>
      </w:r>
      <w:r>
        <w:rPr>
          <w:rFonts w:hint="eastAsia" w:ascii="宋体" w:hAnsi="宋体"/>
          <w:bCs/>
          <w:color w:val="auto"/>
          <w:highlight w:val="none"/>
          <w:u w:val="single"/>
          <w:lang w:val="en-US" w:eastAsia="zh-CN"/>
        </w:rPr>
        <w:t>09</w:t>
      </w:r>
      <w:r>
        <w:rPr>
          <w:rFonts w:hint="eastAsia" w:ascii="宋体" w:hAnsi="宋体" w:eastAsia="宋体"/>
          <w:bCs/>
          <w:color w:val="auto"/>
          <w:highlight w:val="none"/>
          <w:u w:val="single"/>
        </w:rPr>
        <w:t>点</w:t>
      </w:r>
      <w:r>
        <w:rPr>
          <w:rFonts w:hint="eastAsia" w:ascii="宋体" w:hAnsi="宋体"/>
          <w:bCs/>
          <w:color w:val="auto"/>
          <w:highlight w:val="none"/>
          <w:u w:val="single"/>
          <w:lang w:val="en-US" w:eastAsia="zh-CN"/>
        </w:rPr>
        <w:t>1</w:t>
      </w:r>
      <w:r>
        <w:rPr>
          <w:rFonts w:hint="eastAsia" w:ascii="宋体" w:hAnsi="宋体" w:eastAsia="宋体"/>
          <w:bCs/>
          <w:color w:val="auto"/>
          <w:highlight w:val="none"/>
          <w:u w:val="single"/>
        </w:rPr>
        <w:t>0分（</w:t>
      </w:r>
      <w:r>
        <w:rPr>
          <w:rFonts w:hint="eastAsia" w:ascii="宋体" w:hAnsi="宋体" w:eastAsia="宋体"/>
          <w:bCs/>
          <w:color w:val="auto"/>
          <w:highlight w:val="none"/>
        </w:rPr>
        <w:t>北京时间）前递交投标文件</w:t>
      </w:r>
      <w:r>
        <w:rPr>
          <w:rFonts w:hint="eastAsia" w:ascii="宋体" w:hAnsi="宋体" w:eastAsia="宋体"/>
          <w:color w:val="auto"/>
          <w:highlight w:val="none"/>
        </w:rPr>
        <w:t>。</w:t>
      </w:r>
    </w:p>
    <w:p w14:paraId="62391068">
      <w:pPr>
        <w:ind w:firstLine="200"/>
        <w:rPr>
          <w:rFonts w:hint="eastAsia" w:ascii="宋体" w:hAnsi="宋体" w:eastAsia="宋体"/>
          <w:color w:val="auto"/>
          <w:highlight w:val="none"/>
        </w:rPr>
      </w:pPr>
    </w:p>
    <w:p w14:paraId="7F916173">
      <w:pPr>
        <w:pStyle w:val="8"/>
        <w:spacing w:line="360" w:lineRule="auto"/>
        <w:jc w:val="both"/>
        <w:rPr>
          <w:rFonts w:hint="eastAsia" w:ascii="宋体" w:hAnsi="宋体" w:eastAsia="宋体"/>
          <w:color w:val="auto"/>
          <w:sz w:val="21"/>
          <w:szCs w:val="21"/>
          <w:highlight w:val="none"/>
        </w:rPr>
      </w:pPr>
      <w:bookmarkStart w:id="1" w:name="_Toc35393790"/>
      <w:bookmarkEnd w:id="1"/>
      <w:bookmarkStart w:id="2" w:name="_Toc28359079"/>
      <w:bookmarkEnd w:id="2"/>
      <w:bookmarkStart w:id="3" w:name="_Toc28359002"/>
      <w:bookmarkEnd w:id="3"/>
      <w:bookmarkStart w:id="4" w:name="_Toc35393621"/>
      <w:bookmarkEnd w:id="4"/>
      <w:bookmarkStart w:id="5" w:name="_Toc27739"/>
      <w:bookmarkStart w:id="6" w:name="_Hlk24379207"/>
      <w:r>
        <w:rPr>
          <w:rFonts w:hint="eastAsia" w:ascii="宋体" w:hAnsi="宋体" w:eastAsia="宋体"/>
          <w:color w:val="auto"/>
          <w:sz w:val="21"/>
          <w:szCs w:val="21"/>
          <w:highlight w:val="none"/>
        </w:rPr>
        <w:t>一、项目基本情况</w:t>
      </w:r>
      <w:bookmarkEnd w:id="5"/>
    </w:p>
    <w:bookmarkEnd w:id="6"/>
    <w:p w14:paraId="5EAEE918">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项目编号：</w:t>
      </w:r>
      <w:r>
        <w:rPr>
          <w:rFonts w:hint="eastAsia" w:ascii="宋体" w:hAnsi="宋体"/>
          <w:color w:val="auto"/>
          <w:highlight w:val="none"/>
          <w:lang w:eastAsia="zh-CN"/>
        </w:rPr>
        <w:t>NBGODOZB324087</w:t>
      </w:r>
    </w:p>
    <w:p w14:paraId="43E06978">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项目名称：</w:t>
      </w:r>
      <w:r>
        <w:rPr>
          <w:rFonts w:hint="eastAsia" w:ascii="宋体" w:hAnsi="宋体"/>
          <w:color w:val="auto"/>
          <w:highlight w:val="none"/>
          <w:lang w:eastAsia="zh-CN"/>
        </w:rPr>
        <w:t>象山县水务集团有限公司</w:t>
      </w:r>
      <w:r>
        <w:rPr>
          <w:rFonts w:hint="eastAsia" w:ascii="宋体" w:hAnsi="宋体" w:eastAsia="宋体"/>
          <w:color w:val="auto"/>
          <w:highlight w:val="none"/>
          <w:lang w:eastAsia="zh-CN"/>
        </w:rPr>
        <w:t>2025</w:t>
      </w:r>
      <w:r>
        <w:rPr>
          <w:rFonts w:hint="eastAsia" w:ascii="宋体" w:hAnsi="宋体"/>
          <w:color w:val="auto"/>
          <w:highlight w:val="none"/>
          <w:lang w:val="en-US" w:eastAsia="zh-CN"/>
        </w:rPr>
        <w:t>-2026</w:t>
      </w:r>
      <w:r>
        <w:rPr>
          <w:rFonts w:hint="eastAsia" w:ascii="宋体" w:hAnsi="宋体" w:eastAsia="宋体"/>
          <w:color w:val="auto"/>
          <w:highlight w:val="none"/>
          <w:lang w:eastAsia="zh-CN"/>
        </w:rPr>
        <w:t>年度次氯酸钠、氢氧化钠采购项目</w:t>
      </w:r>
    </w:p>
    <w:p w14:paraId="6851A06C">
      <w:pPr>
        <w:spacing w:line="360" w:lineRule="auto"/>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rPr>
        <w:t>预算金额（元）：</w:t>
      </w:r>
      <w:r>
        <w:rPr>
          <w:rFonts w:hint="eastAsia" w:ascii="宋体" w:hAnsi="宋体"/>
          <w:color w:val="auto"/>
          <w:highlight w:val="none"/>
          <w:lang w:eastAsia="zh-CN"/>
        </w:rPr>
        <w:t>2166600</w:t>
      </w:r>
    </w:p>
    <w:p w14:paraId="32B442F6">
      <w:pPr>
        <w:spacing w:line="360" w:lineRule="auto"/>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rPr>
        <w:t>最高限价（元）：</w:t>
      </w:r>
      <w:r>
        <w:rPr>
          <w:rFonts w:hint="eastAsia" w:ascii="宋体" w:hAnsi="宋体"/>
          <w:color w:val="auto"/>
          <w:highlight w:val="none"/>
          <w:lang w:eastAsia="zh-CN"/>
        </w:rPr>
        <w:t>2166600</w:t>
      </w:r>
    </w:p>
    <w:p w14:paraId="29CDB219">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采购需求：</w:t>
      </w:r>
    </w:p>
    <w:p w14:paraId="1B00A5FB">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  标项一：</w:t>
      </w:r>
    </w:p>
    <w:p w14:paraId="0422BB33">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  标项名称：</w:t>
      </w:r>
      <w:r>
        <w:rPr>
          <w:rFonts w:hint="eastAsia" w:ascii="宋体" w:hAnsi="宋体"/>
          <w:color w:val="auto"/>
          <w:highlight w:val="none"/>
          <w:lang w:eastAsia="zh-CN"/>
        </w:rPr>
        <w:t>象山县水务集团有限公司</w:t>
      </w:r>
      <w:r>
        <w:rPr>
          <w:rFonts w:hint="eastAsia" w:ascii="宋体" w:hAnsi="宋体" w:eastAsia="宋体"/>
          <w:color w:val="auto"/>
          <w:highlight w:val="none"/>
          <w:lang w:eastAsia="zh-CN"/>
        </w:rPr>
        <w:t>2025</w:t>
      </w:r>
      <w:r>
        <w:rPr>
          <w:rFonts w:hint="eastAsia" w:ascii="宋体" w:hAnsi="宋体"/>
          <w:color w:val="auto"/>
          <w:highlight w:val="none"/>
          <w:lang w:val="en-US" w:eastAsia="zh-CN"/>
        </w:rPr>
        <w:t>-2026</w:t>
      </w:r>
      <w:r>
        <w:rPr>
          <w:rFonts w:hint="eastAsia" w:ascii="宋体" w:hAnsi="宋体" w:eastAsia="宋体"/>
          <w:color w:val="auto"/>
          <w:highlight w:val="none"/>
          <w:lang w:eastAsia="zh-CN"/>
        </w:rPr>
        <w:t>年度次氯酸钠、氢氧化钠采购项目</w:t>
      </w:r>
    </w:p>
    <w:p w14:paraId="53607723">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  数量：1</w:t>
      </w:r>
    </w:p>
    <w:p w14:paraId="36639FDF">
      <w:pPr>
        <w:spacing w:line="360" w:lineRule="auto"/>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rPr>
        <w:t xml:space="preserve">  预算金额（元）：</w:t>
      </w:r>
      <w:r>
        <w:rPr>
          <w:rFonts w:hint="eastAsia" w:ascii="宋体" w:hAnsi="宋体"/>
          <w:color w:val="auto"/>
          <w:highlight w:val="none"/>
          <w:lang w:eastAsia="zh-CN"/>
        </w:rPr>
        <w:t>2166600</w:t>
      </w:r>
    </w:p>
    <w:p w14:paraId="56E403A2">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  简要规格描述或项目基本概况介绍、用途：</w:t>
      </w:r>
      <w:r>
        <w:rPr>
          <w:rFonts w:hint="eastAsia" w:ascii="宋体" w:hAnsi="宋体"/>
          <w:color w:val="auto"/>
          <w:highlight w:val="none"/>
          <w:lang w:eastAsia="zh-CN"/>
        </w:rPr>
        <w:t>象山县水务集团有限公司</w:t>
      </w:r>
      <w:r>
        <w:rPr>
          <w:rFonts w:hint="eastAsia" w:ascii="宋体" w:hAnsi="宋体" w:eastAsia="宋体"/>
          <w:color w:val="auto"/>
          <w:highlight w:val="none"/>
          <w:lang w:eastAsia="zh-CN"/>
        </w:rPr>
        <w:t>2025</w:t>
      </w:r>
      <w:r>
        <w:rPr>
          <w:rFonts w:hint="eastAsia" w:ascii="宋体" w:hAnsi="宋体"/>
          <w:color w:val="auto"/>
          <w:highlight w:val="none"/>
          <w:lang w:val="en-US" w:eastAsia="zh-CN"/>
        </w:rPr>
        <w:t>-2026</w:t>
      </w:r>
      <w:r>
        <w:rPr>
          <w:rFonts w:hint="eastAsia" w:ascii="宋体" w:hAnsi="宋体" w:eastAsia="宋体"/>
          <w:color w:val="auto"/>
          <w:highlight w:val="none"/>
          <w:lang w:eastAsia="zh-CN"/>
        </w:rPr>
        <w:t>年度次氯酸钠、氢氧化钠采购项目</w:t>
      </w:r>
      <w:r>
        <w:rPr>
          <w:rFonts w:hint="eastAsia" w:ascii="宋体" w:hAnsi="宋体" w:eastAsia="宋体"/>
          <w:color w:val="auto"/>
          <w:highlight w:val="none"/>
        </w:rPr>
        <w:t>，具体详见第三部分采购需求。</w:t>
      </w:r>
    </w:p>
    <w:p w14:paraId="60589E82">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  备注：</w:t>
      </w:r>
    </w:p>
    <w:p w14:paraId="74634DE7">
      <w:pPr>
        <w:ind w:firstLine="480"/>
        <w:rPr>
          <w:rFonts w:hint="eastAsia" w:ascii="宋体" w:hAnsi="宋体" w:eastAsia="宋体"/>
          <w:color w:val="auto"/>
          <w:highlight w:val="none"/>
        </w:rPr>
      </w:pPr>
      <w:r>
        <w:rPr>
          <w:rFonts w:hint="eastAsia" w:ascii="宋体" w:hAnsi="宋体" w:eastAsia="宋体"/>
          <w:color w:val="auto"/>
          <w:highlight w:val="none"/>
        </w:rPr>
        <w:t>合同履行期限：</w:t>
      </w:r>
      <w:r>
        <w:rPr>
          <w:rFonts w:hint="eastAsia" w:ascii="宋体" w:hAnsi="宋体" w:eastAsia="宋体"/>
          <w:color w:val="auto"/>
          <w:highlight w:val="none"/>
          <w:lang w:eastAsia="zh-CN"/>
        </w:rPr>
        <w:t>合同签订之日起24个月</w:t>
      </w:r>
      <w:r>
        <w:rPr>
          <w:rFonts w:hint="eastAsia" w:ascii="宋体" w:hAnsi="宋体" w:eastAsia="宋体"/>
          <w:color w:val="auto"/>
          <w:szCs w:val="21"/>
          <w:highlight w:val="none"/>
        </w:rPr>
        <w:t>。</w:t>
      </w:r>
    </w:p>
    <w:p w14:paraId="1145C45E">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本项目（否）接受联合体投标。</w:t>
      </w:r>
    </w:p>
    <w:p w14:paraId="37F15D5B">
      <w:pPr>
        <w:pStyle w:val="8"/>
        <w:spacing w:line="360" w:lineRule="auto"/>
        <w:jc w:val="both"/>
        <w:rPr>
          <w:rFonts w:hint="eastAsia" w:ascii="宋体" w:hAnsi="宋体" w:eastAsia="宋体"/>
          <w:color w:val="auto"/>
          <w:sz w:val="21"/>
          <w:szCs w:val="21"/>
          <w:highlight w:val="none"/>
        </w:rPr>
      </w:pPr>
      <w:bookmarkStart w:id="7" w:name="_Toc35393791"/>
      <w:bookmarkEnd w:id="7"/>
      <w:bookmarkStart w:id="8" w:name="_Toc28359003"/>
      <w:bookmarkEnd w:id="8"/>
      <w:bookmarkStart w:id="9" w:name="_Toc35393622"/>
      <w:bookmarkEnd w:id="9"/>
      <w:bookmarkStart w:id="10" w:name="_Toc28359080"/>
      <w:bookmarkEnd w:id="10"/>
      <w:bookmarkStart w:id="11" w:name="_Toc6588"/>
      <w:r>
        <w:rPr>
          <w:rFonts w:hint="eastAsia" w:ascii="宋体" w:hAnsi="宋体" w:eastAsia="宋体"/>
          <w:color w:val="auto"/>
          <w:sz w:val="21"/>
          <w:szCs w:val="21"/>
          <w:highlight w:val="none"/>
        </w:rPr>
        <w:t>二、申请人的资格要求：</w:t>
      </w:r>
      <w:bookmarkEnd w:id="11"/>
    </w:p>
    <w:p w14:paraId="0A84D860">
      <w:pPr>
        <w:spacing w:line="360" w:lineRule="auto"/>
        <w:ind w:firstLine="420" w:firstLineChars="200"/>
        <w:rPr>
          <w:rFonts w:hint="eastAsia" w:ascii="宋体" w:hAnsi="宋体" w:eastAsia="宋体"/>
          <w:color w:val="auto"/>
          <w:highlight w:val="none"/>
        </w:rPr>
      </w:pPr>
      <w:bookmarkStart w:id="12" w:name="_Toc28359004"/>
      <w:bookmarkStart w:id="13" w:name="_Toc28359081"/>
      <w:r>
        <w:rPr>
          <w:rFonts w:hint="eastAsia" w:ascii="宋体" w:hAnsi="宋体" w:eastAsia="宋体"/>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3A1021F">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2.落实政府采购政策需满足的资格要求：无。</w:t>
      </w:r>
    </w:p>
    <w:p w14:paraId="70CD80E7">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055050F6">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4.本项目的特定资格要求：</w:t>
      </w:r>
      <w:r>
        <w:rPr>
          <w:rFonts w:hint="eastAsia" w:ascii="宋体" w:hAnsi="宋体"/>
          <w:color w:val="auto"/>
          <w:szCs w:val="21"/>
          <w:highlight w:val="none"/>
        </w:rPr>
        <w:t>①投标人为</w:t>
      </w:r>
      <w:r>
        <w:rPr>
          <w:rFonts w:hint="eastAsia" w:ascii="宋体" w:hAnsi="宋体" w:eastAsia="宋体"/>
          <w:color w:val="auto"/>
          <w:highlight w:val="none"/>
          <w:lang w:eastAsia="zh-CN"/>
        </w:rPr>
        <w:t>次氯酸钠、氢氧化钠</w:t>
      </w:r>
      <w:r>
        <w:rPr>
          <w:rFonts w:hint="eastAsia" w:ascii="宋体" w:hAnsi="宋体"/>
          <w:color w:val="auto"/>
          <w:szCs w:val="21"/>
          <w:highlight w:val="none"/>
        </w:rPr>
        <w:t>生产厂家的需具有有效的危险化学品生产企业安全生产许可证、危险化学品经营许可证；投标人为经销商的，需提供有效的危险化学品经营许可证（经营范围须包括</w:t>
      </w:r>
      <w:r>
        <w:rPr>
          <w:rFonts w:hint="eastAsia" w:ascii="宋体" w:hAnsi="宋体" w:eastAsia="宋体"/>
          <w:color w:val="auto"/>
          <w:highlight w:val="none"/>
          <w:lang w:eastAsia="zh-CN"/>
        </w:rPr>
        <w:t>次氯酸钠、氢氧化钠</w:t>
      </w:r>
      <w:r>
        <w:rPr>
          <w:rFonts w:hint="eastAsia" w:ascii="宋体" w:hAnsi="宋体"/>
          <w:color w:val="auto"/>
          <w:szCs w:val="21"/>
          <w:highlight w:val="none"/>
        </w:rPr>
        <w:t>）、</w:t>
      </w:r>
      <w:r>
        <w:rPr>
          <w:rFonts w:hint="eastAsia" w:ascii="宋体" w:hAnsi="宋体" w:eastAsia="宋体"/>
          <w:color w:val="auto"/>
          <w:highlight w:val="none"/>
          <w:lang w:eastAsia="zh-CN"/>
        </w:rPr>
        <w:t>次氯酸钠、氢氧化钠</w:t>
      </w:r>
      <w:r>
        <w:rPr>
          <w:rFonts w:hint="eastAsia" w:ascii="宋体" w:hAnsi="宋体"/>
          <w:color w:val="auto"/>
          <w:szCs w:val="21"/>
          <w:highlight w:val="none"/>
        </w:rPr>
        <w:t>生产厂家的危险化学品经营许可证；②投标人须具备道路运输经营许可证(须包含危险货物运输)，如投标人不具备道路运输经营许可证，可委托具有相应资质的单位负责运输，投标人须提供委托运输单位的道路运输经营许可证(须包含危险货物运输)</w:t>
      </w:r>
      <w:r>
        <w:rPr>
          <w:rFonts w:hint="eastAsia" w:ascii="宋体" w:hAnsi="宋体" w:eastAsia="宋体"/>
          <w:color w:val="auto"/>
          <w:szCs w:val="21"/>
          <w:highlight w:val="none"/>
          <w:lang w:eastAsia="zh-CN"/>
        </w:rPr>
        <w:t>。</w:t>
      </w:r>
    </w:p>
    <w:p w14:paraId="0C763E15">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5.本项目不接受联合体投标。</w:t>
      </w:r>
    </w:p>
    <w:p w14:paraId="0D18133C">
      <w:pPr>
        <w:pStyle w:val="18"/>
        <w:rPr>
          <w:rFonts w:hint="eastAsia" w:ascii="宋体" w:hAnsi="宋体" w:eastAsia="宋体"/>
          <w:color w:val="auto"/>
          <w:highlight w:val="none"/>
          <w:lang w:val="en-US" w:eastAsia="zh-CN"/>
        </w:rPr>
      </w:pPr>
    </w:p>
    <w:bookmarkEnd w:id="12"/>
    <w:bookmarkEnd w:id="13"/>
    <w:p w14:paraId="7FBEEB8F">
      <w:pPr>
        <w:pStyle w:val="8"/>
        <w:spacing w:line="360" w:lineRule="auto"/>
        <w:jc w:val="both"/>
        <w:rPr>
          <w:rFonts w:hint="eastAsia" w:ascii="宋体" w:hAnsi="宋体" w:eastAsia="宋体"/>
          <w:color w:val="auto"/>
          <w:sz w:val="21"/>
          <w:szCs w:val="21"/>
          <w:highlight w:val="none"/>
        </w:rPr>
      </w:pPr>
      <w:bookmarkStart w:id="14" w:name="_Toc35393792"/>
      <w:bookmarkEnd w:id="14"/>
      <w:bookmarkStart w:id="15" w:name="_Toc35393623"/>
      <w:bookmarkEnd w:id="15"/>
      <w:bookmarkStart w:id="16" w:name="_Toc27255"/>
      <w:r>
        <w:rPr>
          <w:rFonts w:hint="eastAsia" w:ascii="宋体" w:hAnsi="宋体" w:eastAsia="宋体"/>
          <w:color w:val="auto"/>
          <w:sz w:val="21"/>
          <w:szCs w:val="21"/>
          <w:highlight w:val="none"/>
        </w:rPr>
        <w:t>三、获取招标文件</w:t>
      </w:r>
      <w:bookmarkEnd w:id="16"/>
    </w:p>
    <w:p w14:paraId="43E1C9ED">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时间：</w:t>
      </w:r>
      <w:r>
        <w:rPr>
          <w:rFonts w:hint="eastAsia" w:ascii="宋体" w:hAnsi="宋体" w:eastAsia="宋体"/>
          <w:color w:val="auto"/>
          <w:highlight w:val="none"/>
          <w:u w:val="single"/>
        </w:rPr>
        <w:t>202</w:t>
      </w:r>
      <w:r>
        <w:rPr>
          <w:rFonts w:hint="eastAsia" w:ascii="宋体" w:hAnsi="宋体"/>
          <w:color w:val="auto"/>
          <w:highlight w:val="none"/>
          <w:u w:val="single"/>
          <w:lang w:val="en-US" w:eastAsia="zh-CN"/>
        </w:rPr>
        <w:t>5</w:t>
      </w:r>
      <w:r>
        <w:rPr>
          <w:rFonts w:hint="eastAsia" w:ascii="宋体" w:hAnsi="宋体" w:eastAsia="宋体"/>
          <w:bCs/>
          <w:color w:val="auto"/>
          <w:highlight w:val="none"/>
          <w:u w:val="single"/>
        </w:rPr>
        <w:t>年</w:t>
      </w:r>
      <w:r>
        <w:rPr>
          <w:rFonts w:hint="eastAsia" w:ascii="宋体" w:hAnsi="宋体"/>
          <w:bCs/>
          <w:color w:val="auto"/>
          <w:highlight w:val="none"/>
          <w:u w:val="single"/>
          <w:lang w:val="en-US" w:eastAsia="zh-CN"/>
        </w:rPr>
        <w:t>01</w:t>
      </w:r>
      <w:r>
        <w:rPr>
          <w:rFonts w:hint="eastAsia" w:ascii="宋体" w:hAnsi="宋体" w:eastAsia="宋体"/>
          <w:bCs/>
          <w:color w:val="auto"/>
          <w:highlight w:val="none"/>
          <w:u w:val="single"/>
        </w:rPr>
        <w:t>月</w:t>
      </w:r>
      <w:r>
        <w:rPr>
          <w:rFonts w:hint="eastAsia" w:ascii="宋体" w:hAnsi="宋体"/>
          <w:bCs/>
          <w:color w:val="auto"/>
          <w:highlight w:val="none"/>
          <w:u w:val="single"/>
          <w:lang w:val="en-US" w:eastAsia="zh-CN"/>
        </w:rPr>
        <w:t>20</w:t>
      </w:r>
      <w:r>
        <w:rPr>
          <w:rFonts w:hint="eastAsia" w:ascii="宋体" w:hAnsi="宋体" w:eastAsia="宋体"/>
          <w:bCs/>
          <w:color w:val="auto"/>
          <w:highlight w:val="none"/>
          <w:u w:val="single"/>
        </w:rPr>
        <w:t>日</w:t>
      </w:r>
      <w:r>
        <w:rPr>
          <w:rFonts w:hint="eastAsia" w:ascii="宋体" w:hAnsi="宋体" w:eastAsia="宋体"/>
          <w:color w:val="auto"/>
          <w:highlight w:val="none"/>
        </w:rPr>
        <w:t>至</w:t>
      </w:r>
      <w:r>
        <w:rPr>
          <w:rFonts w:hint="eastAsia" w:ascii="宋体" w:hAnsi="宋体" w:eastAsia="宋体"/>
          <w:color w:val="auto"/>
          <w:highlight w:val="none"/>
          <w:u w:val="single"/>
        </w:rPr>
        <w:t>202</w:t>
      </w:r>
      <w:r>
        <w:rPr>
          <w:rFonts w:hint="eastAsia" w:ascii="宋体" w:hAnsi="宋体"/>
          <w:color w:val="auto"/>
          <w:highlight w:val="none"/>
          <w:u w:val="single"/>
          <w:lang w:val="en-US" w:eastAsia="zh-CN"/>
        </w:rPr>
        <w:t>5</w:t>
      </w:r>
      <w:r>
        <w:rPr>
          <w:rFonts w:hint="eastAsia" w:ascii="宋体" w:hAnsi="宋体" w:eastAsia="宋体"/>
          <w:bCs/>
          <w:color w:val="auto"/>
          <w:highlight w:val="none"/>
          <w:u w:val="single"/>
        </w:rPr>
        <w:t>年</w:t>
      </w:r>
      <w:r>
        <w:rPr>
          <w:rFonts w:hint="eastAsia" w:ascii="宋体" w:hAnsi="宋体"/>
          <w:bCs/>
          <w:color w:val="auto"/>
          <w:highlight w:val="none"/>
          <w:u w:val="single"/>
          <w:lang w:val="en-US" w:eastAsia="zh-CN"/>
        </w:rPr>
        <w:t>2</w:t>
      </w:r>
      <w:r>
        <w:rPr>
          <w:rFonts w:hint="eastAsia" w:ascii="宋体" w:hAnsi="宋体" w:eastAsia="宋体"/>
          <w:bCs/>
          <w:color w:val="auto"/>
          <w:highlight w:val="none"/>
          <w:u w:val="single"/>
        </w:rPr>
        <w:t>月</w:t>
      </w:r>
      <w:r>
        <w:rPr>
          <w:rFonts w:hint="eastAsia" w:ascii="宋体" w:hAnsi="宋体"/>
          <w:bCs/>
          <w:color w:val="auto"/>
          <w:highlight w:val="none"/>
          <w:u w:val="single"/>
          <w:lang w:val="en-US" w:eastAsia="zh-CN"/>
        </w:rPr>
        <w:t>08</w:t>
      </w:r>
      <w:r>
        <w:rPr>
          <w:rFonts w:hint="eastAsia" w:ascii="宋体" w:hAnsi="宋体" w:eastAsia="宋体"/>
          <w:bCs/>
          <w:color w:val="auto"/>
          <w:highlight w:val="none"/>
          <w:u w:val="single"/>
        </w:rPr>
        <w:t>日</w:t>
      </w:r>
      <w:r>
        <w:rPr>
          <w:rFonts w:hint="eastAsia" w:ascii="宋体" w:hAnsi="宋体" w:eastAsia="宋体"/>
          <w:color w:val="auto"/>
          <w:highlight w:val="none"/>
        </w:rPr>
        <w:t>，每天上午</w:t>
      </w:r>
      <w:r>
        <w:rPr>
          <w:rFonts w:hint="eastAsia" w:ascii="宋体" w:hAnsi="宋体" w:eastAsia="宋体"/>
          <w:color w:val="auto"/>
          <w:highlight w:val="none"/>
          <w:u w:val="single"/>
        </w:rPr>
        <w:t>00:00</w:t>
      </w:r>
      <w:r>
        <w:rPr>
          <w:rFonts w:hint="eastAsia" w:ascii="宋体" w:hAnsi="宋体" w:eastAsia="宋体"/>
          <w:color w:val="auto"/>
          <w:highlight w:val="none"/>
        </w:rPr>
        <w:t>至</w:t>
      </w:r>
      <w:r>
        <w:rPr>
          <w:rFonts w:hint="eastAsia" w:ascii="宋体" w:hAnsi="宋体" w:eastAsia="宋体"/>
          <w:color w:val="auto"/>
          <w:highlight w:val="none"/>
          <w:u w:val="single"/>
        </w:rPr>
        <w:t>12:00</w:t>
      </w:r>
      <w:r>
        <w:rPr>
          <w:rFonts w:hint="eastAsia" w:ascii="宋体" w:hAnsi="宋体" w:eastAsia="宋体"/>
          <w:color w:val="auto"/>
          <w:highlight w:val="none"/>
        </w:rPr>
        <w:t>，下午</w:t>
      </w:r>
      <w:r>
        <w:rPr>
          <w:rFonts w:hint="eastAsia" w:ascii="宋体" w:hAnsi="宋体" w:eastAsia="宋体"/>
          <w:color w:val="auto"/>
          <w:highlight w:val="none"/>
          <w:u w:val="single"/>
        </w:rPr>
        <w:t>12:00</w:t>
      </w:r>
      <w:r>
        <w:rPr>
          <w:rFonts w:hint="eastAsia" w:ascii="宋体" w:hAnsi="宋体" w:eastAsia="宋体"/>
          <w:color w:val="auto"/>
          <w:highlight w:val="none"/>
        </w:rPr>
        <w:t>至</w:t>
      </w:r>
      <w:r>
        <w:rPr>
          <w:rFonts w:hint="eastAsia" w:ascii="宋体" w:hAnsi="宋体" w:eastAsia="宋体"/>
          <w:color w:val="auto"/>
          <w:highlight w:val="none"/>
          <w:u w:val="single"/>
        </w:rPr>
        <w:t>23:59</w:t>
      </w:r>
      <w:r>
        <w:rPr>
          <w:rFonts w:hint="eastAsia" w:ascii="宋体" w:hAnsi="宋体" w:eastAsia="宋体"/>
          <w:color w:val="auto"/>
          <w:highlight w:val="none"/>
        </w:rPr>
        <w:t>（北京时间）</w:t>
      </w:r>
    </w:p>
    <w:p w14:paraId="08C8DCF4">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地点（网址）：</w:t>
      </w:r>
      <w:r>
        <w:rPr>
          <w:rFonts w:hint="eastAsia" w:ascii="宋体" w:hAnsi="宋体" w:eastAsia="宋体"/>
          <w:color w:val="auto"/>
          <w:highlight w:val="none"/>
          <w:lang w:eastAsia="zh-CN"/>
        </w:rPr>
        <w:t>乐采云平台（https://www.lecaiyun.com/）</w:t>
      </w:r>
      <w:r>
        <w:rPr>
          <w:rFonts w:hint="eastAsia" w:ascii="宋体" w:hAnsi="宋体" w:eastAsia="宋体"/>
          <w:color w:val="auto"/>
          <w:highlight w:val="none"/>
        </w:rPr>
        <w:t>。</w:t>
      </w:r>
    </w:p>
    <w:p w14:paraId="5695EBDC">
      <w:pPr>
        <w:snapToGrid w:val="0"/>
        <w:spacing w:line="400" w:lineRule="exact"/>
        <w:ind w:firstLine="411" w:firstLineChars="196"/>
        <w:rPr>
          <w:rFonts w:hint="eastAsia" w:ascii="宋体" w:hAnsi="宋体" w:eastAsia="宋体"/>
          <w:color w:val="auto"/>
          <w:highlight w:val="none"/>
        </w:rPr>
      </w:pPr>
      <w:r>
        <w:rPr>
          <w:rFonts w:hint="eastAsia" w:ascii="宋体" w:hAnsi="宋体" w:eastAsia="宋体"/>
          <w:color w:val="auto"/>
          <w:highlight w:val="none"/>
        </w:rPr>
        <w:t>（1）本项目招标文件实行“</w:t>
      </w:r>
      <w:r>
        <w:rPr>
          <w:rFonts w:hint="eastAsia" w:ascii="宋体" w:hAnsi="宋体" w:eastAsia="宋体"/>
          <w:color w:val="auto"/>
          <w:highlight w:val="none"/>
          <w:lang w:val="en-US" w:eastAsia="zh-CN"/>
        </w:rPr>
        <w:t>乐采云平台</w:t>
      </w:r>
      <w:r>
        <w:rPr>
          <w:rFonts w:hint="eastAsia" w:ascii="宋体" w:hAnsi="宋体" w:eastAsia="宋体"/>
          <w:color w:val="auto"/>
          <w:highlight w:val="none"/>
        </w:rPr>
        <w:t>”在线获取，不提供招标文件纸质版。投标人获取招标文件前应先完成“</w:t>
      </w:r>
      <w:r>
        <w:rPr>
          <w:rFonts w:hint="eastAsia" w:ascii="宋体" w:hAnsi="宋体" w:eastAsia="宋体"/>
          <w:color w:val="auto"/>
          <w:highlight w:val="none"/>
          <w:lang w:val="en-US" w:eastAsia="zh-CN"/>
        </w:rPr>
        <w:t>乐采云平台</w:t>
      </w:r>
      <w:r>
        <w:rPr>
          <w:rFonts w:hint="eastAsia" w:ascii="宋体" w:hAnsi="宋体" w:eastAsia="宋体"/>
          <w:color w:val="auto"/>
          <w:highlight w:val="none"/>
        </w:rPr>
        <w:t xml:space="preserve">”的账号注册； </w:t>
      </w:r>
    </w:p>
    <w:p w14:paraId="6B9CE08B">
      <w:pPr>
        <w:snapToGrid w:val="0"/>
        <w:spacing w:line="400" w:lineRule="exact"/>
        <w:ind w:firstLine="411" w:firstLineChars="196"/>
        <w:rPr>
          <w:rFonts w:hint="eastAsia" w:ascii="宋体" w:hAnsi="宋体" w:eastAsia="宋体"/>
          <w:color w:val="auto"/>
          <w:highlight w:val="none"/>
        </w:rPr>
      </w:pPr>
      <w:r>
        <w:rPr>
          <w:rFonts w:hint="eastAsia" w:ascii="宋体" w:hAnsi="宋体" w:eastAsia="宋体"/>
          <w:color w:val="auto"/>
          <w:highlight w:val="none"/>
        </w:rPr>
        <w:t>（2）潜在投标人登陆</w:t>
      </w:r>
      <w:r>
        <w:rPr>
          <w:rFonts w:hint="eastAsia" w:ascii="宋体" w:hAnsi="宋体" w:eastAsia="宋体"/>
          <w:color w:val="auto"/>
          <w:highlight w:val="none"/>
          <w:lang w:eastAsia="zh-CN"/>
        </w:rPr>
        <w:t>乐采云平台</w:t>
      </w:r>
      <w:r>
        <w:rPr>
          <w:rFonts w:hint="eastAsia" w:ascii="宋体" w:hAnsi="宋体" w:eastAsia="宋体"/>
          <w:color w:val="auto"/>
          <w:highlight w:val="none"/>
        </w:rPr>
        <w:t xml:space="preserve">，在线申请获取招标文件（进入“项目采购”应用，在获取招标文件菜单中选择项目，申请获取招标文件；仅需浏览招标文件的投标人可点击“游客，浏览招标文件”直接下载招标文件浏览）； </w:t>
      </w:r>
    </w:p>
    <w:p w14:paraId="635126F3">
      <w:pPr>
        <w:snapToGrid w:val="0"/>
        <w:spacing w:line="400" w:lineRule="exact"/>
        <w:ind w:firstLine="411" w:firstLineChars="196"/>
        <w:rPr>
          <w:rFonts w:hint="eastAsia" w:ascii="宋体" w:hAnsi="宋体" w:eastAsia="宋体"/>
          <w:color w:val="auto"/>
          <w:highlight w:val="none"/>
        </w:rPr>
      </w:pPr>
      <w:r>
        <w:rPr>
          <w:rFonts w:hint="eastAsia" w:ascii="宋体" w:hAnsi="宋体" w:eastAsia="宋体"/>
          <w:color w:val="auto"/>
          <w:highlight w:val="none"/>
        </w:rPr>
        <w:t>（3）招标公告附件内的招标文件仅供阅览使用，投标人只有在“</w:t>
      </w:r>
      <w:r>
        <w:rPr>
          <w:rFonts w:hint="eastAsia" w:ascii="宋体" w:hAnsi="宋体" w:eastAsia="宋体"/>
          <w:color w:val="auto"/>
          <w:highlight w:val="none"/>
          <w:lang w:val="en-US" w:eastAsia="zh-CN"/>
        </w:rPr>
        <w:t>乐采云</w:t>
      </w:r>
      <w:r>
        <w:rPr>
          <w:rFonts w:hint="eastAsia" w:ascii="宋体" w:hAnsi="宋体" w:eastAsia="宋体"/>
          <w:color w:val="auto"/>
          <w:highlight w:val="none"/>
        </w:rPr>
        <w:t>”完成获取招标文件申请并下载了招标文件后才视作依法获取招标文件（法律法规所指的投标人获取招标文件时间以投标人完成获取招标文件申请后下载招标文件的时间为准）。</w:t>
      </w:r>
      <w:r>
        <w:rPr>
          <w:rFonts w:hint="eastAsia" w:ascii="宋体" w:hAnsi="宋体" w:eastAsia="宋体"/>
          <w:color w:val="auto"/>
          <w:szCs w:val="21"/>
          <w:highlight w:val="none"/>
        </w:rPr>
        <w:t>未按照招标文件规定程序依法获取招标文件的潜在投标人，对招标文件提起质疑的，按照无效质疑处理。采购代理机构拒绝接收未依法获取本项目招标文件的投标人提交的投标文件。</w:t>
      </w:r>
    </w:p>
    <w:p w14:paraId="17AF8210">
      <w:pPr>
        <w:snapToGrid w:val="0"/>
        <w:spacing w:line="400" w:lineRule="exact"/>
        <w:ind w:firstLine="411" w:firstLineChars="196"/>
        <w:rPr>
          <w:rFonts w:hint="eastAsia" w:ascii="宋体" w:hAnsi="宋体" w:eastAsia="宋体"/>
          <w:color w:val="auto"/>
          <w:highlight w:val="none"/>
        </w:rPr>
      </w:pPr>
      <w:r>
        <w:rPr>
          <w:rFonts w:hint="eastAsia" w:ascii="宋体" w:hAnsi="宋体" w:eastAsia="宋体"/>
          <w:color w:val="auto"/>
          <w:highlight w:val="none"/>
        </w:rPr>
        <w:t>注：请投标人按上述要求获取招标文件，如未在“</w:t>
      </w:r>
      <w:r>
        <w:rPr>
          <w:rFonts w:hint="eastAsia" w:ascii="宋体" w:hAnsi="宋体" w:eastAsia="宋体"/>
          <w:color w:val="auto"/>
          <w:highlight w:val="none"/>
          <w:lang w:val="en-US" w:eastAsia="zh-CN"/>
        </w:rPr>
        <w:t>乐</w:t>
      </w:r>
      <w:r>
        <w:rPr>
          <w:rFonts w:hint="eastAsia" w:ascii="宋体" w:hAnsi="宋体" w:eastAsia="宋体"/>
          <w:color w:val="auto"/>
          <w:highlight w:val="none"/>
        </w:rPr>
        <w:t xml:space="preserve">采云”系统内完成相关流程，引起的投标无效责任自负。  </w:t>
      </w:r>
    </w:p>
    <w:p w14:paraId="4FF7DC9B">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售价：0元。</w:t>
      </w:r>
    </w:p>
    <w:p w14:paraId="2C9C9170">
      <w:pPr>
        <w:spacing w:line="360" w:lineRule="auto"/>
        <w:ind w:firstLine="420" w:firstLineChars="200"/>
        <w:rPr>
          <w:rFonts w:hint="eastAsia" w:ascii="宋体" w:hAnsi="宋体" w:eastAsia="宋体"/>
          <w:color w:val="auto"/>
          <w:highlight w:val="none"/>
        </w:rPr>
      </w:pPr>
    </w:p>
    <w:p w14:paraId="07C3E939">
      <w:pPr>
        <w:pStyle w:val="8"/>
        <w:spacing w:line="360" w:lineRule="auto"/>
        <w:jc w:val="both"/>
        <w:rPr>
          <w:rFonts w:hint="eastAsia" w:ascii="宋体" w:hAnsi="宋体" w:eastAsia="宋体"/>
          <w:color w:val="auto"/>
          <w:sz w:val="21"/>
          <w:szCs w:val="21"/>
          <w:highlight w:val="none"/>
        </w:rPr>
      </w:pPr>
      <w:bookmarkStart w:id="17" w:name="_Toc35393624"/>
      <w:bookmarkEnd w:id="17"/>
      <w:bookmarkStart w:id="18" w:name="_Toc35393793"/>
      <w:bookmarkEnd w:id="18"/>
      <w:bookmarkStart w:id="19" w:name="_Toc28359082"/>
      <w:bookmarkEnd w:id="19"/>
      <w:bookmarkStart w:id="20" w:name="_Toc28359005"/>
      <w:bookmarkEnd w:id="20"/>
      <w:bookmarkStart w:id="21" w:name="_Toc17313"/>
      <w:r>
        <w:rPr>
          <w:rFonts w:hint="eastAsia" w:ascii="宋体" w:hAnsi="宋体" w:eastAsia="宋体"/>
          <w:color w:val="auto"/>
          <w:sz w:val="21"/>
          <w:szCs w:val="21"/>
          <w:highlight w:val="none"/>
        </w:rPr>
        <w:t>四、提交投标文件截止时间、开标时间和地点</w:t>
      </w:r>
      <w:bookmarkEnd w:id="21"/>
    </w:p>
    <w:p w14:paraId="329D30C5">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提交投标文件截止时间：</w:t>
      </w:r>
      <w:r>
        <w:rPr>
          <w:rFonts w:hint="eastAsia" w:ascii="宋体" w:hAnsi="宋体" w:eastAsia="宋体"/>
          <w:color w:val="auto"/>
          <w:highlight w:val="none"/>
          <w:u w:val="single"/>
        </w:rPr>
        <w:t>202</w:t>
      </w:r>
      <w:r>
        <w:rPr>
          <w:rFonts w:hint="eastAsia" w:ascii="宋体" w:hAnsi="宋体"/>
          <w:color w:val="auto"/>
          <w:highlight w:val="none"/>
          <w:u w:val="single"/>
          <w:lang w:val="en-US" w:eastAsia="zh-CN"/>
        </w:rPr>
        <w:t>5</w:t>
      </w:r>
      <w:r>
        <w:rPr>
          <w:rFonts w:hint="eastAsia" w:ascii="宋体" w:hAnsi="宋体" w:eastAsia="宋体"/>
          <w:bCs/>
          <w:color w:val="auto"/>
          <w:highlight w:val="none"/>
          <w:u w:val="single"/>
        </w:rPr>
        <w:t>年</w:t>
      </w:r>
      <w:r>
        <w:rPr>
          <w:rFonts w:hint="eastAsia" w:ascii="宋体" w:hAnsi="宋体"/>
          <w:bCs/>
          <w:color w:val="auto"/>
          <w:highlight w:val="none"/>
          <w:u w:val="single"/>
          <w:lang w:val="en-US" w:eastAsia="zh-CN"/>
        </w:rPr>
        <w:t>2</w:t>
      </w:r>
      <w:r>
        <w:rPr>
          <w:rFonts w:hint="eastAsia" w:ascii="宋体" w:hAnsi="宋体" w:eastAsia="宋体"/>
          <w:bCs/>
          <w:color w:val="auto"/>
          <w:highlight w:val="none"/>
          <w:u w:val="single"/>
        </w:rPr>
        <w:t>月</w:t>
      </w:r>
      <w:r>
        <w:rPr>
          <w:rFonts w:hint="eastAsia" w:ascii="宋体" w:hAnsi="宋体"/>
          <w:bCs/>
          <w:color w:val="auto"/>
          <w:highlight w:val="none"/>
          <w:u w:val="single"/>
          <w:lang w:val="en-US" w:eastAsia="zh-CN"/>
        </w:rPr>
        <w:t>13</w:t>
      </w:r>
      <w:r>
        <w:rPr>
          <w:rFonts w:hint="eastAsia" w:ascii="宋体" w:hAnsi="宋体" w:eastAsia="宋体"/>
          <w:bCs/>
          <w:color w:val="auto"/>
          <w:highlight w:val="none"/>
          <w:u w:val="single"/>
        </w:rPr>
        <w:t>日</w:t>
      </w:r>
      <w:r>
        <w:rPr>
          <w:rFonts w:hint="eastAsia" w:ascii="宋体" w:hAnsi="宋体"/>
          <w:bCs/>
          <w:color w:val="auto"/>
          <w:highlight w:val="none"/>
          <w:u w:val="single"/>
          <w:lang w:val="en-US" w:eastAsia="zh-CN"/>
        </w:rPr>
        <w:t>09</w:t>
      </w:r>
      <w:r>
        <w:rPr>
          <w:rFonts w:hint="eastAsia" w:ascii="宋体" w:hAnsi="宋体" w:eastAsia="宋体"/>
          <w:bCs/>
          <w:color w:val="auto"/>
          <w:highlight w:val="none"/>
          <w:u w:val="single"/>
        </w:rPr>
        <w:t>点</w:t>
      </w:r>
      <w:r>
        <w:rPr>
          <w:rFonts w:hint="eastAsia" w:ascii="宋体" w:hAnsi="宋体"/>
          <w:bCs/>
          <w:color w:val="auto"/>
          <w:highlight w:val="none"/>
          <w:u w:val="single"/>
          <w:lang w:val="en-US" w:eastAsia="zh-CN"/>
        </w:rPr>
        <w:t>1</w:t>
      </w:r>
      <w:r>
        <w:rPr>
          <w:rFonts w:hint="eastAsia" w:ascii="宋体" w:hAnsi="宋体" w:eastAsia="宋体"/>
          <w:bCs/>
          <w:color w:val="auto"/>
          <w:highlight w:val="none"/>
          <w:u w:val="single"/>
        </w:rPr>
        <w:t>0分</w:t>
      </w:r>
      <w:r>
        <w:rPr>
          <w:rFonts w:hint="eastAsia" w:ascii="宋体" w:hAnsi="宋体" w:eastAsia="宋体"/>
          <w:bCs/>
          <w:color w:val="auto"/>
          <w:highlight w:val="none"/>
        </w:rPr>
        <w:t>（北京时间）。</w:t>
      </w:r>
    </w:p>
    <w:p w14:paraId="697F358A">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投标地点（网址）：</w:t>
      </w:r>
      <w:r>
        <w:rPr>
          <w:rFonts w:hint="eastAsia" w:ascii="宋体" w:hAnsi="宋体" w:eastAsia="宋体"/>
          <w:color w:val="auto"/>
          <w:szCs w:val="21"/>
          <w:highlight w:val="none"/>
          <w:u w:val="single"/>
          <w:lang w:eastAsia="zh-CN"/>
        </w:rPr>
        <w:t>乐采云平台（https://www.lecaiyun.com/）</w:t>
      </w:r>
      <w:r>
        <w:rPr>
          <w:rFonts w:hint="eastAsia" w:ascii="宋体" w:hAnsi="宋体" w:eastAsia="宋体"/>
          <w:color w:val="auto"/>
          <w:szCs w:val="21"/>
          <w:highlight w:val="none"/>
          <w:u w:val="single"/>
        </w:rPr>
        <w:t>（线上）</w:t>
      </w:r>
      <w:r>
        <w:rPr>
          <w:rFonts w:hint="eastAsia" w:ascii="宋体" w:hAnsi="宋体" w:eastAsia="宋体"/>
          <w:color w:val="auto"/>
          <w:szCs w:val="21"/>
          <w:highlight w:val="none"/>
        </w:rPr>
        <w:t xml:space="preserve"> </w:t>
      </w:r>
    </w:p>
    <w:p w14:paraId="3623C5F5">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开标时间</w:t>
      </w:r>
      <w:r>
        <w:rPr>
          <w:rFonts w:hint="eastAsia" w:ascii="宋体" w:hAnsi="宋体"/>
          <w:color w:val="auto"/>
          <w:szCs w:val="21"/>
          <w:highlight w:val="none"/>
          <w:lang w:eastAsia="zh-CN"/>
        </w:rPr>
        <w:t>：</w:t>
      </w:r>
      <w:r>
        <w:rPr>
          <w:rFonts w:hint="eastAsia" w:ascii="宋体" w:hAnsi="宋体" w:eastAsia="宋体"/>
          <w:color w:val="auto"/>
          <w:highlight w:val="none"/>
          <w:u w:val="single"/>
        </w:rPr>
        <w:t>202</w:t>
      </w:r>
      <w:r>
        <w:rPr>
          <w:rFonts w:hint="eastAsia" w:ascii="宋体" w:hAnsi="宋体"/>
          <w:color w:val="auto"/>
          <w:highlight w:val="none"/>
          <w:u w:val="single"/>
          <w:lang w:val="en-US" w:eastAsia="zh-CN"/>
        </w:rPr>
        <w:t>5</w:t>
      </w:r>
      <w:r>
        <w:rPr>
          <w:rFonts w:hint="eastAsia" w:ascii="宋体" w:hAnsi="宋体" w:eastAsia="宋体"/>
          <w:bCs/>
          <w:color w:val="auto"/>
          <w:highlight w:val="none"/>
          <w:u w:val="single"/>
        </w:rPr>
        <w:t>年</w:t>
      </w:r>
      <w:r>
        <w:rPr>
          <w:rFonts w:hint="eastAsia" w:ascii="宋体" w:hAnsi="宋体"/>
          <w:bCs/>
          <w:color w:val="auto"/>
          <w:highlight w:val="none"/>
          <w:u w:val="single"/>
          <w:lang w:val="en-US" w:eastAsia="zh-CN"/>
        </w:rPr>
        <w:t>2</w:t>
      </w:r>
      <w:r>
        <w:rPr>
          <w:rFonts w:hint="eastAsia" w:ascii="宋体" w:hAnsi="宋体" w:eastAsia="宋体"/>
          <w:bCs/>
          <w:color w:val="auto"/>
          <w:highlight w:val="none"/>
          <w:u w:val="single"/>
        </w:rPr>
        <w:t>月</w:t>
      </w:r>
      <w:r>
        <w:rPr>
          <w:rFonts w:hint="eastAsia" w:ascii="宋体" w:hAnsi="宋体"/>
          <w:bCs/>
          <w:color w:val="auto"/>
          <w:highlight w:val="none"/>
          <w:u w:val="single"/>
          <w:lang w:val="en-US" w:eastAsia="zh-CN"/>
        </w:rPr>
        <w:t>13</w:t>
      </w:r>
      <w:r>
        <w:rPr>
          <w:rFonts w:hint="eastAsia" w:ascii="宋体" w:hAnsi="宋体" w:eastAsia="宋体"/>
          <w:bCs/>
          <w:color w:val="auto"/>
          <w:highlight w:val="none"/>
          <w:u w:val="single"/>
        </w:rPr>
        <w:t>日</w:t>
      </w:r>
      <w:r>
        <w:rPr>
          <w:rFonts w:hint="eastAsia" w:ascii="宋体" w:hAnsi="宋体"/>
          <w:bCs/>
          <w:color w:val="auto"/>
          <w:highlight w:val="none"/>
          <w:u w:val="single"/>
          <w:lang w:val="en-US" w:eastAsia="zh-CN"/>
        </w:rPr>
        <w:t>09</w:t>
      </w:r>
      <w:r>
        <w:rPr>
          <w:rFonts w:hint="eastAsia" w:ascii="宋体" w:hAnsi="宋体" w:eastAsia="宋体"/>
          <w:bCs/>
          <w:color w:val="auto"/>
          <w:highlight w:val="none"/>
          <w:u w:val="single"/>
        </w:rPr>
        <w:t>点</w:t>
      </w:r>
      <w:r>
        <w:rPr>
          <w:rFonts w:hint="eastAsia" w:ascii="宋体" w:hAnsi="宋体"/>
          <w:bCs/>
          <w:color w:val="auto"/>
          <w:highlight w:val="none"/>
          <w:u w:val="single"/>
          <w:lang w:val="en-US" w:eastAsia="zh-CN"/>
        </w:rPr>
        <w:t>1</w:t>
      </w:r>
      <w:r>
        <w:rPr>
          <w:rFonts w:hint="eastAsia" w:ascii="宋体" w:hAnsi="宋体" w:eastAsia="宋体"/>
          <w:bCs/>
          <w:color w:val="auto"/>
          <w:highlight w:val="none"/>
          <w:u w:val="single"/>
        </w:rPr>
        <w:t>0分</w:t>
      </w:r>
      <w:r>
        <w:rPr>
          <w:rFonts w:hint="eastAsia" w:ascii="宋体" w:hAnsi="宋体" w:eastAsia="宋体"/>
          <w:color w:val="auto"/>
          <w:szCs w:val="21"/>
          <w:highlight w:val="none"/>
        </w:rPr>
        <w:t>（北京时间）</w:t>
      </w:r>
    </w:p>
    <w:p w14:paraId="6736D084">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开标地点（网址）：</w:t>
      </w:r>
      <w:r>
        <w:rPr>
          <w:rFonts w:hint="eastAsia" w:ascii="宋体" w:hAnsi="宋体" w:eastAsia="宋体"/>
          <w:color w:val="auto"/>
          <w:szCs w:val="21"/>
          <w:highlight w:val="none"/>
          <w:u w:val="single"/>
        </w:rPr>
        <w:t>象山县行政服务中心四楼开标室（象山县丹西街道象山港路300号），本项目通过“</w:t>
      </w:r>
      <w:r>
        <w:rPr>
          <w:rFonts w:hint="eastAsia" w:ascii="宋体" w:hAnsi="宋体" w:eastAsia="宋体"/>
          <w:color w:val="auto"/>
          <w:szCs w:val="21"/>
          <w:highlight w:val="none"/>
          <w:u w:val="single"/>
          <w:lang w:eastAsia="zh-CN"/>
        </w:rPr>
        <w:t>乐采云平台</w:t>
      </w:r>
      <w:r>
        <w:rPr>
          <w:rFonts w:hint="eastAsia" w:ascii="宋体" w:hAnsi="宋体" w:eastAsia="宋体"/>
          <w:color w:val="auto"/>
          <w:szCs w:val="21"/>
          <w:highlight w:val="none"/>
          <w:u w:val="single"/>
        </w:rPr>
        <w:t>”实行在线电子评标，投标人可在线参加开标。</w:t>
      </w:r>
    </w:p>
    <w:p w14:paraId="65912A21">
      <w:pPr>
        <w:spacing w:line="360" w:lineRule="auto"/>
        <w:ind w:firstLine="420" w:firstLineChars="200"/>
        <w:rPr>
          <w:rFonts w:hint="eastAsia" w:ascii="宋体" w:hAnsi="宋体" w:eastAsia="宋体"/>
          <w:bCs/>
          <w:color w:val="auto"/>
          <w:highlight w:val="none"/>
          <w:u w:val="single"/>
        </w:rPr>
      </w:pPr>
    </w:p>
    <w:p w14:paraId="6CEF0BA9">
      <w:pPr>
        <w:pStyle w:val="8"/>
        <w:spacing w:line="360" w:lineRule="auto"/>
        <w:jc w:val="both"/>
        <w:rPr>
          <w:rFonts w:hint="eastAsia" w:ascii="宋体" w:hAnsi="宋体" w:eastAsia="宋体"/>
          <w:color w:val="auto"/>
          <w:sz w:val="21"/>
          <w:szCs w:val="21"/>
          <w:highlight w:val="none"/>
        </w:rPr>
      </w:pPr>
      <w:bookmarkStart w:id="22" w:name="_Toc35393625"/>
      <w:bookmarkEnd w:id="22"/>
      <w:bookmarkStart w:id="23" w:name="_Toc28359007"/>
      <w:bookmarkEnd w:id="23"/>
      <w:bookmarkStart w:id="24" w:name="_Toc28359084"/>
      <w:bookmarkEnd w:id="24"/>
      <w:bookmarkStart w:id="25" w:name="_Toc35393794"/>
      <w:bookmarkEnd w:id="25"/>
      <w:bookmarkStart w:id="26" w:name="_Toc5189"/>
      <w:r>
        <w:rPr>
          <w:rFonts w:hint="eastAsia" w:ascii="宋体" w:hAnsi="宋体" w:eastAsia="宋体"/>
          <w:color w:val="auto"/>
          <w:sz w:val="21"/>
          <w:szCs w:val="21"/>
          <w:highlight w:val="none"/>
        </w:rPr>
        <w:t>五、公告期限</w:t>
      </w:r>
      <w:bookmarkEnd w:id="26"/>
    </w:p>
    <w:p w14:paraId="53366B2F">
      <w:pPr>
        <w:spacing w:line="360" w:lineRule="auto"/>
        <w:ind w:firstLine="420" w:firstLineChars="200"/>
        <w:rPr>
          <w:rFonts w:hint="eastAsia" w:ascii="宋体" w:hAnsi="宋体" w:eastAsia="宋体"/>
          <w:color w:val="auto"/>
          <w:kern w:val="0"/>
          <w:highlight w:val="none"/>
        </w:rPr>
      </w:pPr>
      <w:r>
        <w:rPr>
          <w:rFonts w:hint="eastAsia" w:ascii="宋体" w:hAnsi="宋体" w:eastAsia="宋体"/>
          <w:color w:val="auto"/>
          <w:kern w:val="0"/>
          <w:highlight w:val="none"/>
        </w:rPr>
        <w:t>自本公告发布之日起5个工作日。</w:t>
      </w:r>
    </w:p>
    <w:p w14:paraId="481D51F3">
      <w:pPr>
        <w:spacing w:line="360" w:lineRule="auto"/>
        <w:ind w:firstLine="420" w:firstLineChars="200"/>
        <w:rPr>
          <w:rFonts w:hint="eastAsia" w:ascii="宋体" w:hAnsi="宋体" w:eastAsia="宋体"/>
          <w:color w:val="auto"/>
          <w:kern w:val="0"/>
          <w:szCs w:val="21"/>
          <w:highlight w:val="none"/>
        </w:rPr>
      </w:pPr>
    </w:p>
    <w:p w14:paraId="3C328698">
      <w:pPr>
        <w:pStyle w:val="8"/>
        <w:spacing w:line="360" w:lineRule="auto"/>
        <w:jc w:val="both"/>
        <w:rPr>
          <w:rFonts w:hint="eastAsia" w:ascii="宋体" w:hAnsi="宋体" w:eastAsia="宋体"/>
          <w:color w:val="auto"/>
          <w:sz w:val="21"/>
          <w:szCs w:val="21"/>
          <w:highlight w:val="none"/>
        </w:rPr>
      </w:pPr>
      <w:bookmarkStart w:id="27" w:name="_Toc35393795"/>
      <w:bookmarkEnd w:id="27"/>
      <w:bookmarkStart w:id="28" w:name="_Toc35393626"/>
      <w:bookmarkEnd w:id="28"/>
      <w:bookmarkStart w:id="29" w:name="_Toc4960"/>
      <w:r>
        <w:rPr>
          <w:rFonts w:hint="eastAsia" w:ascii="宋体" w:hAnsi="宋体" w:eastAsia="宋体"/>
          <w:color w:val="auto"/>
          <w:sz w:val="21"/>
          <w:szCs w:val="21"/>
          <w:highlight w:val="none"/>
        </w:rPr>
        <w:t>六、其他补充事宜</w:t>
      </w:r>
      <w:bookmarkEnd w:id="29"/>
    </w:p>
    <w:p w14:paraId="52D9CB7A">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1. 供应商认为采购文件使自己的权益受到损害的，可以自获取采购文件之日或者采购文件公告期限届满之日（公告期限届满后获取采购文件的，以公告期限届满之日为准）起7个工作日内，根据《浙江省财政厅关于进一步促进政府采购公平竞争打造最优营商环境的通知》（浙财采监（2021）22号）文件关于“健全行政裁决机制”要求，鼓励供应商在线提起询问，路径为：</w:t>
      </w:r>
      <w:r>
        <w:rPr>
          <w:rFonts w:hint="eastAsia" w:ascii="宋体" w:hAnsi="宋体" w:eastAsia="宋体"/>
          <w:color w:val="auto"/>
          <w:highlight w:val="none"/>
          <w:lang w:eastAsia="zh-CN"/>
        </w:rPr>
        <w:t>乐采云</w:t>
      </w:r>
      <w:r>
        <w:rPr>
          <w:rFonts w:hint="eastAsia" w:ascii="宋体" w:hAnsi="宋体" w:eastAsia="宋体"/>
          <w:color w:val="auto"/>
          <w:highlight w:val="none"/>
        </w:rPr>
        <w:t>-项目采购-询问质疑投诉-询问列表:鼓励供应商在线提起质疑，路径为：</w:t>
      </w:r>
      <w:r>
        <w:rPr>
          <w:rFonts w:hint="eastAsia" w:ascii="宋体" w:hAnsi="宋体" w:eastAsia="宋体"/>
          <w:color w:val="auto"/>
          <w:highlight w:val="none"/>
          <w:lang w:eastAsia="zh-CN"/>
        </w:rPr>
        <w:t>乐采云</w:t>
      </w:r>
      <w:r>
        <w:rPr>
          <w:rFonts w:hint="eastAsia" w:ascii="宋体" w:hAnsi="宋体" w:eastAsia="宋体"/>
          <w:color w:val="auto"/>
          <w:highlight w:val="none"/>
        </w:rPr>
        <w:t>-项目采购-询问质疑投诉-质疑列表。质疑供应商对在线质疑答复不满意的，可在线提起投诉，路径为：浙江政府服务网-政府采购投诉处理-在线办理。</w:t>
      </w:r>
    </w:p>
    <w:p w14:paraId="54705A2C">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2.其他事项：</w:t>
      </w:r>
    </w:p>
    <w:p w14:paraId="0D2444F3">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2.1落实政策：（1）《关于促进残疾人就业政府采购政策的通知》（财库〔2017〕141号）、《政府采购促进中小企业发展管理办法》（财库﹝2020﹞46 号）、《关于政府采购支持监狱企业发展有关问题的通知》(财库〔2014〕68号)。（2）《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B76FF8F">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2.2各投标人应在开标前确保成为浙江省政府采购网正式注册入库投标人，并完成CA数字证书办理。因未注册入库、未办理CA数字证书等原因造成无法投标或投标失败等后果由投标人自行承担。（具体操作详见投标人CA申领操作指南https://help.zcygov.cn/web/site_2/2018/11-29/2452.html）。</w:t>
      </w:r>
    </w:p>
    <w:p w14:paraId="6D86B3C8">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2.3本次政府采购活动有关信息在“浙江政府采购网（http://zfcg.czt.zj.gov.cn/）”、“宁波市政府采购网（www.nbzfcg.cn）”网站上公布，公布信息视同送达所有潜在投标人。</w:t>
      </w:r>
    </w:p>
    <w:p w14:paraId="098A0048">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2.4投标人提交备份投标文件方式：</w:t>
      </w:r>
    </w:p>
    <w:p w14:paraId="48D188E2">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2.4.1采用邮寄方式提交备份投标文件，需按以下要求递交：</w:t>
      </w:r>
    </w:p>
    <w:p w14:paraId="0570FB1D">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投标人须在投标截止时间前1小时将备份投标文件邮寄至规定地点，由采购代理机构工作人员进行签收。各投标人自行考虑邮寄在途时间，在邮件发出后及时告知接收人并保持联系，至少在投标截止时间前24小时，与接收人确认邮件送达情况，确保投标文件能按时送达,邮寄过程中无论何种因素导致备份投标文件未按时递交的后果，均由投标人自行负责。备份投标文件递交时间以招标代理实际收到投标文件的时间为准。迟到的备份投标文件将被拒收。请各投标人确保密封包装在邮寄过程密封包装完好，并在邮寄包裹上注明项目名称，因邮寄过程的密封破损造成不符合开标要求的，本招标代理及采购人概不负责。</w:t>
      </w:r>
    </w:p>
    <w:p w14:paraId="7A18C985">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备份投标文件邮寄地址为：象山县公共资源交易中心</w:t>
      </w:r>
      <w:r>
        <w:rPr>
          <w:rFonts w:hint="eastAsia" w:ascii="宋体" w:hAnsi="宋体" w:eastAsia="宋体"/>
          <w:color w:val="auto"/>
          <w:highlight w:val="none"/>
          <w:lang w:val="en-US" w:eastAsia="zh-CN"/>
        </w:rPr>
        <w:t>四</w:t>
      </w:r>
      <w:r>
        <w:rPr>
          <w:rFonts w:hint="eastAsia" w:ascii="宋体" w:hAnsi="宋体" w:eastAsia="宋体"/>
          <w:color w:val="auto"/>
          <w:highlight w:val="none"/>
        </w:rPr>
        <w:t>楼（象山县丹西街道象山港路300号，接收人：严旭东，联系电话：18868663530</w:t>
      </w:r>
    </w:p>
    <w:p w14:paraId="38D4CAFB">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2.4.2采用现场递交方式递交电子备份投标文件，在投标当天投标人员递交至象山县行政服务中心</w:t>
      </w:r>
      <w:r>
        <w:rPr>
          <w:rFonts w:hint="eastAsia" w:ascii="宋体" w:hAnsi="宋体" w:eastAsia="宋体"/>
          <w:color w:val="auto"/>
          <w:highlight w:val="none"/>
          <w:lang w:val="en-US" w:eastAsia="zh-CN"/>
        </w:rPr>
        <w:t>四</w:t>
      </w:r>
      <w:r>
        <w:rPr>
          <w:rFonts w:hint="eastAsia" w:ascii="宋体" w:hAnsi="宋体" w:eastAsia="宋体"/>
          <w:color w:val="auto"/>
          <w:highlight w:val="none"/>
        </w:rPr>
        <w:t>楼投标文件接收处（象山县丹西街道象山港路300号）。若投标人因未按上述要求办理而导致无法准时进入开标现场的，由投标人自行负责。</w:t>
      </w:r>
    </w:p>
    <w:p w14:paraId="369623E9">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2.5单位负责人为同一人或者存在直接控股、管理关系的不同投标人，不得同时参加同一合同项下的投标。为本项目提供整体设计、规范编制或者项目管理、监理、检测等服务的投标人，不得再参加本项目的投标。</w:t>
      </w:r>
    </w:p>
    <w:p w14:paraId="21EFBF37">
      <w:pPr>
        <w:pStyle w:val="8"/>
        <w:spacing w:line="360" w:lineRule="auto"/>
        <w:jc w:val="both"/>
        <w:rPr>
          <w:rFonts w:hint="eastAsia" w:ascii="宋体" w:hAnsi="宋体" w:eastAsia="宋体"/>
          <w:color w:val="auto"/>
          <w:sz w:val="21"/>
          <w:szCs w:val="21"/>
          <w:highlight w:val="none"/>
        </w:rPr>
      </w:pPr>
      <w:bookmarkStart w:id="30" w:name="_Toc28359085"/>
      <w:bookmarkEnd w:id="30"/>
      <w:bookmarkStart w:id="31" w:name="_Toc35393627"/>
      <w:bookmarkEnd w:id="31"/>
      <w:bookmarkStart w:id="32" w:name="_Toc35393796"/>
      <w:bookmarkEnd w:id="32"/>
      <w:bookmarkStart w:id="33" w:name="_Toc28359008"/>
      <w:bookmarkEnd w:id="33"/>
      <w:bookmarkStart w:id="34" w:name="_Toc29351"/>
      <w:r>
        <w:rPr>
          <w:rFonts w:hint="eastAsia" w:ascii="宋体" w:hAnsi="宋体" w:eastAsia="宋体"/>
          <w:color w:val="auto"/>
          <w:sz w:val="21"/>
          <w:szCs w:val="21"/>
          <w:highlight w:val="none"/>
        </w:rPr>
        <w:t>七、对本次招标提出询问、质疑、投诉，请按以下方式联系。</w:t>
      </w:r>
      <w:bookmarkEnd w:id="34"/>
    </w:p>
    <w:p w14:paraId="7E897131">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1.采购人信息</w:t>
      </w:r>
    </w:p>
    <w:p w14:paraId="1B4C7D62">
      <w:pPr>
        <w:spacing w:line="360" w:lineRule="auto"/>
        <w:ind w:firstLine="420" w:firstLineChars="200"/>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采购人：</w:t>
      </w:r>
      <w:r>
        <w:rPr>
          <w:rFonts w:hint="eastAsia" w:ascii="宋体" w:hAnsi="宋体"/>
          <w:color w:val="auto"/>
          <w:kern w:val="0"/>
          <w:szCs w:val="21"/>
          <w:highlight w:val="none"/>
          <w:lang w:eastAsia="zh-CN"/>
        </w:rPr>
        <w:t>象山县水务集团有限公司</w:t>
      </w:r>
    </w:p>
    <w:p w14:paraId="789ECF16">
      <w:pPr>
        <w:spacing w:line="360" w:lineRule="auto"/>
        <w:ind w:firstLine="420" w:firstLineChars="200"/>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地址： 象山县丹东街道育才路176号</w:t>
      </w:r>
    </w:p>
    <w:p w14:paraId="34A7BC85">
      <w:pPr>
        <w:spacing w:line="360" w:lineRule="auto"/>
        <w:ind w:firstLine="420" w:firstLineChars="200"/>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联系人：毛汉涛</w:t>
      </w:r>
    </w:p>
    <w:p w14:paraId="446991D1">
      <w:pPr>
        <w:spacing w:line="360" w:lineRule="auto"/>
        <w:ind w:firstLine="420" w:firstLineChars="200"/>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联系电话：13857412803</w:t>
      </w:r>
    </w:p>
    <w:p w14:paraId="73BDF646">
      <w:pPr>
        <w:spacing w:line="360" w:lineRule="auto"/>
        <w:ind w:firstLine="420" w:firstLineChars="200"/>
        <w:rPr>
          <w:rFonts w:hint="eastAsia" w:ascii="宋体" w:hAnsi="宋体" w:eastAsia="宋体"/>
          <w:color w:val="auto"/>
          <w:highlight w:val="none"/>
        </w:rPr>
      </w:pPr>
    </w:p>
    <w:p w14:paraId="6C6A3F5C">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2.采购代理机构信息</w:t>
      </w:r>
    </w:p>
    <w:p w14:paraId="04461722">
      <w:pPr>
        <w:spacing w:line="360" w:lineRule="auto"/>
        <w:ind w:firstLine="420" w:firstLineChars="200"/>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名称：宁波国际投资咨询有限公司</w:t>
      </w:r>
    </w:p>
    <w:p w14:paraId="29861388">
      <w:pPr>
        <w:spacing w:line="360" w:lineRule="auto"/>
        <w:ind w:firstLine="420" w:firstLineChars="200"/>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地</w:t>
      </w:r>
      <w:r>
        <w:rPr>
          <w:rFonts w:hint="eastAsia" w:ascii="宋体" w:hAnsi="宋体" w:eastAsia="宋体"/>
          <w:color w:val="auto"/>
          <w:highlight w:val="none"/>
        </w:rPr>
        <w:t>址：宁波市鄞州区和源路510号宁兴国贸大厦12楼</w:t>
      </w:r>
    </w:p>
    <w:p w14:paraId="657B2653">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项目联系人（询问）：</w:t>
      </w:r>
      <w:r>
        <w:rPr>
          <w:rFonts w:hint="eastAsia" w:ascii="宋体" w:hAnsi="宋体" w:eastAsia="宋体"/>
          <w:color w:val="auto"/>
          <w:highlight w:val="none"/>
          <w:lang w:val="en-US" w:eastAsia="zh-CN"/>
        </w:rPr>
        <w:t>马超群、</w:t>
      </w:r>
      <w:r>
        <w:rPr>
          <w:rFonts w:hint="eastAsia" w:ascii="宋体" w:hAnsi="宋体" w:eastAsia="宋体"/>
          <w:color w:val="auto"/>
          <w:highlight w:val="none"/>
        </w:rPr>
        <w:t>严旭东、张洁、严腾</w:t>
      </w:r>
    </w:p>
    <w:p w14:paraId="0F9A13AD">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联系电话：0574-88203787，18868663530</w:t>
      </w:r>
    </w:p>
    <w:p w14:paraId="563E0A2B">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质疑联系人：段丽伟</w:t>
      </w:r>
    </w:p>
    <w:p w14:paraId="2DFB87E8">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质疑联系方式：0574-88203787</w:t>
      </w:r>
    </w:p>
    <w:p w14:paraId="47129E30">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电子邮箱：3908508@qq.com</w:t>
      </w:r>
    </w:p>
    <w:p w14:paraId="525279FE">
      <w:pPr>
        <w:spacing w:line="360" w:lineRule="auto"/>
        <w:ind w:firstLine="420" w:firstLineChars="200"/>
        <w:rPr>
          <w:rFonts w:hint="eastAsia" w:ascii="宋体" w:hAnsi="宋体" w:eastAsia="宋体"/>
          <w:color w:val="auto"/>
          <w:highlight w:val="none"/>
        </w:rPr>
      </w:pPr>
    </w:p>
    <w:p w14:paraId="6B8BB400">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3.同级政府采购监督管理部门 </w:t>
      </w:r>
    </w:p>
    <w:p w14:paraId="3B1036F2">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名称：象山县财政局</w:t>
      </w:r>
    </w:p>
    <w:p w14:paraId="385B876D">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地址：象山县丹西街道丹峰西路163号</w:t>
      </w:r>
    </w:p>
    <w:p w14:paraId="2718254E">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联系人：林老师</w:t>
      </w:r>
    </w:p>
    <w:p w14:paraId="643197E8">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监督投诉电话：0574-65753557</w:t>
      </w:r>
    </w:p>
    <w:p w14:paraId="0ED87494">
      <w:pPr>
        <w:spacing w:line="360" w:lineRule="auto"/>
        <w:ind w:firstLine="420" w:firstLineChars="200"/>
        <w:rPr>
          <w:rFonts w:hint="eastAsia" w:ascii="宋体" w:hAnsi="宋体" w:eastAsia="宋体"/>
          <w:color w:val="auto"/>
          <w:highlight w:val="none"/>
        </w:rPr>
      </w:pPr>
    </w:p>
    <w:p w14:paraId="2A616283">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若对项目采购电子交易系统操作有疑问，可登录</w:t>
      </w:r>
      <w:r>
        <w:rPr>
          <w:rFonts w:hint="eastAsia" w:ascii="宋体" w:hAnsi="宋体" w:eastAsia="宋体"/>
          <w:color w:val="auto"/>
          <w:highlight w:val="none"/>
          <w:lang w:eastAsia="zh-CN"/>
        </w:rPr>
        <w:t>乐采云</w:t>
      </w:r>
      <w:r>
        <w:rPr>
          <w:rFonts w:hint="eastAsia" w:ascii="宋体" w:hAnsi="宋体" w:eastAsia="宋体"/>
          <w:color w:val="auto"/>
          <w:highlight w:val="none"/>
        </w:rPr>
        <w:t>（</w:t>
      </w:r>
      <w:r>
        <w:rPr>
          <w:rFonts w:hint="eastAsia" w:ascii="宋体" w:hAnsi="宋体" w:eastAsia="宋体"/>
          <w:color w:val="auto"/>
          <w:highlight w:val="none"/>
          <w:lang w:eastAsia="zh-CN"/>
        </w:rPr>
        <w:t>https://www.lecaiyun.com/</w:t>
      </w:r>
      <w:r>
        <w:rPr>
          <w:rFonts w:hint="eastAsia" w:ascii="宋体" w:hAnsi="宋体" w:eastAsia="宋体"/>
          <w:color w:val="auto"/>
          <w:highlight w:val="none"/>
        </w:rPr>
        <w:t>），点击右侧咨询小采，获取采小蜜智能服务管家帮助，或拨打</w:t>
      </w:r>
      <w:r>
        <w:rPr>
          <w:rFonts w:hint="eastAsia" w:ascii="宋体" w:hAnsi="宋体" w:eastAsia="宋体"/>
          <w:color w:val="auto"/>
          <w:highlight w:val="none"/>
          <w:lang w:eastAsia="zh-CN"/>
        </w:rPr>
        <w:t>乐采云</w:t>
      </w:r>
      <w:r>
        <w:rPr>
          <w:rFonts w:hint="eastAsia" w:ascii="宋体" w:hAnsi="宋体" w:eastAsia="宋体"/>
          <w:color w:val="auto"/>
          <w:highlight w:val="none"/>
        </w:rPr>
        <w:t>服务热线95763获取热线服务帮助。</w:t>
      </w:r>
    </w:p>
    <w:p w14:paraId="5B12E68C">
      <w:pPr>
        <w:widowControl/>
        <w:jc w:val="left"/>
        <w:rPr>
          <w:rFonts w:hint="eastAsia" w:ascii="宋体" w:hAnsi="宋体" w:eastAsia="宋体"/>
          <w:color w:val="auto"/>
          <w:szCs w:val="21"/>
          <w:highlight w:val="none"/>
        </w:rPr>
        <w:sectPr>
          <w:footerReference r:id="rId5" w:type="default"/>
          <w:pgSz w:w="11907" w:h="16840"/>
          <w:pgMar w:top="1276" w:right="1701" w:bottom="1276" w:left="1701" w:header="720" w:footer="720" w:gutter="0"/>
          <w:pgBorders>
            <w:top w:val="none" w:sz="0" w:space="0"/>
            <w:left w:val="none" w:sz="0" w:space="0"/>
            <w:bottom w:val="none" w:sz="0" w:space="0"/>
            <w:right w:val="none" w:sz="0" w:space="0"/>
          </w:pgBorders>
          <w:pgNumType w:start="1"/>
          <w:cols w:space="720" w:num="1"/>
          <w:docGrid w:type="linesAndChars" w:linePitch="285" w:charSpace="0"/>
        </w:sectPr>
      </w:pPr>
    </w:p>
    <w:p w14:paraId="060EBB16">
      <w:pPr>
        <w:spacing w:line="360" w:lineRule="auto"/>
        <w:rPr>
          <w:rFonts w:hint="eastAsia" w:ascii="宋体" w:hAnsi="宋体" w:eastAsia="宋体"/>
          <w:color w:val="auto"/>
          <w:sz w:val="32"/>
          <w:szCs w:val="32"/>
          <w:highlight w:val="none"/>
        </w:rPr>
      </w:pPr>
      <w:bookmarkStart w:id="35" w:name="_Toc298230958"/>
    </w:p>
    <w:bookmarkEnd w:id="35"/>
    <w:p w14:paraId="75F8E8C2">
      <w:pPr>
        <w:spacing w:line="360" w:lineRule="auto"/>
        <w:jc w:val="center"/>
        <w:outlineLvl w:val="0"/>
        <w:rPr>
          <w:rFonts w:hint="eastAsia" w:ascii="宋体" w:hAnsi="宋体" w:eastAsia="宋体"/>
          <w:b/>
          <w:color w:val="auto"/>
          <w:sz w:val="36"/>
          <w:szCs w:val="20"/>
          <w:highlight w:val="none"/>
        </w:rPr>
      </w:pPr>
      <w:bookmarkStart w:id="36" w:name="_Toc28668"/>
      <w:r>
        <w:rPr>
          <w:rFonts w:hint="eastAsia" w:ascii="宋体" w:hAnsi="宋体" w:eastAsia="宋体"/>
          <w:b/>
          <w:color w:val="auto"/>
          <w:sz w:val="36"/>
          <w:szCs w:val="20"/>
          <w:highlight w:val="none"/>
        </w:rPr>
        <w:t>第二部分 供应商须知</w:t>
      </w:r>
      <w:bookmarkEnd w:id="36"/>
    </w:p>
    <w:p w14:paraId="42EA1A04">
      <w:pPr>
        <w:snapToGrid w:val="0"/>
        <w:spacing w:line="360" w:lineRule="auto"/>
        <w:jc w:val="center"/>
        <w:outlineLvl w:val="0"/>
        <w:rPr>
          <w:rFonts w:hint="eastAsia" w:ascii="宋体" w:hAnsi="宋体" w:eastAsia="宋体"/>
          <w:b/>
          <w:color w:val="auto"/>
          <w:sz w:val="28"/>
          <w:szCs w:val="28"/>
          <w:highlight w:val="none"/>
        </w:rPr>
      </w:pPr>
      <w:bookmarkStart w:id="37" w:name="_Toc5988"/>
      <w:bookmarkEnd w:id="37"/>
      <w:bookmarkStart w:id="38" w:name="_Toc21424"/>
      <w:r>
        <w:rPr>
          <w:rFonts w:hint="eastAsia" w:ascii="宋体" w:hAnsi="宋体" w:eastAsia="宋体"/>
          <w:b/>
          <w:color w:val="auto"/>
          <w:sz w:val="28"/>
          <w:szCs w:val="28"/>
          <w:highlight w:val="none"/>
        </w:rPr>
        <w:t>前附表</w:t>
      </w:r>
      <w:bookmarkEnd w:id="38"/>
    </w:p>
    <w:tbl>
      <w:tblPr>
        <w:tblStyle w:val="5"/>
        <w:tblW w:w="10260" w:type="dxa"/>
        <w:tblInd w:w="-306"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2161"/>
        <w:gridCol w:w="7349"/>
      </w:tblGrid>
      <w:tr w14:paraId="5A4A69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15" w:hRule="atLeast"/>
          <w:tblHeader/>
        </w:trPr>
        <w:tc>
          <w:tcPr>
            <w:tcW w:w="750" w:type="dxa"/>
            <w:vAlign w:val="center"/>
          </w:tcPr>
          <w:p w14:paraId="0E36A25F">
            <w:pPr>
              <w:snapToGrid w:val="0"/>
              <w:spacing w:line="400" w:lineRule="exact"/>
              <w:jc w:val="center"/>
              <w:rPr>
                <w:rFonts w:hint="eastAsia" w:ascii="宋体" w:hAnsi="宋体" w:eastAsia="宋体"/>
                <w:b/>
                <w:color w:val="auto"/>
                <w:szCs w:val="21"/>
                <w:highlight w:val="none"/>
              </w:rPr>
            </w:pPr>
            <w:r>
              <w:rPr>
                <w:rFonts w:hint="eastAsia" w:ascii="宋体" w:hAnsi="宋体" w:eastAsia="宋体"/>
                <w:b/>
                <w:color w:val="auto"/>
                <w:szCs w:val="21"/>
                <w:highlight w:val="none"/>
              </w:rPr>
              <w:t>序号</w:t>
            </w:r>
          </w:p>
        </w:tc>
        <w:tc>
          <w:tcPr>
            <w:tcW w:w="2161" w:type="dxa"/>
            <w:vAlign w:val="center"/>
          </w:tcPr>
          <w:p w14:paraId="0127FA25">
            <w:pPr>
              <w:snapToGrid w:val="0"/>
              <w:spacing w:line="400" w:lineRule="exact"/>
              <w:jc w:val="center"/>
              <w:rPr>
                <w:rFonts w:hint="eastAsia" w:ascii="宋体" w:hAnsi="宋体" w:eastAsia="宋体"/>
                <w:b/>
                <w:color w:val="auto"/>
                <w:szCs w:val="21"/>
                <w:highlight w:val="none"/>
              </w:rPr>
            </w:pPr>
            <w:r>
              <w:rPr>
                <w:rFonts w:hint="eastAsia" w:ascii="宋体" w:hAnsi="宋体" w:eastAsia="宋体"/>
                <w:b/>
                <w:color w:val="auto"/>
                <w:szCs w:val="21"/>
                <w:highlight w:val="none"/>
              </w:rPr>
              <w:t>事项</w:t>
            </w:r>
          </w:p>
        </w:tc>
        <w:tc>
          <w:tcPr>
            <w:tcW w:w="7349" w:type="dxa"/>
            <w:vAlign w:val="center"/>
          </w:tcPr>
          <w:p w14:paraId="0C407BBF">
            <w:pPr>
              <w:snapToGrid w:val="0"/>
              <w:spacing w:line="400" w:lineRule="exact"/>
              <w:jc w:val="center"/>
              <w:rPr>
                <w:rFonts w:hint="eastAsia" w:ascii="宋体" w:hAnsi="宋体" w:eastAsia="宋体"/>
                <w:b/>
                <w:color w:val="auto"/>
                <w:szCs w:val="21"/>
                <w:highlight w:val="none"/>
              </w:rPr>
            </w:pPr>
            <w:r>
              <w:rPr>
                <w:rFonts w:hint="eastAsia" w:ascii="宋体" w:hAnsi="宋体" w:eastAsia="宋体"/>
                <w:b/>
                <w:color w:val="auto"/>
                <w:szCs w:val="21"/>
                <w:highlight w:val="none"/>
              </w:rPr>
              <w:t>本项目的特别规定</w:t>
            </w:r>
          </w:p>
        </w:tc>
      </w:tr>
      <w:tr w14:paraId="015246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50" w:type="dxa"/>
            <w:vAlign w:val="center"/>
          </w:tcPr>
          <w:p w14:paraId="6587CF46">
            <w:pPr>
              <w:snapToGrid w:val="0"/>
              <w:spacing w:line="400" w:lineRule="exact"/>
              <w:jc w:val="center"/>
              <w:rPr>
                <w:rFonts w:hint="eastAsia" w:ascii="宋体" w:hAnsi="宋体" w:eastAsia="宋体"/>
                <w:bCs/>
                <w:color w:val="auto"/>
                <w:szCs w:val="21"/>
                <w:highlight w:val="none"/>
              </w:rPr>
            </w:pPr>
            <w:r>
              <w:rPr>
                <w:rFonts w:hint="eastAsia" w:ascii="宋体" w:hAnsi="宋体" w:eastAsia="宋体"/>
                <w:bCs/>
                <w:color w:val="auto"/>
                <w:szCs w:val="21"/>
                <w:highlight w:val="none"/>
              </w:rPr>
              <w:t>1</w:t>
            </w:r>
          </w:p>
        </w:tc>
        <w:tc>
          <w:tcPr>
            <w:tcW w:w="2161" w:type="dxa"/>
            <w:vAlign w:val="center"/>
          </w:tcPr>
          <w:p w14:paraId="421BC9A1">
            <w:pPr>
              <w:snapToGrid w:val="0"/>
              <w:spacing w:line="400" w:lineRule="exact"/>
              <w:jc w:val="center"/>
              <w:rPr>
                <w:rFonts w:hint="eastAsia" w:ascii="宋体" w:hAnsi="宋体" w:eastAsia="宋体"/>
                <w:b/>
                <w:color w:val="auto"/>
                <w:szCs w:val="21"/>
                <w:highlight w:val="none"/>
              </w:rPr>
            </w:pPr>
            <w:r>
              <w:rPr>
                <w:rFonts w:hint="eastAsia" w:ascii="宋体" w:hAnsi="宋体" w:eastAsia="宋体"/>
                <w:b/>
                <w:color w:val="auto"/>
                <w:szCs w:val="21"/>
                <w:highlight w:val="none"/>
              </w:rPr>
              <w:t>项目属性与核心产品</w:t>
            </w:r>
          </w:p>
        </w:tc>
        <w:tc>
          <w:tcPr>
            <w:tcW w:w="7349" w:type="dxa"/>
            <w:vAlign w:val="center"/>
          </w:tcPr>
          <w:p w14:paraId="618C4622">
            <w:pPr>
              <w:snapToGrid w:val="0"/>
              <w:spacing w:line="400" w:lineRule="exact"/>
              <w:rPr>
                <w:rFonts w:hint="eastAsia" w:ascii="宋体" w:hAnsi="宋体" w:eastAsia="宋体"/>
                <w:color w:val="auto"/>
                <w:szCs w:val="21"/>
                <w:highlight w:val="none"/>
              </w:rPr>
            </w:pPr>
            <w:r>
              <w:rPr>
                <w:rFonts w:hint="eastAsia" w:ascii="宋体" w:hAnsi="宋体" w:eastAsia="宋体"/>
                <w:color w:val="auto"/>
                <w:szCs w:val="21"/>
                <w:highlight w:val="none"/>
              </w:rPr>
              <w:t>货物类；</w:t>
            </w:r>
          </w:p>
          <w:p w14:paraId="00D8543B">
            <w:pPr>
              <w:snapToGrid w:val="0"/>
              <w:spacing w:line="400" w:lineRule="exact"/>
              <w:rPr>
                <w:rFonts w:hint="eastAsia" w:ascii="宋体" w:hAnsi="宋体" w:eastAsia="宋体"/>
                <w:color w:val="auto"/>
                <w:szCs w:val="21"/>
                <w:highlight w:val="none"/>
              </w:rPr>
            </w:pPr>
            <w:r>
              <w:rPr>
                <w:rFonts w:hint="eastAsia" w:ascii="宋体" w:hAnsi="宋体" w:eastAsia="宋体"/>
                <w:color w:val="auto"/>
                <w:szCs w:val="21"/>
                <w:highlight w:val="none"/>
              </w:rPr>
              <w:t>单一产品或</w:t>
            </w:r>
            <w:r>
              <w:rPr>
                <w:rFonts w:hint="eastAsia" w:ascii="宋体" w:hAnsi="宋体" w:eastAsia="宋体"/>
                <w:color w:val="auto"/>
                <w:kern w:val="0"/>
                <w:szCs w:val="21"/>
                <w:highlight w:val="none"/>
              </w:rPr>
              <w:t>核心产品为：</w:t>
            </w:r>
            <w:r>
              <w:rPr>
                <w:rFonts w:hint="eastAsia" w:ascii="宋体" w:hAnsi="宋体" w:eastAsia="宋体"/>
                <w:color w:val="auto"/>
                <w:szCs w:val="21"/>
                <w:highlight w:val="none"/>
              </w:rPr>
              <w:t>标项1：</w:t>
            </w:r>
            <w:r>
              <w:rPr>
                <w:rFonts w:hint="eastAsia" w:ascii="宋体" w:hAnsi="宋体" w:eastAsia="宋体"/>
                <w:b/>
                <w:bCs/>
                <w:color w:val="auto"/>
                <w:szCs w:val="21"/>
                <w:highlight w:val="none"/>
                <w:u w:val="single"/>
                <w:lang w:val="en-US" w:eastAsia="zh-CN"/>
              </w:rPr>
              <w:t xml:space="preserve"> 次氯酸钠、氢氧化钠 </w:t>
            </w:r>
            <w:r>
              <w:rPr>
                <w:rFonts w:hint="eastAsia" w:ascii="宋体" w:hAnsi="宋体" w:eastAsia="宋体"/>
                <w:b/>
                <w:bCs/>
                <w:color w:val="auto"/>
                <w:szCs w:val="21"/>
                <w:highlight w:val="none"/>
              </w:rPr>
              <w:t>。</w:t>
            </w:r>
          </w:p>
        </w:tc>
      </w:tr>
      <w:tr w14:paraId="2C9A5E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50" w:type="dxa"/>
            <w:vAlign w:val="center"/>
          </w:tcPr>
          <w:p w14:paraId="36775DAB">
            <w:pPr>
              <w:snapToGrid w:val="0"/>
              <w:spacing w:line="400" w:lineRule="exact"/>
              <w:jc w:val="center"/>
              <w:rPr>
                <w:rFonts w:hint="eastAsia" w:ascii="宋体" w:hAnsi="宋体" w:eastAsia="宋体"/>
                <w:bCs/>
                <w:color w:val="auto"/>
                <w:szCs w:val="21"/>
                <w:highlight w:val="none"/>
              </w:rPr>
            </w:pPr>
            <w:r>
              <w:rPr>
                <w:rFonts w:hint="eastAsia" w:ascii="宋体" w:hAnsi="宋体" w:eastAsia="宋体"/>
                <w:bCs/>
                <w:color w:val="auto"/>
                <w:szCs w:val="21"/>
                <w:highlight w:val="none"/>
              </w:rPr>
              <w:t>2</w:t>
            </w:r>
          </w:p>
        </w:tc>
        <w:tc>
          <w:tcPr>
            <w:tcW w:w="2161" w:type="dxa"/>
            <w:vAlign w:val="center"/>
          </w:tcPr>
          <w:p w14:paraId="1B2D602B">
            <w:pPr>
              <w:snapToGrid w:val="0"/>
              <w:spacing w:line="400" w:lineRule="exact"/>
              <w:jc w:val="center"/>
              <w:rPr>
                <w:rFonts w:hint="eastAsia" w:ascii="宋体" w:hAnsi="宋体" w:eastAsia="宋体"/>
                <w:b/>
                <w:color w:val="auto"/>
                <w:szCs w:val="21"/>
                <w:highlight w:val="none"/>
              </w:rPr>
            </w:pPr>
            <w:r>
              <w:rPr>
                <w:rFonts w:hint="eastAsia" w:ascii="宋体" w:hAnsi="宋体" w:eastAsia="宋体"/>
                <w:b/>
                <w:color w:val="auto"/>
                <w:szCs w:val="21"/>
                <w:highlight w:val="none"/>
              </w:rPr>
              <w:t>采购标的及其对应的中小企业划分标准所属行业</w:t>
            </w:r>
          </w:p>
        </w:tc>
        <w:tc>
          <w:tcPr>
            <w:tcW w:w="7349" w:type="dxa"/>
            <w:vAlign w:val="center"/>
          </w:tcPr>
          <w:p w14:paraId="4C62195A">
            <w:pPr>
              <w:snapToGrid w:val="0"/>
              <w:spacing w:line="400" w:lineRule="exac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（1）标的：</w:t>
            </w:r>
            <w:r>
              <w:rPr>
                <w:rFonts w:hint="eastAsia" w:ascii="宋体" w:hAnsi="宋体" w:eastAsia="宋体"/>
                <w:color w:val="auto"/>
                <w:kern w:val="0"/>
                <w:szCs w:val="21"/>
                <w:highlight w:val="none"/>
                <w:u w:val="single"/>
              </w:rPr>
              <w:t xml:space="preserve"> </w:t>
            </w:r>
            <w:r>
              <w:rPr>
                <w:rFonts w:hint="eastAsia" w:ascii="宋体" w:hAnsi="宋体" w:eastAsia="宋体"/>
                <w:color w:val="auto"/>
                <w:kern w:val="0"/>
                <w:szCs w:val="21"/>
                <w:highlight w:val="none"/>
                <w:u w:val="single"/>
                <w:lang w:val="en-US" w:eastAsia="zh-CN"/>
              </w:rPr>
              <w:t xml:space="preserve">次氯酸钠、氢氧化钠 </w:t>
            </w:r>
            <w:r>
              <w:rPr>
                <w:rFonts w:hint="eastAsia" w:ascii="宋体" w:hAnsi="宋体" w:eastAsia="宋体"/>
                <w:color w:val="auto"/>
                <w:kern w:val="0"/>
                <w:szCs w:val="21"/>
                <w:highlight w:val="none"/>
              </w:rPr>
              <w:t>，属于</w:t>
            </w:r>
            <w:r>
              <w:rPr>
                <w:rFonts w:hint="eastAsia" w:ascii="宋体" w:hAnsi="宋体" w:eastAsia="宋体"/>
                <w:color w:val="auto"/>
                <w:kern w:val="44"/>
                <w:szCs w:val="21"/>
                <w:highlight w:val="none"/>
                <w:u w:val="single"/>
                <w:lang w:bidi="ar"/>
              </w:rPr>
              <w:t xml:space="preserve"> 工业 </w:t>
            </w:r>
            <w:r>
              <w:rPr>
                <w:rFonts w:hint="eastAsia" w:ascii="宋体" w:hAnsi="宋体" w:eastAsia="宋体"/>
                <w:color w:val="auto"/>
                <w:kern w:val="0"/>
                <w:szCs w:val="21"/>
                <w:highlight w:val="none"/>
              </w:rPr>
              <w:t>行业。</w:t>
            </w:r>
          </w:p>
          <w:p w14:paraId="20D5A728">
            <w:pPr>
              <w:snapToGrid w:val="0"/>
              <w:spacing w:line="400" w:lineRule="exac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注：根据《关于印发中小企业划型标准规定的通知》（工信部联企业〔2011〕300号）</w:t>
            </w:r>
            <w:r>
              <w:rPr>
                <w:rFonts w:hint="eastAsia" w:ascii="宋体" w:hAnsi="宋体" w:eastAsia="宋体"/>
                <w:color w:val="auto"/>
                <w:kern w:val="0"/>
                <w:szCs w:val="21"/>
                <w:highlight w:val="none"/>
                <w:lang w:eastAsia="zh-CN"/>
              </w:rPr>
              <w:t>、统计上大中小微型企业划分办法（2017）</w:t>
            </w:r>
            <w:r>
              <w:rPr>
                <w:rFonts w:hint="eastAsia" w:ascii="宋体" w:hAnsi="宋体" w:eastAsia="宋体"/>
                <w:color w:val="auto"/>
                <w:kern w:val="0"/>
                <w:szCs w:val="21"/>
                <w:highlight w:val="none"/>
              </w:rPr>
              <w:t>的规定：</w:t>
            </w:r>
          </w:p>
          <w:p w14:paraId="2285A8EB">
            <w:pPr>
              <w:snapToGrid w:val="0"/>
              <w:spacing w:line="400" w:lineRule="exact"/>
              <w:rPr>
                <w:rFonts w:hint="eastAsia" w:ascii="宋体" w:hAnsi="宋体" w:eastAsia="宋体"/>
                <w:b/>
                <w:color w:val="auto"/>
                <w:kern w:val="44"/>
                <w:szCs w:val="21"/>
                <w:highlight w:val="none"/>
                <w:u w:val="single"/>
                <w:lang w:bidi="ar"/>
              </w:rPr>
            </w:pPr>
            <w:r>
              <w:rPr>
                <w:rFonts w:hint="eastAsia" w:ascii="宋体" w:hAnsi="宋体" w:eastAsia="宋体"/>
                <w:b/>
                <w:color w:val="auto"/>
                <w:kern w:val="44"/>
                <w:szCs w:val="21"/>
                <w:highlight w:val="none"/>
                <w:u w:val="single"/>
                <w:lang w:bidi="ar"/>
              </w:rPr>
              <w:t>工业</w:t>
            </w:r>
            <w:r>
              <w:rPr>
                <w:rFonts w:hint="eastAsia" w:ascii="宋体" w:hAnsi="宋体" w:eastAsia="宋体"/>
                <w:color w:val="auto"/>
                <w:kern w:val="0"/>
                <w:szCs w:val="21"/>
                <w:highlight w:val="none"/>
              </w:rPr>
              <w:t>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0425D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50" w:type="dxa"/>
            <w:vAlign w:val="center"/>
          </w:tcPr>
          <w:p w14:paraId="2FD5C969">
            <w:pPr>
              <w:snapToGrid w:val="0"/>
              <w:spacing w:line="400" w:lineRule="exact"/>
              <w:jc w:val="center"/>
              <w:rPr>
                <w:rFonts w:hint="eastAsia" w:ascii="宋体" w:hAnsi="宋体" w:eastAsia="宋体"/>
                <w:bCs/>
                <w:color w:val="auto"/>
                <w:szCs w:val="21"/>
                <w:highlight w:val="none"/>
              </w:rPr>
            </w:pPr>
            <w:r>
              <w:rPr>
                <w:rFonts w:hint="eastAsia" w:ascii="宋体" w:hAnsi="宋体" w:eastAsia="宋体"/>
                <w:bCs/>
                <w:color w:val="auto"/>
                <w:szCs w:val="21"/>
                <w:highlight w:val="none"/>
              </w:rPr>
              <w:t>3</w:t>
            </w:r>
          </w:p>
        </w:tc>
        <w:tc>
          <w:tcPr>
            <w:tcW w:w="2161" w:type="dxa"/>
            <w:vAlign w:val="center"/>
          </w:tcPr>
          <w:p w14:paraId="3F086285">
            <w:pPr>
              <w:snapToGrid w:val="0"/>
              <w:spacing w:line="400" w:lineRule="exact"/>
              <w:jc w:val="center"/>
              <w:rPr>
                <w:rFonts w:hint="eastAsia" w:ascii="宋体" w:hAnsi="宋体" w:eastAsia="宋体"/>
                <w:b/>
                <w:color w:val="auto"/>
                <w:szCs w:val="21"/>
                <w:highlight w:val="none"/>
              </w:rPr>
            </w:pPr>
            <w:r>
              <w:rPr>
                <w:rFonts w:hint="eastAsia" w:ascii="宋体" w:hAnsi="宋体" w:eastAsia="宋体"/>
                <w:b/>
                <w:color w:val="auto"/>
                <w:szCs w:val="21"/>
                <w:highlight w:val="none"/>
              </w:rPr>
              <w:t>是否允许采购进口产品</w:t>
            </w:r>
          </w:p>
        </w:tc>
        <w:tc>
          <w:tcPr>
            <w:tcW w:w="7349" w:type="dxa"/>
            <w:vAlign w:val="center"/>
          </w:tcPr>
          <w:p w14:paraId="3B51E578">
            <w:pPr>
              <w:snapToGrid w:val="0"/>
              <w:spacing w:line="400" w:lineRule="exact"/>
              <w:rPr>
                <w:rFonts w:hint="eastAsia" w:ascii="宋体" w:hAnsi="宋体" w:eastAsia="宋体"/>
                <w:b/>
                <w:bCs/>
                <w:color w:val="auto"/>
                <w:kern w:val="0"/>
                <w:szCs w:val="21"/>
                <w:highlight w:val="none"/>
              </w:rPr>
            </w:pPr>
            <w:r>
              <w:rPr>
                <w:rFonts w:hint="eastAsia" w:ascii="宋体" w:hAnsi="宋体" w:eastAsia="宋体"/>
                <w:b/>
                <w:bCs/>
                <w:color w:val="auto"/>
                <w:kern w:val="0"/>
                <w:szCs w:val="21"/>
                <w:highlight w:val="none"/>
              </w:rPr>
              <w:t>■本项目不允许采购进口产品</w:t>
            </w:r>
          </w:p>
          <w:p w14:paraId="3ABF01A6">
            <w:pPr>
              <w:snapToGrid w:val="0"/>
              <w:spacing w:line="400" w:lineRule="exac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□可以就</w:t>
            </w:r>
            <w:r>
              <w:rPr>
                <w:rFonts w:hint="eastAsia" w:ascii="宋体" w:hAnsi="宋体" w:eastAsia="宋体"/>
                <w:color w:val="auto"/>
                <w:szCs w:val="21"/>
                <w:highlight w:val="none"/>
                <w:u w:val="single"/>
              </w:rPr>
              <w:t xml:space="preserve"> </w:t>
            </w:r>
            <w:r>
              <w:rPr>
                <w:rFonts w:hint="eastAsia" w:ascii="宋体" w:hAnsi="宋体" w:eastAsia="宋体"/>
                <w:b/>
                <w:bCs/>
                <w:color w:val="auto"/>
                <w:szCs w:val="21"/>
                <w:highlight w:val="none"/>
                <w:u w:val="single"/>
              </w:rPr>
              <w:t>/</w:t>
            </w:r>
            <w:r>
              <w:rPr>
                <w:rFonts w:hint="eastAsia" w:ascii="宋体" w:hAnsi="宋体" w:eastAsia="宋体"/>
                <w:color w:val="auto"/>
                <w:szCs w:val="21"/>
                <w:highlight w:val="none"/>
                <w:u w:val="single"/>
              </w:rPr>
              <w:t xml:space="preserve"> </w:t>
            </w:r>
            <w:r>
              <w:rPr>
                <w:rFonts w:hint="eastAsia" w:ascii="宋体" w:hAnsi="宋体" w:eastAsia="宋体"/>
                <w:color w:val="auto"/>
                <w:kern w:val="0"/>
                <w:szCs w:val="21"/>
                <w:highlight w:val="none"/>
              </w:rPr>
              <w:t>采购进口产品</w:t>
            </w:r>
          </w:p>
        </w:tc>
      </w:tr>
      <w:tr w14:paraId="1EC503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50" w:type="dxa"/>
            <w:vAlign w:val="center"/>
          </w:tcPr>
          <w:p w14:paraId="397726EA">
            <w:pPr>
              <w:snapToGrid w:val="0"/>
              <w:spacing w:line="400" w:lineRule="exact"/>
              <w:jc w:val="center"/>
              <w:rPr>
                <w:rFonts w:hint="eastAsia" w:ascii="宋体" w:hAnsi="宋体" w:eastAsia="宋体"/>
                <w:bCs/>
                <w:color w:val="auto"/>
                <w:szCs w:val="21"/>
                <w:highlight w:val="none"/>
              </w:rPr>
            </w:pPr>
            <w:r>
              <w:rPr>
                <w:rFonts w:hint="eastAsia" w:ascii="宋体" w:hAnsi="宋体" w:eastAsia="宋体"/>
                <w:bCs/>
                <w:color w:val="auto"/>
                <w:szCs w:val="21"/>
                <w:highlight w:val="none"/>
              </w:rPr>
              <w:t>4</w:t>
            </w:r>
          </w:p>
        </w:tc>
        <w:tc>
          <w:tcPr>
            <w:tcW w:w="2161" w:type="dxa"/>
            <w:vAlign w:val="center"/>
          </w:tcPr>
          <w:p w14:paraId="06FAAB4B">
            <w:pPr>
              <w:snapToGrid w:val="0"/>
              <w:spacing w:line="400" w:lineRule="exact"/>
              <w:jc w:val="center"/>
              <w:rPr>
                <w:rFonts w:hint="eastAsia" w:ascii="宋体" w:hAnsi="宋体" w:eastAsia="宋体"/>
                <w:b/>
                <w:color w:val="auto"/>
                <w:szCs w:val="21"/>
                <w:highlight w:val="none"/>
              </w:rPr>
            </w:pPr>
            <w:r>
              <w:rPr>
                <w:rFonts w:hint="eastAsia" w:ascii="宋体" w:hAnsi="宋体" w:eastAsia="宋体"/>
                <w:b/>
                <w:color w:val="auto"/>
                <w:szCs w:val="21"/>
                <w:highlight w:val="none"/>
              </w:rPr>
              <w:t>分包</w:t>
            </w:r>
          </w:p>
        </w:tc>
        <w:tc>
          <w:tcPr>
            <w:tcW w:w="7349" w:type="dxa"/>
            <w:vAlign w:val="center"/>
          </w:tcPr>
          <w:p w14:paraId="252C08B5">
            <w:pPr>
              <w:snapToGrid w:val="0"/>
              <w:spacing w:line="400" w:lineRule="exact"/>
              <w:rPr>
                <w:rFonts w:hint="eastAsia" w:ascii="宋体" w:hAnsi="宋体" w:eastAsia="宋体"/>
                <w:b/>
                <w:bCs/>
                <w:color w:val="auto"/>
                <w:kern w:val="0"/>
                <w:szCs w:val="21"/>
                <w:highlight w:val="none"/>
              </w:rPr>
            </w:pPr>
            <w:r>
              <w:rPr>
                <w:rFonts w:hint="eastAsia" w:ascii="宋体" w:hAnsi="宋体" w:eastAsia="宋体"/>
                <w:b/>
                <w:bCs/>
                <w:color w:val="auto"/>
                <w:kern w:val="0"/>
                <w:szCs w:val="21"/>
                <w:highlight w:val="none"/>
              </w:rPr>
              <w:t>■</w:t>
            </w:r>
            <w:r>
              <w:rPr>
                <w:rFonts w:hint="eastAsia" w:ascii="宋体" w:hAnsi="宋体" w:eastAsia="宋体"/>
                <w:b/>
                <w:bCs/>
                <w:color w:val="auto"/>
                <w:szCs w:val="21"/>
                <w:highlight w:val="none"/>
              </w:rPr>
              <w:t>不同意分包</w:t>
            </w:r>
          </w:p>
          <w:p w14:paraId="588DFCC2">
            <w:pPr>
              <w:snapToGrid w:val="0"/>
              <w:spacing w:line="400" w:lineRule="exac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 xml:space="preserve">□ </w:t>
            </w:r>
            <w:r>
              <w:rPr>
                <w:rFonts w:hint="eastAsia" w:ascii="宋体" w:hAnsi="宋体" w:eastAsia="宋体"/>
                <w:color w:val="auto"/>
                <w:szCs w:val="21"/>
                <w:highlight w:val="none"/>
              </w:rPr>
              <w:t>同意将非主体、非关键性的工作分包</w:t>
            </w:r>
          </w:p>
          <w:p w14:paraId="55EF785A">
            <w:pPr>
              <w:snapToGrid w:val="0"/>
              <w:spacing w:line="400" w:lineRule="exact"/>
              <w:rPr>
                <w:rFonts w:hint="eastAsia" w:ascii="宋体" w:hAnsi="宋体" w:eastAsia="宋体"/>
                <w:color w:val="auto"/>
                <w:szCs w:val="21"/>
                <w:highlight w:val="none"/>
              </w:rPr>
            </w:pPr>
            <w:r>
              <w:rPr>
                <w:rFonts w:hint="eastAsia" w:ascii="宋体" w:hAnsi="宋体" w:eastAsia="宋体"/>
                <w:color w:val="auto"/>
                <w:szCs w:val="21"/>
                <w:highlight w:val="none"/>
              </w:rPr>
              <w:t>注：不得限制大中型企业向小微企业合理分包。</w:t>
            </w:r>
          </w:p>
        </w:tc>
      </w:tr>
      <w:tr w14:paraId="07C2FF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50" w:type="dxa"/>
            <w:vAlign w:val="center"/>
          </w:tcPr>
          <w:p w14:paraId="6C09A664">
            <w:pPr>
              <w:snapToGrid w:val="0"/>
              <w:spacing w:line="400" w:lineRule="exact"/>
              <w:jc w:val="center"/>
              <w:rPr>
                <w:rFonts w:hint="eastAsia" w:ascii="宋体" w:hAnsi="宋体" w:eastAsia="宋体"/>
                <w:bCs/>
                <w:color w:val="auto"/>
                <w:szCs w:val="21"/>
                <w:highlight w:val="none"/>
              </w:rPr>
            </w:pPr>
            <w:r>
              <w:rPr>
                <w:rFonts w:hint="eastAsia" w:ascii="宋体" w:hAnsi="宋体" w:eastAsia="宋体"/>
                <w:bCs/>
                <w:color w:val="auto"/>
                <w:szCs w:val="21"/>
                <w:highlight w:val="none"/>
              </w:rPr>
              <w:t>5</w:t>
            </w:r>
          </w:p>
        </w:tc>
        <w:tc>
          <w:tcPr>
            <w:tcW w:w="2161" w:type="dxa"/>
            <w:vAlign w:val="center"/>
          </w:tcPr>
          <w:p w14:paraId="19039A9F">
            <w:pPr>
              <w:snapToGrid w:val="0"/>
              <w:spacing w:line="400" w:lineRule="exact"/>
              <w:jc w:val="center"/>
              <w:rPr>
                <w:rFonts w:hint="eastAsia" w:ascii="宋体" w:hAnsi="宋体" w:eastAsia="宋体"/>
                <w:b/>
                <w:color w:val="auto"/>
                <w:szCs w:val="21"/>
                <w:highlight w:val="none"/>
              </w:rPr>
            </w:pPr>
            <w:r>
              <w:rPr>
                <w:rFonts w:hint="eastAsia" w:ascii="宋体" w:hAnsi="宋体" w:eastAsia="宋体"/>
                <w:b/>
                <w:color w:val="auto"/>
                <w:szCs w:val="21"/>
                <w:highlight w:val="none"/>
              </w:rPr>
              <w:t>开标前答疑会或现场考察</w:t>
            </w:r>
          </w:p>
        </w:tc>
        <w:tc>
          <w:tcPr>
            <w:tcW w:w="7349" w:type="dxa"/>
            <w:vAlign w:val="center"/>
          </w:tcPr>
          <w:p w14:paraId="7AD9816F">
            <w:pPr>
              <w:snapToGrid w:val="0"/>
              <w:spacing w:line="400" w:lineRule="exact"/>
              <w:rPr>
                <w:rFonts w:hint="eastAsia" w:ascii="宋体" w:hAnsi="宋体" w:eastAsia="宋体"/>
                <w:b/>
                <w:bCs/>
                <w:color w:val="auto"/>
                <w:kern w:val="0"/>
                <w:szCs w:val="21"/>
                <w:highlight w:val="none"/>
              </w:rPr>
            </w:pPr>
            <w:r>
              <w:rPr>
                <w:rFonts w:hint="eastAsia" w:ascii="宋体" w:hAnsi="宋体" w:eastAsia="宋体"/>
                <w:b/>
                <w:bCs/>
                <w:color w:val="auto"/>
                <w:kern w:val="0"/>
                <w:szCs w:val="21"/>
                <w:highlight w:val="none"/>
              </w:rPr>
              <w:t xml:space="preserve">■ </w:t>
            </w:r>
            <w:r>
              <w:rPr>
                <w:rFonts w:hint="eastAsia" w:ascii="宋体" w:hAnsi="宋体" w:eastAsia="宋体"/>
                <w:b/>
                <w:bCs/>
                <w:color w:val="auto"/>
                <w:szCs w:val="21"/>
                <w:highlight w:val="none"/>
              </w:rPr>
              <w:t>不组织</w:t>
            </w:r>
          </w:p>
          <w:p w14:paraId="5BC61740">
            <w:pPr>
              <w:snapToGrid w:val="0"/>
              <w:spacing w:line="400" w:lineRule="exac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 组织</w:t>
            </w:r>
          </w:p>
        </w:tc>
      </w:tr>
      <w:tr w14:paraId="509558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50" w:type="dxa"/>
            <w:vAlign w:val="center"/>
          </w:tcPr>
          <w:p w14:paraId="04CF985E">
            <w:pPr>
              <w:snapToGrid w:val="0"/>
              <w:spacing w:line="400" w:lineRule="exact"/>
              <w:jc w:val="center"/>
              <w:rPr>
                <w:rFonts w:hint="eastAsia" w:ascii="宋体" w:hAnsi="宋体" w:eastAsia="宋体"/>
                <w:bCs/>
                <w:color w:val="auto"/>
                <w:szCs w:val="21"/>
                <w:highlight w:val="none"/>
              </w:rPr>
            </w:pPr>
            <w:r>
              <w:rPr>
                <w:rFonts w:hint="eastAsia" w:ascii="宋体" w:hAnsi="宋体" w:eastAsia="宋体"/>
                <w:bCs/>
                <w:color w:val="auto"/>
                <w:szCs w:val="21"/>
                <w:highlight w:val="none"/>
              </w:rPr>
              <w:t>6</w:t>
            </w:r>
          </w:p>
        </w:tc>
        <w:tc>
          <w:tcPr>
            <w:tcW w:w="2161" w:type="dxa"/>
            <w:vAlign w:val="center"/>
          </w:tcPr>
          <w:p w14:paraId="7D3C51D4">
            <w:pPr>
              <w:snapToGrid w:val="0"/>
              <w:spacing w:line="400" w:lineRule="exact"/>
              <w:jc w:val="center"/>
              <w:rPr>
                <w:rFonts w:hint="eastAsia" w:ascii="宋体" w:hAnsi="宋体" w:eastAsia="宋体"/>
                <w:b/>
                <w:color w:val="auto"/>
                <w:szCs w:val="21"/>
                <w:highlight w:val="none"/>
                <w:shd w:val="clear" w:color="auto" w:fill="auto"/>
              </w:rPr>
            </w:pPr>
            <w:r>
              <w:rPr>
                <w:rFonts w:hint="eastAsia" w:ascii="宋体" w:hAnsi="宋体" w:eastAsia="宋体"/>
                <w:b/>
                <w:color w:val="auto"/>
                <w:szCs w:val="21"/>
                <w:highlight w:val="none"/>
                <w:shd w:val="clear" w:color="auto" w:fill="auto"/>
              </w:rPr>
              <w:t>样品提供</w:t>
            </w:r>
          </w:p>
        </w:tc>
        <w:tc>
          <w:tcPr>
            <w:tcW w:w="7349" w:type="dxa"/>
            <w:vAlign w:val="center"/>
          </w:tcPr>
          <w:p w14:paraId="0980B0F2">
            <w:pPr>
              <w:snapToGrid w:val="0"/>
              <w:spacing w:line="400" w:lineRule="exact"/>
              <w:rPr>
                <w:rFonts w:hint="eastAsia" w:ascii="宋体" w:hAnsi="宋体" w:eastAsia="宋体"/>
                <w:b/>
                <w:bCs/>
                <w:color w:val="auto"/>
                <w:kern w:val="0"/>
                <w:szCs w:val="21"/>
                <w:highlight w:val="none"/>
                <w:shd w:val="clear" w:color="auto" w:fill="auto"/>
              </w:rPr>
            </w:pPr>
            <w:r>
              <w:rPr>
                <w:rFonts w:hint="eastAsia" w:ascii="宋体" w:hAnsi="宋体" w:eastAsia="宋体"/>
                <w:b/>
                <w:bCs/>
                <w:color w:val="auto"/>
                <w:kern w:val="0"/>
                <w:szCs w:val="21"/>
                <w:highlight w:val="none"/>
                <w:shd w:val="clear" w:color="auto" w:fill="auto"/>
              </w:rPr>
              <w:t xml:space="preserve">■ </w:t>
            </w:r>
            <w:r>
              <w:rPr>
                <w:rFonts w:hint="eastAsia" w:ascii="宋体" w:hAnsi="宋体" w:eastAsia="宋体"/>
                <w:b/>
                <w:bCs w:val="0"/>
                <w:color w:val="auto"/>
                <w:szCs w:val="21"/>
                <w:highlight w:val="none"/>
                <w:shd w:val="clear" w:color="auto" w:fill="auto"/>
              </w:rPr>
              <w:t>不要求提供</w:t>
            </w:r>
          </w:p>
          <w:p w14:paraId="6D26C15F">
            <w:pPr>
              <w:snapToGrid w:val="0"/>
              <w:spacing w:line="400" w:lineRule="exact"/>
              <w:rPr>
                <w:rFonts w:hint="eastAsia" w:ascii="宋体" w:hAnsi="宋体" w:eastAsia="宋体"/>
                <w:b w:val="0"/>
                <w:bCs w:val="0"/>
                <w:color w:val="auto"/>
                <w:kern w:val="0"/>
                <w:szCs w:val="21"/>
                <w:highlight w:val="none"/>
                <w:shd w:val="clear" w:color="auto" w:fill="auto"/>
              </w:rPr>
            </w:pPr>
            <w:r>
              <w:rPr>
                <w:rFonts w:hint="eastAsia" w:ascii="宋体" w:hAnsi="宋体" w:eastAsia="宋体"/>
                <w:b w:val="0"/>
                <w:bCs w:val="0"/>
                <w:color w:val="auto"/>
                <w:kern w:val="0"/>
                <w:szCs w:val="21"/>
                <w:highlight w:val="none"/>
                <w:shd w:val="clear" w:color="auto" w:fill="auto"/>
              </w:rPr>
              <w:t>□ 要求提供</w:t>
            </w:r>
          </w:p>
        </w:tc>
      </w:tr>
      <w:tr w14:paraId="611F3E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50" w:type="dxa"/>
            <w:vAlign w:val="center"/>
          </w:tcPr>
          <w:p w14:paraId="31C4C33A">
            <w:pPr>
              <w:snapToGrid w:val="0"/>
              <w:spacing w:line="400" w:lineRule="exact"/>
              <w:jc w:val="center"/>
              <w:rPr>
                <w:rFonts w:hint="eastAsia" w:ascii="宋体" w:hAnsi="宋体" w:eastAsia="宋体"/>
                <w:bCs/>
                <w:color w:val="auto"/>
                <w:szCs w:val="21"/>
                <w:highlight w:val="none"/>
              </w:rPr>
            </w:pPr>
            <w:r>
              <w:rPr>
                <w:rFonts w:hint="eastAsia" w:ascii="宋体" w:hAnsi="宋体" w:eastAsia="宋体"/>
                <w:bCs/>
                <w:color w:val="auto"/>
                <w:szCs w:val="21"/>
                <w:highlight w:val="none"/>
              </w:rPr>
              <w:t>7</w:t>
            </w:r>
          </w:p>
        </w:tc>
        <w:tc>
          <w:tcPr>
            <w:tcW w:w="2161" w:type="dxa"/>
            <w:vAlign w:val="center"/>
          </w:tcPr>
          <w:p w14:paraId="3161749F">
            <w:pPr>
              <w:snapToGrid w:val="0"/>
              <w:spacing w:line="400" w:lineRule="exact"/>
              <w:jc w:val="center"/>
              <w:rPr>
                <w:rFonts w:hint="eastAsia" w:ascii="宋体" w:hAnsi="宋体" w:eastAsia="宋体"/>
                <w:b/>
                <w:color w:val="auto"/>
                <w:szCs w:val="21"/>
                <w:highlight w:val="none"/>
              </w:rPr>
            </w:pPr>
            <w:r>
              <w:rPr>
                <w:rFonts w:hint="eastAsia" w:ascii="宋体" w:hAnsi="宋体" w:eastAsia="宋体"/>
                <w:b/>
                <w:color w:val="auto"/>
                <w:szCs w:val="21"/>
                <w:highlight w:val="none"/>
              </w:rPr>
              <w:t>方案讲解演示</w:t>
            </w:r>
          </w:p>
        </w:tc>
        <w:tc>
          <w:tcPr>
            <w:tcW w:w="7349" w:type="dxa"/>
            <w:vAlign w:val="center"/>
          </w:tcPr>
          <w:p w14:paraId="42B5C52C">
            <w:pPr>
              <w:snapToGrid w:val="0"/>
              <w:spacing w:line="400" w:lineRule="exact"/>
              <w:rPr>
                <w:rFonts w:hint="eastAsia" w:ascii="宋体" w:hAnsi="宋体" w:eastAsia="宋体"/>
                <w:b/>
                <w:bCs/>
                <w:color w:val="auto"/>
                <w:kern w:val="0"/>
                <w:szCs w:val="21"/>
                <w:highlight w:val="none"/>
              </w:rPr>
            </w:pPr>
            <w:r>
              <w:rPr>
                <w:rFonts w:hint="eastAsia" w:ascii="宋体" w:hAnsi="宋体" w:eastAsia="宋体"/>
                <w:b/>
                <w:bCs/>
                <w:color w:val="auto"/>
                <w:kern w:val="0"/>
                <w:szCs w:val="21"/>
                <w:highlight w:val="none"/>
              </w:rPr>
              <w:t>■</w:t>
            </w:r>
            <w:r>
              <w:rPr>
                <w:rFonts w:hint="eastAsia" w:ascii="宋体" w:hAnsi="宋体" w:eastAsia="宋体"/>
                <w:b/>
                <w:bCs/>
                <w:color w:val="auto"/>
                <w:szCs w:val="21"/>
                <w:highlight w:val="none"/>
              </w:rPr>
              <w:t>不组织</w:t>
            </w:r>
          </w:p>
          <w:p w14:paraId="6B1CC85C">
            <w:pPr>
              <w:snapToGrid w:val="0"/>
              <w:spacing w:line="400" w:lineRule="exac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w:t>
            </w:r>
            <w:r>
              <w:rPr>
                <w:rFonts w:hint="eastAsia" w:ascii="宋体" w:hAnsi="宋体" w:eastAsia="宋体"/>
                <w:b/>
                <w:bCs/>
                <w:color w:val="auto"/>
                <w:kern w:val="0"/>
                <w:szCs w:val="21"/>
                <w:highlight w:val="none"/>
              </w:rPr>
              <w:t xml:space="preserve"> </w:t>
            </w:r>
            <w:r>
              <w:rPr>
                <w:rFonts w:hint="eastAsia" w:ascii="宋体" w:hAnsi="宋体" w:eastAsia="宋体"/>
                <w:color w:val="auto"/>
                <w:kern w:val="0"/>
                <w:szCs w:val="21"/>
                <w:highlight w:val="none"/>
              </w:rPr>
              <w:t>组织</w:t>
            </w:r>
          </w:p>
          <w:p w14:paraId="63F9EA3B">
            <w:pPr>
              <w:snapToGrid w:val="0"/>
              <w:spacing w:line="400" w:lineRule="exact"/>
              <w:ind w:firstLine="420" w:firstLineChars="200"/>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（1）在评标时安排每个供应商进行方案讲解演示。每个供应商时间不超过</w:t>
            </w:r>
            <w:r>
              <w:rPr>
                <w:rFonts w:hint="eastAsia" w:ascii="宋体" w:hAnsi="宋体" w:eastAsia="宋体"/>
                <w:color w:val="auto"/>
                <w:kern w:val="0"/>
                <w:szCs w:val="21"/>
                <w:highlight w:val="none"/>
                <w:u w:val="single"/>
              </w:rPr>
              <w:t xml:space="preserve">   </w:t>
            </w:r>
            <w:r>
              <w:rPr>
                <w:rFonts w:hint="eastAsia" w:ascii="宋体" w:hAnsi="宋体" w:eastAsia="宋体"/>
                <w:color w:val="auto"/>
                <w:kern w:val="0"/>
                <w:szCs w:val="21"/>
                <w:highlight w:val="none"/>
              </w:rPr>
              <w:t>分钟，讲解次序以投标文件解密时间先后次序为准，讲解演示人员不超过</w:t>
            </w:r>
            <w:r>
              <w:rPr>
                <w:rFonts w:hint="eastAsia" w:ascii="宋体" w:hAnsi="宋体" w:eastAsia="宋体"/>
                <w:color w:val="auto"/>
                <w:kern w:val="0"/>
                <w:szCs w:val="21"/>
                <w:highlight w:val="none"/>
                <w:u w:val="single"/>
              </w:rPr>
              <w:t xml:space="preserve">  </w:t>
            </w:r>
            <w:r>
              <w:rPr>
                <w:rFonts w:hint="eastAsia" w:ascii="宋体" w:hAnsi="宋体" w:eastAsia="宋体"/>
                <w:color w:val="auto"/>
                <w:kern w:val="0"/>
                <w:szCs w:val="21"/>
                <w:highlight w:val="none"/>
              </w:rPr>
              <w:t>人。讲解演示结束后按要求解答评标委员会提问。</w:t>
            </w:r>
          </w:p>
          <w:p w14:paraId="70646DC1">
            <w:pPr>
              <w:snapToGrid w:val="0"/>
              <w:spacing w:line="400" w:lineRule="exact"/>
              <w:ind w:firstLine="420" w:firstLineChars="200"/>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（2）方案讲解演示可选择以下其中一种方式：</w:t>
            </w:r>
          </w:p>
          <w:p w14:paraId="51C2CAED">
            <w:pPr>
              <w:snapToGrid w:val="0"/>
              <w:spacing w:line="400" w:lineRule="exac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 方式一：</w:t>
            </w:r>
            <w:r>
              <w:rPr>
                <w:rFonts w:hint="eastAsia" w:ascii="宋体" w:hAnsi="宋体" w:eastAsia="宋体"/>
                <w:color w:val="auto"/>
                <w:kern w:val="0"/>
                <w:szCs w:val="21"/>
                <w:highlight w:val="none"/>
                <w:lang w:eastAsia="zh-CN"/>
              </w:rPr>
              <w:t>乐采云</w:t>
            </w:r>
            <w:r>
              <w:rPr>
                <w:rFonts w:hint="eastAsia" w:ascii="宋体" w:hAnsi="宋体" w:eastAsia="宋体"/>
                <w:color w:val="auto"/>
                <w:kern w:val="0"/>
                <w:szCs w:val="21"/>
                <w:highlight w:val="none"/>
              </w:rPr>
              <w:t>平台在线讲解演示。</w:t>
            </w:r>
            <w:r>
              <w:rPr>
                <w:rFonts w:hint="eastAsia" w:ascii="宋体" w:hAnsi="宋体" w:eastAsia="宋体"/>
                <w:color w:val="auto"/>
                <w:kern w:val="0"/>
                <w:szCs w:val="21"/>
                <w:highlight w:val="none"/>
                <w:lang w:eastAsia="zh-CN"/>
              </w:rPr>
              <w:t>乐采云</w:t>
            </w:r>
            <w:r>
              <w:rPr>
                <w:rFonts w:hint="eastAsia" w:ascii="宋体" w:hAnsi="宋体" w:eastAsia="宋体"/>
                <w:color w:val="auto"/>
                <w:kern w:val="0"/>
                <w:szCs w:val="21"/>
                <w:highlight w:val="none"/>
              </w:rPr>
              <w:t>平台在线讲解需供应商根据</w:t>
            </w:r>
            <w:r>
              <w:rPr>
                <w:rFonts w:hint="eastAsia" w:ascii="宋体" w:hAnsi="宋体" w:eastAsia="宋体"/>
                <w:color w:val="auto"/>
                <w:kern w:val="0"/>
                <w:szCs w:val="21"/>
                <w:highlight w:val="none"/>
                <w:lang w:eastAsia="zh-CN"/>
              </w:rPr>
              <w:t>乐采云</w:t>
            </w:r>
            <w:r>
              <w:rPr>
                <w:rFonts w:hint="eastAsia" w:ascii="宋体" w:hAnsi="宋体" w:eastAsia="宋体"/>
                <w:color w:val="auto"/>
                <w:kern w:val="0"/>
                <w:szCs w:val="21"/>
                <w:highlight w:val="none"/>
              </w:rPr>
              <w:t>平台操作要求做好准备工作，提前完善软硬件配置环境。</w:t>
            </w:r>
          </w:p>
          <w:p w14:paraId="0DAC6667">
            <w:pPr>
              <w:snapToGrid w:val="0"/>
              <w:spacing w:line="400" w:lineRule="exac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 方式二：评标现场讲解演示。现场讲解地点为</w:t>
            </w:r>
            <w:r>
              <w:rPr>
                <w:rFonts w:hint="eastAsia" w:ascii="宋体" w:hAnsi="宋体" w:eastAsia="宋体"/>
                <w:color w:val="auto"/>
                <w:szCs w:val="21"/>
                <w:highlight w:val="none"/>
                <w:u w:val="single"/>
              </w:rPr>
              <w:t xml:space="preserve"> </w:t>
            </w:r>
            <w:r>
              <w:rPr>
                <w:rFonts w:hint="eastAsia" w:ascii="宋体" w:hAnsi="宋体" w:eastAsia="宋体"/>
                <w:color w:val="auto"/>
                <w:szCs w:val="22"/>
                <w:highlight w:val="none"/>
                <w:u w:val="single"/>
              </w:rPr>
              <w:t xml:space="preserve">   </w:t>
            </w:r>
            <w:r>
              <w:rPr>
                <w:rFonts w:hint="eastAsia" w:ascii="宋体" w:hAnsi="宋体" w:eastAsia="宋体"/>
                <w:color w:val="auto"/>
                <w:szCs w:val="21"/>
                <w:highlight w:val="none"/>
                <w:u w:val="single"/>
              </w:rPr>
              <w:t xml:space="preserve"> </w:t>
            </w:r>
            <w:r>
              <w:rPr>
                <w:rFonts w:hint="eastAsia" w:ascii="宋体" w:hAnsi="宋体" w:eastAsia="宋体"/>
                <w:color w:val="auto"/>
                <w:kern w:val="0"/>
                <w:szCs w:val="21"/>
                <w:highlight w:val="none"/>
              </w:rPr>
              <w:t>，讲解演示所用电脑等设备由供应商自备。现场讲解演示人员进场时提供讲解人员名单（加盖公章或授权代表签名）及身份证明，否则不得讲解演示。</w:t>
            </w:r>
          </w:p>
          <w:p w14:paraId="0AF97174">
            <w:pPr>
              <w:snapToGrid w:val="0"/>
              <w:spacing w:line="400" w:lineRule="exac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6BDC0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50" w:type="dxa"/>
            <w:vMerge w:val="restart"/>
            <w:vAlign w:val="center"/>
          </w:tcPr>
          <w:p w14:paraId="0A15F199">
            <w:pPr>
              <w:snapToGrid w:val="0"/>
              <w:spacing w:line="400" w:lineRule="exact"/>
              <w:jc w:val="center"/>
              <w:rPr>
                <w:rFonts w:hint="eastAsia" w:ascii="宋体" w:hAnsi="宋体" w:eastAsia="宋体"/>
                <w:bCs/>
                <w:color w:val="auto"/>
                <w:szCs w:val="21"/>
                <w:highlight w:val="none"/>
              </w:rPr>
            </w:pPr>
            <w:r>
              <w:rPr>
                <w:rFonts w:hint="eastAsia" w:ascii="宋体" w:hAnsi="宋体" w:eastAsia="宋体"/>
                <w:bCs/>
                <w:color w:val="auto"/>
                <w:szCs w:val="21"/>
                <w:highlight w:val="none"/>
              </w:rPr>
              <w:t>8</w:t>
            </w:r>
          </w:p>
        </w:tc>
        <w:tc>
          <w:tcPr>
            <w:tcW w:w="2161" w:type="dxa"/>
            <w:vMerge w:val="restart"/>
            <w:vAlign w:val="center"/>
          </w:tcPr>
          <w:p w14:paraId="2F356478">
            <w:pPr>
              <w:pStyle w:val="37"/>
              <w:autoSpaceDE/>
              <w:autoSpaceDN/>
              <w:snapToGrid w:val="0"/>
              <w:spacing w:line="400" w:lineRule="exact"/>
              <w:ind w:firstLine="0"/>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供应商应当提供的资格</w:t>
            </w:r>
            <w:r>
              <w:rPr>
                <w:rFonts w:hint="eastAsia" w:ascii="宋体" w:hAnsi="宋体" w:eastAsia="宋体"/>
                <w:b/>
                <w:color w:val="auto"/>
                <w:sz w:val="21"/>
                <w:szCs w:val="21"/>
                <w:highlight w:val="none"/>
                <w:lang w:val="en-US"/>
              </w:rPr>
              <w:t>证明文件、商务技术文件、报价文件</w:t>
            </w:r>
          </w:p>
        </w:tc>
        <w:tc>
          <w:tcPr>
            <w:tcW w:w="7349" w:type="dxa"/>
            <w:vAlign w:val="center"/>
          </w:tcPr>
          <w:p w14:paraId="60E3A950">
            <w:pPr>
              <w:snapToGrid w:val="0"/>
              <w:spacing w:line="400" w:lineRule="exact"/>
              <w:rPr>
                <w:rFonts w:hint="eastAsia" w:ascii="宋体" w:hAnsi="宋体" w:eastAsia="宋体"/>
                <w:b/>
                <w:bCs/>
                <w:color w:val="auto"/>
                <w:szCs w:val="21"/>
                <w:highlight w:val="none"/>
              </w:rPr>
            </w:pPr>
            <w:r>
              <w:rPr>
                <w:rFonts w:hint="eastAsia" w:ascii="宋体" w:hAnsi="宋体" w:eastAsia="宋体"/>
                <w:b/>
                <w:bCs/>
                <w:color w:val="auto"/>
                <w:szCs w:val="21"/>
                <w:highlight w:val="none"/>
              </w:rPr>
              <w:t>（1）资格证明文件：</w:t>
            </w:r>
            <w:r>
              <w:rPr>
                <w:rFonts w:hint="eastAsia" w:ascii="宋体" w:hAnsi="宋体" w:eastAsia="宋体"/>
                <w:color w:val="auto"/>
                <w:szCs w:val="21"/>
                <w:highlight w:val="none"/>
              </w:rPr>
              <w:t>详见采购文件第二部分 供应商须知第11.1款。</w:t>
            </w:r>
            <w:r>
              <w:rPr>
                <w:rFonts w:hint="eastAsia" w:ascii="宋体" w:hAnsi="宋体" w:eastAsia="宋体"/>
                <w:b/>
                <w:bCs/>
                <w:color w:val="auto"/>
                <w:kern w:val="0"/>
                <w:szCs w:val="21"/>
                <w:highlight w:val="none"/>
                <w:lang w:val="zh-CN"/>
              </w:rPr>
              <w:t>供应商未提供有效的资格证明文件的，视为供应商不具备采购文件中规定的资格要求，投标无效。</w:t>
            </w:r>
          </w:p>
        </w:tc>
      </w:tr>
      <w:tr w14:paraId="41B982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50" w:type="dxa"/>
            <w:vMerge w:val="continue"/>
            <w:vAlign w:val="center"/>
          </w:tcPr>
          <w:p w14:paraId="13AFE749">
            <w:pPr>
              <w:pStyle w:val="37"/>
              <w:jc w:val="center"/>
              <w:rPr>
                <w:rFonts w:hint="eastAsia" w:ascii="宋体" w:hAnsi="宋体" w:eastAsia="宋体"/>
                <w:bCs/>
                <w:color w:val="auto"/>
                <w:sz w:val="28"/>
                <w:szCs w:val="28"/>
                <w:highlight w:val="none"/>
              </w:rPr>
            </w:pPr>
          </w:p>
        </w:tc>
        <w:tc>
          <w:tcPr>
            <w:tcW w:w="2161" w:type="dxa"/>
            <w:vMerge w:val="continue"/>
            <w:vAlign w:val="center"/>
          </w:tcPr>
          <w:p w14:paraId="771DEB7C">
            <w:pPr>
              <w:pStyle w:val="37"/>
              <w:autoSpaceDE/>
              <w:autoSpaceDN/>
              <w:snapToGrid w:val="0"/>
              <w:spacing w:line="400" w:lineRule="exact"/>
              <w:ind w:firstLine="0"/>
              <w:jc w:val="center"/>
              <w:rPr>
                <w:rFonts w:hint="eastAsia" w:ascii="宋体" w:hAnsi="宋体" w:eastAsia="宋体"/>
                <w:b/>
                <w:color w:val="auto"/>
                <w:sz w:val="28"/>
                <w:szCs w:val="28"/>
                <w:highlight w:val="none"/>
              </w:rPr>
            </w:pPr>
          </w:p>
        </w:tc>
        <w:tc>
          <w:tcPr>
            <w:tcW w:w="7349" w:type="dxa"/>
            <w:vAlign w:val="center"/>
          </w:tcPr>
          <w:p w14:paraId="51782FDF">
            <w:pPr>
              <w:snapToGrid w:val="0"/>
              <w:spacing w:line="400" w:lineRule="exact"/>
              <w:rPr>
                <w:rFonts w:hint="eastAsia" w:ascii="宋体" w:hAnsi="宋体" w:eastAsia="宋体"/>
                <w:b/>
                <w:bCs/>
                <w:color w:val="auto"/>
                <w:szCs w:val="21"/>
                <w:highlight w:val="none"/>
              </w:rPr>
            </w:pPr>
            <w:r>
              <w:rPr>
                <w:rFonts w:hint="eastAsia" w:ascii="宋体" w:hAnsi="宋体" w:eastAsia="宋体"/>
                <w:b/>
                <w:bCs/>
                <w:color w:val="auto"/>
                <w:szCs w:val="21"/>
                <w:highlight w:val="none"/>
              </w:rPr>
              <w:t>（2）商务技术文件：</w:t>
            </w:r>
            <w:r>
              <w:rPr>
                <w:rFonts w:hint="eastAsia" w:ascii="宋体" w:hAnsi="宋体" w:eastAsia="宋体"/>
                <w:color w:val="auto"/>
                <w:szCs w:val="21"/>
                <w:highlight w:val="none"/>
              </w:rPr>
              <w:t>根据采购文件第二部分 供应商须知第11.2款和采购文件第四部分 评标办法提供。</w:t>
            </w:r>
          </w:p>
        </w:tc>
      </w:tr>
      <w:tr w14:paraId="6F1DBF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750" w:type="dxa"/>
            <w:vMerge w:val="continue"/>
            <w:vAlign w:val="center"/>
          </w:tcPr>
          <w:p w14:paraId="609FF101">
            <w:pPr>
              <w:pStyle w:val="37"/>
              <w:jc w:val="center"/>
              <w:rPr>
                <w:rFonts w:hint="eastAsia" w:ascii="宋体" w:hAnsi="宋体" w:eastAsia="宋体"/>
                <w:bCs/>
                <w:color w:val="auto"/>
                <w:sz w:val="28"/>
                <w:szCs w:val="28"/>
                <w:highlight w:val="none"/>
              </w:rPr>
            </w:pPr>
          </w:p>
        </w:tc>
        <w:tc>
          <w:tcPr>
            <w:tcW w:w="2161" w:type="dxa"/>
            <w:vMerge w:val="continue"/>
            <w:vAlign w:val="center"/>
          </w:tcPr>
          <w:p w14:paraId="6A46D8D1">
            <w:pPr>
              <w:pStyle w:val="37"/>
              <w:autoSpaceDE/>
              <w:autoSpaceDN/>
              <w:snapToGrid w:val="0"/>
              <w:spacing w:line="400" w:lineRule="exact"/>
              <w:ind w:firstLine="0"/>
              <w:jc w:val="center"/>
              <w:rPr>
                <w:rFonts w:hint="eastAsia" w:ascii="宋体" w:hAnsi="宋体" w:eastAsia="宋体"/>
                <w:b/>
                <w:color w:val="auto"/>
                <w:sz w:val="28"/>
                <w:szCs w:val="28"/>
                <w:highlight w:val="none"/>
              </w:rPr>
            </w:pPr>
          </w:p>
        </w:tc>
        <w:tc>
          <w:tcPr>
            <w:tcW w:w="7349" w:type="dxa"/>
            <w:vAlign w:val="center"/>
          </w:tcPr>
          <w:p w14:paraId="1D79E621">
            <w:pPr>
              <w:snapToGrid w:val="0"/>
              <w:rPr>
                <w:rFonts w:hint="eastAsia" w:ascii="宋体" w:hAnsi="宋体" w:eastAsia="宋体"/>
                <w:b/>
                <w:bCs/>
                <w:color w:val="auto"/>
                <w:szCs w:val="21"/>
                <w:highlight w:val="none"/>
              </w:rPr>
            </w:pPr>
            <w:r>
              <w:rPr>
                <w:rFonts w:hint="eastAsia" w:ascii="宋体" w:hAnsi="宋体" w:eastAsia="宋体"/>
                <w:b/>
                <w:bCs/>
                <w:color w:val="auto"/>
                <w:szCs w:val="21"/>
                <w:highlight w:val="none"/>
              </w:rPr>
              <w:t>（3）报价文件：</w:t>
            </w:r>
            <w:r>
              <w:rPr>
                <w:rFonts w:hint="eastAsia" w:ascii="宋体" w:hAnsi="宋体" w:eastAsia="宋体"/>
                <w:color w:val="auto"/>
                <w:szCs w:val="21"/>
                <w:highlight w:val="none"/>
              </w:rPr>
              <w:t>根据采购文件第二部分 供应商须知第11.3款提供。</w:t>
            </w:r>
          </w:p>
        </w:tc>
      </w:tr>
      <w:tr w14:paraId="5516AF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50" w:type="dxa"/>
            <w:vAlign w:val="center"/>
          </w:tcPr>
          <w:p w14:paraId="33ECAA54">
            <w:pPr>
              <w:snapToGrid w:val="0"/>
              <w:spacing w:line="400" w:lineRule="exact"/>
              <w:jc w:val="center"/>
              <w:rPr>
                <w:rFonts w:hint="eastAsia" w:ascii="宋体" w:hAnsi="宋体" w:eastAsia="宋体"/>
                <w:bCs/>
                <w:color w:val="auto"/>
                <w:szCs w:val="21"/>
                <w:highlight w:val="none"/>
              </w:rPr>
            </w:pPr>
            <w:r>
              <w:rPr>
                <w:rFonts w:hint="eastAsia" w:ascii="宋体" w:hAnsi="宋体" w:eastAsia="宋体"/>
                <w:bCs/>
                <w:color w:val="auto"/>
                <w:szCs w:val="21"/>
                <w:highlight w:val="none"/>
              </w:rPr>
              <w:t>9</w:t>
            </w:r>
          </w:p>
        </w:tc>
        <w:tc>
          <w:tcPr>
            <w:tcW w:w="2161" w:type="dxa"/>
            <w:vAlign w:val="center"/>
          </w:tcPr>
          <w:p w14:paraId="6CEA190B">
            <w:pPr>
              <w:snapToGrid w:val="0"/>
              <w:spacing w:line="400" w:lineRule="exact"/>
              <w:jc w:val="center"/>
              <w:rPr>
                <w:rFonts w:hint="eastAsia" w:ascii="宋体" w:hAnsi="宋体" w:eastAsia="宋体"/>
                <w:b/>
                <w:color w:val="auto"/>
                <w:szCs w:val="21"/>
                <w:highlight w:val="none"/>
              </w:rPr>
            </w:pPr>
            <w:r>
              <w:rPr>
                <w:rFonts w:hint="eastAsia" w:ascii="宋体" w:hAnsi="宋体" w:eastAsia="宋体"/>
                <w:b/>
                <w:color w:val="auto"/>
                <w:szCs w:val="21"/>
                <w:highlight w:val="none"/>
              </w:rPr>
              <w:t>节能产品、环境标志产品</w:t>
            </w:r>
          </w:p>
        </w:tc>
        <w:tc>
          <w:tcPr>
            <w:tcW w:w="7349" w:type="dxa"/>
            <w:vAlign w:val="center"/>
          </w:tcPr>
          <w:p w14:paraId="52732889">
            <w:pPr>
              <w:snapToGrid w:val="0"/>
              <w:spacing w:line="400" w:lineRule="exac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E69AE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0" w:hRule="atLeast"/>
        </w:trPr>
        <w:tc>
          <w:tcPr>
            <w:tcW w:w="750" w:type="dxa"/>
            <w:vAlign w:val="center"/>
          </w:tcPr>
          <w:p w14:paraId="1E4A505A">
            <w:pPr>
              <w:snapToGrid w:val="0"/>
              <w:spacing w:line="400" w:lineRule="exact"/>
              <w:jc w:val="center"/>
              <w:rPr>
                <w:rFonts w:hint="eastAsia" w:ascii="宋体" w:hAnsi="宋体" w:eastAsia="宋体"/>
                <w:bCs/>
                <w:color w:val="auto"/>
                <w:szCs w:val="21"/>
                <w:highlight w:val="none"/>
              </w:rPr>
            </w:pPr>
            <w:r>
              <w:rPr>
                <w:rFonts w:hint="eastAsia" w:ascii="宋体" w:hAnsi="宋体" w:eastAsia="宋体"/>
                <w:bCs/>
                <w:color w:val="auto"/>
                <w:szCs w:val="21"/>
                <w:highlight w:val="none"/>
              </w:rPr>
              <w:t>10</w:t>
            </w:r>
          </w:p>
        </w:tc>
        <w:tc>
          <w:tcPr>
            <w:tcW w:w="2161" w:type="dxa"/>
            <w:vAlign w:val="center"/>
          </w:tcPr>
          <w:p w14:paraId="3E08F626">
            <w:pPr>
              <w:snapToGrid w:val="0"/>
              <w:spacing w:line="400" w:lineRule="exact"/>
              <w:jc w:val="center"/>
              <w:rPr>
                <w:rFonts w:hint="eastAsia" w:ascii="宋体" w:hAnsi="宋体" w:eastAsia="宋体"/>
                <w:b/>
                <w:color w:val="auto"/>
                <w:szCs w:val="21"/>
                <w:highlight w:val="none"/>
              </w:rPr>
            </w:pPr>
            <w:r>
              <w:rPr>
                <w:rFonts w:hint="eastAsia" w:ascii="宋体" w:hAnsi="宋体" w:eastAsia="宋体"/>
                <w:b/>
                <w:color w:val="auto"/>
                <w:szCs w:val="21"/>
                <w:highlight w:val="none"/>
              </w:rPr>
              <w:t>★报价要求</w:t>
            </w:r>
          </w:p>
        </w:tc>
        <w:tc>
          <w:tcPr>
            <w:tcW w:w="7349" w:type="dxa"/>
            <w:vAlign w:val="center"/>
          </w:tcPr>
          <w:p w14:paraId="16318A07">
            <w:pPr>
              <w:snapToGrid w:val="0"/>
              <w:spacing w:line="400" w:lineRule="exact"/>
              <w:rPr>
                <w:rFonts w:hint="eastAsia" w:ascii="宋体" w:hAnsi="宋体" w:eastAsia="宋体"/>
                <w:b/>
                <w:bCs/>
                <w:color w:val="auto"/>
                <w:kern w:val="0"/>
                <w:szCs w:val="21"/>
                <w:highlight w:val="none"/>
              </w:rPr>
            </w:pPr>
            <w:r>
              <w:rPr>
                <w:rFonts w:hint="eastAsia" w:ascii="宋体" w:hAnsi="宋体" w:eastAsia="宋体"/>
                <w:b/>
                <w:bCs/>
                <w:color w:val="auto"/>
                <w:kern w:val="0"/>
                <w:szCs w:val="21"/>
                <w:highlight w:val="none"/>
              </w:rPr>
              <w:t>详见采购文件第三部分 采购需求“商务条款要求”</w:t>
            </w:r>
            <w:r>
              <w:rPr>
                <w:rFonts w:hint="eastAsia" w:ascii="宋体" w:hAnsi="宋体" w:eastAsia="宋体"/>
                <w:color w:val="auto"/>
                <w:kern w:val="0"/>
                <w:szCs w:val="21"/>
                <w:highlight w:val="none"/>
                <w:lang w:val="zh-CN"/>
              </w:rPr>
              <w:t>。</w:t>
            </w:r>
          </w:p>
          <w:p w14:paraId="3DB41FAB">
            <w:pPr>
              <w:snapToGrid w:val="0"/>
              <w:spacing w:line="400" w:lineRule="exact"/>
              <w:rPr>
                <w:rFonts w:hint="eastAsia" w:ascii="宋体" w:hAnsi="宋体" w:eastAsia="宋体"/>
                <w:b/>
                <w:bCs/>
                <w:color w:val="auto"/>
                <w:kern w:val="0"/>
                <w:szCs w:val="21"/>
                <w:highlight w:val="none"/>
                <w:lang w:val="zh-CN"/>
              </w:rPr>
            </w:pPr>
            <w:r>
              <w:rPr>
                <w:rFonts w:hint="eastAsia" w:ascii="宋体" w:hAnsi="宋体" w:eastAsia="宋体"/>
                <w:b/>
                <w:bCs/>
                <w:color w:val="auto"/>
                <w:kern w:val="0"/>
                <w:szCs w:val="21"/>
                <w:highlight w:val="none"/>
                <w:lang w:val="zh-CN"/>
              </w:rPr>
              <w:t>投标文件</w:t>
            </w:r>
            <w:r>
              <w:rPr>
                <w:rFonts w:hint="eastAsia" w:ascii="宋体" w:hAnsi="宋体" w:eastAsia="宋体"/>
                <w:b/>
                <w:bCs/>
                <w:color w:val="auto"/>
                <w:szCs w:val="21"/>
                <w:highlight w:val="none"/>
              </w:rPr>
              <w:t>开标一览表（报价表）是报价的唯一载体，如供应商在</w:t>
            </w:r>
            <w:r>
              <w:rPr>
                <w:rFonts w:hint="eastAsia" w:ascii="宋体" w:hAnsi="宋体"/>
                <w:b/>
                <w:bCs/>
                <w:color w:val="auto"/>
                <w:szCs w:val="21"/>
                <w:highlight w:val="none"/>
                <w:lang w:eastAsia="zh-CN"/>
              </w:rPr>
              <w:t>乐采云平台</w:t>
            </w:r>
            <w:r>
              <w:rPr>
                <w:rFonts w:hint="eastAsia" w:ascii="宋体" w:hAnsi="宋体" w:eastAsia="宋体"/>
                <w:b/>
                <w:bCs/>
                <w:color w:val="auto"/>
                <w:szCs w:val="21"/>
                <w:highlight w:val="none"/>
              </w:rPr>
              <w:t>填写的投标报价与投标文件报价文件中开标一览表（报价表）不一致的，以报价文件中开标一览表（报价表）为准。</w:t>
            </w:r>
            <w:r>
              <w:rPr>
                <w:rFonts w:hint="eastAsia" w:ascii="宋体" w:hAnsi="宋体" w:eastAsia="宋体"/>
                <w:color w:val="auto"/>
                <w:kern w:val="0"/>
                <w:szCs w:val="21"/>
                <w:highlight w:val="none"/>
                <w:lang w:val="zh-CN"/>
              </w:rPr>
              <w:t>投标文件中价格全部采用人民币报价。采购文件未列明，而供应商认为必需的费用也需列入报价。</w:t>
            </w:r>
          </w:p>
          <w:p w14:paraId="3F5B1475">
            <w:pPr>
              <w:snapToGrid w:val="0"/>
              <w:spacing w:line="400" w:lineRule="exact"/>
              <w:rPr>
                <w:rFonts w:hint="eastAsia" w:ascii="宋体" w:hAnsi="宋体" w:eastAsia="宋体"/>
                <w:color w:val="auto"/>
                <w:szCs w:val="21"/>
                <w:highlight w:val="none"/>
              </w:rPr>
            </w:pPr>
            <w:r>
              <w:rPr>
                <w:rFonts w:hint="eastAsia" w:ascii="宋体" w:hAnsi="宋体" w:eastAsia="宋体"/>
                <w:color w:val="auto"/>
                <w:szCs w:val="21"/>
                <w:highlight w:val="none"/>
              </w:rPr>
              <w:t>不论投标结果如何，供应商均应自行承担所有与投标有关的全部费用（采购文件有相反规定除外）。</w:t>
            </w:r>
          </w:p>
          <w:p w14:paraId="618BF3F9">
            <w:pPr>
              <w:snapToGrid w:val="0"/>
              <w:spacing w:line="400" w:lineRule="exact"/>
              <w:rPr>
                <w:rFonts w:hint="eastAsia" w:ascii="宋体" w:hAnsi="宋体" w:eastAsia="宋体"/>
                <w:bCs/>
                <w:color w:val="auto"/>
                <w:kern w:val="0"/>
                <w:szCs w:val="21"/>
                <w:highlight w:val="none"/>
                <w:lang w:val="zh-CN"/>
              </w:rPr>
            </w:pPr>
            <w:r>
              <w:rPr>
                <w:rFonts w:hint="eastAsia" w:ascii="宋体" w:hAnsi="宋体" w:eastAsia="宋体"/>
                <w:bCs/>
                <w:color w:val="auto"/>
                <w:kern w:val="0"/>
                <w:szCs w:val="21"/>
                <w:highlight w:val="none"/>
                <w:lang w:val="zh-CN"/>
              </w:rPr>
              <w:t>提醒：验收时检测费用由采购人承担，不包含在投标</w:t>
            </w:r>
            <w:r>
              <w:rPr>
                <w:rFonts w:hint="eastAsia" w:ascii="宋体" w:hAnsi="宋体" w:eastAsia="宋体"/>
                <w:bCs/>
                <w:color w:val="auto"/>
                <w:kern w:val="0"/>
                <w:szCs w:val="21"/>
                <w:highlight w:val="none"/>
              </w:rPr>
              <w:t>报</w:t>
            </w:r>
            <w:r>
              <w:rPr>
                <w:rFonts w:hint="eastAsia" w:ascii="宋体" w:hAnsi="宋体" w:eastAsia="宋体"/>
                <w:bCs/>
                <w:color w:val="auto"/>
                <w:kern w:val="0"/>
                <w:szCs w:val="21"/>
                <w:highlight w:val="none"/>
                <w:lang w:val="zh-CN"/>
              </w:rPr>
              <w:t>价中。</w:t>
            </w:r>
          </w:p>
        </w:tc>
      </w:tr>
      <w:tr w14:paraId="149DCD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50" w:type="dxa"/>
            <w:vAlign w:val="center"/>
          </w:tcPr>
          <w:p w14:paraId="79A9C4E2">
            <w:pPr>
              <w:snapToGrid w:val="0"/>
              <w:spacing w:line="400" w:lineRule="exact"/>
              <w:jc w:val="center"/>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rPr>
              <w:t>1</w:t>
            </w:r>
            <w:r>
              <w:rPr>
                <w:rFonts w:hint="eastAsia" w:ascii="宋体" w:hAnsi="宋体"/>
                <w:bCs/>
                <w:color w:val="auto"/>
                <w:szCs w:val="21"/>
                <w:highlight w:val="none"/>
                <w:lang w:val="en-US" w:eastAsia="zh-CN"/>
              </w:rPr>
              <w:t>1</w:t>
            </w:r>
          </w:p>
        </w:tc>
        <w:tc>
          <w:tcPr>
            <w:tcW w:w="2161" w:type="dxa"/>
            <w:vAlign w:val="center"/>
          </w:tcPr>
          <w:p w14:paraId="0E0973C8">
            <w:pPr>
              <w:snapToGrid w:val="0"/>
              <w:spacing w:line="400" w:lineRule="exact"/>
              <w:jc w:val="center"/>
              <w:rPr>
                <w:rFonts w:hint="eastAsia" w:ascii="宋体" w:hAnsi="宋体" w:eastAsia="宋体"/>
                <w:b/>
                <w:color w:val="auto"/>
                <w:szCs w:val="21"/>
                <w:highlight w:val="none"/>
              </w:rPr>
            </w:pPr>
            <w:r>
              <w:rPr>
                <w:rFonts w:hint="eastAsia" w:ascii="宋体" w:hAnsi="宋体" w:eastAsia="宋体"/>
                <w:b/>
                <w:color w:val="auto"/>
                <w:szCs w:val="21"/>
                <w:highlight w:val="none"/>
              </w:rPr>
              <w:t>电子备份投标文件送达地点和签收人员</w:t>
            </w:r>
          </w:p>
        </w:tc>
        <w:tc>
          <w:tcPr>
            <w:tcW w:w="7349" w:type="dxa"/>
            <w:vAlign w:val="center"/>
          </w:tcPr>
          <w:p w14:paraId="61812EFB">
            <w:pPr>
              <w:pStyle w:val="43"/>
              <w:snapToGrid w:val="0"/>
              <w:spacing w:line="400" w:lineRule="exact"/>
              <w:rPr>
                <w:rFonts w:hint="eastAsia" w:ascii="宋体" w:hAnsi="宋体" w:eastAsia="宋体"/>
                <w:color w:val="auto"/>
                <w:kern w:val="28"/>
                <w:highlight w:val="none"/>
              </w:rPr>
            </w:pPr>
            <w:r>
              <w:rPr>
                <w:rFonts w:hint="eastAsia" w:ascii="宋体" w:hAnsi="宋体" w:eastAsia="宋体"/>
                <w:color w:val="auto"/>
                <w:kern w:val="28"/>
                <w:highlight w:val="none"/>
              </w:rPr>
              <w:t>可由供应商自行</w:t>
            </w:r>
            <w:r>
              <w:rPr>
                <w:rFonts w:hint="eastAsia" w:ascii="宋体" w:hAnsi="宋体" w:eastAsia="宋体"/>
                <w:color w:val="auto"/>
                <w:kern w:val="28"/>
                <w:highlight w:val="none"/>
                <w:lang w:val="en-US" w:eastAsia="zh-CN"/>
              </w:rPr>
              <w:t>决定</w:t>
            </w:r>
            <w:r>
              <w:rPr>
                <w:rFonts w:hint="eastAsia" w:ascii="宋体" w:hAnsi="宋体" w:eastAsia="宋体"/>
                <w:color w:val="auto"/>
                <w:kern w:val="28"/>
                <w:highlight w:val="none"/>
              </w:rPr>
              <w:t>是否提交电子备份投标文件，按</w:t>
            </w:r>
            <w:r>
              <w:rPr>
                <w:rFonts w:hint="eastAsia" w:hAnsi="宋体"/>
                <w:color w:val="auto"/>
                <w:kern w:val="28"/>
                <w:highlight w:val="none"/>
                <w:lang w:eastAsia="zh-CN"/>
              </w:rPr>
              <w:t>乐采云平台</w:t>
            </w:r>
            <w:r>
              <w:rPr>
                <w:rFonts w:hint="eastAsia" w:ascii="宋体" w:hAnsi="宋体" w:eastAsia="宋体"/>
                <w:color w:val="auto"/>
                <w:kern w:val="28"/>
                <w:highlight w:val="none"/>
              </w:rPr>
              <w:t>要求制作的电子备份</w:t>
            </w:r>
            <w:r>
              <w:rPr>
                <w:rFonts w:hint="eastAsia" w:ascii="宋体" w:hAnsi="宋体" w:eastAsia="宋体"/>
                <w:color w:val="auto"/>
                <w:kern w:val="28"/>
                <w:highlight w:val="none"/>
                <w:lang w:eastAsia="zh-CN"/>
              </w:rPr>
              <w:t>投标文件</w:t>
            </w:r>
            <w:r>
              <w:rPr>
                <w:rFonts w:hint="eastAsia" w:ascii="宋体" w:hAnsi="宋体" w:eastAsia="宋体"/>
                <w:color w:val="auto"/>
                <w:kern w:val="28"/>
                <w:highlight w:val="none"/>
              </w:rPr>
              <w:t>，以用于异常情况处理。</w:t>
            </w:r>
          </w:p>
        </w:tc>
      </w:tr>
      <w:tr w14:paraId="27A41A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2" w:hRule="atLeast"/>
        </w:trPr>
        <w:tc>
          <w:tcPr>
            <w:tcW w:w="750" w:type="dxa"/>
            <w:vMerge w:val="restart"/>
            <w:vAlign w:val="center"/>
          </w:tcPr>
          <w:p w14:paraId="46721196">
            <w:pPr>
              <w:snapToGrid w:val="0"/>
              <w:spacing w:line="400" w:lineRule="exact"/>
              <w:jc w:val="center"/>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rPr>
              <w:t>1</w:t>
            </w:r>
            <w:r>
              <w:rPr>
                <w:rFonts w:hint="eastAsia" w:ascii="宋体" w:hAnsi="宋体"/>
                <w:bCs/>
                <w:color w:val="auto"/>
                <w:szCs w:val="21"/>
                <w:highlight w:val="none"/>
                <w:lang w:val="en-US" w:eastAsia="zh-CN"/>
              </w:rPr>
              <w:t>2</w:t>
            </w:r>
          </w:p>
        </w:tc>
        <w:tc>
          <w:tcPr>
            <w:tcW w:w="2161" w:type="dxa"/>
            <w:vMerge w:val="restart"/>
            <w:vAlign w:val="center"/>
          </w:tcPr>
          <w:p w14:paraId="60BAF697">
            <w:pPr>
              <w:snapToGrid w:val="0"/>
              <w:spacing w:line="400" w:lineRule="exact"/>
              <w:jc w:val="center"/>
              <w:rPr>
                <w:rFonts w:hint="eastAsia" w:ascii="宋体" w:hAnsi="宋体" w:eastAsia="宋体"/>
                <w:b/>
                <w:color w:val="auto"/>
                <w:szCs w:val="21"/>
                <w:highlight w:val="none"/>
              </w:rPr>
            </w:pPr>
            <w:r>
              <w:rPr>
                <w:rFonts w:hint="eastAsia" w:ascii="宋体" w:hAnsi="宋体" w:eastAsia="宋体"/>
                <w:b/>
                <w:color w:val="auto"/>
                <w:szCs w:val="21"/>
                <w:highlight w:val="none"/>
              </w:rPr>
              <w:t>特别说明</w:t>
            </w:r>
            <w:r>
              <w:rPr>
                <w:rFonts w:hint="eastAsia" w:ascii="宋体" w:hAnsi="宋体" w:eastAsia="宋体"/>
                <w:b/>
                <w:color w:val="auto"/>
                <w:szCs w:val="21"/>
                <w:highlight w:val="none"/>
                <w:lang w:eastAsia="zh-CN"/>
              </w:rPr>
              <w:t>（</w:t>
            </w:r>
            <w:r>
              <w:rPr>
                <w:rFonts w:hint="eastAsia" w:ascii="宋体" w:hAnsi="宋体" w:eastAsia="宋体"/>
                <w:b/>
                <w:color w:val="auto"/>
                <w:szCs w:val="21"/>
                <w:highlight w:val="none"/>
                <w:lang w:val="en-US" w:eastAsia="zh-CN"/>
              </w:rPr>
              <w:t>不适用</w:t>
            </w:r>
            <w:r>
              <w:rPr>
                <w:rFonts w:hint="eastAsia" w:ascii="宋体" w:hAnsi="宋体" w:eastAsia="宋体"/>
                <w:b/>
                <w:color w:val="auto"/>
                <w:szCs w:val="21"/>
                <w:highlight w:val="none"/>
                <w:lang w:eastAsia="zh-CN"/>
              </w:rPr>
              <w:t>）</w:t>
            </w:r>
          </w:p>
        </w:tc>
        <w:tc>
          <w:tcPr>
            <w:tcW w:w="7349" w:type="dxa"/>
            <w:vAlign w:val="center"/>
          </w:tcPr>
          <w:p w14:paraId="3E47F81E">
            <w:pPr>
              <w:snapToGrid w:val="0"/>
              <w:spacing w:line="400" w:lineRule="exac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 xml:space="preserve">□ </w:t>
            </w:r>
            <w:r>
              <w:rPr>
                <w:rFonts w:hint="eastAsia" w:ascii="宋体" w:hAnsi="宋体" w:eastAsia="宋体"/>
                <w:color w:val="auto"/>
                <w:kern w:val="28"/>
                <w:szCs w:val="21"/>
                <w:highlight w:val="none"/>
              </w:rPr>
              <w:t>联合体投标的，联合体各方分别提供与联合体协议中规定的分工内容相应的业绩证明材料，业绩数量以提供材料较少的一方为准。</w:t>
            </w:r>
          </w:p>
        </w:tc>
      </w:tr>
      <w:tr w14:paraId="75EA98D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50" w:type="dxa"/>
            <w:vMerge w:val="continue"/>
            <w:vAlign w:val="center"/>
          </w:tcPr>
          <w:p w14:paraId="2DE1E154">
            <w:pPr>
              <w:snapToGrid w:val="0"/>
              <w:spacing w:line="400" w:lineRule="exact"/>
              <w:jc w:val="center"/>
              <w:rPr>
                <w:rFonts w:hint="eastAsia" w:ascii="宋体" w:hAnsi="宋体" w:eastAsia="宋体"/>
                <w:bCs/>
                <w:color w:val="auto"/>
                <w:szCs w:val="21"/>
                <w:highlight w:val="none"/>
              </w:rPr>
            </w:pPr>
          </w:p>
        </w:tc>
        <w:tc>
          <w:tcPr>
            <w:tcW w:w="2161" w:type="dxa"/>
            <w:vMerge w:val="continue"/>
            <w:vAlign w:val="center"/>
          </w:tcPr>
          <w:p w14:paraId="5E2B1B51">
            <w:pPr>
              <w:pStyle w:val="37"/>
              <w:jc w:val="center"/>
              <w:rPr>
                <w:rFonts w:hint="eastAsia" w:ascii="宋体" w:hAnsi="宋体" w:eastAsia="宋体"/>
                <w:b/>
                <w:color w:val="auto"/>
                <w:sz w:val="28"/>
                <w:szCs w:val="28"/>
                <w:highlight w:val="none"/>
              </w:rPr>
            </w:pPr>
          </w:p>
        </w:tc>
        <w:tc>
          <w:tcPr>
            <w:tcW w:w="7349" w:type="dxa"/>
            <w:vAlign w:val="center"/>
          </w:tcPr>
          <w:p w14:paraId="60B3CF4D">
            <w:pPr>
              <w:snapToGrid w:val="0"/>
              <w:spacing w:line="400" w:lineRule="exact"/>
              <w:rPr>
                <w:rFonts w:hint="eastAsia" w:ascii="宋体" w:hAnsi="宋体" w:eastAsia="宋体"/>
                <w:color w:val="auto"/>
                <w:kern w:val="0"/>
                <w:szCs w:val="21"/>
                <w:highlight w:val="none"/>
                <w:lang w:eastAsia="zh-CN"/>
              </w:rPr>
            </w:pPr>
            <w:r>
              <w:rPr>
                <w:rFonts w:hint="eastAsia" w:ascii="宋体" w:hAnsi="宋体" w:eastAsia="宋体"/>
                <w:color w:val="auto"/>
                <w:kern w:val="0"/>
                <w:szCs w:val="21"/>
                <w:highlight w:val="none"/>
                <w:lang w:eastAsia="zh-CN"/>
              </w:rPr>
              <w:t>□</w:t>
            </w:r>
            <w:r>
              <w:rPr>
                <w:rFonts w:hint="eastAsia" w:ascii="宋体" w:hAnsi="宋体" w:eastAsia="宋体"/>
                <w:color w:val="auto"/>
                <w:kern w:val="0"/>
                <w:szCs w:val="21"/>
                <w:highlight w:val="none"/>
              </w:rPr>
              <w:t xml:space="preserve"> </w:t>
            </w:r>
            <w:r>
              <w:rPr>
                <w:rFonts w:hint="eastAsia" w:ascii="宋体" w:hAnsi="宋体" w:eastAsia="宋体"/>
                <w:color w:val="auto"/>
                <w:kern w:val="28"/>
                <w:szCs w:val="21"/>
                <w:highlight w:val="none"/>
              </w:rPr>
              <w:t>联合体投标的，联合体各方均需按采购文件第四部分 评标办法要求提供资信证明文件，否则视为不符合相关要求。</w:t>
            </w:r>
          </w:p>
          <w:p w14:paraId="1CB4C6FF">
            <w:pPr>
              <w:snapToGrid w:val="0"/>
              <w:spacing w:line="400" w:lineRule="exact"/>
              <w:rPr>
                <w:rFonts w:hint="eastAsia" w:ascii="宋体" w:hAnsi="宋体" w:eastAsia="宋体"/>
                <w:color w:val="auto"/>
                <w:kern w:val="0"/>
                <w:szCs w:val="21"/>
                <w:highlight w:val="none"/>
                <w:lang w:eastAsia="zh-CN"/>
              </w:rPr>
            </w:pPr>
            <w:r>
              <w:rPr>
                <w:rFonts w:hint="eastAsia" w:ascii="宋体" w:hAnsi="宋体" w:eastAsia="宋体"/>
                <w:color w:val="auto"/>
                <w:kern w:val="0"/>
                <w:szCs w:val="21"/>
                <w:highlight w:val="none"/>
                <w:lang w:eastAsia="zh-CN"/>
              </w:rPr>
              <w:t>□</w:t>
            </w:r>
            <w:r>
              <w:rPr>
                <w:rFonts w:hint="eastAsia" w:ascii="宋体" w:hAnsi="宋体" w:eastAsia="宋体"/>
                <w:color w:val="auto"/>
                <w:kern w:val="0"/>
                <w:szCs w:val="21"/>
                <w:highlight w:val="none"/>
              </w:rPr>
              <w:t xml:space="preserve"> </w:t>
            </w:r>
            <w:r>
              <w:rPr>
                <w:rFonts w:hint="eastAsia" w:ascii="宋体" w:hAnsi="宋体" w:eastAsia="宋体"/>
                <w:color w:val="auto"/>
                <w:kern w:val="28"/>
                <w:szCs w:val="21"/>
                <w:highlight w:val="none"/>
              </w:rPr>
              <w:t>联合体投标的，联合体中有一方或者联合体成员根据分工按采购文件第四部分 评标办法要求提供资信证明文件的，视为符合了相关要求。</w:t>
            </w:r>
          </w:p>
        </w:tc>
      </w:tr>
      <w:tr w14:paraId="3193EA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750" w:type="dxa"/>
            <w:vAlign w:val="center"/>
          </w:tcPr>
          <w:p w14:paraId="7F17ACF3">
            <w:pPr>
              <w:keepNext w:val="0"/>
              <w:keepLines w:val="0"/>
              <w:pageBreakBefore w:val="0"/>
              <w:widowControl w:val="0"/>
              <w:kinsoku/>
              <w:wordWrap/>
              <w:overflowPunct/>
              <w:topLinePunct w:val="0"/>
              <w:autoSpaceDE/>
              <w:autoSpaceDN/>
              <w:bidi w:val="0"/>
              <w:snapToGrid w:val="0"/>
              <w:jc w:val="center"/>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rPr>
              <w:t>1</w:t>
            </w:r>
            <w:r>
              <w:rPr>
                <w:rFonts w:hint="eastAsia" w:ascii="宋体" w:hAnsi="宋体"/>
                <w:bCs/>
                <w:color w:val="auto"/>
                <w:szCs w:val="21"/>
                <w:highlight w:val="none"/>
                <w:lang w:val="en-US" w:eastAsia="zh-CN"/>
              </w:rPr>
              <w:t>3</w:t>
            </w:r>
          </w:p>
        </w:tc>
        <w:tc>
          <w:tcPr>
            <w:tcW w:w="2161" w:type="dxa"/>
            <w:vAlign w:val="center"/>
          </w:tcPr>
          <w:p w14:paraId="63E9F8DD">
            <w:pPr>
              <w:keepNext w:val="0"/>
              <w:keepLines w:val="0"/>
              <w:pageBreakBefore w:val="0"/>
              <w:widowControl w:val="0"/>
              <w:kinsoku/>
              <w:wordWrap/>
              <w:overflowPunct/>
              <w:topLinePunct w:val="0"/>
              <w:autoSpaceDE/>
              <w:autoSpaceDN/>
              <w:bidi w:val="0"/>
              <w:snapToGrid w:val="0"/>
              <w:jc w:val="center"/>
              <w:rPr>
                <w:rFonts w:hint="eastAsia" w:ascii="宋体" w:hAnsi="宋体" w:eastAsia="宋体"/>
                <w:b/>
                <w:color w:val="auto"/>
                <w:szCs w:val="21"/>
                <w:highlight w:val="none"/>
              </w:rPr>
            </w:pPr>
            <w:r>
              <w:rPr>
                <w:rFonts w:hint="eastAsia" w:ascii="宋体" w:hAnsi="宋体" w:eastAsia="宋体"/>
                <w:b/>
                <w:color w:val="auto"/>
                <w:szCs w:val="21"/>
                <w:highlight w:val="none"/>
              </w:rPr>
              <w:t>履约保证金</w:t>
            </w:r>
          </w:p>
        </w:tc>
        <w:tc>
          <w:tcPr>
            <w:tcW w:w="7349" w:type="dxa"/>
            <w:vAlign w:val="center"/>
          </w:tcPr>
          <w:p w14:paraId="68D9167B">
            <w:pPr>
              <w:keepNext w:val="0"/>
              <w:keepLines w:val="0"/>
              <w:pageBreakBefore w:val="0"/>
              <w:widowControl w:val="0"/>
              <w:kinsoku/>
              <w:wordWrap/>
              <w:overflowPunct/>
              <w:topLinePunct w:val="0"/>
              <w:autoSpaceDE/>
              <w:autoSpaceDN/>
              <w:bidi w:val="0"/>
              <w:snapToGrid w:val="0"/>
              <w:rPr>
                <w:rFonts w:hint="eastAsia" w:ascii="宋体" w:hAnsi="宋体" w:eastAsia="宋体"/>
                <w:b/>
                <w:bCs/>
                <w:color w:val="auto"/>
                <w:kern w:val="0"/>
                <w:szCs w:val="21"/>
                <w:highlight w:val="none"/>
              </w:rPr>
            </w:pPr>
            <w:r>
              <w:rPr>
                <w:rFonts w:hint="eastAsia" w:ascii="宋体" w:hAnsi="宋体" w:eastAsia="宋体"/>
                <w:b/>
                <w:bCs/>
                <w:color w:val="auto"/>
                <w:kern w:val="0"/>
                <w:szCs w:val="21"/>
                <w:highlight w:val="none"/>
              </w:rPr>
              <w:t>详见采购文件第三部分 采购需求“商务条款要求”。</w:t>
            </w:r>
          </w:p>
        </w:tc>
      </w:tr>
      <w:tr w14:paraId="011EFB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750" w:type="dxa"/>
            <w:vAlign w:val="center"/>
          </w:tcPr>
          <w:p w14:paraId="3CBD7F92">
            <w:pPr>
              <w:keepNext w:val="0"/>
              <w:keepLines w:val="0"/>
              <w:pageBreakBefore w:val="0"/>
              <w:widowControl w:val="0"/>
              <w:kinsoku/>
              <w:wordWrap/>
              <w:overflowPunct/>
              <w:topLinePunct w:val="0"/>
              <w:autoSpaceDE/>
              <w:autoSpaceDN/>
              <w:bidi w:val="0"/>
              <w:snapToGrid w:val="0"/>
              <w:jc w:val="center"/>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rPr>
              <w:t>1</w:t>
            </w:r>
            <w:r>
              <w:rPr>
                <w:rFonts w:hint="eastAsia" w:ascii="宋体" w:hAnsi="宋体"/>
                <w:bCs/>
                <w:color w:val="auto"/>
                <w:szCs w:val="21"/>
                <w:highlight w:val="none"/>
                <w:lang w:val="en-US" w:eastAsia="zh-CN"/>
              </w:rPr>
              <w:t>4</w:t>
            </w:r>
          </w:p>
        </w:tc>
        <w:tc>
          <w:tcPr>
            <w:tcW w:w="2161" w:type="dxa"/>
            <w:vAlign w:val="center"/>
          </w:tcPr>
          <w:p w14:paraId="25A0170C">
            <w:pPr>
              <w:keepNext w:val="0"/>
              <w:keepLines w:val="0"/>
              <w:pageBreakBefore w:val="0"/>
              <w:widowControl w:val="0"/>
              <w:kinsoku/>
              <w:wordWrap/>
              <w:overflowPunct/>
              <w:topLinePunct w:val="0"/>
              <w:autoSpaceDE/>
              <w:autoSpaceDN/>
              <w:bidi w:val="0"/>
              <w:snapToGrid w:val="0"/>
              <w:jc w:val="center"/>
              <w:rPr>
                <w:rFonts w:hint="eastAsia" w:ascii="宋体" w:hAnsi="宋体" w:eastAsia="宋体"/>
                <w:b/>
                <w:color w:val="auto"/>
                <w:szCs w:val="21"/>
                <w:highlight w:val="none"/>
              </w:rPr>
            </w:pPr>
            <w:r>
              <w:rPr>
                <w:rFonts w:hint="eastAsia" w:ascii="宋体" w:hAnsi="宋体" w:eastAsia="宋体"/>
                <w:b/>
                <w:color w:val="auto"/>
                <w:szCs w:val="21"/>
                <w:highlight w:val="none"/>
              </w:rPr>
              <w:t>★付款方式</w:t>
            </w:r>
          </w:p>
        </w:tc>
        <w:tc>
          <w:tcPr>
            <w:tcW w:w="7349" w:type="dxa"/>
            <w:vAlign w:val="center"/>
          </w:tcPr>
          <w:p w14:paraId="1096F9E5">
            <w:pPr>
              <w:keepNext w:val="0"/>
              <w:keepLines w:val="0"/>
              <w:pageBreakBefore w:val="0"/>
              <w:widowControl w:val="0"/>
              <w:kinsoku/>
              <w:wordWrap/>
              <w:overflowPunct/>
              <w:topLinePunct w:val="0"/>
              <w:autoSpaceDE/>
              <w:autoSpaceDN/>
              <w:bidi w:val="0"/>
              <w:snapToGrid w:val="0"/>
              <w:rPr>
                <w:rFonts w:hint="eastAsia" w:ascii="宋体" w:hAnsi="宋体" w:eastAsia="宋体"/>
                <w:b/>
                <w:bCs/>
                <w:color w:val="auto"/>
                <w:kern w:val="0"/>
                <w:szCs w:val="21"/>
                <w:highlight w:val="none"/>
              </w:rPr>
            </w:pPr>
            <w:r>
              <w:rPr>
                <w:rFonts w:hint="eastAsia" w:ascii="宋体" w:hAnsi="宋体" w:eastAsia="宋体"/>
                <w:b/>
                <w:bCs/>
                <w:color w:val="auto"/>
                <w:kern w:val="0"/>
                <w:szCs w:val="21"/>
                <w:highlight w:val="none"/>
              </w:rPr>
              <w:t>详见采购文件第三部分 采购需求“商务条款要求”</w:t>
            </w:r>
            <w:r>
              <w:rPr>
                <w:rFonts w:hint="eastAsia" w:ascii="宋体" w:hAnsi="宋体" w:eastAsia="宋体"/>
                <w:b/>
                <w:bCs/>
                <w:color w:val="auto"/>
                <w:szCs w:val="21"/>
                <w:highlight w:val="none"/>
              </w:rPr>
              <w:t>。</w:t>
            </w:r>
          </w:p>
        </w:tc>
      </w:tr>
      <w:tr w14:paraId="2F7499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750" w:type="dxa"/>
            <w:vAlign w:val="center"/>
          </w:tcPr>
          <w:p w14:paraId="75D859F7">
            <w:pPr>
              <w:keepNext w:val="0"/>
              <w:keepLines w:val="0"/>
              <w:pageBreakBefore w:val="0"/>
              <w:widowControl w:val="0"/>
              <w:kinsoku/>
              <w:wordWrap/>
              <w:overflowPunct/>
              <w:topLinePunct w:val="0"/>
              <w:autoSpaceDE/>
              <w:autoSpaceDN/>
              <w:bidi w:val="0"/>
              <w:snapToGrid w:val="0"/>
              <w:jc w:val="center"/>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rPr>
              <w:t>1</w:t>
            </w:r>
            <w:r>
              <w:rPr>
                <w:rFonts w:hint="eastAsia" w:ascii="宋体" w:hAnsi="宋体"/>
                <w:bCs/>
                <w:color w:val="auto"/>
                <w:szCs w:val="21"/>
                <w:highlight w:val="none"/>
                <w:lang w:val="en-US" w:eastAsia="zh-CN"/>
              </w:rPr>
              <w:t>5</w:t>
            </w:r>
          </w:p>
        </w:tc>
        <w:tc>
          <w:tcPr>
            <w:tcW w:w="2161" w:type="dxa"/>
            <w:vAlign w:val="center"/>
          </w:tcPr>
          <w:p w14:paraId="26FFA4D3">
            <w:pPr>
              <w:keepNext w:val="0"/>
              <w:keepLines w:val="0"/>
              <w:pageBreakBefore w:val="0"/>
              <w:widowControl w:val="0"/>
              <w:kinsoku/>
              <w:wordWrap/>
              <w:overflowPunct/>
              <w:topLinePunct w:val="0"/>
              <w:autoSpaceDE/>
              <w:autoSpaceDN/>
              <w:bidi w:val="0"/>
              <w:snapToGrid w:val="0"/>
              <w:jc w:val="center"/>
              <w:rPr>
                <w:rFonts w:hint="eastAsia" w:ascii="宋体" w:hAnsi="宋体" w:eastAsia="宋体"/>
                <w:b/>
                <w:color w:val="auto"/>
                <w:szCs w:val="21"/>
                <w:highlight w:val="none"/>
              </w:rPr>
            </w:pPr>
            <w:r>
              <w:rPr>
                <w:rFonts w:hint="eastAsia" w:ascii="宋体" w:hAnsi="宋体" w:eastAsia="宋体"/>
                <w:b/>
                <w:color w:val="auto"/>
                <w:szCs w:val="21"/>
                <w:highlight w:val="none"/>
              </w:rPr>
              <w:t>质保期</w:t>
            </w:r>
          </w:p>
        </w:tc>
        <w:tc>
          <w:tcPr>
            <w:tcW w:w="7349" w:type="dxa"/>
            <w:vAlign w:val="center"/>
          </w:tcPr>
          <w:p w14:paraId="62AD1042">
            <w:pPr>
              <w:keepNext w:val="0"/>
              <w:keepLines w:val="0"/>
              <w:pageBreakBefore w:val="0"/>
              <w:widowControl w:val="0"/>
              <w:kinsoku/>
              <w:wordWrap/>
              <w:overflowPunct/>
              <w:topLinePunct w:val="0"/>
              <w:autoSpaceDE/>
              <w:autoSpaceDN/>
              <w:bidi w:val="0"/>
              <w:snapToGrid w:val="0"/>
              <w:rPr>
                <w:rFonts w:hint="eastAsia" w:ascii="宋体" w:hAnsi="宋体" w:eastAsia="宋体"/>
                <w:b/>
                <w:bCs/>
                <w:color w:val="auto"/>
                <w:kern w:val="0"/>
                <w:szCs w:val="21"/>
                <w:highlight w:val="none"/>
              </w:rPr>
            </w:pPr>
            <w:r>
              <w:rPr>
                <w:rFonts w:hint="eastAsia" w:ascii="宋体" w:hAnsi="宋体" w:eastAsia="宋体"/>
                <w:b/>
                <w:bCs/>
                <w:color w:val="auto"/>
                <w:kern w:val="0"/>
                <w:szCs w:val="21"/>
                <w:highlight w:val="none"/>
              </w:rPr>
              <w:t>详见采购文件第三部分 采购需求“商务条款要求”</w:t>
            </w:r>
            <w:r>
              <w:rPr>
                <w:rFonts w:hint="eastAsia" w:ascii="宋体" w:hAnsi="宋体" w:eastAsia="宋体"/>
                <w:b/>
                <w:bCs/>
                <w:color w:val="auto"/>
                <w:szCs w:val="21"/>
                <w:highlight w:val="none"/>
              </w:rPr>
              <w:t>。</w:t>
            </w:r>
          </w:p>
        </w:tc>
      </w:tr>
      <w:tr w14:paraId="1A404D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750" w:type="dxa"/>
            <w:vAlign w:val="center"/>
          </w:tcPr>
          <w:p w14:paraId="43A7F6A5">
            <w:pPr>
              <w:snapToGrid w:val="0"/>
              <w:spacing w:line="400" w:lineRule="exact"/>
              <w:jc w:val="center"/>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rPr>
              <w:t>1</w:t>
            </w:r>
            <w:r>
              <w:rPr>
                <w:rFonts w:hint="eastAsia" w:ascii="宋体" w:hAnsi="宋体"/>
                <w:bCs/>
                <w:color w:val="auto"/>
                <w:szCs w:val="21"/>
                <w:highlight w:val="none"/>
                <w:lang w:val="en-US" w:eastAsia="zh-CN"/>
              </w:rPr>
              <w:t>6</w:t>
            </w:r>
          </w:p>
        </w:tc>
        <w:tc>
          <w:tcPr>
            <w:tcW w:w="2161" w:type="dxa"/>
            <w:vAlign w:val="center"/>
          </w:tcPr>
          <w:p w14:paraId="015DA87E">
            <w:pPr>
              <w:snapToGrid w:val="0"/>
              <w:spacing w:line="400" w:lineRule="exact"/>
              <w:jc w:val="center"/>
              <w:rPr>
                <w:rFonts w:hint="eastAsia" w:ascii="宋体" w:hAnsi="宋体" w:eastAsia="宋体"/>
                <w:b/>
                <w:color w:val="auto"/>
                <w:szCs w:val="21"/>
                <w:highlight w:val="none"/>
              </w:rPr>
            </w:pPr>
            <w:r>
              <w:rPr>
                <w:rFonts w:hint="eastAsia" w:ascii="宋体" w:hAnsi="宋体" w:eastAsia="宋体"/>
                <w:b/>
                <w:color w:val="auto"/>
                <w:szCs w:val="21"/>
                <w:highlight w:val="none"/>
              </w:rPr>
              <w:t>中标服务费的</w:t>
            </w:r>
          </w:p>
          <w:p w14:paraId="07E29462">
            <w:pPr>
              <w:snapToGrid w:val="0"/>
              <w:spacing w:line="400" w:lineRule="exact"/>
              <w:jc w:val="center"/>
              <w:rPr>
                <w:rFonts w:hint="eastAsia" w:ascii="宋体" w:hAnsi="宋体" w:eastAsia="宋体"/>
                <w:b/>
                <w:color w:val="auto"/>
                <w:szCs w:val="21"/>
                <w:highlight w:val="none"/>
              </w:rPr>
            </w:pPr>
            <w:r>
              <w:rPr>
                <w:rFonts w:hint="eastAsia" w:ascii="宋体" w:hAnsi="宋体" w:eastAsia="宋体"/>
                <w:b/>
                <w:color w:val="auto"/>
                <w:szCs w:val="21"/>
                <w:highlight w:val="none"/>
              </w:rPr>
              <w:t>收取标准</w:t>
            </w:r>
          </w:p>
        </w:tc>
        <w:tc>
          <w:tcPr>
            <w:tcW w:w="7349" w:type="dxa"/>
            <w:vAlign w:val="center"/>
          </w:tcPr>
          <w:p w14:paraId="1207A053">
            <w:pPr>
              <w:snapToGrid w:val="0"/>
              <w:spacing w:line="400" w:lineRule="exact"/>
              <w:rPr>
                <w:rFonts w:hint="eastAsia" w:ascii="宋体" w:hAnsi="宋体" w:eastAsia="宋体"/>
                <w:color w:val="auto"/>
                <w:szCs w:val="21"/>
                <w:highlight w:val="none"/>
                <w:shd w:val="clear" w:color="auto" w:fill="auto"/>
              </w:rPr>
            </w:pPr>
            <w:r>
              <w:rPr>
                <w:rFonts w:hint="eastAsia" w:ascii="宋体" w:hAnsi="宋体" w:eastAsia="宋体"/>
                <w:color w:val="auto"/>
                <w:szCs w:val="21"/>
                <w:highlight w:val="none"/>
                <w:shd w:val="clear" w:color="auto" w:fill="auto"/>
              </w:rPr>
              <w:t>1、本采购代理机构参考原国家发改委发改办价格【2003】857号通知和国家计委计价格【2002】1980号文件中货物招标费率的规定下浮30%</w:t>
            </w:r>
            <w:r>
              <w:rPr>
                <w:rFonts w:hint="eastAsia" w:ascii="宋体" w:hAnsi="宋体" w:eastAsia="宋体"/>
                <w:color w:val="auto"/>
                <w:highlight w:val="none"/>
                <w:shd w:val="clear" w:color="auto" w:fill="auto"/>
              </w:rPr>
              <w:t>向</w:t>
            </w:r>
            <w:r>
              <w:rPr>
                <w:rFonts w:hint="eastAsia" w:ascii="宋体" w:hAnsi="宋体" w:eastAsia="宋体"/>
                <w:color w:val="auto"/>
                <w:highlight w:val="none"/>
                <w:shd w:val="clear" w:color="auto" w:fill="auto"/>
                <w:lang w:eastAsia="zh-CN"/>
              </w:rPr>
              <w:t>中标供应商</w:t>
            </w:r>
            <w:r>
              <w:rPr>
                <w:rFonts w:hint="eastAsia" w:ascii="宋体" w:hAnsi="宋体" w:eastAsia="宋体"/>
                <w:color w:val="auto"/>
                <w:highlight w:val="none"/>
                <w:shd w:val="clear" w:color="auto" w:fill="auto"/>
              </w:rPr>
              <w:t>收取招标服务费</w:t>
            </w:r>
            <w:r>
              <w:rPr>
                <w:rFonts w:hint="eastAsia" w:ascii="宋体" w:hAnsi="宋体" w:eastAsia="宋体"/>
                <w:color w:val="auto"/>
                <w:highlight w:val="none"/>
                <w:shd w:val="clear" w:color="auto" w:fill="auto"/>
                <w:lang w:eastAsia="zh-CN"/>
              </w:rPr>
              <w:t>，</w:t>
            </w:r>
            <w:r>
              <w:rPr>
                <w:rFonts w:hint="eastAsia" w:ascii="宋体" w:hAnsi="宋体" w:eastAsia="宋体"/>
                <w:color w:val="auto"/>
                <w:highlight w:val="none"/>
                <w:shd w:val="clear" w:color="auto" w:fill="auto"/>
                <w:lang w:val="en-US" w:eastAsia="zh-CN"/>
              </w:rPr>
              <w:t>收费不足12000元的，按12000元收取</w:t>
            </w:r>
            <w:r>
              <w:rPr>
                <w:rFonts w:hint="eastAsia" w:ascii="宋体" w:hAnsi="宋体" w:eastAsia="宋体"/>
                <w:color w:val="auto"/>
                <w:highlight w:val="none"/>
                <w:shd w:val="clear" w:color="auto" w:fill="auto"/>
              </w:rPr>
              <w:t>。</w:t>
            </w:r>
          </w:p>
          <w:p w14:paraId="7B233405">
            <w:pPr>
              <w:widowControl/>
              <w:snapToGrid w:val="0"/>
              <w:spacing w:line="400" w:lineRule="exact"/>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2、</w:t>
            </w:r>
            <w:r>
              <w:rPr>
                <w:rFonts w:hint="eastAsia" w:ascii="宋体" w:hAnsi="宋体" w:eastAsia="宋体"/>
                <w:color w:val="auto"/>
                <w:highlight w:val="none"/>
                <w:lang w:eastAsia="zh-CN"/>
              </w:rPr>
              <w:t>中标供应商</w:t>
            </w:r>
            <w:r>
              <w:rPr>
                <w:rFonts w:hint="eastAsia" w:ascii="宋体" w:hAnsi="宋体" w:eastAsia="宋体"/>
                <w:color w:val="auto"/>
                <w:highlight w:val="none"/>
              </w:rPr>
              <w:t>在公示期满5个工作日内向采购代理机构支付中标服务费，并领取中标通知书。</w:t>
            </w:r>
          </w:p>
        </w:tc>
      </w:tr>
      <w:tr w14:paraId="39FD32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750" w:type="dxa"/>
            <w:vAlign w:val="center"/>
          </w:tcPr>
          <w:p w14:paraId="31AA7B12">
            <w:pPr>
              <w:snapToGrid w:val="0"/>
              <w:jc w:val="center"/>
              <w:rPr>
                <w:rFonts w:hint="eastAsia" w:ascii="宋体" w:hAnsi="宋体" w:eastAsia="宋体"/>
                <w:bCs/>
                <w:color w:val="auto"/>
                <w:szCs w:val="21"/>
                <w:highlight w:val="none"/>
                <w:lang w:eastAsia="zh-CN"/>
              </w:rPr>
            </w:pPr>
            <w:bookmarkStart w:id="39" w:name="_Toc164416483"/>
            <w:bookmarkStart w:id="40" w:name="第三部分"/>
            <w:r>
              <w:rPr>
                <w:rFonts w:hint="eastAsia" w:ascii="宋体" w:hAnsi="宋体" w:eastAsia="宋体"/>
                <w:bCs/>
                <w:color w:val="auto"/>
                <w:szCs w:val="21"/>
                <w:highlight w:val="none"/>
              </w:rPr>
              <w:t>1</w:t>
            </w:r>
            <w:r>
              <w:rPr>
                <w:rFonts w:hint="eastAsia" w:ascii="宋体" w:hAnsi="宋体"/>
                <w:bCs/>
                <w:color w:val="auto"/>
                <w:szCs w:val="21"/>
                <w:highlight w:val="none"/>
                <w:lang w:val="en-US" w:eastAsia="zh-CN"/>
              </w:rPr>
              <w:t>7</w:t>
            </w:r>
          </w:p>
        </w:tc>
        <w:tc>
          <w:tcPr>
            <w:tcW w:w="2161" w:type="dxa"/>
            <w:vAlign w:val="center"/>
          </w:tcPr>
          <w:p w14:paraId="0A9B7DFF">
            <w:pPr>
              <w:snapToGrid w:val="0"/>
              <w:jc w:val="center"/>
              <w:rPr>
                <w:rFonts w:hint="eastAsia" w:ascii="宋体" w:hAnsi="宋体" w:eastAsia="宋体"/>
                <w:b/>
                <w:color w:val="auto"/>
                <w:szCs w:val="21"/>
                <w:highlight w:val="none"/>
              </w:rPr>
            </w:pPr>
            <w:r>
              <w:rPr>
                <w:rFonts w:hint="eastAsia" w:ascii="宋体" w:hAnsi="宋体" w:eastAsia="宋体"/>
                <w:b/>
                <w:color w:val="auto"/>
                <w:szCs w:val="21"/>
                <w:highlight w:val="none"/>
              </w:rPr>
              <w:t>转让</w:t>
            </w:r>
          </w:p>
        </w:tc>
        <w:tc>
          <w:tcPr>
            <w:tcW w:w="7349" w:type="dxa"/>
            <w:vAlign w:val="center"/>
          </w:tcPr>
          <w:p w14:paraId="7283B734">
            <w:pPr>
              <w:snapToGrid w:val="0"/>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本项目不得转让、转包。</w:t>
            </w:r>
          </w:p>
        </w:tc>
      </w:tr>
      <w:tr w14:paraId="195298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750" w:type="dxa"/>
            <w:vAlign w:val="center"/>
          </w:tcPr>
          <w:p w14:paraId="2378112C">
            <w:pPr>
              <w:snapToGrid w:val="0"/>
              <w:jc w:val="center"/>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rPr>
              <w:t>1</w:t>
            </w:r>
            <w:r>
              <w:rPr>
                <w:rFonts w:hint="eastAsia" w:ascii="宋体" w:hAnsi="宋体"/>
                <w:bCs/>
                <w:color w:val="auto"/>
                <w:szCs w:val="21"/>
                <w:highlight w:val="none"/>
                <w:lang w:val="en-US" w:eastAsia="zh-CN"/>
              </w:rPr>
              <w:t>8</w:t>
            </w:r>
          </w:p>
        </w:tc>
        <w:tc>
          <w:tcPr>
            <w:tcW w:w="2161" w:type="dxa"/>
            <w:vAlign w:val="center"/>
          </w:tcPr>
          <w:p w14:paraId="756129AC">
            <w:pPr>
              <w:snapToGrid w:val="0"/>
              <w:jc w:val="center"/>
              <w:rPr>
                <w:rFonts w:hint="eastAsia" w:ascii="宋体" w:hAnsi="宋体" w:eastAsia="宋体"/>
                <w:b/>
                <w:color w:val="auto"/>
                <w:szCs w:val="21"/>
                <w:highlight w:val="none"/>
              </w:rPr>
            </w:pPr>
            <w:r>
              <w:rPr>
                <w:rFonts w:hint="eastAsia" w:ascii="宋体" w:hAnsi="宋体" w:eastAsia="宋体"/>
                <w:b/>
                <w:color w:val="auto"/>
                <w:szCs w:val="21"/>
                <w:highlight w:val="none"/>
              </w:rPr>
              <w:t>解释</w:t>
            </w:r>
          </w:p>
        </w:tc>
        <w:tc>
          <w:tcPr>
            <w:tcW w:w="7349" w:type="dxa"/>
            <w:vAlign w:val="center"/>
          </w:tcPr>
          <w:p w14:paraId="2D3FC1A2">
            <w:pPr>
              <w:snapToGrid w:val="0"/>
              <w:rPr>
                <w:rFonts w:hint="eastAsia" w:ascii="宋体" w:hAnsi="宋体" w:eastAsia="宋体"/>
                <w:color w:val="auto"/>
                <w:szCs w:val="21"/>
                <w:highlight w:val="none"/>
              </w:rPr>
            </w:pPr>
            <w:r>
              <w:rPr>
                <w:rFonts w:hint="eastAsia" w:ascii="宋体" w:hAnsi="宋体" w:eastAsia="宋体"/>
                <w:color w:val="auto"/>
                <w:szCs w:val="21"/>
                <w:highlight w:val="none"/>
              </w:rPr>
              <w:t>本采购文件的解释权属于采购人及采购代理机构。</w:t>
            </w:r>
          </w:p>
        </w:tc>
      </w:tr>
    </w:tbl>
    <w:p w14:paraId="589F1B6E">
      <w:pPr>
        <w:spacing w:line="360" w:lineRule="auto"/>
        <w:ind w:firstLine="3845" w:firstLineChars="1197"/>
        <w:rPr>
          <w:rFonts w:hint="eastAsia" w:ascii="宋体" w:hAnsi="宋体" w:eastAsia="宋体"/>
          <w:b/>
          <w:color w:val="auto"/>
          <w:sz w:val="32"/>
          <w:szCs w:val="20"/>
          <w:highlight w:val="none"/>
        </w:rPr>
      </w:pPr>
    </w:p>
    <w:p w14:paraId="19E943E9">
      <w:pPr>
        <w:spacing w:line="360" w:lineRule="auto"/>
        <w:ind w:firstLine="3845" w:firstLineChars="1197"/>
        <w:rPr>
          <w:rFonts w:hint="eastAsia" w:ascii="宋体" w:hAnsi="宋体" w:eastAsia="宋体"/>
          <w:b/>
          <w:color w:val="auto"/>
          <w:sz w:val="32"/>
          <w:szCs w:val="20"/>
          <w:highlight w:val="none"/>
        </w:rPr>
      </w:pPr>
    </w:p>
    <w:p w14:paraId="19A03514">
      <w:pPr>
        <w:spacing w:line="360" w:lineRule="auto"/>
        <w:ind w:firstLine="3845" w:firstLineChars="1197"/>
        <w:rPr>
          <w:rFonts w:hint="eastAsia" w:ascii="宋体" w:hAnsi="宋体" w:eastAsia="宋体"/>
          <w:b/>
          <w:color w:val="auto"/>
          <w:sz w:val="32"/>
          <w:szCs w:val="20"/>
          <w:highlight w:val="none"/>
        </w:rPr>
      </w:pPr>
    </w:p>
    <w:p w14:paraId="19305D86">
      <w:pPr>
        <w:numPr>
          <w:ilvl w:val="0"/>
          <w:numId w:val="3"/>
        </w:numPr>
        <w:snapToGrid w:val="0"/>
        <w:spacing w:before="120" w:line="360" w:lineRule="auto"/>
        <w:ind w:firstLine="0"/>
        <w:jc w:val="left"/>
        <w:outlineLvl w:val="0"/>
        <w:rPr>
          <w:rFonts w:hint="eastAsia" w:ascii="宋体" w:hAnsi="宋体" w:eastAsia="宋体"/>
          <w:b/>
          <w:color w:val="auto"/>
          <w:szCs w:val="21"/>
          <w:highlight w:val="none"/>
        </w:rPr>
      </w:pPr>
      <w:bookmarkStart w:id="41" w:name="_Toc24020"/>
      <w:bookmarkEnd w:id="41"/>
      <w:r>
        <w:rPr>
          <w:rFonts w:hint="eastAsia" w:ascii="宋体" w:hAnsi="宋体" w:eastAsia="宋体"/>
          <w:b/>
          <w:color w:val="auto"/>
          <w:szCs w:val="21"/>
          <w:highlight w:val="none"/>
        </w:rPr>
        <w:br w:type="page"/>
      </w:r>
      <w:bookmarkStart w:id="42" w:name="_Toc19947"/>
      <w:r>
        <w:rPr>
          <w:rFonts w:hint="eastAsia" w:ascii="宋体" w:hAnsi="宋体" w:eastAsia="宋体"/>
          <w:b/>
          <w:color w:val="auto"/>
          <w:szCs w:val="21"/>
          <w:highlight w:val="none"/>
        </w:rPr>
        <w:t>总则</w:t>
      </w:r>
      <w:bookmarkEnd w:id="42"/>
    </w:p>
    <w:p w14:paraId="74619689">
      <w:pPr>
        <w:numPr>
          <w:ilvl w:val="0"/>
          <w:numId w:val="0"/>
        </w:numPr>
        <w:tabs>
          <w:tab w:val="left" w:pos="0"/>
        </w:tabs>
        <w:snapToGrid w:val="0"/>
        <w:spacing w:line="360" w:lineRule="auto"/>
        <w:ind w:firstLine="0" w:firstLineChars="0"/>
        <w:jc w:val="left"/>
        <w:outlineLvl w:val="1"/>
        <w:rPr>
          <w:rFonts w:hint="eastAsia" w:ascii="宋体" w:hAnsi="宋体" w:eastAsia="宋体"/>
          <w:b/>
          <w:bCs/>
          <w:color w:val="auto"/>
          <w:kern w:val="2"/>
          <w:sz w:val="21"/>
          <w:szCs w:val="21"/>
          <w:highlight w:val="none"/>
          <w:lang w:val="en-US" w:eastAsia="zh-CN" w:bidi="ar-SA"/>
        </w:rPr>
      </w:pPr>
      <w:bookmarkStart w:id="43" w:name="_Toc1512"/>
      <w:r>
        <w:rPr>
          <w:rFonts w:hint="eastAsia" w:ascii="宋体" w:hAnsi="宋体" w:eastAsia="宋体"/>
          <w:b/>
          <w:bCs/>
          <w:color w:val="auto"/>
          <w:kern w:val="2"/>
          <w:sz w:val="21"/>
          <w:szCs w:val="21"/>
          <w:highlight w:val="none"/>
          <w:lang w:val="en-US" w:eastAsia="zh-CN" w:bidi="ar-SA"/>
        </w:rPr>
        <w:t>1、</w:t>
      </w:r>
      <w:r>
        <w:rPr>
          <w:rFonts w:hint="eastAsia" w:ascii="宋体" w:hAnsi="宋体" w:eastAsia="宋体"/>
          <w:b/>
          <w:color w:val="auto"/>
          <w:szCs w:val="21"/>
          <w:highlight w:val="none"/>
        </w:rPr>
        <w:t>适用范围</w:t>
      </w:r>
      <w:bookmarkEnd w:id="43"/>
    </w:p>
    <w:p w14:paraId="6BB39A0E">
      <w:pPr>
        <w:snapToGrid w:val="0"/>
        <w:spacing w:line="360" w:lineRule="auto"/>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本采购文件适用于该项目的招标、投标、开标、资格审查及信用信息查询、评标、定标、合同、验收等行为（法律、法规另有规定的，从其规定）。</w:t>
      </w:r>
    </w:p>
    <w:p w14:paraId="0053316E">
      <w:pPr>
        <w:numPr>
          <w:ilvl w:val="0"/>
          <w:numId w:val="0"/>
        </w:numPr>
        <w:tabs>
          <w:tab w:val="left" w:pos="0"/>
        </w:tabs>
        <w:snapToGrid w:val="0"/>
        <w:spacing w:line="360" w:lineRule="auto"/>
        <w:ind w:firstLine="0" w:firstLineChars="0"/>
        <w:jc w:val="left"/>
        <w:outlineLvl w:val="0"/>
        <w:rPr>
          <w:rFonts w:hint="eastAsia" w:ascii="宋体" w:hAnsi="宋体" w:eastAsia="宋体"/>
          <w:b/>
          <w:bCs/>
          <w:color w:val="auto"/>
          <w:kern w:val="2"/>
          <w:sz w:val="21"/>
          <w:szCs w:val="21"/>
          <w:highlight w:val="none"/>
          <w:lang w:val="en-US" w:eastAsia="zh-CN" w:bidi="ar-SA"/>
        </w:rPr>
      </w:pPr>
      <w:bookmarkStart w:id="44" w:name="_Toc23177"/>
      <w:bookmarkEnd w:id="44"/>
      <w:bookmarkStart w:id="45" w:name="_Toc26070"/>
      <w:r>
        <w:rPr>
          <w:rFonts w:hint="eastAsia" w:ascii="宋体" w:hAnsi="宋体" w:eastAsia="宋体"/>
          <w:b/>
          <w:bCs/>
          <w:color w:val="auto"/>
          <w:kern w:val="2"/>
          <w:sz w:val="21"/>
          <w:szCs w:val="21"/>
          <w:highlight w:val="none"/>
          <w:lang w:val="en-US" w:eastAsia="zh-CN" w:bidi="ar-SA"/>
        </w:rPr>
        <w:t>2、</w:t>
      </w:r>
      <w:r>
        <w:rPr>
          <w:rFonts w:hint="eastAsia" w:ascii="宋体" w:hAnsi="宋体" w:eastAsia="宋体"/>
          <w:b/>
          <w:color w:val="auto"/>
          <w:szCs w:val="21"/>
          <w:highlight w:val="none"/>
        </w:rPr>
        <w:t>定义</w:t>
      </w:r>
      <w:bookmarkEnd w:id="45"/>
    </w:p>
    <w:p w14:paraId="7DED4D40">
      <w:pPr>
        <w:numPr>
          <w:ilvl w:val="0"/>
          <w:numId w:val="4"/>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“采购人”系指招标公告中载明的本项目的采购人。</w:t>
      </w:r>
    </w:p>
    <w:p w14:paraId="38B97079">
      <w:pPr>
        <w:numPr>
          <w:ilvl w:val="0"/>
          <w:numId w:val="4"/>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“采购代理机构”系指招标公告中载明的本项目的采购代理机构。</w:t>
      </w:r>
    </w:p>
    <w:p w14:paraId="45C73D22">
      <w:pPr>
        <w:numPr>
          <w:ilvl w:val="0"/>
          <w:numId w:val="4"/>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“供应商”系指是指响应招标、参加投标竞争的法人、其他组织或者自然人。</w:t>
      </w:r>
    </w:p>
    <w:p w14:paraId="02E55A80">
      <w:pPr>
        <w:numPr>
          <w:ilvl w:val="0"/>
          <w:numId w:val="4"/>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“负责人”系指法人企业的法定负责人，或其他组织为法律、行政法规规定代表单位行使职权的主要负责人，或自然人本人。</w:t>
      </w:r>
    </w:p>
    <w:p w14:paraId="1CD3EEC7">
      <w:pPr>
        <w:numPr>
          <w:ilvl w:val="0"/>
          <w:numId w:val="4"/>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“电子签名”系指数据电文中以电子形式所含、所附用于识别签名人身份并表明签名人认可其中内容的数据；“公章”系指单位法定名称章。</w:t>
      </w:r>
    </w:p>
    <w:p w14:paraId="5EA69208">
      <w:pPr>
        <w:numPr>
          <w:ilvl w:val="0"/>
          <w:numId w:val="4"/>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“电子交易平台”系指本项目采购活动所依托的</w:t>
      </w:r>
      <w:r>
        <w:rPr>
          <w:rFonts w:hint="eastAsia" w:ascii="宋体" w:hAnsi="宋体" w:eastAsia="宋体"/>
          <w:color w:val="auto"/>
          <w:highlight w:val="none"/>
          <w:lang w:eastAsia="zh-CN"/>
        </w:rPr>
        <w:t>乐采云平台（https://www.lecaiyun.com/）</w:t>
      </w:r>
      <w:r>
        <w:rPr>
          <w:rFonts w:hint="eastAsia" w:ascii="宋体" w:hAnsi="宋体" w:eastAsia="宋体"/>
          <w:color w:val="auto"/>
          <w:szCs w:val="21"/>
          <w:highlight w:val="none"/>
        </w:rPr>
        <w:t>。</w:t>
      </w:r>
    </w:p>
    <w:p w14:paraId="4E776580">
      <w:pPr>
        <w:numPr>
          <w:ilvl w:val="0"/>
          <w:numId w:val="4"/>
        </w:numPr>
        <w:snapToGrid w:val="0"/>
        <w:spacing w:line="360" w:lineRule="auto"/>
        <w:jc w:val="left"/>
        <w:rPr>
          <w:rFonts w:hint="eastAsia" w:ascii="宋体" w:hAnsi="宋体" w:eastAsia="宋体"/>
          <w:b/>
          <w:bCs/>
          <w:color w:val="auto"/>
          <w:szCs w:val="21"/>
          <w:highlight w:val="none"/>
        </w:rPr>
      </w:pPr>
      <w:r>
        <w:rPr>
          <w:rFonts w:hint="eastAsia" w:ascii="宋体" w:hAnsi="宋体" w:eastAsia="宋体"/>
          <w:b/>
          <w:bCs/>
          <w:color w:val="auto"/>
          <w:szCs w:val="21"/>
          <w:highlight w:val="none"/>
        </w:rPr>
        <w:t>“★”系指实质性要求条款，“</w:t>
      </w:r>
      <w:r>
        <w:rPr>
          <w:rFonts w:hint="eastAsia" w:ascii="宋体" w:hAnsi="宋体" w:eastAsia="宋体"/>
          <w:b/>
          <w:bCs/>
          <w:color w:val="auto"/>
          <w:kern w:val="0"/>
          <w:szCs w:val="21"/>
          <w:highlight w:val="none"/>
        </w:rPr>
        <w:t>■</w:t>
      </w:r>
      <w:r>
        <w:rPr>
          <w:rFonts w:hint="eastAsia" w:ascii="宋体" w:hAnsi="宋体" w:eastAsia="宋体"/>
          <w:b/>
          <w:bCs/>
          <w:color w:val="auto"/>
          <w:szCs w:val="21"/>
          <w:highlight w:val="none"/>
        </w:rPr>
        <w:t>”系指适用本项目的要求，“</w:t>
      </w:r>
      <w:r>
        <w:rPr>
          <w:rFonts w:hint="eastAsia" w:ascii="宋体" w:hAnsi="宋体" w:eastAsia="宋体"/>
          <w:color w:val="auto"/>
          <w:kern w:val="0"/>
          <w:szCs w:val="21"/>
          <w:highlight w:val="none"/>
        </w:rPr>
        <w:t>□</w:t>
      </w:r>
      <w:r>
        <w:rPr>
          <w:rFonts w:hint="eastAsia" w:ascii="宋体" w:hAnsi="宋体" w:eastAsia="宋体"/>
          <w:b/>
          <w:bCs/>
          <w:color w:val="auto"/>
          <w:szCs w:val="21"/>
          <w:highlight w:val="none"/>
        </w:rPr>
        <w:t>”系指不适用本项目的要求。</w:t>
      </w:r>
    </w:p>
    <w:p w14:paraId="2716DF97">
      <w:pPr>
        <w:numPr>
          <w:ilvl w:val="0"/>
          <w:numId w:val="0"/>
        </w:numPr>
        <w:tabs>
          <w:tab w:val="left" w:pos="0"/>
        </w:tabs>
        <w:snapToGrid w:val="0"/>
        <w:spacing w:line="360" w:lineRule="auto"/>
        <w:ind w:firstLine="0" w:firstLineChars="0"/>
        <w:jc w:val="left"/>
        <w:rPr>
          <w:rFonts w:hint="eastAsia" w:ascii="宋体" w:hAnsi="宋体" w:eastAsia="宋体"/>
          <w:b/>
          <w:bCs/>
          <w:color w:val="auto"/>
          <w:kern w:val="2"/>
          <w:sz w:val="21"/>
          <w:szCs w:val="21"/>
          <w:highlight w:val="none"/>
          <w:lang w:val="en-US" w:eastAsia="zh-CN" w:bidi="ar-SA"/>
        </w:rPr>
      </w:pPr>
      <w:r>
        <w:rPr>
          <w:rFonts w:hint="eastAsia" w:ascii="宋体" w:hAnsi="宋体" w:eastAsia="宋体"/>
          <w:b/>
          <w:bCs/>
          <w:color w:val="auto"/>
          <w:kern w:val="2"/>
          <w:sz w:val="21"/>
          <w:szCs w:val="21"/>
          <w:highlight w:val="none"/>
          <w:lang w:val="en-US" w:eastAsia="zh-CN" w:bidi="ar-SA"/>
        </w:rPr>
        <w:t>3、</w:t>
      </w:r>
      <w:r>
        <w:rPr>
          <w:rFonts w:hint="eastAsia" w:ascii="宋体" w:hAnsi="宋体" w:eastAsia="宋体"/>
          <w:b/>
          <w:color w:val="auto"/>
          <w:szCs w:val="21"/>
          <w:highlight w:val="none"/>
        </w:rPr>
        <w:t>采购项目需要落实的政府采购政策</w:t>
      </w:r>
    </w:p>
    <w:p w14:paraId="3483DFFA">
      <w:pPr>
        <w:numPr>
          <w:ilvl w:val="0"/>
          <w:numId w:val="5"/>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本项目原则上采购本国生产的货物，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得对其加以限制，仍将按照公平竞争原则实施采购）；优先采购向我国企业转让技术、与我国企业签订消化吸收再创新方案的供应商的进口产品。</w:t>
      </w:r>
    </w:p>
    <w:p w14:paraId="322F4391">
      <w:pPr>
        <w:numPr>
          <w:ilvl w:val="0"/>
          <w:numId w:val="5"/>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支持绿色发展</w:t>
      </w:r>
    </w:p>
    <w:p w14:paraId="74335140">
      <w:pPr>
        <w:numPr>
          <w:ilvl w:val="0"/>
          <w:numId w:val="6"/>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2CCBCAEB">
      <w:pPr>
        <w:snapToGrid w:val="0"/>
        <w:spacing w:line="360" w:lineRule="auto"/>
        <w:ind w:firstLine="422" w:firstLineChars="200"/>
        <w:jc w:val="left"/>
        <w:rPr>
          <w:rFonts w:hint="eastAsia" w:ascii="宋体" w:hAnsi="宋体" w:eastAsia="宋体"/>
          <w:b/>
          <w:bCs/>
          <w:color w:val="auto"/>
          <w:szCs w:val="21"/>
          <w:highlight w:val="none"/>
        </w:rPr>
      </w:pPr>
      <w:r>
        <w:rPr>
          <w:rFonts w:hint="eastAsia" w:ascii="宋体" w:hAnsi="宋体" w:eastAsia="宋体"/>
          <w:b/>
          <w:bCs/>
          <w:color w:val="auto"/>
          <w:szCs w:val="21"/>
          <w:highlight w:val="none"/>
        </w:rPr>
        <w:t>★采购人拟采购的产品属于政府强制采购的节能产品品目清单范围的，供应商相应的投标产品未获得国家确定的认证机构出具的、处于有效期之内的节能产品认证证书的，投标无效。</w:t>
      </w:r>
    </w:p>
    <w:p w14:paraId="46073FF1">
      <w:pPr>
        <w:numPr>
          <w:ilvl w:val="0"/>
          <w:numId w:val="6"/>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纳入政府采购管理的修缮、装修类项目采购建材的，鼓励采购人将绿色建材性能、指标等作为实质性条件纳入采购文件和合同，具体性能指标要求参考相关绿色建材政府采购需求标准。</w:t>
      </w:r>
    </w:p>
    <w:p w14:paraId="7A497D13">
      <w:pPr>
        <w:numPr>
          <w:ilvl w:val="0"/>
          <w:numId w:val="6"/>
        </w:numPr>
        <w:snapToGrid w:val="0"/>
        <w:spacing w:line="360" w:lineRule="auto"/>
        <w:jc w:val="left"/>
        <w:rPr>
          <w:rFonts w:hint="eastAsia" w:ascii="宋体" w:hAnsi="宋体" w:eastAsia="宋体"/>
          <w:color w:val="auto"/>
          <w:szCs w:val="21"/>
          <w:highlight w:val="none"/>
        </w:rPr>
      </w:pPr>
      <w:bookmarkStart w:id="46" w:name="_Hlk107568539"/>
      <w:r>
        <w:rPr>
          <w:rFonts w:hint="eastAsia" w:ascii="宋体" w:hAnsi="宋体" w:eastAsia="宋体"/>
          <w:color w:val="auto"/>
          <w:szCs w:val="21"/>
          <w:highlight w:val="none"/>
        </w:rPr>
        <w:t>为助力打好污染防治攻坚战，推广使用绿色包装，政府采购货物项目中涉及商品包装和快递包装的，供应商提供产品及相关快递服务的具体包装要求要参考《商品包装政府采购需求标准（试行）》、《快递包装政府采购需求标准（试行）》。鼓励采购人优先采购秸秆环保板材等资源综合利用产品。鼓励采购人优先采购绿色物流配送服务、提供新能源交通工具的租赁服务。</w:t>
      </w:r>
    </w:p>
    <w:bookmarkEnd w:id="46"/>
    <w:p w14:paraId="01F23BED">
      <w:pPr>
        <w:numPr>
          <w:ilvl w:val="0"/>
          <w:numId w:val="6"/>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鼓励供应商在参加政府采购过程中开展绿色设计、选择绿色材料、打造绿色制造工艺、开展绿色运输、做好废弃产品回收处理，实现产品全周期的绿色环保。鼓励采购人对其提高预付款比例、免收履约保证金。</w:t>
      </w:r>
    </w:p>
    <w:p w14:paraId="7A6560F1">
      <w:pPr>
        <w:numPr>
          <w:ilvl w:val="0"/>
          <w:numId w:val="5"/>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支持中小企业发展</w:t>
      </w:r>
    </w:p>
    <w:p w14:paraId="6AFBD343">
      <w:pPr>
        <w:numPr>
          <w:ilvl w:val="0"/>
          <w:numId w:val="7"/>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3A28019">
      <w:pPr>
        <w:snapToGrid w:val="0"/>
        <w:spacing w:line="360" w:lineRule="auto"/>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符合中小企业划分标准的个体工商户，在政府采购活动中视同中小企业。</w:t>
      </w:r>
    </w:p>
    <w:p w14:paraId="1A3E5F43">
      <w:pPr>
        <w:numPr>
          <w:ilvl w:val="0"/>
          <w:numId w:val="7"/>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在政府采购活动中，供应商提供的货物符合下列情形的，享受中小企业扶持政策：在货物采购项目中，货物由中小企业制造，即货物由中小企业生产且使用该中小企业商号或者注册商标；在货物采购项目中，供应商提供的货物既有中小企业制造货物，也有大型企业制造货物的，不享受中小企业扶持政策。</w:t>
      </w:r>
    </w:p>
    <w:p w14:paraId="7CA03015">
      <w:pPr>
        <w:snapToGrid w:val="0"/>
        <w:spacing w:line="360" w:lineRule="auto"/>
        <w:ind w:firstLine="420" w:firstLineChars="200"/>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以联合体形式参加政府采购活动，联合体各方均为中小企业的，联合体视同中小企业。其中，联合体各方均为小微企业的，联合体视同小微企业。</w:t>
      </w:r>
    </w:p>
    <w:p w14:paraId="771E43D5">
      <w:pPr>
        <w:numPr>
          <w:ilvl w:val="0"/>
          <w:numId w:val="7"/>
        </w:numPr>
        <w:snapToGrid w:val="0"/>
        <w:spacing w:line="360" w:lineRule="auto"/>
        <w:jc w:val="left"/>
        <w:rPr>
          <w:rFonts w:hint="eastAsia" w:ascii="宋体" w:hAnsi="宋体" w:eastAsia="宋体"/>
          <w:color w:val="auto"/>
          <w:szCs w:val="21"/>
          <w:highlight w:val="none"/>
        </w:rPr>
      </w:pPr>
      <w:bookmarkStart w:id="47" w:name="_Hlk101132181"/>
      <w:bookmarkEnd w:id="47"/>
      <w:r>
        <w:rPr>
          <w:rFonts w:hint="eastAsia" w:ascii="宋体" w:hAnsi="宋体" w:eastAsia="宋体"/>
          <w:color w:val="auto"/>
          <w:szCs w:val="21"/>
          <w:highlight w:val="none"/>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3026314">
      <w:pPr>
        <w:numPr>
          <w:ilvl w:val="0"/>
          <w:numId w:val="7"/>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符合《关于促进残疾人就业政府采购政策的通知》（财库〔2017〕141号）规定的条件并提供《残疾人福利性单位声明函》（附件1）的残疾人福利性单位视同小型、微型企业；</w:t>
      </w:r>
    </w:p>
    <w:p w14:paraId="13A7E212">
      <w:pPr>
        <w:numPr>
          <w:ilvl w:val="0"/>
          <w:numId w:val="7"/>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B47EDD3">
      <w:pPr>
        <w:numPr>
          <w:ilvl w:val="0"/>
          <w:numId w:val="7"/>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5F8B9D5E">
      <w:pPr>
        <w:numPr>
          <w:ilvl w:val="0"/>
          <w:numId w:val="7"/>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中小企业享受扶持政策获得政府采购合同的，小微企业不得将合同分包给大中型企业，中型企业不得将合同分包给大型企业。</w:t>
      </w:r>
    </w:p>
    <w:p w14:paraId="1D8E46D7">
      <w:pPr>
        <w:numPr>
          <w:ilvl w:val="0"/>
          <w:numId w:val="5"/>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支持创新发展</w:t>
      </w:r>
    </w:p>
    <w:p w14:paraId="401B1D88">
      <w:pPr>
        <w:numPr>
          <w:ilvl w:val="0"/>
          <w:numId w:val="8"/>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采购人优先采购被认定为首台套产品和“制造精品”的自主创新产品。</w:t>
      </w:r>
    </w:p>
    <w:p w14:paraId="20495F31">
      <w:pPr>
        <w:numPr>
          <w:ilvl w:val="0"/>
          <w:numId w:val="8"/>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96AEEBB">
      <w:pPr>
        <w:numPr>
          <w:ilvl w:val="0"/>
          <w:numId w:val="5"/>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平等对待内外资企业和符合条件的破产重整企业</w:t>
      </w:r>
    </w:p>
    <w:p w14:paraId="0D51E324">
      <w:pPr>
        <w:tabs>
          <w:tab w:val="left" w:pos="0"/>
        </w:tabs>
        <w:snapToGrid w:val="0"/>
        <w:spacing w:line="360" w:lineRule="auto"/>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平等对待内外资企业和符合条件的破产重整企业，切实保障企业公平竞争，平等维护企业的合法利益。</w:t>
      </w:r>
    </w:p>
    <w:p w14:paraId="2A6A36A3">
      <w:pPr>
        <w:numPr>
          <w:ilvl w:val="0"/>
          <w:numId w:val="0"/>
        </w:numPr>
        <w:tabs>
          <w:tab w:val="left" w:pos="0"/>
        </w:tabs>
        <w:snapToGrid w:val="0"/>
        <w:spacing w:line="360" w:lineRule="auto"/>
        <w:ind w:firstLine="0" w:firstLineChars="0"/>
        <w:jc w:val="left"/>
        <w:rPr>
          <w:rFonts w:hint="eastAsia" w:ascii="宋体" w:hAnsi="宋体" w:eastAsia="宋体"/>
          <w:b/>
          <w:bCs/>
          <w:color w:val="auto"/>
          <w:kern w:val="2"/>
          <w:sz w:val="21"/>
          <w:szCs w:val="21"/>
          <w:highlight w:val="none"/>
          <w:lang w:val="en-US" w:eastAsia="zh-CN" w:bidi="ar-SA"/>
        </w:rPr>
      </w:pPr>
      <w:r>
        <w:rPr>
          <w:rFonts w:hint="eastAsia" w:ascii="宋体" w:hAnsi="宋体" w:eastAsia="宋体"/>
          <w:b/>
          <w:bCs/>
          <w:color w:val="auto"/>
          <w:kern w:val="2"/>
          <w:sz w:val="21"/>
          <w:szCs w:val="21"/>
          <w:highlight w:val="none"/>
          <w:lang w:val="en-US" w:eastAsia="zh-CN" w:bidi="ar-SA"/>
        </w:rPr>
        <w:t>4、</w:t>
      </w:r>
      <w:r>
        <w:rPr>
          <w:rFonts w:hint="eastAsia" w:ascii="宋体" w:hAnsi="宋体" w:eastAsia="宋体"/>
          <w:b/>
          <w:color w:val="auto"/>
          <w:szCs w:val="21"/>
          <w:highlight w:val="none"/>
        </w:rPr>
        <w:t>询问、质疑、投诉</w:t>
      </w:r>
    </w:p>
    <w:p w14:paraId="6CC89C77">
      <w:pPr>
        <w:pStyle w:val="165"/>
        <w:widowControl w:val="0"/>
        <w:numPr>
          <w:ilvl w:val="0"/>
          <w:numId w:val="9"/>
        </w:numPr>
        <w:shd w:val="clear" w:color="auto" w:fill="FFFFFF"/>
        <w:snapToGrid w:val="0"/>
        <w:spacing w:before="0" w:beforeAutospacing="0" w:after="0" w:afterAutospacing="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鼓励</w:t>
      </w:r>
      <w:r>
        <w:rPr>
          <w:rFonts w:hint="eastAsia" w:ascii="宋体" w:hAnsi="宋体" w:eastAsia="宋体"/>
          <w:color w:val="auto"/>
          <w:sz w:val="21"/>
          <w:szCs w:val="21"/>
          <w:highlight w:val="none"/>
          <w:lang w:val="zh-CN"/>
        </w:rPr>
        <w:t>在线询问、质疑、投诉</w:t>
      </w:r>
    </w:p>
    <w:p w14:paraId="3FFDF70A">
      <w:pPr>
        <w:pStyle w:val="165"/>
        <w:widowControl w:val="0"/>
        <w:numPr>
          <w:ilvl w:val="0"/>
          <w:numId w:val="9"/>
        </w:numPr>
        <w:shd w:val="clear" w:color="auto" w:fill="FFFFFF"/>
        <w:snapToGrid w:val="0"/>
        <w:spacing w:before="0" w:beforeAutospacing="0" w:after="0" w:afterAutospacing="0" w:line="360" w:lineRule="auto"/>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供应商询问</w:t>
      </w:r>
    </w:p>
    <w:p w14:paraId="36E7819A">
      <w:pPr>
        <w:pStyle w:val="165"/>
        <w:widowControl w:val="0"/>
        <w:shd w:val="clear" w:color="auto" w:fill="FFFFFF"/>
        <w:snapToGrid w:val="0"/>
        <w:spacing w:before="0" w:beforeAutospacing="0" w:after="0" w:afterAutospacing="0" w:line="360" w:lineRule="auto"/>
        <w:ind w:firstLine="400"/>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7654D7B">
      <w:pPr>
        <w:pStyle w:val="165"/>
        <w:widowControl w:val="0"/>
        <w:numPr>
          <w:ilvl w:val="0"/>
          <w:numId w:val="9"/>
        </w:numPr>
        <w:shd w:val="clear" w:color="auto" w:fill="FFFFFF"/>
        <w:snapToGrid w:val="0"/>
        <w:spacing w:before="0" w:beforeAutospacing="0" w:after="0" w:afterAutospacing="0" w:line="360" w:lineRule="auto"/>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供应商质疑</w:t>
      </w:r>
    </w:p>
    <w:p w14:paraId="1DA333D4">
      <w:pPr>
        <w:pStyle w:val="165"/>
        <w:widowControl w:val="0"/>
        <w:numPr>
          <w:ilvl w:val="0"/>
          <w:numId w:val="10"/>
        </w:numPr>
        <w:shd w:val="clear" w:color="auto" w:fill="FFFFFF"/>
        <w:snapToGrid w:val="0"/>
        <w:spacing w:before="0" w:beforeAutospacing="0" w:after="0" w:afterAutospacing="0" w:line="360" w:lineRule="auto"/>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提出质疑的供应商应当是参与所质疑项目采购活动的供应商。潜在供应商已依法获取其可质疑的采购文件的，可以对该文件提出质疑。</w:t>
      </w:r>
    </w:p>
    <w:p w14:paraId="3402C432">
      <w:pPr>
        <w:pStyle w:val="165"/>
        <w:widowControl w:val="0"/>
        <w:numPr>
          <w:ilvl w:val="0"/>
          <w:numId w:val="10"/>
        </w:numPr>
        <w:shd w:val="clear" w:color="auto" w:fill="FFFFFF"/>
        <w:snapToGrid w:val="0"/>
        <w:spacing w:before="0" w:beforeAutospacing="0" w:after="0" w:afterAutospacing="0" w:line="360" w:lineRule="auto"/>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59E93038">
      <w:pPr>
        <w:pStyle w:val="165"/>
        <w:widowControl w:val="0"/>
        <w:numPr>
          <w:ilvl w:val="0"/>
          <w:numId w:val="11"/>
        </w:numPr>
        <w:shd w:val="clear" w:color="auto" w:fill="FFFFFF"/>
        <w:snapToGrid w:val="0"/>
        <w:spacing w:before="0" w:beforeAutospacing="0" w:after="0" w:afterAutospacing="0" w:line="360" w:lineRule="auto"/>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对采购文件提出质疑的，质疑期限为供应商获得采购文件之日或者采购文件公告期限届满之日起计算。</w:t>
      </w:r>
    </w:p>
    <w:p w14:paraId="366E25E7">
      <w:pPr>
        <w:pStyle w:val="165"/>
        <w:widowControl w:val="0"/>
        <w:numPr>
          <w:ilvl w:val="0"/>
          <w:numId w:val="11"/>
        </w:numPr>
        <w:shd w:val="clear" w:color="auto" w:fill="FFFFFF"/>
        <w:snapToGrid w:val="0"/>
        <w:spacing w:before="0" w:beforeAutospacing="0" w:after="0" w:afterAutospacing="0" w:line="360" w:lineRule="auto"/>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对采购过程提出质疑的，质疑期限为各采购程序环节结束之日起计算。</w:t>
      </w:r>
    </w:p>
    <w:p w14:paraId="18BB1B24">
      <w:pPr>
        <w:pStyle w:val="165"/>
        <w:widowControl w:val="0"/>
        <w:numPr>
          <w:ilvl w:val="0"/>
          <w:numId w:val="11"/>
        </w:numPr>
        <w:shd w:val="clear" w:color="auto" w:fill="FFFFFF"/>
        <w:snapToGrid w:val="0"/>
        <w:spacing w:before="0" w:beforeAutospacing="0" w:after="0" w:afterAutospacing="0" w:line="360" w:lineRule="auto"/>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对采购结果提出质疑的，质疑期限自采购结果公告期限届满之日起计算。</w:t>
      </w:r>
    </w:p>
    <w:p w14:paraId="494FE049">
      <w:pPr>
        <w:pStyle w:val="165"/>
        <w:widowControl w:val="0"/>
        <w:numPr>
          <w:ilvl w:val="0"/>
          <w:numId w:val="11"/>
        </w:numPr>
        <w:shd w:val="clear" w:color="auto" w:fill="FFFFFF"/>
        <w:snapToGrid w:val="0"/>
        <w:spacing w:before="0" w:beforeAutospacing="0" w:after="0" w:afterAutospacing="0" w:line="360" w:lineRule="auto"/>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供应商提出质疑应当提交质疑函和必要的证明材料。质疑函应当包括下列内容：</w:t>
      </w:r>
    </w:p>
    <w:p w14:paraId="43C384E7">
      <w:pPr>
        <w:pStyle w:val="43"/>
        <w:numPr>
          <w:ilvl w:val="0"/>
          <w:numId w:val="12"/>
        </w:numPr>
        <w:snapToGrid w:val="0"/>
        <w:spacing w:line="360" w:lineRule="auto"/>
        <w:ind w:firstLine="840"/>
        <w:jc w:val="left"/>
        <w:rPr>
          <w:rFonts w:hint="eastAsia" w:ascii="宋体" w:hAnsi="宋体" w:eastAsia="宋体"/>
          <w:color w:val="auto"/>
          <w:kern w:val="0"/>
          <w:highlight w:val="none"/>
          <w:lang w:val="zh-CN"/>
        </w:rPr>
      </w:pPr>
      <w:r>
        <w:rPr>
          <w:rFonts w:hint="eastAsia" w:ascii="宋体" w:hAnsi="宋体" w:eastAsia="宋体"/>
          <w:color w:val="auto"/>
          <w:kern w:val="0"/>
          <w:highlight w:val="none"/>
          <w:lang w:val="zh-CN"/>
        </w:rPr>
        <w:t>供应商的姓名或者名称、地址、邮编、联系人及联系电话；</w:t>
      </w:r>
    </w:p>
    <w:p w14:paraId="31C01170">
      <w:pPr>
        <w:pStyle w:val="43"/>
        <w:numPr>
          <w:ilvl w:val="0"/>
          <w:numId w:val="12"/>
        </w:numPr>
        <w:snapToGrid w:val="0"/>
        <w:spacing w:line="360" w:lineRule="auto"/>
        <w:ind w:firstLine="840"/>
        <w:jc w:val="left"/>
        <w:rPr>
          <w:rFonts w:hint="eastAsia" w:ascii="宋体" w:hAnsi="宋体" w:eastAsia="宋体"/>
          <w:color w:val="auto"/>
          <w:kern w:val="0"/>
          <w:highlight w:val="none"/>
          <w:lang w:val="zh-CN"/>
        </w:rPr>
      </w:pPr>
      <w:r>
        <w:rPr>
          <w:rFonts w:hint="eastAsia" w:ascii="宋体" w:hAnsi="宋体" w:eastAsia="宋体"/>
          <w:color w:val="auto"/>
          <w:kern w:val="0"/>
          <w:highlight w:val="none"/>
          <w:lang w:val="zh-CN"/>
        </w:rPr>
        <w:t>质疑项目的名称、编号；</w:t>
      </w:r>
    </w:p>
    <w:p w14:paraId="5F28439A">
      <w:pPr>
        <w:pStyle w:val="43"/>
        <w:numPr>
          <w:ilvl w:val="0"/>
          <w:numId w:val="12"/>
        </w:numPr>
        <w:snapToGrid w:val="0"/>
        <w:spacing w:line="360" w:lineRule="auto"/>
        <w:ind w:firstLine="840"/>
        <w:jc w:val="left"/>
        <w:rPr>
          <w:rFonts w:hint="eastAsia" w:ascii="宋体" w:hAnsi="宋体" w:eastAsia="宋体"/>
          <w:color w:val="auto"/>
          <w:kern w:val="0"/>
          <w:highlight w:val="none"/>
          <w:lang w:val="zh-CN"/>
        </w:rPr>
      </w:pPr>
      <w:r>
        <w:rPr>
          <w:rFonts w:hint="eastAsia" w:ascii="宋体" w:hAnsi="宋体" w:eastAsia="宋体"/>
          <w:color w:val="auto"/>
          <w:kern w:val="0"/>
          <w:highlight w:val="none"/>
          <w:lang w:val="zh-CN"/>
        </w:rPr>
        <w:t>具体、明确的质疑事项和与质疑事项相关的请求；</w:t>
      </w:r>
    </w:p>
    <w:p w14:paraId="289CD1C2">
      <w:pPr>
        <w:pStyle w:val="43"/>
        <w:numPr>
          <w:ilvl w:val="0"/>
          <w:numId w:val="12"/>
        </w:numPr>
        <w:snapToGrid w:val="0"/>
        <w:spacing w:line="360" w:lineRule="auto"/>
        <w:ind w:firstLine="840"/>
        <w:jc w:val="left"/>
        <w:rPr>
          <w:rFonts w:hint="eastAsia" w:ascii="宋体" w:hAnsi="宋体" w:eastAsia="宋体"/>
          <w:color w:val="auto"/>
          <w:kern w:val="0"/>
          <w:highlight w:val="none"/>
          <w:lang w:val="zh-CN"/>
        </w:rPr>
      </w:pPr>
      <w:r>
        <w:rPr>
          <w:rFonts w:hint="eastAsia" w:ascii="宋体" w:hAnsi="宋体" w:eastAsia="宋体"/>
          <w:color w:val="auto"/>
          <w:kern w:val="0"/>
          <w:highlight w:val="none"/>
          <w:lang w:val="zh-CN"/>
        </w:rPr>
        <w:t>事实依据；</w:t>
      </w:r>
    </w:p>
    <w:p w14:paraId="4EF6D1E7">
      <w:pPr>
        <w:pStyle w:val="43"/>
        <w:numPr>
          <w:ilvl w:val="0"/>
          <w:numId w:val="12"/>
        </w:numPr>
        <w:snapToGrid w:val="0"/>
        <w:spacing w:line="360" w:lineRule="auto"/>
        <w:ind w:firstLine="840"/>
        <w:jc w:val="left"/>
        <w:rPr>
          <w:rFonts w:hint="eastAsia" w:ascii="宋体" w:hAnsi="宋体" w:eastAsia="宋体"/>
          <w:color w:val="auto"/>
          <w:kern w:val="0"/>
          <w:highlight w:val="none"/>
          <w:lang w:val="zh-CN"/>
        </w:rPr>
      </w:pPr>
      <w:r>
        <w:rPr>
          <w:rFonts w:hint="eastAsia" w:ascii="宋体" w:hAnsi="宋体" w:eastAsia="宋体"/>
          <w:color w:val="auto"/>
          <w:kern w:val="0"/>
          <w:highlight w:val="none"/>
          <w:lang w:val="zh-CN"/>
        </w:rPr>
        <w:t>必要的法律依据；</w:t>
      </w:r>
    </w:p>
    <w:p w14:paraId="01E5846D">
      <w:pPr>
        <w:pStyle w:val="43"/>
        <w:numPr>
          <w:ilvl w:val="0"/>
          <w:numId w:val="12"/>
        </w:numPr>
        <w:snapToGrid w:val="0"/>
        <w:spacing w:line="360" w:lineRule="auto"/>
        <w:ind w:firstLine="840"/>
        <w:jc w:val="left"/>
        <w:rPr>
          <w:rFonts w:hint="eastAsia" w:ascii="宋体" w:hAnsi="宋体" w:eastAsia="宋体"/>
          <w:color w:val="auto"/>
          <w:kern w:val="0"/>
          <w:highlight w:val="none"/>
          <w:lang w:val="zh-CN"/>
        </w:rPr>
      </w:pPr>
      <w:r>
        <w:rPr>
          <w:rFonts w:hint="eastAsia" w:ascii="宋体" w:hAnsi="宋体" w:eastAsia="宋体"/>
          <w:color w:val="auto"/>
          <w:kern w:val="0"/>
          <w:highlight w:val="none"/>
          <w:lang w:val="zh-CN"/>
        </w:rPr>
        <w:t>提出质疑的日期。</w:t>
      </w:r>
    </w:p>
    <w:p w14:paraId="15722016">
      <w:pPr>
        <w:pStyle w:val="165"/>
        <w:widowControl w:val="0"/>
        <w:shd w:val="clear" w:color="auto" w:fill="FFFFFF"/>
        <w:snapToGrid w:val="0"/>
        <w:spacing w:before="0" w:beforeAutospacing="0" w:after="0" w:afterAutospacing="0" w:line="360" w:lineRule="auto"/>
        <w:ind w:firstLine="4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122AEDA7">
      <w:pPr>
        <w:pStyle w:val="165"/>
        <w:widowControl w:val="0"/>
        <w:numPr>
          <w:ilvl w:val="0"/>
          <w:numId w:val="10"/>
        </w:numPr>
        <w:shd w:val="clear" w:color="auto" w:fill="FFFFFF"/>
        <w:snapToGrid w:val="0"/>
        <w:spacing w:before="0" w:beforeAutospacing="0" w:after="0" w:afterAutospacing="0" w:line="360" w:lineRule="auto"/>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对同一采购程序环节的质疑，供应商须在法定质疑期内一次性提出。</w:t>
      </w:r>
    </w:p>
    <w:p w14:paraId="5B41A573">
      <w:pPr>
        <w:pStyle w:val="165"/>
        <w:widowControl w:val="0"/>
        <w:numPr>
          <w:ilvl w:val="0"/>
          <w:numId w:val="10"/>
        </w:numPr>
        <w:shd w:val="clear" w:color="auto" w:fill="FFFFFF"/>
        <w:snapToGrid w:val="0"/>
        <w:spacing w:before="0" w:beforeAutospacing="0" w:after="0" w:afterAutospacing="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22号）的规定执行。</w:t>
      </w:r>
    </w:p>
    <w:p w14:paraId="4C377EC5">
      <w:pPr>
        <w:pStyle w:val="165"/>
        <w:widowControl w:val="0"/>
        <w:numPr>
          <w:ilvl w:val="0"/>
          <w:numId w:val="10"/>
        </w:numPr>
        <w:shd w:val="clear" w:color="auto" w:fill="FFFFFF"/>
        <w:snapToGrid w:val="0"/>
        <w:spacing w:before="0" w:beforeAutospacing="0" w:after="0" w:afterAutospacing="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询问或者质疑事项可能影响采购结果的，采购人应当暂停签订合同，已经签订合同的，应当中止履行合同。</w:t>
      </w:r>
    </w:p>
    <w:p w14:paraId="1B06D3F2">
      <w:pPr>
        <w:pStyle w:val="165"/>
        <w:widowControl w:val="0"/>
        <w:numPr>
          <w:ilvl w:val="0"/>
          <w:numId w:val="9"/>
        </w:numPr>
        <w:shd w:val="clear" w:color="auto" w:fill="FFFFFF"/>
        <w:snapToGrid w:val="0"/>
        <w:spacing w:before="0" w:beforeAutospacing="0" w:after="0" w:afterAutospacing="0" w:line="360" w:lineRule="auto"/>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供应商投诉</w:t>
      </w:r>
    </w:p>
    <w:p w14:paraId="7CAF1941">
      <w:pPr>
        <w:pStyle w:val="165"/>
        <w:widowControl w:val="0"/>
        <w:numPr>
          <w:ilvl w:val="0"/>
          <w:numId w:val="13"/>
        </w:numPr>
        <w:shd w:val="clear" w:color="auto" w:fill="FFFFFF"/>
        <w:snapToGrid w:val="0"/>
        <w:spacing w:before="0" w:beforeAutospacing="0" w:after="0" w:afterAutospacing="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质疑供应商对采购人、采购代理机构的答复不满意或者采购人、采购代理机构未在规定的时间内作出答复的，可以在答复期满后十五个工作日内向同级政府采购监督管理部门提出投诉。</w:t>
      </w:r>
    </w:p>
    <w:p w14:paraId="1CC244AA">
      <w:pPr>
        <w:pStyle w:val="165"/>
        <w:widowControl w:val="0"/>
        <w:numPr>
          <w:ilvl w:val="0"/>
          <w:numId w:val="13"/>
        </w:numPr>
        <w:shd w:val="clear" w:color="auto" w:fill="FFFFFF"/>
        <w:snapToGrid w:val="0"/>
        <w:spacing w:before="0" w:beforeAutospacing="0" w:after="0" w:afterAutospacing="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供应商投诉的事项不得超出已质疑事项的范围，基于质疑答复内容提出的投诉事项除外。</w:t>
      </w:r>
    </w:p>
    <w:p w14:paraId="3B8EA1AA">
      <w:pPr>
        <w:pStyle w:val="165"/>
        <w:widowControl w:val="0"/>
        <w:numPr>
          <w:ilvl w:val="0"/>
          <w:numId w:val="13"/>
        </w:numPr>
        <w:shd w:val="clear" w:color="auto" w:fill="FFFFFF"/>
        <w:snapToGrid w:val="0"/>
        <w:spacing w:before="0" w:beforeAutospacing="0" w:after="0" w:afterAutospacing="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供应商投诉应当有明确的请求和必要的证明材料。</w:t>
      </w:r>
    </w:p>
    <w:p w14:paraId="540895BF">
      <w:pPr>
        <w:pStyle w:val="165"/>
        <w:widowControl w:val="0"/>
        <w:numPr>
          <w:ilvl w:val="0"/>
          <w:numId w:val="13"/>
        </w:numPr>
        <w:shd w:val="clear" w:color="auto" w:fill="FFFFFF"/>
        <w:snapToGrid w:val="0"/>
        <w:spacing w:before="0" w:beforeAutospacing="0" w:after="0" w:afterAutospacing="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以联合体形式参加政府采购活动的，其投诉应当由组成联合体的所有供应商共同提出。</w:t>
      </w:r>
    </w:p>
    <w:p w14:paraId="75F63178">
      <w:pPr>
        <w:pStyle w:val="165"/>
        <w:widowControl w:val="0"/>
        <w:numPr>
          <w:ilvl w:val="0"/>
          <w:numId w:val="13"/>
        </w:numPr>
        <w:shd w:val="clear" w:color="auto" w:fill="FFFFFF"/>
        <w:snapToGrid w:val="0"/>
        <w:spacing w:before="0" w:beforeAutospacing="0" w:after="0" w:afterAutospacing="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投诉材料可寄送至：象山县财政局政府采购管理办公室，地址：象山县丹西街道丹峰西路163号，收件人：林老师，电话：0574-65753557。</w:t>
      </w:r>
    </w:p>
    <w:p w14:paraId="6DF34DCA">
      <w:pPr>
        <w:pStyle w:val="165"/>
        <w:widowControl w:val="0"/>
        <w:shd w:val="clear" w:color="auto" w:fill="FFFFFF"/>
        <w:snapToGrid w:val="0"/>
        <w:spacing w:before="0" w:beforeAutospacing="0" w:after="0" w:afterAutospacing="0" w:line="360" w:lineRule="auto"/>
        <w:ind w:firstLine="400"/>
        <w:rPr>
          <w:rFonts w:hint="eastAsia" w:ascii="宋体" w:hAnsi="宋体" w:eastAsia="宋体"/>
          <w:color w:val="auto"/>
          <w:sz w:val="21"/>
          <w:szCs w:val="21"/>
          <w:highlight w:val="none"/>
        </w:rPr>
      </w:pPr>
    </w:p>
    <w:p w14:paraId="748E920F">
      <w:pPr>
        <w:numPr>
          <w:ilvl w:val="0"/>
          <w:numId w:val="3"/>
        </w:numPr>
        <w:snapToGrid w:val="0"/>
        <w:spacing w:before="120" w:line="360" w:lineRule="auto"/>
        <w:ind w:firstLine="0"/>
        <w:jc w:val="left"/>
        <w:outlineLvl w:val="0"/>
        <w:rPr>
          <w:rFonts w:hint="eastAsia" w:ascii="宋体" w:hAnsi="宋体" w:eastAsia="宋体"/>
          <w:b/>
          <w:color w:val="auto"/>
          <w:szCs w:val="21"/>
          <w:highlight w:val="none"/>
        </w:rPr>
      </w:pPr>
      <w:bookmarkStart w:id="48" w:name="_Toc23183"/>
      <w:bookmarkEnd w:id="48"/>
      <w:bookmarkStart w:id="49" w:name="_Toc31373"/>
      <w:r>
        <w:rPr>
          <w:rFonts w:hint="eastAsia" w:ascii="宋体" w:hAnsi="宋体" w:eastAsia="宋体"/>
          <w:b/>
          <w:color w:val="auto"/>
          <w:szCs w:val="21"/>
          <w:highlight w:val="none"/>
        </w:rPr>
        <w:t>采购文件的构成、澄清、修改</w:t>
      </w:r>
      <w:bookmarkEnd w:id="49"/>
    </w:p>
    <w:p w14:paraId="6301E40E">
      <w:pPr>
        <w:pStyle w:val="43"/>
        <w:numPr>
          <w:ilvl w:val="0"/>
          <w:numId w:val="0"/>
        </w:numPr>
        <w:tabs>
          <w:tab w:val="left" w:pos="0"/>
        </w:tabs>
        <w:snapToGrid w:val="0"/>
        <w:spacing w:line="360" w:lineRule="auto"/>
        <w:ind w:firstLine="0" w:firstLineChars="0"/>
        <w:jc w:val="left"/>
        <w:rPr>
          <w:rFonts w:hint="eastAsia" w:ascii="宋体" w:hAnsi="宋体" w:eastAsia="宋体"/>
          <w:b/>
          <w:bCs/>
          <w:color w:val="auto"/>
          <w:kern w:val="0"/>
          <w:sz w:val="21"/>
          <w:szCs w:val="21"/>
          <w:highlight w:val="none"/>
          <w:lang w:val="en-US" w:eastAsia="zh-CN" w:bidi="ar-SA"/>
        </w:rPr>
      </w:pPr>
      <w:r>
        <w:rPr>
          <w:rFonts w:hint="eastAsia" w:ascii="宋体" w:hAnsi="宋体" w:eastAsia="宋体"/>
          <w:b/>
          <w:bCs/>
          <w:color w:val="auto"/>
          <w:kern w:val="0"/>
          <w:sz w:val="21"/>
          <w:szCs w:val="21"/>
          <w:highlight w:val="none"/>
          <w:lang w:val="en-US" w:eastAsia="zh-CN" w:bidi="ar-SA"/>
        </w:rPr>
        <w:t>5、</w:t>
      </w:r>
      <w:r>
        <w:rPr>
          <w:rFonts w:hint="eastAsia" w:ascii="宋体" w:hAnsi="宋体" w:eastAsia="宋体"/>
          <w:b/>
          <w:color w:val="auto"/>
          <w:highlight w:val="none"/>
        </w:rPr>
        <w:t>采购文件的构成</w:t>
      </w:r>
    </w:p>
    <w:p w14:paraId="19658993">
      <w:pPr>
        <w:pStyle w:val="43"/>
        <w:numPr>
          <w:ilvl w:val="0"/>
          <w:numId w:val="14"/>
        </w:numPr>
        <w:snapToGrid w:val="0"/>
        <w:spacing w:line="360" w:lineRule="auto"/>
        <w:jc w:val="left"/>
        <w:rPr>
          <w:rFonts w:hint="eastAsia" w:ascii="宋体" w:hAnsi="宋体" w:eastAsia="宋体"/>
          <w:color w:val="auto"/>
          <w:highlight w:val="none"/>
        </w:rPr>
      </w:pPr>
      <w:r>
        <w:rPr>
          <w:rFonts w:hint="eastAsia" w:ascii="宋体" w:hAnsi="宋体" w:eastAsia="宋体"/>
          <w:color w:val="auto"/>
          <w:highlight w:val="none"/>
        </w:rPr>
        <w:t>采购文件包括下列文件及附件：</w:t>
      </w:r>
    </w:p>
    <w:p w14:paraId="15D35E5C">
      <w:pPr>
        <w:pStyle w:val="43"/>
        <w:numPr>
          <w:ilvl w:val="0"/>
          <w:numId w:val="15"/>
        </w:numPr>
        <w:tabs>
          <w:tab w:val="left" w:pos="840"/>
        </w:tabs>
        <w:snapToGrid w:val="0"/>
        <w:spacing w:line="360" w:lineRule="auto"/>
        <w:jc w:val="left"/>
        <w:rPr>
          <w:rFonts w:hint="eastAsia" w:ascii="宋体" w:hAnsi="宋体" w:eastAsia="宋体"/>
          <w:color w:val="auto"/>
          <w:highlight w:val="none"/>
        </w:rPr>
      </w:pPr>
      <w:r>
        <w:rPr>
          <w:rFonts w:hint="eastAsia" w:ascii="宋体" w:hAnsi="宋体" w:eastAsia="宋体"/>
          <w:color w:val="auto"/>
          <w:highlight w:val="none"/>
        </w:rPr>
        <w:t>招标公告；</w:t>
      </w:r>
    </w:p>
    <w:p w14:paraId="65B12072">
      <w:pPr>
        <w:pStyle w:val="43"/>
        <w:numPr>
          <w:ilvl w:val="0"/>
          <w:numId w:val="15"/>
        </w:numPr>
        <w:tabs>
          <w:tab w:val="left" w:pos="840"/>
        </w:tabs>
        <w:snapToGrid w:val="0"/>
        <w:spacing w:line="360" w:lineRule="auto"/>
        <w:jc w:val="left"/>
        <w:rPr>
          <w:rFonts w:hint="eastAsia" w:ascii="宋体" w:hAnsi="宋体" w:eastAsia="宋体"/>
          <w:color w:val="auto"/>
          <w:highlight w:val="none"/>
        </w:rPr>
      </w:pPr>
      <w:r>
        <w:rPr>
          <w:rFonts w:hint="eastAsia" w:ascii="宋体" w:hAnsi="宋体" w:eastAsia="宋体"/>
          <w:color w:val="auto"/>
          <w:highlight w:val="none"/>
        </w:rPr>
        <w:t>供应商须知；</w:t>
      </w:r>
    </w:p>
    <w:p w14:paraId="43A3E8B2">
      <w:pPr>
        <w:pStyle w:val="43"/>
        <w:numPr>
          <w:ilvl w:val="0"/>
          <w:numId w:val="15"/>
        </w:numPr>
        <w:tabs>
          <w:tab w:val="left" w:pos="840"/>
        </w:tabs>
        <w:snapToGrid w:val="0"/>
        <w:spacing w:line="360" w:lineRule="auto"/>
        <w:jc w:val="left"/>
        <w:rPr>
          <w:rFonts w:hint="eastAsia" w:ascii="宋体" w:hAnsi="宋体" w:eastAsia="宋体"/>
          <w:color w:val="auto"/>
          <w:highlight w:val="none"/>
        </w:rPr>
      </w:pPr>
      <w:r>
        <w:rPr>
          <w:rFonts w:hint="eastAsia" w:ascii="宋体" w:hAnsi="宋体" w:eastAsia="宋体"/>
          <w:color w:val="auto"/>
          <w:highlight w:val="none"/>
        </w:rPr>
        <w:t>采购需求；</w:t>
      </w:r>
    </w:p>
    <w:p w14:paraId="671C90C4">
      <w:pPr>
        <w:pStyle w:val="43"/>
        <w:numPr>
          <w:ilvl w:val="0"/>
          <w:numId w:val="15"/>
        </w:numPr>
        <w:tabs>
          <w:tab w:val="left" w:pos="840"/>
        </w:tabs>
        <w:snapToGrid w:val="0"/>
        <w:spacing w:line="360" w:lineRule="auto"/>
        <w:jc w:val="left"/>
        <w:rPr>
          <w:rFonts w:hint="eastAsia" w:ascii="宋体" w:hAnsi="宋体" w:eastAsia="宋体"/>
          <w:color w:val="auto"/>
          <w:highlight w:val="none"/>
        </w:rPr>
      </w:pPr>
      <w:r>
        <w:rPr>
          <w:rFonts w:hint="eastAsia" w:ascii="宋体" w:hAnsi="宋体" w:eastAsia="宋体"/>
          <w:color w:val="auto"/>
          <w:highlight w:val="none"/>
        </w:rPr>
        <w:t>评标办法；</w:t>
      </w:r>
    </w:p>
    <w:p w14:paraId="00BB29EA">
      <w:pPr>
        <w:pStyle w:val="43"/>
        <w:numPr>
          <w:ilvl w:val="0"/>
          <w:numId w:val="15"/>
        </w:numPr>
        <w:tabs>
          <w:tab w:val="left" w:pos="840"/>
        </w:tabs>
        <w:snapToGrid w:val="0"/>
        <w:spacing w:line="360" w:lineRule="auto"/>
        <w:jc w:val="left"/>
        <w:rPr>
          <w:rFonts w:hint="eastAsia" w:ascii="宋体" w:hAnsi="宋体" w:eastAsia="宋体"/>
          <w:color w:val="auto"/>
          <w:highlight w:val="none"/>
        </w:rPr>
      </w:pPr>
      <w:r>
        <w:rPr>
          <w:rFonts w:hint="eastAsia" w:ascii="宋体" w:hAnsi="宋体" w:eastAsia="宋体"/>
          <w:color w:val="auto"/>
          <w:highlight w:val="none"/>
        </w:rPr>
        <w:t>拟签订的合同文本；</w:t>
      </w:r>
    </w:p>
    <w:p w14:paraId="3D0DD7AE">
      <w:pPr>
        <w:pStyle w:val="43"/>
        <w:numPr>
          <w:ilvl w:val="0"/>
          <w:numId w:val="15"/>
        </w:numPr>
        <w:tabs>
          <w:tab w:val="left" w:pos="840"/>
        </w:tabs>
        <w:snapToGrid w:val="0"/>
        <w:spacing w:line="360" w:lineRule="auto"/>
        <w:jc w:val="left"/>
        <w:rPr>
          <w:rFonts w:hint="eastAsia" w:ascii="宋体" w:hAnsi="宋体" w:eastAsia="宋体"/>
          <w:color w:val="auto"/>
          <w:highlight w:val="none"/>
        </w:rPr>
      </w:pPr>
      <w:r>
        <w:rPr>
          <w:rFonts w:hint="eastAsia" w:ascii="宋体" w:hAnsi="宋体" w:eastAsia="宋体"/>
          <w:color w:val="auto"/>
          <w:highlight w:val="none"/>
        </w:rPr>
        <w:t>应提交的有关格式范例。</w:t>
      </w:r>
    </w:p>
    <w:p w14:paraId="602BFA1A">
      <w:pPr>
        <w:pStyle w:val="43"/>
        <w:numPr>
          <w:ilvl w:val="0"/>
          <w:numId w:val="14"/>
        </w:numPr>
        <w:snapToGrid w:val="0"/>
        <w:spacing w:line="360" w:lineRule="auto"/>
        <w:jc w:val="left"/>
        <w:rPr>
          <w:rFonts w:hint="eastAsia" w:ascii="宋体" w:hAnsi="宋体" w:eastAsia="宋体"/>
          <w:color w:val="auto"/>
          <w:highlight w:val="none"/>
        </w:rPr>
      </w:pPr>
      <w:r>
        <w:rPr>
          <w:rFonts w:hint="eastAsia" w:ascii="宋体" w:hAnsi="宋体" w:eastAsia="宋体"/>
          <w:color w:val="auto"/>
          <w:highlight w:val="none"/>
        </w:rPr>
        <w:t>与本项目有关的澄清或者修改的内容为采购文件的组成部分。</w:t>
      </w:r>
    </w:p>
    <w:p w14:paraId="660BA024">
      <w:pPr>
        <w:pStyle w:val="43"/>
        <w:numPr>
          <w:ilvl w:val="0"/>
          <w:numId w:val="0"/>
        </w:numPr>
        <w:tabs>
          <w:tab w:val="left" w:pos="0"/>
        </w:tabs>
        <w:snapToGrid w:val="0"/>
        <w:spacing w:line="360" w:lineRule="auto"/>
        <w:ind w:firstLine="0" w:firstLineChars="0"/>
        <w:jc w:val="left"/>
        <w:rPr>
          <w:rFonts w:hint="eastAsia" w:ascii="宋体" w:hAnsi="宋体" w:eastAsia="宋体"/>
          <w:b/>
          <w:bCs/>
          <w:color w:val="auto"/>
          <w:kern w:val="0"/>
          <w:sz w:val="21"/>
          <w:szCs w:val="21"/>
          <w:highlight w:val="none"/>
          <w:lang w:val="en-US" w:eastAsia="zh-CN" w:bidi="ar-SA"/>
        </w:rPr>
      </w:pPr>
      <w:r>
        <w:rPr>
          <w:rFonts w:hint="eastAsia" w:ascii="宋体" w:hAnsi="宋体" w:eastAsia="宋体"/>
          <w:b/>
          <w:bCs/>
          <w:color w:val="auto"/>
          <w:kern w:val="0"/>
          <w:sz w:val="21"/>
          <w:szCs w:val="21"/>
          <w:highlight w:val="none"/>
          <w:lang w:val="en-US" w:eastAsia="zh-CN" w:bidi="ar-SA"/>
        </w:rPr>
        <w:t>6、</w:t>
      </w:r>
      <w:r>
        <w:rPr>
          <w:rFonts w:hint="eastAsia" w:ascii="宋体" w:hAnsi="宋体" w:eastAsia="宋体"/>
          <w:b/>
          <w:color w:val="auto"/>
          <w:highlight w:val="none"/>
        </w:rPr>
        <w:t>采购文件的澄清、修改</w:t>
      </w:r>
    </w:p>
    <w:p w14:paraId="474B9531">
      <w:pPr>
        <w:pStyle w:val="89"/>
        <w:numPr>
          <w:ilvl w:val="0"/>
          <w:numId w:val="16"/>
        </w:numPr>
        <w:snapToGrid w:val="0"/>
        <w:spacing w:before="0"/>
        <w:ind w:firstLineChars="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已获取采购文件的潜在供应商，若有问题需要澄清，应于投标截止时间前，以书面形式向采购代理机构提出。</w:t>
      </w:r>
    </w:p>
    <w:p w14:paraId="1E780C14">
      <w:pPr>
        <w:pStyle w:val="89"/>
        <w:numPr>
          <w:ilvl w:val="0"/>
          <w:numId w:val="16"/>
        </w:numPr>
        <w:snapToGrid w:val="0"/>
        <w:spacing w:before="0"/>
        <w:ind w:firstLineChars="0"/>
        <w:jc w:val="left"/>
        <w:rPr>
          <w:rFonts w:hint="eastAsia" w:ascii="宋体" w:hAnsi="宋体" w:eastAsia="宋体"/>
          <w:color w:val="auto"/>
          <w:sz w:val="21"/>
          <w:szCs w:val="21"/>
          <w:highlight w:val="none"/>
        </w:rPr>
      </w:pPr>
      <w:bookmarkStart w:id="50" w:name="_Toc1406"/>
      <w:r>
        <w:rPr>
          <w:rFonts w:hint="eastAsia" w:ascii="宋体" w:hAnsi="宋体" w:eastAsia="宋体"/>
          <w:color w:val="auto"/>
          <w:sz w:val="21"/>
          <w:szCs w:val="21"/>
          <w:highlight w:val="none"/>
        </w:rPr>
        <w:t xml:space="preserve">采购代理机构对采购文件进行澄清或修改的，将同时通过电子交易平台通知已获取采购文件的潜在供应商。依法应当公告的，将按规定公告，同时视情况延长投标截止时间和开标时间。该澄清或者修改的内容为采购文件的组成部分。 </w:t>
      </w:r>
    </w:p>
    <w:p w14:paraId="2A87D7AA">
      <w:pPr>
        <w:snapToGrid w:val="0"/>
        <w:spacing w:line="360" w:lineRule="auto"/>
        <w:jc w:val="left"/>
        <w:outlineLvl w:val="0"/>
        <w:rPr>
          <w:rFonts w:hint="eastAsia" w:ascii="宋体" w:hAnsi="宋体" w:eastAsia="宋体"/>
          <w:b/>
          <w:color w:val="auto"/>
          <w:szCs w:val="21"/>
          <w:highlight w:val="none"/>
        </w:rPr>
      </w:pPr>
    </w:p>
    <w:bookmarkEnd w:id="50"/>
    <w:p w14:paraId="48F7BA8E">
      <w:pPr>
        <w:numPr>
          <w:ilvl w:val="0"/>
          <w:numId w:val="3"/>
        </w:numPr>
        <w:snapToGrid w:val="0"/>
        <w:spacing w:before="120" w:line="360" w:lineRule="auto"/>
        <w:ind w:firstLine="0"/>
        <w:jc w:val="left"/>
        <w:outlineLvl w:val="0"/>
        <w:rPr>
          <w:rFonts w:hint="eastAsia" w:ascii="宋体" w:hAnsi="宋体" w:eastAsia="宋体"/>
          <w:b/>
          <w:color w:val="auto"/>
          <w:szCs w:val="21"/>
          <w:highlight w:val="none"/>
        </w:rPr>
      </w:pPr>
      <w:bookmarkStart w:id="51" w:name="_Toc31318"/>
      <w:r>
        <w:rPr>
          <w:rFonts w:hint="eastAsia" w:ascii="宋体" w:hAnsi="宋体" w:eastAsia="宋体"/>
          <w:b/>
          <w:color w:val="auto"/>
          <w:szCs w:val="21"/>
          <w:highlight w:val="none"/>
        </w:rPr>
        <w:t>投标</w:t>
      </w:r>
      <w:bookmarkEnd w:id="51"/>
    </w:p>
    <w:p w14:paraId="757DD517">
      <w:pPr>
        <w:pStyle w:val="43"/>
        <w:numPr>
          <w:ilvl w:val="0"/>
          <w:numId w:val="0"/>
        </w:numPr>
        <w:tabs>
          <w:tab w:val="left" w:pos="0"/>
        </w:tabs>
        <w:snapToGrid w:val="0"/>
        <w:spacing w:line="360" w:lineRule="auto"/>
        <w:ind w:firstLine="0" w:firstLineChars="0"/>
        <w:jc w:val="left"/>
        <w:rPr>
          <w:rFonts w:hint="eastAsia" w:ascii="宋体" w:hAnsi="宋体" w:eastAsia="宋体"/>
          <w:b/>
          <w:bCs/>
          <w:color w:val="auto"/>
          <w:kern w:val="0"/>
          <w:sz w:val="21"/>
          <w:szCs w:val="21"/>
          <w:highlight w:val="none"/>
          <w:lang w:val="en-US" w:eastAsia="zh-CN" w:bidi="ar-SA"/>
        </w:rPr>
      </w:pPr>
      <w:r>
        <w:rPr>
          <w:rFonts w:hint="eastAsia" w:ascii="宋体" w:hAnsi="宋体" w:eastAsia="宋体"/>
          <w:b/>
          <w:bCs/>
          <w:color w:val="auto"/>
          <w:kern w:val="0"/>
          <w:sz w:val="21"/>
          <w:szCs w:val="21"/>
          <w:highlight w:val="none"/>
          <w:lang w:val="en-US" w:eastAsia="zh-CN" w:bidi="ar-SA"/>
        </w:rPr>
        <w:t>7、</w:t>
      </w:r>
      <w:r>
        <w:rPr>
          <w:rFonts w:hint="eastAsia" w:ascii="宋体" w:hAnsi="宋体" w:eastAsia="宋体"/>
          <w:b/>
          <w:color w:val="auto"/>
          <w:highlight w:val="none"/>
        </w:rPr>
        <w:t>采购文件的获取</w:t>
      </w:r>
    </w:p>
    <w:p w14:paraId="2A414A64">
      <w:pPr>
        <w:snapToGrid w:val="0"/>
        <w:spacing w:line="360" w:lineRule="auto"/>
        <w:ind w:firstLine="420" w:firstLineChars="200"/>
        <w:jc w:val="left"/>
        <w:rPr>
          <w:rFonts w:hint="eastAsia" w:ascii="宋体" w:hAnsi="宋体" w:eastAsia="宋体"/>
          <w:color w:val="auto"/>
          <w:kern w:val="28"/>
          <w:szCs w:val="21"/>
          <w:highlight w:val="none"/>
        </w:rPr>
      </w:pPr>
      <w:r>
        <w:rPr>
          <w:rFonts w:hint="eastAsia" w:ascii="宋体" w:hAnsi="宋体" w:eastAsia="宋体"/>
          <w:color w:val="auto"/>
          <w:kern w:val="28"/>
          <w:szCs w:val="21"/>
          <w:highlight w:val="none"/>
        </w:rPr>
        <w:t>详见采购文件第一部分 招标公告中获取采购文件的时间期限、地点、方式及采购文件售价。</w:t>
      </w:r>
    </w:p>
    <w:p w14:paraId="053A55F7">
      <w:pPr>
        <w:pStyle w:val="43"/>
        <w:numPr>
          <w:ilvl w:val="0"/>
          <w:numId w:val="0"/>
        </w:numPr>
        <w:tabs>
          <w:tab w:val="left" w:pos="0"/>
        </w:tabs>
        <w:snapToGrid w:val="0"/>
        <w:spacing w:line="360" w:lineRule="auto"/>
        <w:ind w:firstLine="0" w:firstLineChars="0"/>
        <w:jc w:val="left"/>
        <w:rPr>
          <w:rFonts w:hint="eastAsia" w:ascii="宋体" w:hAnsi="宋体" w:eastAsia="宋体"/>
          <w:b/>
          <w:bCs/>
          <w:color w:val="auto"/>
          <w:kern w:val="0"/>
          <w:sz w:val="21"/>
          <w:szCs w:val="21"/>
          <w:highlight w:val="none"/>
          <w:lang w:val="en-US" w:eastAsia="zh-CN" w:bidi="ar-SA"/>
        </w:rPr>
      </w:pPr>
      <w:r>
        <w:rPr>
          <w:rFonts w:hint="eastAsia" w:ascii="宋体" w:hAnsi="宋体" w:eastAsia="宋体"/>
          <w:b/>
          <w:bCs/>
          <w:color w:val="auto"/>
          <w:kern w:val="0"/>
          <w:sz w:val="21"/>
          <w:szCs w:val="21"/>
          <w:highlight w:val="none"/>
          <w:lang w:val="en-US" w:eastAsia="zh-CN" w:bidi="ar-SA"/>
        </w:rPr>
        <w:t>8、</w:t>
      </w:r>
      <w:r>
        <w:rPr>
          <w:rFonts w:hint="eastAsia" w:ascii="宋体" w:hAnsi="宋体" w:eastAsia="宋体"/>
          <w:b/>
          <w:color w:val="auto"/>
          <w:highlight w:val="none"/>
        </w:rPr>
        <w:t>开标前答疑会或现场考察</w:t>
      </w:r>
    </w:p>
    <w:p w14:paraId="157724BF">
      <w:pPr>
        <w:pStyle w:val="43"/>
        <w:snapToGrid w:val="0"/>
        <w:spacing w:line="360" w:lineRule="auto"/>
        <w:ind w:firstLine="420" w:firstLineChars="200"/>
        <w:jc w:val="left"/>
        <w:rPr>
          <w:rFonts w:hint="eastAsia" w:ascii="宋体" w:hAnsi="宋体" w:eastAsia="宋体"/>
          <w:color w:val="auto"/>
          <w:highlight w:val="none"/>
        </w:rPr>
      </w:pPr>
      <w:r>
        <w:rPr>
          <w:rFonts w:hint="eastAsia" w:ascii="宋体" w:hAnsi="宋体" w:eastAsia="宋体"/>
          <w:color w:val="auto"/>
          <w:highlight w:val="none"/>
        </w:rPr>
        <w:t>采购人组织潜在供应商现场考察或者召开开标前答疑会的，潜在供应商按第二部分 供应商须知前附表的规定参加现场考察或者开标前答疑会。</w:t>
      </w:r>
    </w:p>
    <w:p w14:paraId="2B2AE4B1">
      <w:pPr>
        <w:pStyle w:val="43"/>
        <w:numPr>
          <w:ilvl w:val="0"/>
          <w:numId w:val="0"/>
        </w:numPr>
        <w:tabs>
          <w:tab w:val="left" w:pos="0"/>
        </w:tabs>
        <w:snapToGrid w:val="0"/>
        <w:spacing w:line="360" w:lineRule="auto"/>
        <w:ind w:firstLine="0" w:firstLineChars="0"/>
        <w:jc w:val="left"/>
        <w:rPr>
          <w:rFonts w:hint="eastAsia" w:ascii="宋体" w:hAnsi="宋体" w:eastAsia="宋体"/>
          <w:b/>
          <w:bCs/>
          <w:color w:val="auto"/>
          <w:kern w:val="0"/>
          <w:sz w:val="21"/>
          <w:szCs w:val="21"/>
          <w:highlight w:val="none"/>
          <w:lang w:val="en-US" w:eastAsia="zh-CN" w:bidi="ar-SA"/>
        </w:rPr>
      </w:pPr>
      <w:r>
        <w:rPr>
          <w:rFonts w:hint="eastAsia" w:ascii="宋体" w:hAnsi="宋体" w:eastAsia="宋体"/>
          <w:b/>
          <w:bCs/>
          <w:color w:val="auto"/>
          <w:kern w:val="0"/>
          <w:sz w:val="21"/>
          <w:szCs w:val="21"/>
          <w:highlight w:val="none"/>
          <w:lang w:val="en-US" w:eastAsia="zh-CN" w:bidi="ar-SA"/>
        </w:rPr>
        <w:t>9、</w:t>
      </w:r>
      <w:r>
        <w:rPr>
          <w:rFonts w:hint="eastAsia" w:ascii="宋体" w:hAnsi="宋体" w:eastAsia="宋体"/>
          <w:b/>
          <w:color w:val="auto"/>
          <w:highlight w:val="none"/>
        </w:rPr>
        <w:t>分公司投标</w:t>
      </w:r>
    </w:p>
    <w:p w14:paraId="74EAC550">
      <w:pPr>
        <w:pStyle w:val="28"/>
        <w:widowControl w:val="0"/>
        <w:spacing w:line="360" w:lineRule="auto"/>
        <w:ind w:firstLine="411" w:firstLineChars="196"/>
        <w:jc w:val="left"/>
        <w:rPr>
          <w:rFonts w:hint="eastAsia" w:ascii="宋体" w:hAnsi="宋体" w:eastAsia="宋体"/>
          <w:color w:val="auto"/>
          <w:kern w:val="2"/>
          <w:sz w:val="21"/>
          <w:szCs w:val="21"/>
          <w:highlight w:val="none"/>
        </w:rPr>
      </w:pPr>
      <w:r>
        <w:rPr>
          <w:rFonts w:hint="eastAsia" w:ascii="宋体" w:hAnsi="宋体" w:eastAsia="宋体"/>
          <w:color w:val="auto"/>
          <w:kern w:val="2"/>
          <w:sz w:val="21"/>
          <w:szCs w:val="21"/>
          <w:highlight w:val="none"/>
        </w:rPr>
        <w:t>除银行、保险、石油石化、电力、电信、移动、联通等行业外，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14:paraId="3598D214">
      <w:pPr>
        <w:pStyle w:val="43"/>
        <w:numPr>
          <w:ilvl w:val="0"/>
          <w:numId w:val="0"/>
        </w:numPr>
        <w:tabs>
          <w:tab w:val="left" w:pos="0"/>
        </w:tabs>
        <w:snapToGrid w:val="0"/>
        <w:spacing w:line="360" w:lineRule="auto"/>
        <w:ind w:firstLine="0" w:firstLineChars="0"/>
        <w:jc w:val="left"/>
        <w:rPr>
          <w:rFonts w:hint="eastAsia" w:ascii="宋体" w:hAnsi="宋体" w:eastAsia="宋体"/>
          <w:b/>
          <w:bCs/>
          <w:color w:val="auto"/>
          <w:kern w:val="0"/>
          <w:sz w:val="21"/>
          <w:szCs w:val="21"/>
          <w:highlight w:val="none"/>
          <w:lang w:val="en-US" w:eastAsia="zh-CN" w:bidi="ar-SA"/>
        </w:rPr>
      </w:pPr>
      <w:r>
        <w:rPr>
          <w:rFonts w:hint="eastAsia" w:ascii="宋体" w:hAnsi="宋体" w:eastAsia="宋体"/>
          <w:b/>
          <w:bCs/>
          <w:color w:val="auto"/>
          <w:kern w:val="0"/>
          <w:sz w:val="21"/>
          <w:szCs w:val="21"/>
          <w:highlight w:val="none"/>
          <w:lang w:val="en-US" w:eastAsia="zh-CN" w:bidi="ar-SA"/>
        </w:rPr>
        <w:t>10、</w:t>
      </w:r>
      <w:r>
        <w:rPr>
          <w:rFonts w:hint="eastAsia" w:ascii="宋体" w:hAnsi="宋体" w:eastAsia="宋体"/>
          <w:b/>
          <w:color w:val="auto"/>
          <w:highlight w:val="none"/>
        </w:rPr>
        <w:t>投标文件的语言</w:t>
      </w:r>
      <w:r>
        <w:rPr>
          <w:rFonts w:hint="eastAsia" w:ascii="宋体" w:hAnsi="宋体" w:eastAsia="宋体"/>
          <w:b/>
          <w:color w:val="auto"/>
          <w:szCs w:val="28"/>
          <w:highlight w:val="none"/>
        </w:rPr>
        <w:t>及计量</w:t>
      </w:r>
    </w:p>
    <w:p w14:paraId="39CACDEE">
      <w:pPr>
        <w:numPr>
          <w:ilvl w:val="0"/>
          <w:numId w:val="17"/>
        </w:numPr>
        <w:autoSpaceDE w:val="0"/>
        <w:autoSpaceDN w:val="0"/>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投标文件及供应商与采购有关的来往通知、函件和文件均应使用中文。</w:t>
      </w:r>
      <w:r>
        <w:rPr>
          <w:rFonts w:hint="eastAsia" w:ascii="宋体" w:hAnsi="宋体" w:eastAsia="宋体"/>
          <w:bCs/>
          <w:color w:val="auto"/>
          <w:szCs w:val="21"/>
          <w:highlight w:val="none"/>
        </w:rPr>
        <w:t>除签名、盖章、专用名称等特殊情形外，以中文汉语以外的文字表述的投标文件内容视同未提供。</w:t>
      </w:r>
    </w:p>
    <w:p w14:paraId="289F2C8C">
      <w:pPr>
        <w:numPr>
          <w:ilvl w:val="0"/>
          <w:numId w:val="17"/>
        </w:numPr>
        <w:autoSpaceDE w:val="0"/>
        <w:autoSpaceDN w:val="0"/>
        <w:snapToGrid w:val="0"/>
        <w:spacing w:line="360" w:lineRule="auto"/>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投标计量单位，采购文件已有明确规定的，使用采购文件规定的计量单位；采购文件没有规定的，应采用中华人民共和国法定计量单位（货币单位：人民币元），否则视同未响应。</w:t>
      </w:r>
    </w:p>
    <w:p w14:paraId="79A8876F">
      <w:pPr>
        <w:pStyle w:val="43"/>
        <w:numPr>
          <w:ilvl w:val="0"/>
          <w:numId w:val="0"/>
        </w:numPr>
        <w:tabs>
          <w:tab w:val="left" w:pos="0"/>
        </w:tabs>
        <w:snapToGrid w:val="0"/>
        <w:spacing w:line="360" w:lineRule="auto"/>
        <w:ind w:firstLine="0" w:firstLineChars="0"/>
        <w:jc w:val="left"/>
        <w:rPr>
          <w:rFonts w:hint="eastAsia" w:ascii="宋体" w:hAnsi="宋体" w:eastAsia="宋体"/>
          <w:b/>
          <w:bCs/>
          <w:color w:val="auto"/>
          <w:kern w:val="0"/>
          <w:sz w:val="21"/>
          <w:szCs w:val="21"/>
          <w:highlight w:val="none"/>
          <w:lang w:val="en-US" w:eastAsia="zh-CN" w:bidi="ar-SA"/>
        </w:rPr>
      </w:pPr>
      <w:r>
        <w:rPr>
          <w:rFonts w:hint="eastAsia" w:ascii="宋体" w:hAnsi="宋体" w:eastAsia="宋体"/>
          <w:b/>
          <w:bCs/>
          <w:color w:val="auto"/>
          <w:kern w:val="0"/>
          <w:sz w:val="21"/>
          <w:szCs w:val="21"/>
          <w:highlight w:val="none"/>
          <w:lang w:val="en-US" w:eastAsia="zh-CN" w:bidi="ar-SA"/>
        </w:rPr>
        <w:t>11、</w:t>
      </w:r>
      <w:r>
        <w:rPr>
          <w:rFonts w:hint="eastAsia" w:ascii="宋体" w:hAnsi="宋体" w:eastAsia="宋体"/>
          <w:b/>
          <w:color w:val="auto"/>
          <w:highlight w:val="none"/>
        </w:rPr>
        <w:t>投标文件的组成</w:t>
      </w:r>
    </w:p>
    <w:p w14:paraId="174F9317">
      <w:pPr>
        <w:numPr>
          <w:ilvl w:val="0"/>
          <w:numId w:val="18"/>
        </w:numPr>
        <w:snapToGrid w:val="0"/>
        <w:spacing w:line="360" w:lineRule="auto"/>
        <w:jc w:val="left"/>
        <w:rPr>
          <w:rFonts w:hint="eastAsia" w:ascii="宋体" w:hAnsi="宋体" w:eastAsia="宋体"/>
          <w:b/>
          <w:bCs/>
          <w:color w:val="auto"/>
          <w:szCs w:val="21"/>
          <w:highlight w:val="none"/>
        </w:rPr>
      </w:pPr>
      <w:r>
        <w:rPr>
          <w:rFonts w:hint="eastAsia" w:ascii="宋体" w:hAnsi="宋体" w:eastAsia="宋体"/>
          <w:b/>
          <w:bCs/>
          <w:color w:val="auto"/>
          <w:szCs w:val="21"/>
          <w:highlight w:val="none"/>
        </w:rPr>
        <w:t>资格证明文件：</w:t>
      </w:r>
    </w:p>
    <w:p w14:paraId="747DD80D">
      <w:pPr>
        <w:numPr>
          <w:ilvl w:val="0"/>
          <w:numId w:val="19"/>
        </w:numPr>
        <w:snapToGrid w:val="0"/>
        <w:spacing w:line="360" w:lineRule="auto"/>
        <w:jc w:val="left"/>
        <w:rPr>
          <w:rFonts w:hint="eastAsia" w:ascii="宋体" w:hAnsi="宋体" w:eastAsia="宋体"/>
          <w:color w:val="auto"/>
          <w:szCs w:val="21"/>
          <w:highlight w:val="none"/>
        </w:rPr>
      </w:pPr>
      <w:bookmarkStart w:id="52" w:name="_Hlk101259339"/>
      <w:r>
        <w:rPr>
          <w:rFonts w:hint="eastAsia" w:ascii="宋体" w:hAnsi="宋体" w:eastAsia="宋体"/>
          <w:color w:val="auto"/>
          <w:szCs w:val="21"/>
          <w:highlight w:val="none"/>
        </w:rPr>
        <w:t>符合参加政府采购活动应当具备的一般条件的承诺函；</w:t>
      </w:r>
    </w:p>
    <w:p w14:paraId="6CCA3DFA">
      <w:pPr>
        <w:numPr>
          <w:ilvl w:val="0"/>
          <w:numId w:val="19"/>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供应商有效的企业法人营业执照（或事业法人登记证）、其他组织（个体工商户）的营业执照或者民办非企业单位登记证书的扫描件；</w:t>
      </w:r>
    </w:p>
    <w:bookmarkEnd w:id="52"/>
    <w:p w14:paraId="656B79DB">
      <w:pPr>
        <w:numPr>
          <w:ilvl w:val="0"/>
          <w:numId w:val="19"/>
        </w:numPr>
        <w:snapToGrid w:val="0"/>
        <w:spacing w:line="360" w:lineRule="auto"/>
        <w:jc w:val="left"/>
        <w:rPr>
          <w:rFonts w:hint="eastAsia" w:ascii="宋体" w:hAnsi="宋体" w:eastAsia="宋体"/>
          <w:color w:val="auto"/>
          <w:kern w:val="28"/>
          <w:szCs w:val="21"/>
          <w:highlight w:val="none"/>
        </w:rPr>
      </w:pPr>
      <w:r>
        <w:rPr>
          <w:rFonts w:hint="eastAsia" w:ascii="宋体" w:hAnsi="宋体" w:eastAsia="宋体"/>
          <w:color w:val="auto"/>
          <w:kern w:val="28"/>
          <w:szCs w:val="21"/>
          <w:highlight w:val="none"/>
        </w:rPr>
        <w:t>联合协议（如有）；</w:t>
      </w:r>
    </w:p>
    <w:p w14:paraId="3A736860">
      <w:pPr>
        <w:numPr>
          <w:ilvl w:val="0"/>
          <w:numId w:val="19"/>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落实政府采购政策需满足的资格要求</w:t>
      </w:r>
      <w:r>
        <w:rPr>
          <w:rFonts w:hint="eastAsia" w:ascii="宋体" w:hAnsi="宋体" w:eastAsia="宋体"/>
          <w:color w:val="auto"/>
          <w:kern w:val="28"/>
          <w:szCs w:val="21"/>
          <w:highlight w:val="none"/>
        </w:rPr>
        <w:t>（如有）</w:t>
      </w:r>
      <w:r>
        <w:rPr>
          <w:rFonts w:hint="eastAsia" w:ascii="宋体" w:hAnsi="宋体" w:eastAsia="宋体"/>
          <w:color w:val="auto"/>
          <w:szCs w:val="21"/>
          <w:highlight w:val="none"/>
        </w:rPr>
        <w:t>；</w:t>
      </w:r>
    </w:p>
    <w:p w14:paraId="5C0E027E">
      <w:pPr>
        <w:numPr>
          <w:ilvl w:val="0"/>
          <w:numId w:val="19"/>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本项目的特定资格要求</w:t>
      </w:r>
      <w:r>
        <w:rPr>
          <w:rFonts w:hint="eastAsia" w:ascii="宋体" w:hAnsi="宋体" w:eastAsia="宋体"/>
          <w:color w:val="auto"/>
          <w:kern w:val="28"/>
          <w:szCs w:val="21"/>
          <w:highlight w:val="none"/>
        </w:rPr>
        <w:t>（如有）</w:t>
      </w:r>
      <w:r>
        <w:rPr>
          <w:rFonts w:hint="eastAsia" w:ascii="宋体" w:hAnsi="宋体" w:eastAsia="宋体"/>
          <w:color w:val="auto"/>
          <w:szCs w:val="21"/>
          <w:highlight w:val="none"/>
        </w:rPr>
        <w:t>。</w:t>
      </w:r>
    </w:p>
    <w:p w14:paraId="08E43E7A">
      <w:pPr>
        <w:numPr>
          <w:ilvl w:val="0"/>
          <w:numId w:val="18"/>
        </w:numPr>
        <w:snapToGrid w:val="0"/>
        <w:spacing w:line="360" w:lineRule="auto"/>
        <w:jc w:val="left"/>
        <w:rPr>
          <w:rFonts w:hint="eastAsia" w:ascii="宋体" w:hAnsi="宋体" w:eastAsia="宋体"/>
          <w:b/>
          <w:bCs/>
          <w:color w:val="auto"/>
          <w:szCs w:val="21"/>
          <w:highlight w:val="none"/>
        </w:rPr>
      </w:pPr>
      <w:r>
        <w:rPr>
          <w:rFonts w:hint="eastAsia" w:ascii="宋体" w:hAnsi="宋体" w:eastAsia="宋体"/>
          <w:b/>
          <w:bCs/>
          <w:color w:val="auto"/>
          <w:szCs w:val="21"/>
          <w:highlight w:val="none"/>
        </w:rPr>
        <w:t>商务技术</w:t>
      </w:r>
      <w:r>
        <w:rPr>
          <w:rFonts w:hint="eastAsia" w:ascii="宋体" w:hAnsi="宋体" w:eastAsia="宋体"/>
          <w:b/>
          <w:bCs/>
          <w:color w:val="auto"/>
          <w:szCs w:val="21"/>
          <w:highlight w:val="none"/>
          <w:lang w:val="zh-CN"/>
        </w:rPr>
        <w:t>文件：</w:t>
      </w:r>
    </w:p>
    <w:p w14:paraId="7C45AE73">
      <w:pPr>
        <w:numPr>
          <w:ilvl w:val="0"/>
          <w:numId w:val="20"/>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投</w:t>
      </w:r>
      <w:r>
        <w:rPr>
          <w:rFonts w:hint="eastAsia" w:ascii="宋体" w:hAnsi="宋体" w:eastAsia="宋体"/>
          <w:color w:val="auto"/>
          <w:kern w:val="28"/>
          <w:szCs w:val="21"/>
          <w:highlight w:val="none"/>
        </w:rPr>
        <w:t>标函（附中标服务费支付承诺书）；</w:t>
      </w:r>
      <w:r>
        <w:rPr>
          <w:rFonts w:hint="eastAsia" w:ascii="宋体" w:hAnsi="宋体" w:eastAsia="宋体"/>
          <w:color w:val="auto"/>
          <w:kern w:val="28"/>
          <w:szCs w:val="21"/>
          <w:highlight w:val="none"/>
          <w:lang w:val="zh-CN"/>
        </w:rPr>
        <w:t xml:space="preserve"> </w:t>
      </w:r>
    </w:p>
    <w:p w14:paraId="06F0D523">
      <w:pPr>
        <w:numPr>
          <w:ilvl w:val="0"/>
          <w:numId w:val="20"/>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授权委托书或法定代表人（单位负责人、自然人本人）身份证明；</w:t>
      </w:r>
    </w:p>
    <w:p w14:paraId="62C9C74D">
      <w:pPr>
        <w:numPr>
          <w:ilvl w:val="0"/>
          <w:numId w:val="20"/>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分包意向协议</w:t>
      </w:r>
      <w:r>
        <w:rPr>
          <w:rFonts w:hint="eastAsia" w:ascii="宋体" w:hAnsi="宋体" w:eastAsia="宋体"/>
          <w:color w:val="auto"/>
          <w:kern w:val="28"/>
          <w:szCs w:val="21"/>
          <w:highlight w:val="none"/>
        </w:rPr>
        <w:t>（如有）</w:t>
      </w:r>
      <w:r>
        <w:rPr>
          <w:rFonts w:hint="eastAsia" w:ascii="宋体" w:hAnsi="宋体" w:eastAsia="宋体"/>
          <w:color w:val="auto"/>
          <w:szCs w:val="21"/>
          <w:highlight w:val="none"/>
        </w:rPr>
        <w:t>；</w:t>
      </w:r>
    </w:p>
    <w:p w14:paraId="273A2BB1">
      <w:pPr>
        <w:numPr>
          <w:ilvl w:val="0"/>
          <w:numId w:val="20"/>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符合性审查资料；</w:t>
      </w:r>
    </w:p>
    <w:p w14:paraId="6ED8716A">
      <w:pPr>
        <w:numPr>
          <w:ilvl w:val="0"/>
          <w:numId w:val="20"/>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投标标的清单；</w:t>
      </w:r>
    </w:p>
    <w:p w14:paraId="7F01E5A4">
      <w:pPr>
        <w:numPr>
          <w:ilvl w:val="0"/>
          <w:numId w:val="20"/>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评标标准相应的商务技术资料；</w:t>
      </w:r>
    </w:p>
    <w:p w14:paraId="3AE2985F">
      <w:pPr>
        <w:numPr>
          <w:ilvl w:val="0"/>
          <w:numId w:val="20"/>
        </w:numPr>
        <w:snapToGrid w:val="0"/>
        <w:spacing w:line="360" w:lineRule="auto"/>
        <w:jc w:val="left"/>
        <w:rPr>
          <w:rFonts w:hint="eastAsia" w:ascii="宋体" w:hAnsi="宋体" w:eastAsia="宋体"/>
          <w:color w:val="auto"/>
          <w:szCs w:val="21"/>
          <w:highlight w:val="none"/>
          <w:lang w:val="zh-CN"/>
        </w:rPr>
      </w:pPr>
      <w:r>
        <w:rPr>
          <w:rFonts w:hint="eastAsia" w:ascii="宋体" w:hAnsi="宋体" w:eastAsia="宋体"/>
          <w:color w:val="auto"/>
          <w:szCs w:val="21"/>
          <w:highlight w:val="none"/>
          <w:lang w:val="zh-CN"/>
        </w:rPr>
        <w:t>政府采购供应商廉洁自律承诺书；</w:t>
      </w:r>
    </w:p>
    <w:p w14:paraId="06A58F14">
      <w:pPr>
        <w:numPr>
          <w:ilvl w:val="0"/>
          <w:numId w:val="20"/>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供应商声明（附录2）；</w:t>
      </w:r>
    </w:p>
    <w:p w14:paraId="02205601">
      <w:pPr>
        <w:numPr>
          <w:ilvl w:val="0"/>
          <w:numId w:val="20"/>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其他供应商认为需要提供的材料或采购文件需要供应商提供的材料、说明</w:t>
      </w:r>
      <w:r>
        <w:rPr>
          <w:rFonts w:hint="eastAsia" w:ascii="宋体" w:hAnsi="宋体" w:eastAsia="宋体"/>
          <w:color w:val="auto"/>
          <w:szCs w:val="21"/>
          <w:highlight w:val="none"/>
          <w:lang w:val="zh-CN"/>
        </w:rPr>
        <w:t>。</w:t>
      </w:r>
    </w:p>
    <w:p w14:paraId="37A87CD2">
      <w:pPr>
        <w:numPr>
          <w:ilvl w:val="0"/>
          <w:numId w:val="18"/>
        </w:numPr>
        <w:snapToGrid w:val="0"/>
        <w:spacing w:line="360" w:lineRule="auto"/>
        <w:jc w:val="left"/>
        <w:rPr>
          <w:rFonts w:hint="eastAsia" w:ascii="宋体" w:hAnsi="宋体" w:eastAsia="宋体"/>
          <w:b/>
          <w:bCs/>
          <w:color w:val="auto"/>
          <w:szCs w:val="21"/>
          <w:highlight w:val="none"/>
        </w:rPr>
      </w:pPr>
      <w:r>
        <w:rPr>
          <w:rFonts w:hint="eastAsia" w:ascii="宋体" w:hAnsi="宋体" w:eastAsia="宋体"/>
          <w:b/>
          <w:bCs/>
          <w:color w:val="auto"/>
          <w:szCs w:val="21"/>
          <w:highlight w:val="none"/>
        </w:rPr>
        <w:t xml:space="preserve">报价文件： </w:t>
      </w:r>
    </w:p>
    <w:p w14:paraId="0FC1633B">
      <w:pPr>
        <w:numPr>
          <w:ilvl w:val="0"/>
          <w:numId w:val="21"/>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开标一览表（报价表）；</w:t>
      </w:r>
    </w:p>
    <w:p w14:paraId="35545C88">
      <w:pPr>
        <w:numPr>
          <w:ilvl w:val="0"/>
          <w:numId w:val="21"/>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中小企业声明函（如有）；</w:t>
      </w:r>
    </w:p>
    <w:p w14:paraId="7FD92411">
      <w:pPr>
        <w:numPr>
          <w:ilvl w:val="0"/>
          <w:numId w:val="21"/>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残疾人福利性单位声明函（如有）；</w:t>
      </w:r>
    </w:p>
    <w:p w14:paraId="6E7D805B">
      <w:pPr>
        <w:numPr>
          <w:ilvl w:val="0"/>
          <w:numId w:val="21"/>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由省级以上监狱管理局、戒毒管理局（含新疆生产建设兵团）出具的属于监狱企业的证明文件（如有）。</w:t>
      </w:r>
    </w:p>
    <w:p w14:paraId="31DFAC2F">
      <w:pPr>
        <w:snapToGrid w:val="0"/>
        <w:spacing w:line="360" w:lineRule="auto"/>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注：</w:t>
      </w:r>
      <w:r>
        <w:rPr>
          <w:rFonts w:hint="eastAsia" w:ascii="宋体" w:hAnsi="宋体"/>
          <w:color w:val="auto"/>
          <w:szCs w:val="21"/>
          <w:highlight w:val="none"/>
          <w:lang w:val="en-US" w:eastAsia="zh-CN"/>
        </w:rPr>
        <w:t>1</w:t>
      </w:r>
      <w:r>
        <w:rPr>
          <w:rFonts w:hint="eastAsia" w:ascii="宋体" w:hAnsi="宋体" w:eastAsia="宋体"/>
          <w:color w:val="auto"/>
          <w:szCs w:val="21"/>
          <w:highlight w:val="none"/>
        </w:rPr>
        <w:t>、上述组成投标文件的各项资料中本采购文件的有规定格式的，应统一按本采购文件的规定格式填写。未提供规定格式的资料，供应商应自行编制，但至少要包含以上要求的内容。</w:t>
      </w:r>
    </w:p>
    <w:p w14:paraId="7760BD69">
      <w:pPr>
        <w:snapToGrid w:val="0"/>
        <w:spacing w:line="360" w:lineRule="auto"/>
        <w:ind w:firstLine="420" w:firstLineChars="200"/>
        <w:jc w:val="left"/>
        <w:rPr>
          <w:rFonts w:hint="eastAsia" w:ascii="宋体" w:hAnsi="宋体" w:eastAsia="宋体"/>
          <w:color w:val="auto"/>
          <w:sz w:val="21"/>
          <w:szCs w:val="21"/>
          <w:highlight w:val="none"/>
          <w:lang w:val="en-US"/>
        </w:rPr>
      </w:pP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、投标文件在提供对投标产品技术条款响应表的应答时，对</w:t>
      </w:r>
      <w:r>
        <w:rPr>
          <w:rFonts w:hint="eastAsia" w:ascii="宋体" w:hAnsi="宋体" w:eastAsia="宋体"/>
          <w:color w:val="auto"/>
          <w:sz w:val="21"/>
          <w:szCs w:val="21"/>
          <w:highlight w:val="none"/>
          <w:lang w:val="en-US"/>
        </w:rPr>
        <w:t>采购</w:t>
      </w:r>
      <w:r>
        <w:rPr>
          <w:rFonts w:hint="eastAsia" w:ascii="宋体" w:hAnsi="宋体" w:eastAsia="宋体"/>
          <w:color w:val="auto"/>
          <w:sz w:val="21"/>
          <w:szCs w:val="21"/>
          <w:highlight w:val="none"/>
        </w:rPr>
        <w:t>文件有技术数值要求的参数，必须以投标货物的具体技术数值据实应答；对于</w:t>
      </w:r>
      <w:r>
        <w:rPr>
          <w:rFonts w:hint="eastAsia" w:ascii="宋体" w:hAnsi="宋体" w:eastAsia="宋体"/>
          <w:color w:val="auto"/>
          <w:sz w:val="21"/>
          <w:szCs w:val="21"/>
          <w:highlight w:val="none"/>
          <w:lang w:val="en-US"/>
        </w:rPr>
        <w:t>采购</w:t>
      </w:r>
      <w:r>
        <w:rPr>
          <w:rFonts w:hint="eastAsia" w:ascii="宋体" w:hAnsi="宋体" w:eastAsia="宋体"/>
          <w:color w:val="auto"/>
          <w:sz w:val="21"/>
          <w:szCs w:val="21"/>
          <w:highlight w:val="none"/>
        </w:rPr>
        <w:t>文件无数值要求的参数的应答，必须作出明确、直接、无导致两种理解可能的应答。</w:t>
      </w:r>
    </w:p>
    <w:p w14:paraId="614D741B">
      <w:pPr>
        <w:pStyle w:val="89"/>
        <w:numPr>
          <w:ilvl w:val="0"/>
          <w:numId w:val="0"/>
        </w:numPr>
        <w:tabs>
          <w:tab w:val="left" w:pos="0"/>
        </w:tabs>
        <w:snapToGrid w:val="0"/>
        <w:spacing w:before="0"/>
        <w:ind w:firstLine="0" w:firstLineChars="0"/>
        <w:jc w:val="left"/>
        <w:outlineLvl w:val="0"/>
        <w:rPr>
          <w:rFonts w:hint="eastAsia" w:ascii="宋体" w:hAnsi="宋体" w:eastAsia="宋体"/>
          <w:b/>
          <w:bCs/>
          <w:color w:val="auto"/>
          <w:kern w:val="2"/>
          <w:sz w:val="21"/>
          <w:szCs w:val="21"/>
          <w:highlight w:val="none"/>
          <w:lang w:val="en-US" w:eastAsia="zh-CN" w:bidi="ar-SA"/>
        </w:rPr>
      </w:pPr>
      <w:bookmarkStart w:id="53" w:name="_Toc7004"/>
      <w:bookmarkEnd w:id="53"/>
      <w:bookmarkStart w:id="54" w:name="_Toc28380"/>
      <w:r>
        <w:rPr>
          <w:rFonts w:hint="eastAsia" w:ascii="宋体" w:hAnsi="宋体" w:eastAsia="宋体"/>
          <w:b/>
          <w:bCs/>
          <w:color w:val="auto"/>
          <w:kern w:val="2"/>
          <w:sz w:val="21"/>
          <w:szCs w:val="21"/>
          <w:highlight w:val="none"/>
          <w:lang w:val="en-US" w:eastAsia="zh-CN" w:bidi="ar-SA"/>
        </w:rPr>
        <w:t>12、</w:t>
      </w:r>
      <w:r>
        <w:rPr>
          <w:rFonts w:hint="eastAsia" w:ascii="宋体" w:hAnsi="宋体" w:eastAsia="宋体"/>
          <w:b/>
          <w:color w:val="auto"/>
          <w:sz w:val="21"/>
          <w:szCs w:val="21"/>
          <w:highlight w:val="none"/>
        </w:rPr>
        <w:t>投标文件的编制</w:t>
      </w:r>
      <w:bookmarkEnd w:id="54"/>
    </w:p>
    <w:p w14:paraId="1AC70741">
      <w:pPr>
        <w:numPr>
          <w:ilvl w:val="0"/>
          <w:numId w:val="22"/>
        </w:numPr>
        <w:snapToGrid w:val="0"/>
        <w:spacing w:line="360" w:lineRule="auto"/>
        <w:jc w:val="left"/>
        <w:rPr>
          <w:rFonts w:hint="eastAsia" w:ascii="宋体" w:hAnsi="宋体" w:eastAsia="宋体"/>
          <w:color w:val="auto"/>
          <w:kern w:val="0"/>
          <w:szCs w:val="21"/>
          <w:highlight w:val="none"/>
          <w:lang w:val="zh-CN"/>
        </w:rPr>
      </w:pPr>
      <w:r>
        <w:rPr>
          <w:rFonts w:hint="eastAsia" w:ascii="宋体" w:hAnsi="宋体" w:eastAsia="宋体"/>
          <w:color w:val="auto"/>
          <w:kern w:val="0"/>
          <w:szCs w:val="21"/>
          <w:highlight w:val="none"/>
          <w:lang w:val="zh-CN"/>
        </w:rPr>
        <w:t>投标文件分为资格</w:t>
      </w:r>
      <w:r>
        <w:rPr>
          <w:rFonts w:hint="eastAsia" w:ascii="宋体" w:hAnsi="宋体" w:eastAsia="宋体"/>
          <w:color w:val="auto"/>
          <w:kern w:val="0"/>
          <w:szCs w:val="21"/>
          <w:highlight w:val="none"/>
        </w:rPr>
        <w:t>证明</w:t>
      </w:r>
      <w:r>
        <w:rPr>
          <w:rFonts w:hint="eastAsia" w:ascii="宋体" w:hAnsi="宋体" w:eastAsia="宋体"/>
          <w:color w:val="auto"/>
          <w:kern w:val="0"/>
          <w:szCs w:val="21"/>
          <w:highlight w:val="none"/>
          <w:lang w:val="zh-CN"/>
        </w:rPr>
        <w:t>文件、商务技术文件、报价文件三部分。各供应商在编制投标文件时请按照采购文件第六部分规定的格式进行，混乱的编排导致投标文件被误读或评标委员会查找不到有效文件是供应商的风险。</w:t>
      </w:r>
    </w:p>
    <w:p w14:paraId="2BC06520">
      <w:pPr>
        <w:numPr>
          <w:ilvl w:val="0"/>
          <w:numId w:val="22"/>
        </w:numPr>
        <w:snapToGrid w:val="0"/>
        <w:spacing w:line="360" w:lineRule="auto"/>
        <w:jc w:val="left"/>
        <w:rPr>
          <w:rFonts w:hint="eastAsia" w:ascii="宋体" w:hAnsi="宋体" w:eastAsia="宋体"/>
          <w:color w:val="auto"/>
          <w:kern w:val="0"/>
          <w:szCs w:val="21"/>
          <w:highlight w:val="none"/>
          <w:lang w:val="zh-CN"/>
        </w:rPr>
      </w:pPr>
      <w:r>
        <w:rPr>
          <w:rFonts w:hint="eastAsia" w:ascii="宋体" w:hAnsi="宋体" w:eastAsia="宋体"/>
          <w:color w:val="auto"/>
          <w:kern w:val="0"/>
          <w:szCs w:val="21"/>
          <w:highlight w:val="none"/>
          <w:lang w:val="zh-CN"/>
        </w:rPr>
        <w:t>供应商进行电子投标应安装客户端软件—“乐采云电子交易客户端”，并按照采购文件和电子交易平台的要求编制并加密投标文件。供应商未按规定加密的投标文件，电子交易平台将拒收并提示。</w:t>
      </w:r>
    </w:p>
    <w:p w14:paraId="520FAF9A">
      <w:pPr>
        <w:numPr>
          <w:ilvl w:val="0"/>
          <w:numId w:val="22"/>
        </w:numPr>
        <w:snapToGrid w:val="0"/>
        <w:spacing w:line="360" w:lineRule="auto"/>
        <w:jc w:val="left"/>
        <w:rPr>
          <w:rFonts w:hint="eastAsia" w:ascii="宋体" w:hAnsi="宋体" w:eastAsia="宋体"/>
          <w:color w:val="auto"/>
          <w:kern w:val="0"/>
          <w:szCs w:val="21"/>
          <w:highlight w:val="none"/>
          <w:lang w:val="zh-CN"/>
        </w:rPr>
      </w:pPr>
      <w:r>
        <w:rPr>
          <w:rFonts w:hint="eastAsia" w:ascii="宋体" w:hAnsi="宋体" w:eastAsia="宋体"/>
          <w:color w:val="auto"/>
          <w:kern w:val="0"/>
          <w:szCs w:val="21"/>
          <w:highlight w:val="none"/>
          <w:lang w:val="zh-CN"/>
        </w:rPr>
        <w:t>使用“乐采云电子交易客户端”需要提前申领CA数字证书，申领流程请自行前往“浙江政府采购网-下载专区-电子交易客户端-CA驱动和申领流程”进行查阅。</w:t>
      </w:r>
    </w:p>
    <w:p w14:paraId="744CC03C">
      <w:pPr>
        <w:numPr>
          <w:ilvl w:val="0"/>
          <w:numId w:val="0"/>
        </w:numPr>
        <w:tabs>
          <w:tab w:val="left" w:pos="0"/>
        </w:tabs>
        <w:snapToGrid w:val="0"/>
        <w:spacing w:line="360" w:lineRule="auto"/>
        <w:ind w:firstLine="0" w:firstLineChars="0"/>
        <w:jc w:val="left"/>
        <w:rPr>
          <w:rFonts w:hint="eastAsia" w:ascii="宋体" w:hAnsi="宋体" w:eastAsia="宋体"/>
          <w:b/>
          <w:bCs/>
          <w:color w:val="auto"/>
          <w:kern w:val="2"/>
          <w:sz w:val="21"/>
          <w:szCs w:val="21"/>
          <w:highlight w:val="none"/>
          <w:lang w:val="en-US" w:eastAsia="zh-CN" w:bidi="ar-SA"/>
        </w:rPr>
      </w:pPr>
      <w:r>
        <w:rPr>
          <w:rFonts w:hint="eastAsia" w:ascii="宋体" w:hAnsi="宋体" w:eastAsia="宋体"/>
          <w:b/>
          <w:bCs/>
          <w:color w:val="auto"/>
          <w:kern w:val="2"/>
          <w:sz w:val="21"/>
          <w:szCs w:val="21"/>
          <w:highlight w:val="none"/>
          <w:lang w:val="en-US" w:eastAsia="zh-CN" w:bidi="ar-SA"/>
        </w:rPr>
        <w:t>13、</w:t>
      </w:r>
      <w:r>
        <w:rPr>
          <w:rFonts w:hint="eastAsia" w:ascii="宋体" w:hAnsi="宋体" w:eastAsia="宋体"/>
          <w:b/>
          <w:color w:val="auto"/>
          <w:szCs w:val="21"/>
          <w:highlight w:val="none"/>
        </w:rPr>
        <w:t>投标文件的签署、盖章</w:t>
      </w:r>
    </w:p>
    <w:p w14:paraId="1BD092BA">
      <w:pPr>
        <w:pStyle w:val="89"/>
        <w:numPr>
          <w:ilvl w:val="0"/>
          <w:numId w:val="23"/>
        </w:numPr>
        <w:snapToGrid w:val="0"/>
        <w:spacing w:before="0"/>
        <w:ind w:firstLineChars="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投标文件按照采购文件第六部分格式要求进行签署、盖章。</w:t>
      </w:r>
    </w:p>
    <w:p w14:paraId="1AB73B77">
      <w:pPr>
        <w:pStyle w:val="89"/>
        <w:numPr>
          <w:ilvl w:val="0"/>
          <w:numId w:val="23"/>
        </w:numPr>
        <w:snapToGrid w:val="0"/>
        <w:spacing w:before="0"/>
        <w:ind w:firstLineChars="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为确保网上操作合法、有效和安全，供应商应当在投标截止时间前完成在“</w:t>
      </w:r>
      <w:r>
        <w:rPr>
          <w:rFonts w:hint="eastAsia" w:ascii="宋体" w:hAnsi="宋体"/>
          <w:color w:val="auto"/>
          <w:sz w:val="21"/>
          <w:szCs w:val="21"/>
          <w:highlight w:val="none"/>
          <w:lang w:eastAsia="zh-CN"/>
        </w:rPr>
        <w:t>乐采云平台</w:t>
      </w:r>
      <w:r>
        <w:rPr>
          <w:rFonts w:hint="eastAsia" w:ascii="宋体" w:hAnsi="宋体" w:eastAsia="宋体"/>
          <w:color w:val="auto"/>
          <w:sz w:val="21"/>
          <w:szCs w:val="21"/>
          <w:highlight w:val="none"/>
        </w:rPr>
        <w:t>”的身份认证，确保在电子投标过程中能够对相关数据电文进行加密和使用电子签名。</w:t>
      </w:r>
    </w:p>
    <w:p w14:paraId="606955F1">
      <w:pPr>
        <w:pStyle w:val="89"/>
        <w:numPr>
          <w:ilvl w:val="0"/>
          <w:numId w:val="23"/>
        </w:numPr>
        <w:snapToGrid w:val="0"/>
        <w:spacing w:before="0"/>
        <w:ind w:firstLineChars="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采购文件对投标文件签署、盖章的要求适用于电子签名。</w:t>
      </w:r>
    </w:p>
    <w:p w14:paraId="286B98B3">
      <w:pPr>
        <w:pStyle w:val="89"/>
        <w:numPr>
          <w:ilvl w:val="0"/>
          <w:numId w:val="0"/>
        </w:numPr>
        <w:tabs>
          <w:tab w:val="left" w:pos="0"/>
        </w:tabs>
        <w:snapToGrid w:val="0"/>
        <w:spacing w:before="0"/>
        <w:ind w:firstLine="0" w:firstLineChars="0"/>
        <w:jc w:val="left"/>
        <w:rPr>
          <w:rFonts w:hint="eastAsia" w:ascii="宋体" w:hAnsi="宋体" w:eastAsia="宋体"/>
          <w:b/>
          <w:bCs/>
          <w:color w:val="auto"/>
          <w:kern w:val="2"/>
          <w:sz w:val="21"/>
          <w:szCs w:val="21"/>
          <w:highlight w:val="none"/>
          <w:lang w:val="en-US" w:eastAsia="zh-CN" w:bidi="ar-SA"/>
        </w:rPr>
      </w:pPr>
      <w:r>
        <w:rPr>
          <w:rFonts w:hint="eastAsia" w:ascii="宋体" w:hAnsi="宋体" w:eastAsia="宋体"/>
          <w:b/>
          <w:bCs/>
          <w:color w:val="auto"/>
          <w:kern w:val="2"/>
          <w:sz w:val="21"/>
          <w:szCs w:val="21"/>
          <w:highlight w:val="none"/>
          <w:lang w:val="en-US" w:eastAsia="zh-CN" w:bidi="ar-SA"/>
        </w:rPr>
        <w:t>14、</w:t>
      </w:r>
      <w:r>
        <w:rPr>
          <w:rFonts w:hint="eastAsia" w:ascii="宋体" w:hAnsi="宋体" w:eastAsia="宋体"/>
          <w:b/>
          <w:color w:val="auto"/>
          <w:sz w:val="21"/>
          <w:szCs w:val="21"/>
          <w:highlight w:val="none"/>
        </w:rPr>
        <w:t>投标文件的提交、补充、修改、撤回</w:t>
      </w:r>
    </w:p>
    <w:p w14:paraId="0D913369">
      <w:pPr>
        <w:pStyle w:val="89"/>
        <w:numPr>
          <w:ilvl w:val="0"/>
          <w:numId w:val="24"/>
        </w:numPr>
        <w:snapToGrid w:val="0"/>
        <w:spacing w:before="0"/>
        <w:ind w:firstLineChars="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9D4764C">
      <w:pPr>
        <w:pStyle w:val="89"/>
        <w:numPr>
          <w:ilvl w:val="0"/>
          <w:numId w:val="24"/>
        </w:numPr>
        <w:snapToGrid w:val="0"/>
        <w:spacing w:before="0"/>
        <w:ind w:firstLineChars="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电子交易平台收到投标文件，将妥善保存并即时向供应商发出确认回执通知。在投标截止时间前，除供应商补充、修改或者撤回投标文件外，任何单位和个人不得解密或提取投标文件。</w:t>
      </w:r>
    </w:p>
    <w:p w14:paraId="04F1E820">
      <w:pPr>
        <w:pStyle w:val="89"/>
        <w:numPr>
          <w:ilvl w:val="0"/>
          <w:numId w:val="24"/>
        </w:numPr>
        <w:snapToGrid w:val="0"/>
        <w:spacing w:before="0"/>
        <w:ind w:firstLineChars="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采购人、采购代理机构可以视情况延长投标文件提交的截止时间。在上述情况下，采购代理机构与供应商以前在投标截止期方面的全部权利、责任和义务，将适用于延长至新的投标截止期。</w:t>
      </w:r>
    </w:p>
    <w:p w14:paraId="24ADA0F0">
      <w:pPr>
        <w:pStyle w:val="43"/>
        <w:numPr>
          <w:ilvl w:val="0"/>
          <w:numId w:val="0"/>
        </w:numPr>
        <w:tabs>
          <w:tab w:val="left" w:pos="0"/>
        </w:tabs>
        <w:snapToGrid w:val="0"/>
        <w:spacing w:line="360" w:lineRule="auto"/>
        <w:ind w:firstLine="0" w:firstLineChars="0"/>
        <w:jc w:val="left"/>
        <w:rPr>
          <w:rFonts w:hint="eastAsia" w:ascii="宋体" w:hAnsi="宋体" w:eastAsia="宋体"/>
          <w:b/>
          <w:bCs/>
          <w:color w:val="auto"/>
          <w:kern w:val="0"/>
          <w:sz w:val="21"/>
          <w:szCs w:val="21"/>
          <w:highlight w:val="none"/>
          <w:lang w:val="en-US" w:eastAsia="zh-CN" w:bidi="ar-SA"/>
        </w:rPr>
      </w:pPr>
      <w:r>
        <w:rPr>
          <w:rFonts w:hint="eastAsia" w:ascii="宋体" w:hAnsi="宋体" w:eastAsia="宋体"/>
          <w:b/>
          <w:bCs/>
          <w:color w:val="auto"/>
          <w:kern w:val="0"/>
          <w:sz w:val="21"/>
          <w:szCs w:val="21"/>
          <w:highlight w:val="none"/>
          <w:lang w:val="en-US" w:eastAsia="zh-CN" w:bidi="ar-SA"/>
        </w:rPr>
        <w:t>15、</w:t>
      </w:r>
      <w:r>
        <w:rPr>
          <w:rFonts w:hint="eastAsia" w:ascii="宋体" w:hAnsi="宋体" w:eastAsia="宋体"/>
          <w:b/>
          <w:color w:val="auto"/>
          <w:highlight w:val="none"/>
        </w:rPr>
        <w:t>电子备份投标文件</w:t>
      </w:r>
      <w:r>
        <w:rPr>
          <w:rFonts w:hint="eastAsia" w:ascii="宋体" w:hAnsi="宋体" w:eastAsia="宋体"/>
          <w:b/>
          <w:color w:val="auto"/>
          <w:highlight w:val="none"/>
          <w:lang w:eastAsia="zh-CN"/>
        </w:rPr>
        <w:t>：</w:t>
      </w:r>
      <w:r>
        <w:rPr>
          <w:rFonts w:hint="eastAsia" w:ascii="宋体" w:hAnsi="宋体" w:eastAsia="宋体"/>
          <w:color w:val="auto"/>
          <w:kern w:val="28"/>
          <w:highlight w:val="none"/>
        </w:rPr>
        <w:t>可由供应商自行</w:t>
      </w:r>
      <w:r>
        <w:rPr>
          <w:rFonts w:hint="eastAsia" w:ascii="宋体" w:hAnsi="宋体" w:eastAsia="宋体"/>
          <w:color w:val="auto"/>
          <w:kern w:val="28"/>
          <w:highlight w:val="none"/>
          <w:lang w:val="en-US" w:eastAsia="zh-CN"/>
        </w:rPr>
        <w:t>决定</w:t>
      </w:r>
      <w:r>
        <w:rPr>
          <w:rFonts w:hint="eastAsia" w:ascii="宋体" w:hAnsi="宋体" w:eastAsia="宋体"/>
          <w:color w:val="auto"/>
          <w:kern w:val="28"/>
          <w:highlight w:val="none"/>
        </w:rPr>
        <w:t>是否提交电子备份投标文件，按</w:t>
      </w:r>
      <w:r>
        <w:rPr>
          <w:rFonts w:hint="eastAsia" w:hAnsi="宋体"/>
          <w:color w:val="auto"/>
          <w:kern w:val="28"/>
          <w:highlight w:val="none"/>
          <w:lang w:eastAsia="zh-CN"/>
        </w:rPr>
        <w:t>乐采云平台</w:t>
      </w:r>
      <w:r>
        <w:rPr>
          <w:rFonts w:hint="eastAsia" w:ascii="宋体" w:hAnsi="宋体" w:eastAsia="宋体"/>
          <w:color w:val="auto"/>
          <w:kern w:val="28"/>
          <w:highlight w:val="none"/>
        </w:rPr>
        <w:t>要求制作的电子备份</w:t>
      </w:r>
      <w:r>
        <w:rPr>
          <w:rFonts w:hint="eastAsia" w:ascii="宋体" w:hAnsi="宋体" w:eastAsia="宋体"/>
          <w:color w:val="auto"/>
          <w:kern w:val="28"/>
          <w:highlight w:val="none"/>
          <w:lang w:eastAsia="zh-CN"/>
        </w:rPr>
        <w:t>投标文件</w:t>
      </w:r>
      <w:r>
        <w:rPr>
          <w:rFonts w:hint="eastAsia" w:ascii="宋体" w:hAnsi="宋体" w:eastAsia="宋体"/>
          <w:color w:val="auto"/>
          <w:kern w:val="28"/>
          <w:highlight w:val="none"/>
        </w:rPr>
        <w:t>，以用于异常情况处理。</w:t>
      </w:r>
    </w:p>
    <w:p w14:paraId="5E370027">
      <w:pPr>
        <w:pStyle w:val="89"/>
        <w:numPr>
          <w:ilvl w:val="0"/>
          <w:numId w:val="0"/>
        </w:numPr>
        <w:tabs>
          <w:tab w:val="left" w:pos="0"/>
        </w:tabs>
        <w:snapToGrid w:val="0"/>
        <w:spacing w:before="0"/>
        <w:ind w:firstLine="0" w:firstLineChars="0"/>
        <w:jc w:val="left"/>
        <w:rPr>
          <w:rFonts w:hint="eastAsia" w:ascii="宋体" w:hAnsi="宋体" w:eastAsia="宋体"/>
          <w:b/>
          <w:bCs/>
          <w:color w:val="auto"/>
          <w:kern w:val="2"/>
          <w:sz w:val="21"/>
          <w:szCs w:val="21"/>
          <w:highlight w:val="none"/>
          <w:lang w:val="en-US" w:eastAsia="zh-CN" w:bidi="ar-SA"/>
        </w:rPr>
      </w:pPr>
      <w:r>
        <w:rPr>
          <w:rFonts w:hint="eastAsia" w:ascii="宋体" w:hAnsi="宋体" w:eastAsia="宋体"/>
          <w:b/>
          <w:bCs/>
          <w:color w:val="auto"/>
          <w:kern w:val="2"/>
          <w:sz w:val="21"/>
          <w:szCs w:val="21"/>
          <w:highlight w:val="none"/>
          <w:lang w:val="en-US" w:eastAsia="zh-CN" w:bidi="ar-SA"/>
        </w:rPr>
        <w:t>16、</w:t>
      </w:r>
      <w:r>
        <w:rPr>
          <w:rFonts w:hint="eastAsia" w:ascii="宋体" w:hAnsi="宋体" w:eastAsia="宋体"/>
          <w:b/>
          <w:color w:val="auto"/>
          <w:sz w:val="21"/>
          <w:szCs w:val="21"/>
          <w:highlight w:val="none"/>
        </w:rPr>
        <w:t>投标文件的无效处理</w:t>
      </w:r>
    </w:p>
    <w:p w14:paraId="6D0F458F">
      <w:pPr>
        <w:pStyle w:val="39"/>
        <w:snapToGrid w:val="0"/>
        <w:spacing w:line="360" w:lineRule="auto"/>
        <w:ind w:firstLine="42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有采购文件第四部分 评标办法第4.2款规定的情形之一的，投标无效。</w:t>
      </w:r>
    </w:p>
    <w:p w14:paraId="5A9B82F9">
      <w:pPr>
        <w:pStyle w:val="89"/>
        <w:numPr>
          <w:ilvl w:val="0"/>
          <w:numId w:val="0"/>
        </w:numPr>
        <w:tabs>
          <w:tab w:val="left" w:pos="0"/>
        </w:tabs>
        <w:snapToGrid w:val="0"/>
        <w:spacing w:before="0"/>
        <w:ind w:firstLine="0" w:firstLineChars="0"/>
        <w:jc w:val="left"/>
        <w:rPr>
          <w:rFonts w:hint="eastAsia" w:ascii="宋体" w:hAnsi="宋体" w:eastAsia="宋体"/>
          <w:b/>
          <w:bCs/>
          <w:color w:val="auto"/>
          <w:kern w:val="2"/>
          <w:sz w:val="21"/>
          <w:szCs w:val="21"/>
          <w:highlight w:val="none"/>
          <w:lang w:val="en-US" w:eastAsia="zh-CN" w:bidi="ar-SA"/>
        </w:rPr>
      </w:pPr>
      <w:r>
        <w:rPr>
          <w:rFonts w:hint="eastAsia" w:ascii="宋体" w:hAnsi="宋体" w:eastAsia="宋体"/>
          <w:b/>
          <w:bCs/>
          <w:color w:val="auto"/>
          <w:kern w:val="2"/>
          <w:sz w:val="21"/>
          <w:szCs w:val="21"/>
          <w:highlight w:val="none"/>
          <w:lang w:val="en-US" w:eastAsia="zh-CN" w:bidi="ar-SA"/>
        </w:rPr>
        <w:t>17、</w:t>
      </w:r>
      <w:r>
        <w:rPr>
          <w:rFonts w:hint="eastAsia" w:ascii="宋体" w:hAnsi="宋体" w:eastAsia="宋体"/>
          <w:b/>
          <w:color w:val="auto"/>
          <w:sz w:val="21"/>
          <w:szCs w:val="21"/>
          <w:highlight w:val="none"/>
        </w:rPr>
        <w:t>投标有效期</w:t>
      </w:r>
    </w:p>
    <w:p w14:paraId="5918A38F">
      <w:pPr>
        <w:numPr>
          <w:ilvl w:val="0"/>
          <w:numId w:val="25"/>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投标有效期为从提交投标文件的截止之日起90天。</w:t>
      </w:r>
    </w:p>
    <w:p w14:paraId="72D11A9E">
      <w:pPr>
        <w:numPr>
          <w:ilvl w:val="0"/>
          <w:numId w:val="25"/>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投标文件合格投递后，自投标截止日期起，在投标有效期内有效。</w:t>
      </w:r>
    </w:p>
    <w:p w14:paraId="7AE31DDD">
      <w:pPr>
        <w:numPr>
          <w:ilvl w:val="0"/>
          <w:numId w:val="25"/>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在原定投标有效期满之前，如果出现特殊情况，采购代理机构可以以书面形式通知供应商延长投标有效期。供应商同意延长的，不得要求或被允许修改其投标文件，供应商拒绝延长的，其投标无效。</w:t>
      </w:r>
    </w:p>
    <w:p w14:paraId="6CE45701">
      <w:pPr>
        <w:snapToGrid w:val="0"/>
        <w:spacing w:line="360" w:lineRule="auto"/>
        <w:jc w:val="left"/>
        <w:outlineLvl w:val="0"/>
        <w:rPr>
          <w:rFonts w:hint="eastAsia" w:ascii="宋体" w:hAnsi="宋体" w:eastAsia="宋体"/>
          <w:b/>
          <w:color w:val="auto"/>
          <w:szCs w:val="21"/>
          <w:highlight w:val="none"/>
        </w:rPr>
      </w:pPr>
    </w:p>
    <w:p w14:paraId="783A95F5">
      <w:pPr>
        <w:numPr>
          <w:ilvl w:val="0"/>
          <w:numId w:val="3"/>
        </w:numPr>
        <w:snapToGrid w:val="0"/>
        <w:spacing w:before="120" w:line="360" w:lineRule="auto"/>
        <w:ind w:firstLine="0"/>
        <w:jc w:val="left"/>
        <w:outlineLvl w:val="0"/>
        <w:rPr>
          <w:rFonts w:hint="eastAsia" w:ascii="宋体" w:hAnsi="宋体" w:eastAsia="宋体"/>
          <w:b/>
          <w:color w:val="auto"/>
          <w:szCs w:val="21"/>
          <w:highlight w:val="none"/>
        </w:rPr>
      </w:pPr>
      <w:bookmarkStart w:id="55" w:name="_Toc27800"/>
      <w:r>
        <w:rPr>
          <w:rFonts w:hint="eastAsia" w:ascii="宋体" w:hAnsi="宋体" w:eastAsia="宋体"/>
          <w:b/>
          <w:color w:val="auto"/>
          <w:szCs w:val="21"/>
          <w:highlight w:val="none"/>
        </w:rPr>
        <w:t>开标、资格审查与信用信息查询</w:t>
      </w:r>
      <w:bookmarkEnd w:id="55"/>
    </w:p>
    <w:p w14:paraId="7E795580">
      <w:pPr>
        <w:pStyle w:val="166"/>
        <w:numPr>
          <w:ilvl w:val="0"/>
          <w:numId w:val="0"/>
        </w:numPr>
        <w:tabs>
          <w:tab w:val="left" w:pos="0"/>
        </w:tabs>
        <w:snapToGrid w:val="0"/>
        <w:spacing w:before="0" w:line="360" w:lineRule="auto"/>
        <w:ind w:left="0" w:leftChars="0" w:firstLine="0" w:firstLineChars="0"/>
        <w:jc w:val="left"/>
        <w:rPr>
          <w:rFonts w:hint="eastAsia" w:ascii="宋体" w:hAnsi="宋体" w:eastAsia="宋体"/>
          <w:b/>
          <w:bCs/>
          <w:color w:val="auto"/>
          <w:sz w:val="21"/>
          <w:szCs w:val="21"/>
          <w:highlight w:val="none"/>
          <w:lang w:val="en-US" w:eastAsia="zh-CN" w:bidi="ar-SA"/>
        </w:rPr>
      </w:pPr>
      <w:r>
        <w:rPr>
          <w:rFonts w:hint="eastAsia" w:ascii="宋体" w:hAnsi="宋体" w:eastAsia="宋体"/>
          <w:b/>
          <w:bCs/>
          <w:color w:val="auto"/>
          <w:sz w:val="21"/>
          <w:szCs w:val="21"/>
          <w:highlight w:val="none"/>
          <w:lang w:val="en-US" w:eastAsia="zh-CN" w:bidi="ar-SA"/>
        </w:rPr>
        <w:t>18、</w:t>
      </w:r>
      <w:r>
        <w:rPr>
          <w:rFonts w:hint="eastAsia" w:ascii="宋体" w:hAnsi="宋体" w:eastAsia="宋体"/>
          <w:b/>
          <w:color w:val="auto"/>
          <w:sz w:val="21"/>
          <w:szCs w:val="21"/>
          <w:highlight w:val="none"/>
        </w:rPr>
        <w:t xml:space="preserve">开标 </w:t>
      </w:r>
    </w:p>
    <w:p w14:paraId="33AF3BAB">
      <w:pPr>
        <w:pStyle w:val="166"/>
        <w:numPr>
          <w:ilvl w:val="0"/>
          <w:numId w:val="26"/>
        </w:numPr>
        <w:snapToGrid w:val="0"/>
        <w:spacing w:before="0" w:line="360" w:lineRule="auto"/>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采购代理机构按照采购文件规定的时间通过电子交易平台组织开标，所有供应商均应当准时在线参加。供应商不足3家的，不得开标。</w:t>
      </w:r>
    </w:p>
    <w:p w14:paraId="3BB7E2FD">
      <w:pPr>
        <w:pStyle w:val="166"/>
        <w:numPr>
          <w:ilvl w:val="0"/>
          <w:numId w:val="26"/>
        </w:numPr>
        <w:snapToGrid w:val="0"/>
        <w:spacing w:before="0" w:line="360" w:lineRule="auto"/>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开标时，电子交易平台按开标时间自动提取所有投标文件。采购代理机构依托电子交易平台发起开始解密指令，供应商按照平台提示和采购文件的规定时间完成在线解密。</w:t>
      </w:r>
    </w:p>
    <w:p w14:paraId="66BADEA3">
      <w:pPr>
        <w:pStyle w:val="166"/>
        <w:numPr>
          <w:ilvl w:val="0"/>
          <w:numId w:val="26"/>
        </w:numPr>
        <w:snapToGrid w:val="0"/>
        <w:spacing w:before="0" w:line="360" w:lineRule="auto"/>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在</w:t>
      </w:r>
      <w:r>
        <w:rPr>
          <w:rFonts w:hint="eastAsia" w:ascii="宋体" w:hAnsi="宋体"/>
          <w:color w:val="auto"/>
          <w:sz w:val="21"/>
          <w:szCs w:val="21"/>
          <w:highlight w:val="none"/>
          <w:lang w:eastAsia="zh-CN"/>
        </w:rPr>
        <w:t>乐采云平台</w:t>
      </w:r>
      <w:r>
        <w:rPr>
          <w:rFonts w:hint="eastAsia" w:ascii="宋体" w:hAnsi="宋体" w:eastAsia="宋体"/>
          <w:color w:val="auto"/>
          <w:sz w:val="21"/>
          <w:szCs w:val="21"/>
          <w:highlight w:val="none"/>
        </w:rPr>
        <w:t>开启已解密供应商的所有投标文件，公布供应商名称、投标内容、投标报价等以及采购代理机构认为合适的其他内容，供应商须在</w:t>
      </w:r>
      <w:r>
        <w:rPr>
          <w:rFonts w:hint="eastAsia" w:ascii="宋体" w:hAnsi="宋体"/>
          <w:color w:val="auto"/>
          <w:sz w:val="21"/>
          <w:szCs w:val="21"/>
          <w:highlight w:val="none"/>
          <w:lang w:eastAsia="zh-CN"/>
        </w:rPr>
        <w:t>乐采云平台</w:t>
      </w:r>
      <w:r>
        <w:rPr>
          <w:rFonts w:hint="eastAsia" w:ascii="宋体" w:hAnsi="宋体" w:eastAsia="宋体"/>
          <w:color w:val="auto"/>
          <w:sz w:val="21"/>
          <w:szCs w:val="21"/>
          <w:highlight w:val="none"/>
        </w:rPr>
        <w:t>的“开标记录”模块中进行在线签字确认。</w:t>
      </w:r>
    </w:p>
    <w:p w14:paraId="23AB51FD">
      <w:pPr>
        <w:numPr>
          <w:ilvl w:val="0"/>
          <w:numId w:val="0"/>
        </w:numPr>
        <w:tabs>
          <w:tab w:val="left" w:pos="0"/>
        </w:tabs>
        <w:snapToGrid w:val="0"/>
        <w:spacing w:line="360" w:lineRule="auto"/>
        <w:ind w:firstLine="0" w:firstLineChars="0"/>
        <w:jc w:val="left"/>
        <w:rPr>
          <w:rFonts w:hint="eastAsia" w:ascii="宋体" w:hAnsi="宋体" w:eastAsia="宋体"/>
          <w:b/>
          <w:bCs/>
          <w:color w:val="auto"/>
          <w:kern w:val="2"/>
          <w:sz w:val="21"/>
          <w:szCs w:val="21"/>
          <w:highlight w:val="none"/>
          <w:lang w:val="en-US" w:eastAsia="zh-CN" w:bidi="ar-SA"/>
        </w:rPr>
      </w:pPr>
      <w:r>
        <w:rPr>
          <w:rFonts w:hint="eastAsia" w:ascii="宋体" w:hAnsi="宋体" w:eastAsia="宋体"/>
          <w:b/>
          <w:bCs/>
          <w:color w:val="auto"/>
          <w:kern w:val="2"/>
          <w:sz w:val="21"/>
          <w:szCs w:val="21"/>
          <w:highlight w:val="none"/>
          <w:lang w:val="en-US" w:eastAsia="zh-CN" w:bidi="ar-SA"/>
        </w:rPr>
        <w:t>19、</w:t>
      </w:r>
      <w:r>
        <w:rPr>
          <w:rFonts w:hint="eastAsia" w:ascii="宋体" w:hAnsi="宋体" w:eastAsia="宋体"/>
          <w:b/>
          <w:color w:val="auto"/>
          <w:szCs w:val="21"/>
          <w:highlight w:val="none"/>
        </w:rPr>
        <w:t>资格审查</w:t>
      </w:r>
    </w:p>
    <w:p w14:paraId="58A704E4">
      <w:pPr>
        <w:numPr>
          <w:ilvl w:val="0"/>
          <w:numId w:val="27"/>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采购人或采购代理机构依据法律法规和采购文件的规定，对供应商的资格进行审查。</w:t>
      </w:r>
    </w:p>
    <w:p w14:paraId="4F8039D7">
      <w:pPr>
        <w:numPr>
          <w:ilvl w:val="0"/>
          <w:numId w:val="27"/>
        </w:numPr>
        <w:snapToGrid w:val="0"/>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供应商未按照采购文件要求提供与</w:t>
      </w:r>
      <w:r>
        <w:rPr>
          <w:rFonts w:hint="eastAsia" w:ascii="宋体" w:hAnsi="宋体" w:eastAsia="宋体"/>
          <w:color w:val="auto"/>
          <w:szCs w:val="21"/>
          <w:highlight w:val="none"/>
        </w:rPr>
        <w:t>资格条件相应的</w:t>
      </w:r>
      <w:r>
        <w:rPr>
          <w:rFonts w:hint="eastAsia" w:ascii="宋体" w:hAnsi="宋体" w:eastAsia="宋体"/>
          <w:color w:val="auto"/>
          <w:kern w:val="0"/>
          <w:szCs w:val="21"/>
          <w:highlight w:val="none"/>
        </w:rPr>
        <w:t>有效资格证明材料的，视为</w:t>
      </w:r>
      <w:r>
        <w:rPr>
          <w:rFonts w:hint="eastAsia" w:ascii="宋体" w:hAnsi="宋体" w:eastAsia="宋体"/>
          <w:color w:val="auto"/>
          <w:szCs w:val="21"/>
          <w:highlight w:val="none"/>
        </w:rPr>
        <w:t>供应商不具备采购文件中规定的资格要求，其投标无效。</w:t>
      </w:r>
    </w:p>
    <w:p w14:paraId="51600EE0">
      <w:pPr>
        <w:numPr>
          <w:ilvl w:val="0"/>
          <w:numId w:val="27"/>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对未通过资格审查的供应商，采购人或采购代理机构告知其未通过的原因。</w:t>
      </w:r>
    </w:p>
    <w:p w14:paraId="09FB5F02">
      <w:pPr>
        <w:numPr>
          <w:ilvl w:val="0"/>
          <w:numId w:val="27"/>
        </w:numPr>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合格供应商不足3家的，不再评标。</w:t>
      </w:r>
    </w:p>
    <w:p w14:paraId="75F36BCB">
      <w:pPr>
        <w:pStyle w:val="89"/>
        <w:numPr>
          <w:ilvl w:val="0"/>
          <w:numId w:val="0"/>
        </w:numPr>
        <w:tabs>
          <w:tab w:val="left" w:pos="0"/>
        </w:tabs>
        <w:snapToGrid w:val="0"/>
        <w:spacing w:before="0"/>
        <w:ind w:firstLine="0" w:firstLineChars="0"/>
        <w:jc w:val="left"/>
        <w:rPr>
          <w:rFonts w:hint="eastAsia" w:ascii="宋体" w:hAnsi="宋体" w:eastAsia="宋体"/>
          <w:b/>
          <w:bCs/>
          <w:color w:val="auto"/>
          <w:kern w:val="2"/>
          <w:sz w:val="21"/>
          <w:szCs w:val="21"/>
          <w:highlight w:val="none"/>
          <w:lang w:val="en-US" w:eastAsia="zh-CN" w:bidi="ar-SA"/>
        </w:rPr>
      </w:pPr>
      <w:r>
        <w:rPr>
          <w:rFonts w:hint="eastAsia" w:ascii="宋体" w:hAnsi="宋体" w:eastAsia="宋体"/>
          <w:b/>
          <w:bCs/>
          <w:color w:val="auto"/>
          <w:kern w:val="2"/>
          <w:sz w:val="21"/>
          <w:szCs w:val="21"/>
          <w:highlight w:val="none"/>
          <w:lang w:val="en-US" w:eastAsia="zh-CN" w:bidi="ar-SA"/>
        </w:rPr>
        <w:t>20、</w:t>
      </w:r>
      <w:r>
        <w:rPr>
          <w:rFonts w:hint="eastAsia" w:ascii="宋体" w:hAnsi="宋体" w:eastAsia="宋体"/>
          <w:b/>
          <w:color w:val="auto"/>
          <w:sz w:val="21"/>
          <w:szCs w:val="21"/>
          <w:highlight w:val="none"/>
        </w:rPr>
        <w:t>信用信息查询</w:t>
      </w:r>
    </w:p>
    <w:p w14:paraId="6EA36B4F">
      <w:pPr>
        <w:pStyle w:val="89"/>
        <w:numPr>
          <w:ilvl w:val="0"/>
          <w:numId w:val="28"/>
        </w:numPr>
        <w:snapToGrid w:val="0"/>
        <w:spacing w:before="0"/>
        <w:ind w:firstLineChars="0"/>
        <w:jc w:val="left"/>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信用信息查询渠道及截止时间：采购代理机构将在资格审查时通过“信用中国”网站（www.creditchina.gov.cn）、中国政府采购网（www.ccgp.gov.cn）渠道查询供应商接受资格审查时的信用记录。</w:t>
      </w:r>
    </w:p>
    <w:p w14:paraId="3AE6DD20">
      <w:pPr>
        <w:pStyle w:val="89"/>
        <w:numPr>
          <w:ilvl w:val="0"/>
          <w:numId w:val="28"/>
        </w:numPr>
        <w:snapToGrid w:val="0"/>
        <w:spacing w:before="0"/>
        <w:ind w:firstLineChars="0"/>
        <w:jc w:val="left"/>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信用信息查询记录和证据留存的具体方式：现场查询供应商的信用记录、查询结果经确认后将与采购文件一起存档。</w:t>
      </w:r>
    </w:p>
    <w:p w14:paraId="0042458E">
      <w:pPr>
        <w:pStyle w:val="89"/>
        <w:numPr>
          <w:ilvl w:val="0"/>
          <w:numId w:val="28"/>
        </w:numPr>
        <w:snapToGrid w:val="0"/>
        <w:spacing w:before="0"/>
        <w:ind w:firstLineChars="0"/>
        <w:jc w:val="left"/>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信用信息的使用规则：经查询列入失信被执行人名单、重大税收违法失信主体、政府采购严重违法失信行为记录名单的供应商将被拒绝参与政府采购活动。</w:t>
      </w:r>
    </w:p>
    <w:p w14:paraId="29A91784">
      <w:pPr>
        <w:pStyle w:val="89"/>
        <w:numPr>
          <w:ilvl w:val="0"/>
          <w:numId w:val="28"/>
        </w:numPr>
        <w:snapToGrid w:val="0"/>
        <w:spacing w:before="0"/>
        <w:ind w:firstLineChars="0"/>
        <w:jc w:val="left"/>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21408F9">
      <w:pPr>
        <w:snapToGrid w:val="0"/>
        <w:spacing w:line="360" w:lineRule="auto"/>
        <w:jc w:val="left"/>
        <w:outlineLvl w:val="0"/>
        <w:rPr>
          <w:rFonts w:hint="eastAsia" w:ascii="宋体" w:hAnsi="宋体" w:eastAsia="宋体"/>
          <w:b/>
          <w:color w:val="auto"/>
          <w:szCs w:val="21"/>
          <w:highlight w:val="none"/>
        </w:rPr>
      </w:pPr>
      <w:bookmarkStart w:id="56" w:name="_Toc3764"/>
    </w:p>
    <w:bookmarkEnd w:id="56"/>
    <w:p w14:paraId="2487BCFE">
      <w:pPr>
        <w:numPr>
          <w:ilvl w:val="0"/>
          <w:numId w:val="3"/>
        </w:numPr>
        <w:snapToGrid w:val="0"/>
        <w:spacing w:before="120" w:line="360" w:lineRule="auto"/>
        <w:ind w:firstLine="0"/>
        <w:jc w:val="left"/>
        <w:outlineLvl w:val="0"/>
        <w:rPr>
          <w:rFonts w:hint="eastAsia" w:ascii="宋体" w:hAnsi="宋体" w:eastAsia="宋体"/>
          <w:b/>
          <w:color w:val="auto"/>
          <w:szCs w:val="21"/>
          <w:highlight w:val="none"/>
        </w:rPr>
      </w:pPr>
      <w:bookmarkStart w:id="57" w:name="_Toc31915"/>
      <w:r>
        <w:rPr>
          <w:rFonts w:hint="eastAsia" w:ascii="宋体" w:hAnsi="宋体" w:eastAsia="宋体"/>
          <w:b/>
          <w:color w:val="auto"/>
          <w:szCs w:val="21"/>
          <w:highlight w:val="none"/>
        </w:rPr>
        <w:t>评标</w:t>
      </w:r>
      <w:bookmarkEnd w:id="57"/>
    </w:p>
    <w:p w14:paraId="2565C389">
      <w:pPr>
        <w:numPr>
          <w:ilvl w:val="0"/>
          <w:numId w:val="0"/>
        </w:numPr>
        <w:tabs>
          <w:tab w:val="left" w:pos="0"/>
        </w:tabs>
        <w:snapToGrid w:val="0"/>
        <w:spacing w:line="360" w:lineRule="auto"/>
        <w:ind w:firstLine="0" w:firstLineChars="0"/>
        <w:jc w:val="left"/>
        <w:rPr>
          <w:rFonts w:hint="eastAsia" w:ascii="宋体" w:hAnsi="宋体" w:eastAsia="宋体"/>
          <w:b/>
          <w:bCs/>
          <w:color w:val="auto"/>
          <w:kern w:val="2"/>
          <w:sz w:val="21"/>
          <w:szCs w:val="21"/>
          <w:highlight w:val="none"/>
          <w:lang w:val="en-US" w:eastAsia="zh-CN" w:bidi="ar-SA"/>
        </w:rPr>
      </w:pPr>
      <w:r>
        <w:rPr>
          <w:rFonts w:hint="eastAsia" w:ascii="宋体" w:hAnsi="宋体" w:eastAsia="宋体"/>
          <w:b/>
          <w:bCs/>
          <w:color w:val="auto"/>
          <w:kern w:val="2"/>
          <w:sz w:val="21"/>
          <w:szCs w:val="21"/>
          <w:highlight w:val="none"/>
          <w:lang w:val="en-US" w:eastAsia="zh-CN" w:bidi="ar-SA"/>
        </w:rPr>
        <w:t>21、</w:t>
      </w:r>
      <w:r>
        <w:rPr>
          <w:rFonts w:hint="eastAsia" w:ascii="宋体" w:hAnsi="宋体" w:eastAsia="宋体"/>
          <w:bCs/>
          <w:color w:val="auto"/>
          <w:szCs w:val="21"/>
          <w:highlight w:val="none"/>
        </w:rPr>
        <w:t>评标委员会将根据采购文件和有关规定，履行评标工作职责，并按照评标方法及评分标准，全面衡量各供应商对采购文件的响应情况。对实质上响应采购文件的供应商，按照评审因素的量化指标排出推荐中标的供应商的先后顺序，并按顺序提出授标建议。详见采购文件第四部分 评标办法。</w:t>
      </w:r>
    </w:p>
    <w:p w14:paraId="2AF9C6AB">
      <w:pPr>
        <w:snapToGrid w:val="0"/>
        <w:spacing w:line="360" w:lineRule="auto"/>
        <w:jc w:val="left"/>
        <w:outlineLvl w:val="0"/>
        <w:rPr>
          <w:rFonts w:hint="eastAsia" w:ascii="宋体" w:hAnsi="宋体" w:eastAsia="宋体"/>
          <w:b/>
          <w:color w:val="auto"/>
          <w:szCs w:val="21"/>
          <w:highlight w:val="none"/>
        </w:rPr>
      </w:pPr>
      <w:bookmarkStart w:id="58" w:name="_Toc27395"/>
    </w:p>
    <w:bookmarkEnd w:id="58"/>
    <w:p w14:paraId="78574A9F">
      <w:pPr>
        <w:numPr>
          <w:ilvl w:val="0"/>
          <w:numId w:val="3"/>
        </w:numPr>
        <w:snapToGrid w:val="0"/>
        <w:spacing w:before="120" w:line="360" w:lineRule="auto"/>
        <w:ind w:firstLine="0"/>
        <w:jc w:val="left"/>
        <w:outlineLvl w:val="0"/>
        <w:rPr>
          <w:rFonts w:hint="eastAsia" w:ascii="宋体" w:hAnsi="宋体" w:eastAsia="宋体"/>
          <w:b/>
          <w:color w:val="auto"/>
          <w:szCs w:val="21"/>
          <w:highlight w:val="none"/>
        </w:rPr>
      </w:pPr>
      <w:bookmarkStart w:id="59" w:name="_Toc7944"/>
      <w:r>
        <w:rPr>
          <w:rFonts w:hint="eastAsia" w:ascii="宋体" w:hAnsi="宋体" w:eastAsia="宋体"/>
          <w:b/>
          <w:color w:val="auto"/>
          <w:szCs w:val="21"/>
          <w:highlight w:val="none"/>
        </w:rPr>
        <w:t>定标</w:t>
      </w:r>
      <w:bookmarkEnd w:id="59"/>
    </w:p>
    <w:p w14:paraId="4FB24507">
      <w:pPr>
        <w:pStyle w:val="39"/>
        <w:numPr>
          <w:ilvl w:val="0"/>
          <w:numId w:val="0"/>
        </w:numPr>
        <w:tabs>
          <w:tab w:val="left" w:pos="0"/>
        </w:tabs>
        <w:snapToGrid w:val="0"/>
        <w:spacing w:line="360" w:lineRule="auto"/>
        <w:ind w:firstLine="0" w:firstLineChars="0"/>
        <w:jc w:val="left"/>
        <w:rPr>
          <w:rFonts w:hint="eastAsia" w:ascii="宋体" w:hAnsi="宋体" w:eastAsia="宋体"/>
          <w:b/>
          <w:bCs/>
          <w:color w:val="auto"/>
          <w:kern w:val="0"/>
          <w:sz w:val="21"/>
          <w:szCs w:val="21"/>
          <w:highlight w:val="none"/>
          <w:lang w:val="en-US" w:eastAsia="zh-CN" w:bidi="ar-SA"/>
        </w:rPr>
      </w:pPr>
      <w:r>
        <w:rPr>
          <w:rFonts w:hint="eastAsia" w:ascii="宋体" w:hAnsi="宋体" w:eastAsia="宋体"/>
          <w:b/>
          <w:bCs/>
          <w:color w:val="auto"/>
          <w:kern w:val="0"/>
          <w:sz w:val="21"/>
          <w:szCs w:val="21"/>
          <w:highlight w:val="none"/>
          <w:lang w:val="en-US" w:eastAsia="zh-CN" w:bidi="ar-SA"/>
        </w:rPr>
        <w:t>22、</w:t>
      </w:r>
      <w:r>
        <w:rPr>
          <w:rFonts w:hint="eastAsia" w:ascii="宋体" w:hAnsi="宋体" w:eastAsia="宋体"/>
          <w:b/>
          <w:color w:val="auto"/>
          <w:sz w:val="21"/>
          <w:szCs w:val="21"/>
          <w:highlight w:val="none"/>
        </w:rPr>
        <w:t>确定</w:t>
      </w:r>
      <w:r>
        <w:rPr>
          <w:rFonts w:hint="eastAsia" w:ascii="宋体" w:hAnsi="宋体" w:eastAsia="宋体"/>
          <w:b/>
          <w:color w:val="auto"/>
          <w:sz w:val="21"/>
          <w:szCs w:val="21"/>
          <w:highlight w:val="none"/>
          <w:lang w:eastAsia="zh-CN"/>
        </w:rPr>
        <w:t>中标供应商</w:t>
      </w:r>
    </w:p>
    <w:p w14:paraId="631F82B3">
      <w:pPr>
        <w:pStyle w:val="89"/>
        <w:snapToGrid w:val="0"/>
        <w:spacing w:before="0"/>
        <w:ind w:firstLine="42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14:paraId="3CB8176B">
      <w:pPr>
        <w:pStyle w:val="89"/>
        <w:numPr>
          <w:ilvl w:val="0"/>
          <w:numId w:val="0"/>
        </w:numPr>
        <w:tabs>
          <w:tab w:val="left" w:pos="0"/>
        </w:tabs>
        <w:snapToGrid w:val="0"/>
        <w:spacing w:before="0"/>
        <w:ind w:firstLine="0" w:firstLineChars="0"/>
        <w:jc w:val="left"/>
        <w:rPr>
          <w:rFonts w:hint="eastAsia" w:ascii="宋体" w:hAnsi="宋体" w:eastAsia="宋体"/>
          <w:b/>
          <w:bCs/>
          <w:color w:val="auto"/>
          <w:kern w:val="2"/>
          <w:sz w:val="21"/>
          <w:szCs w:val="21"/>
          <w:highlight w:val="none"/>
          <w:lang w:val="en-US" w:eastAsia="zh-CN" w:bidi="ar-SA"/>
        </w:rPr>
      </w:pPr>
      <w:r>
        <w:rPr>
          <w:rFonts w:hint="eastAsia" w:ascii="宋体" w:hAnsi="宋体" w:eastAsia="宋体"/>
          <w:b/>
          <w:bCs/>
          <w:color w:val="auto"/>
          <w:kern w:val="2"/>
          <w:sz w:val="21"/>
          <w:szCs w:val="21"/>
          <w:highlight w:val="none"/>
          <w:lang w:val="en-US" w:eastAsia="zh-CN" w:bidi="ar-SA"/>
        </w:rPr>
        <w:t>23、</w:t>
      </w:r>
      <w:r>
        <w:rPr>
          <w:rFonts w:hint="eastAsia" w:ascii="宋体" w:hAnsi="宋体" w:eastAsia="宋体"/>
          <w:b/>
          <w:color w:val="auto"/>
          <w:sz w:val="21"/>
          <w:szCs w:val="21"/>
          <w:highlight w:val="none"/>
        </w:rPr>
        <w:t>中标通知与中标结果公告</w:t>
      </w:r>
    </w:p>
    <w:p w14:paraId="2ECF93C8">
      <w:pPr>
        <w:numPr>
          <w:ilvl w:val="0"/>
          <w:numId w:val="29"/>
        </w:numPr>
        <w:shd w:val="clear" w:color="auto" w:fill="FFFFFF"/>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自</w:t>
      </w:r>
      <w:r>
        <w:rPr>
          <w:rFonts w:hint="eastAsia" w:ascii="宋体" w:hAnsi="宋体" w:eastAsia="宋体"/>
          <w:color w:val="auto"/>
          <w:szCs w:val="21"/>
          <w:highlight w:val="none"/>
          <w:lang w:eastAsia="zh-CN"/>
        </w:rPr>
        <w:t>中标供应商</w:t>
      </w:r>
      <w:r>
        <w:rPr>
          <w:rFonts w:hint="eastAsia" w:ascii="宋体" w:hAnsi="宋体" w:eastAsia="宋体"/>
          <w:color w:val="auto"/>
          <w:szCs w:val="21"/>
          <w:highlight w:val="none"/>
        </w:rPr>
        <w:t>确定之日起2个工作日内，采购代理机构通过电子交易平台向</w:t>
      </w:r>
      <w:r>
        <w:rPr>
          <w:rFonts w:hint="eastAsia" w:ascii="宋体" w:hAnsi="宋体" w:eastAsia="宋体"/>
          <w:color w:val="auto"/>
          <w:szCs w:val="21"/>
          <w:highlight w:val="none"/>
          <w:lang w:eastAsia="zh-CN"/>
        </w:rPr>
        <w:t>中标供应商</w:t>
      </w:r>
      <w:r>
        <w:rPr>
          <w:rFonts w:hint="eastAsia" w:ascii="宋体" w:hAnsi="宋体" w:eastAsia="宋体"/>
          <w:color w:val="auto"/>
          <w:szCs w:val="21"/>
          <w:highlight w:val="none"/>
        </w:rPr>
        <w:t>发出中标通知书，同时编制发布采购结果公告。采购代理机构也可以以纸质形式进行中标通知。</w:t>
      </w:r>
    </w:p>
    <w:p w14:paraId="7BDA21F9">
      <w:pPr>
        <w:numPr>
          <w:ilvl w:val="0"/>
          <w:numId w:val="29"/>
        </w:numPr>
        <w:shd w:val="clear" w:color="auto" w:fill="FFFFFF"/>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中标结果公告内容包括采购人及其委托的采购代理机构的名称、地址、联系方式，项目名称和项目编号，</w:t>
      </w:r>
      <w:r>
        <w:rPr>
          <w:rFonts w:hint="eastAsia" w:ascii="宋体" w:hAnsi="宋体" w:eastAsia="宋体"/>
          <w:color w:val="auto"/>
          <w:szCs w:val="21"/>
          <w:highlight w:val="none"/>
          <w:lang w:eastAsia="zh-CN"/>
        </w:rPr>
        <w:t>中标供应商</w:t>
      </w:r>
      <w:r>
        <w:rPr>
          <w:rFonts w:hint="eastAsia" w:ascii="宋体" w:hAnsi="宋体" w:eastAsia="宋体"/>
          <w:color w:val="auto"/>
          <w:szCs w:val="21"/>
          <w:highlight w:val="none"/>
        </w:rPr>
        <w:t>名称、地址和中标金额，主要中标标的的名称、规格型号、数量、单价、服务要求，开标情况、资格审查情况、评标专家抽取规则、符合性审查情况、中标公告期限以及评审专家名单等信息。</w:t>
      </w:r>
    </w:p>
    <w:p w14:paraId="229F70FC">
      <w:pPr>
        <w:numPr>
          <w:ilvl w:val="0"/>
          <w:numId w:val="29"/>
        </w:numPr>
        <w:shd w:val="clear" w:color="auto" w:fill="FFFFFF"/>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公告期限为1个工作日。</w:t>
      </w:r>
    </w:p>
    <w:p w14:paraId="6659B0D2">
      <w:pPr>
        <w:snapToGrid w:val="0"/>
        <w:spacing w:line="360" w:lineRule="auto"/>
        <w:jc w:val="left"/>
        <w:outlineLvl w:val="0"/>
        <w:rPr>
          <w:rFonts w:hint="eastAsia" w:ascii="宋体" w:hAnsi="宋体" w:eastAsia="宋体"/>
          <w:b/>
          <w:color w:val="auto"/>
          <w:szCs w:val="21"/>
          <w:highlight w:val="none"/>
        </w:rPr>
      </w:pPr>
    </w:p>
    <w:p w14:paraId="50A2ABB6">
      <w:pPr>
        <w:numPr>
          <w:ilvl w:val="0"/>
          <w:numId w:val="3"/>
        </w:numPr>
        <w:snapToGrid w:val="0"/>
        <w:spacing w:before="120" w:line="360" w:lineRule="auto"/>
        <w:ind w:firstLine="0"/>
        <w:jc w:val="left"/>
        <w:outlineLvl w:val="0"/>
        <w:rPr>
          <w:rFonts w:hint="eastAsia" w:ascii="宋体" w:hAnsi="宋体" w:eastAsia="宋体"/>
          <w:b/>
          <w:color w:val="auto"/>
          <w:szCs w:val="21"/>
          <w:highlight w:val="none"/>
        </w:rPr>
      </w:pPr>
      <w:bookmarkStart w:id="60" w:name="_Toc13538"/>
      <w:r>
        <w:rPr>
          <w:rFonts w:hint="eastAsia" w:ascii="宋体" w:hAnsi="宋体" w:eastAsia="宋体"/>
          <w:b/>
          <w:color w:val="auto"/>
          <w:szCs w:val="21"/>
          <w:highlight w:val="none"/>
        </w:rPr>
        <w:t>合同授予</w:t>
      </w:r>
      <w:bookmarkEnd w:id="60"/>
    </w:p>
    <w:p w14:paraId="440BC247">
      <w:pPr>
        <w:pStyle w:val="39"/>
        <w:numPr>
          <w:ilvl w:val="0"/>
          <w:numId w:val="0"/>
        </w:numPr>
        <w:tabs>
          <w:tab w:val="left" w:pos="0"/>
        </w:tabs>
        <w:snapToGrid w:val="0"/>
        <w:spacing w:line="360" w:lineRule="auto"/>
        <w:ind w:firstLine="0" w:firstLineChars="0"/>
        <w:jc w:val="left"/>
        <w:rPr>
          <w:rFonts w:hint="eastAsia" w:ascii="宋体" w:hAnsi="宋体" w:eastAsia="宋体"/>
          <w:b/>
          <w:bCs/>
          <w:color w:val="auto"/>
          <w:kern w:val="0"/>
          <w:sz w:val="21"/>
          <w:szCs w:val="21"/>
          <w:highlight w:val="none"/>
          <w:lang w:val="en-US" w:eastAsia="zh-CN" w:bidi="ar-SA"/>
        </w:rPr>
      </w:pPr>
      <w:r>
        <w:rPr>
          <w:rFonts w:hint="eastAsia" w:ascii="宋体" w:hAnsi="宋体" w:eastAsia="宋体"/>
          <w:b/>
          <w:bCs/>
          <w:color w:val="auto"/>
          <w:kern w:val="0"/>
          <w:sz w:val="21"/>
          <w:szCs w:val="21"/>
          <w:highlight w:val="none"/>
          <w:lang w:val="en-US" w:eastAsia="zh-CN" w:bidi="ar-SA"/>
        </w:rPr>
        <w:t>24、</w:t>
      </w:r>
      <w:r>
        <w:rPr>
          <w:rFonts w:hint="eastAsia" w:ascii="宋体" w:hAnsi="宋体" w:eastAsia="宋体"/>
          <w:b/>
          <w:color w:val="auto"/>
          <w:sz w:val="21"/>
          <w:szCs w:val="21"/>
          <w:highlight w:val="none"/>
        </w:rPr>
        <w:t>合同主要条款详见第五部分 拟签订的合同文本。</w:t>
      </w:r>
    </w:p>
    <w:p w14:paraId="7D78BA04">
      <w:pPr>
        <w:pStyle w:val="39"/>
        <w:numPr>
          <w:ilvl w:val="0"/>
          <w:numId w:val="0"/>
        </w:numPr>
        <w:tabs>
          <w:tab w:val="left" w:pos="0"/>
        </w:tabs>
        <w:snapToGrid w:val="0"/>
        <w:spacing w:line="360" w:lineRule="auto"/>
        <w:ind w:firstLine="0" w:firstLineChars="0"/>
        <w:jc w:val="left"/>
        <w:rPr>
          <w:rFonts w:hint="eastAsia" w:ascii="宋体" w:hAnsi="宋体" w:eastAsia="宋体"/>
          <w:b/>
          <w:bCs/>
          <w:color w:val="auto"/>
          <w:kern w:val="0"/>
          <w:sz w:val="21"/>
          <w:szCs w:val="21"/>
          <w:highlight w:val="none"/>
          <w:lang w:val="en-US" w:eastAsia="zh-CN" w:bidi="ar-SA"/>
        </w:rPr>
      </w:pPr>
      <w:r>
        <w:rPr>
          <w:rFonts w:hint="eastAsia" w:ascii="宋体" w:hAnsi="宋体" w:eastAsia="宋体"/>
          <w:b/>
          <w:bCs/>
          <w:color w:val="auto"/>
          <w:kern w:val="0"/>
          <w:sz w:val="21"/>
          <w:szCs w:val="21"/>
          <w:highlight w:val="none"/>
          <w:lang w:val="en-US" w:eastAsia="zh-CN" w:bidi="ar-SA"/>
        </w:rPr>
        <w:t>25、</w:t>
      </w:r>
      <w:r>
        <w:rPr>
          <w:rFonts w:hint="eastAsia" w:ascii="宋体" w:hAnsi="宋体" w:eastAsia="宋体"/>
          <w:b/>
          <w:color w:val="auto"/>
          <w:sz w:val="21"/>
          <w:szCs w:val="21"/>
          <w:highlight w:val="none"/>
        </w:rPr>
        <w:t>合同的签订</w:t>
      </w:r>
    </w:p>
    <w:p w14:paraId="051EF940">
      <w:pPr>
        <w:numPr>
          <w:ilvl w:val="0"/>
          <w:numId w:val="30"/>
        </w:numPr>
        <w:shd w:val="clear" w:color="auto" w:fill="FFFFFF"/>
        <w:snapToGrid w:val="0"/>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采购人与</w:t>
      </w:r>
      <w:r>
        <w:rPr>
          <w:rFonts w:hint="eastAsia" w:ascii="宋体" w:hAnsi="宋体" w:eastAsia="宋体"/>
          <w:color w:val="auto"/>
          <w:kern w:val="0"/>
          <w:szCs w:val="21"/>
          <w:highlight w:val="none"/>
          <w:lang w:eastAsia="zh-CN"/>
        </w:rPr>
        <w:t>中标供应商</w:t>
      </w:r>
      <w:r>
        <w:rPr>
          <w:rFonts w:hint="eastAsia" w:ascii="宋体" w:hAnsi="宋体" w:eastAsia="宋体"/>
          <w:color w:val="auto"/>
          <w:kern w:val="0"/>
          <w:szCs w:val="21"/>
          <w:highlight w:val="none"/>
        </w:rPr>
        <w:t>应当通过电子交易平台在中标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30天内，与</w:t>
      </w:r>
      <w:r>
        <w:rPr>
          <w:rFonts w:hint="eastAsia" w:ascii="宋体" w:hAnsi="宋体" w:eastAsia="宋体"/>
          <w:color w:val="auto"/>
          <w:kern w:val="0"/>
          <w:szCs w:val="21"/>
          <w:highlight w:val="none"/>
          <w:lang w:eastAsia="zh-CN"/>
        </w:rPr>
        <w:t>中标供应商</w:t>
      </w:r>
      <w:r>
        <w:rPr>
          <w:rFonts w:hint="eastAsia" w:ascii="宋体" w:hAnsi="宋体" w:eastAsia="宋体"/>
          <w:color w:val="auto"/>
          <w:kern w:val="0"/>
          <w:szCs w:val="21"/>
          <w:highlight w:val="none"/>
        </w:rPr>
        <w:t>按照采购文件确定的事项签订政府采购合同。</w:t>
      </w:r>
    </w:p>
    <w:p w14:paraId="52EDA332">
      <w:pPr>
        <w:numPr>
          <w:ilvl w:val="0"/>
          <w:numId w:val="30"/>
        </w:numPr>
        <w:shd w:val="clear" w:color="auto" w:fill="FFFFFF"/>
        <w:snapToGrid w:val="0"/>
        <w:spacing w:line="360" w:lineRule="auto"/>
        <w:jc w:val="left"/>
        <w:rPr>
          <w:rFonts w:hint="eastAsia" w:ascii="宋体" w:hAnsi="宋体" w:eastAsia="宋体"/>
          <w:color w:val="auto"/>
          <w:kern w:val="0"/>
          <w:szCs w:val="21"/>
          <w:highlight w:val="none"/>
          <w:lang w:val="zh-CN"/>
        </w:rPr>
      </w:pPr>
      <w:r>
        <w:rPr>
          <w:rFonts w:hint="eastAsia" w:ascii="宋体" w:hAnsi="宋体" w:eastAsia="宋体"/>
          <w:color w:val="auto"/>
          <w:kern w:val="0"/>
          <w:szCs w:val="21"/>
          <w:highlight w:val="none"/>
          <w:lang w:val="zh-CN"/>
        </w:rPr>
        <w:t>中标供应商按规定的日期、时间、地点，由法定代表人或其授权代表与采购人代表签订合同。如中标供应商为联合体的，由联合体成员各方法定代表人或其授权代表与采购人代表签订合同。</w:t>
      </w:r>
    </w:p>
    <w:p w14:paraId="5CB36BAD">
      <w:pPr>
        <w:numPr>
          <w:ilvl w:val="0"/>
          <w:numId w:val="30"/>
        </w:numPr>
        <w:shd w:val="clear" w:color="auto" w:fill="FFFFFF"/>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如签订合同并生效后，供应商无故拒绝或延期，除按照合同条款处理外，列入不良行为记录一次，并给予通报。</w:t>
      </w:r>
    </w:p>
    <w:p w14:paraId="2FAA0490">
      <w:pPr>
        <w:numPr>
          <w:ilvl w:val="0"/>
          <w:numId w:val="30"/>
        </w:numPr>
        <w:shd w:val="clear" w:color="auto" w:fill="FFFFFF"/>
        <w:snapToGrid w:val="0"/>
        <w:spacing w:line="360" w:lineRule="auto"/>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中标供应商</w:t>
      </w:r>
      <w:r>
        <w:rPr>
          <w:rFonts w:hint="eastAsia" w:ascii="宋体" w:hAnsi="宋体" w:eastAsia="宋体"/>
          <w:color w:val="auto"/>
          <w:szCs w:val="21"/>
          <w:highlight w:val="none"/>
        </w:rPr>
        <w:t>拒绝与采购人签订合同的，采购人可以按照评审报告推荐的中标或者成交候选人名单排序，确定下一候选人为</w:t>
      </w:r>
      <w:r>
        <w:rPr>
          <w:rFonts w:hint="eastAsia" w:ascii="宋体" w:hAnsi="宋体" w:eastAsia="宋体"/>
          <w:color w:val="auto"/>
          <w:szCs w:val="21"/>
          <w:highlight w:val="none"/>
          <w:lang w:eastAsia="zh-CN"/>
        </w:rPr>
        <w:t>中标供应商</w:t>
      </w:r>
      <w:r>
        <w:rPr>
          <w:rFonts w:hint="eastAsia" w:ascii="宋体" w:hAnsi="宋体" w:eastAsia="宋体"/>
          <w:color w:val="auto"/>
          <w:szCs w:val="21"/>
          <w:highlight w:val="none"/>
        </w:rPr>
        <w:t>，也可以重新开展政府采购活动。</w:t>
      </w:r>
    </w:p>
    <w:p w14:paraId="2BC0CE36">
      <w:pPr>
        <w:numPr>
          <w:ilvl w:val="0"/>
          <w:numId w:val="30"/>
        </w:numPr>
        <w:shd w:val="clear" w:color="auto" w:fill="FFFFFF"/>
        <w:snapToGrid w:val="0"/>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采购合同由采购人与</w:t>
      </w:r>
      <w:r>
        <w:rPr>
          <w:rFonts w:hint="eastAsia" w:ascii="宋体" w:hAnsi="宋体" w:eastAsia="宋体"/>
          <w:color w:val="auto"/>
          <w:szCs w:val="21"/>
          <w:highlight w:val="none"/>
          <w:lang w:eastAsia="zh-CN"/>
        </w:rPr>
        <w:t>中标供应商</w:t>
      </w:r>
      <w:r>
        <w:rPr>
          <w:rFonts w:hint="eastAsia" w:ascii="宋体" w:hAnsi="宋体" w:eastAsia="宋体"/>
          <w:color w:val="auto"/>
          <w:szCs w:val="21"/>
          <w:highlight w:val="none"/>
        </w:rPr>
        <w:t>根据采购文件、投标文件等内容通过政府采购电子交易平台在线签订，自动备案。</w:t>
      </w:r>
    </w:p>
    <w:p w14:paraId="07D1D3E0">
      <w:pPr>
        <w:pStyle w:val="39"/>
        <w:numPr>
          <w:ilvl w:val="0"/>
          <w:numId w:val="0"/>
        </w:numPr>
        <w:tabs>
          <w:tab w:val="left" w:pos="0"/>
        </w:tabs>
        <w:snapToGrid w:val="0"/>
        <w:spacing w:line="360" w:lineRule="auto"/>
        <w:ind w:firstLine="0" w:firstLineChars="0"/>
        <w:jc w:val="left"/>
        <w:rPr>
          <w:rFonts w:hint="eastAsia" w:ascii="宋体" w:hAnsi="宋体" w:eastAsia="宋体"/>
          <w:b/>
          <w:bCs/>
          <w:color w:val="auto"/>
          <w:kern w:val="0"/>
          <w:sz w:val="21"/>
          <w:szCs w:val="21"/>
          <w:highlight w:val="none"/>
          <w:lang w:val="en-US" w:eastAsia="zh-CN" w:bidi="ar-SA"/>
        </w:rPr>
      </w:pPr>
      <w:r>
        <w:rPr>
          <w:rFonts w:hint="eastAsia" w:ascii="宋体" w:hAnsi="宋体" w:eastAsia="宋体"/>
          <w:b/>
          <w:bCs/>
          <w:color w:val="auto"/>
          <w:kern w:val="0"/>
          <w:sz w:val="21"/>
          <w:szCs w:val="21"/>
          <w:highlight w:val="none"/>
          <w:lang w:val="en-US" w:eastAsia="zh-CN" w:bidi="ar-SA"/>
        </w:rPr>
        <w:t>26、</w:t>
      </w:r>
      <w:r>
        <w:rPr>
          <w:rFonts w:hint="eastAsia" w:ascii="宋体" w:hAnsi="宋体" w:eastAsia="宋体"/>
          <w:b/>
          <w:color w:val="auto"/>
          <w:sz w:val="21"/>
          <w:szCs w:val="21"/>
          <w:highlight w:val="none"/>
        </w:rPr>
        <w:t>履约保证金</w:t>
      </w:r>
    </w:p>
    <w:p w14:paraId="67916763">
      <w:pPr>
        <w:tabs>
          <w:tab w:val="left" w:pos="0"/>
        </w:tabs>
        <w:snapToGrid w:val="0"/>
        <w:spacing w:line="360" w:lineRule="auto"/>
        <w:ind w:firstLine="482"/>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拟签订的合同文本要求</w:t>
      </w:r>
      <w:r>
        <w:rPr>
          <w:rFonts w:hint="eastAsia" w:ascii="宋体" w:hAnsi="宋体" w:eastAsia="宋体"/>
          <w:color w:val="auto"/>
          <w:kern w:val="0"/>
          <w:szCs w:val="21"/>
          <w:highlight w:val="none"/>
          <w:lang w:eastAsia="zh-CN"/>
        </w:rPr>
        <w:t>中标供应商</w:t>
      </w:r>
      <w:r>
        <w:rPr>
          <w:rFonts w:hint="eastAsia" w:ascii="宋体" w:hAnsi="宋体" w:eastAsia="宋体"/>
          <w:color w:val="auto"/>
          <w:kern w:val="0"/>
          <w:szCs w:val="21"/>
          <w:highlight w:val="none"/>
        </w:rPr>
        <w:t>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497EF66">
      <w:pPr>
        <w:pStyle w:val="8"/>
        <w:keepNext w:val="0"/>
        <w:keepLines w:val="0"/>
        <w:numPr>
          <w:ilvl w:val="0"/>
          <w:numId w:val="0"/>
        </w:numPr>
        <w:tabs>
          <w:tab w:val="left" w:pos="432"/>
        </w:tabs>
        <w:snapToGrid w:val="0"/>
        <w:ind w:left="0" w:leftChars="0" w:firstLine="0" w:firstLineChars="0"/>
        <w:jc w:val="both"/>
        <w:rPr>
          <w:rFonts w:hint="eastAsia" w:ascii="宋体" w:hAnsi="宋体" w:eastAsia="宋体"/>
          <w:b/>
          <w:bCs/>
          <w:color w:val="auto"/>
          <w:kern w:val="2"/>
          <w:sz w:val="21"/>
          <w:szCs w:val="21"/>
          <w:highlight w:val="none"/>
          <w:lang w:val="en-US" w:eastAsia="zh-CN" w:bidi="ar-SA"/>
        </w:rPr>
      </w:pPr>
      <w:bookmarkStart w:id="61" w:name="_Toc24181"/>
      <w:r>
        <w:rPr>
          <w:rFonts w:hint="eastAsia" w:ascii="宋体" w:hAnsi="宋体" w:eastAsia="宋体"/>
          <w:b/>
          <w:bCs/>
          <w:color w:val="auto"/>
          <w:kern w:val="2"/>
          <w:sz w:val="21"/>
          <w:szCs w:val="21"/>
          <w:highlight w:val="none"/>
          <w:lang w:val="en-US" w:eastAsia="zh-CN" w:bidi="ar-SA"/>
        </w:rPr>
        <w:t>27、</w:t>
      </w:r>
      <w:r>
        <w:rPr>
          <w:rFonts w:hint="eastAsia" w:ascii="宋体" w:hAnsi="宋体" w:eastAsia="宋体"/>
          <w:bCs w:val="0"/>
          <w:color w:val="auto"/>
          <w:sz w:val="21"/>
          <w:szCs w:val="21"/>
          <w:highlight w:val="none"/>
          <w:lang w:val="en-US"/>
        </w:rPr>
        <w:t>预付款</w:t>
      </w:r>
      <w:bookmarkEnd w:id="61"/>
    </w:p>
    <w:p w14:paraId="5A69BAD7">
      <w:pPr>
        <w:snapToGrid w:val="0"/>
        <w:spacing w:line="360" w:lineRule="auto"/>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采购人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47E3CE0C">
      <w:pPr>
        <w:snapToGrid w:val="0"/>
        <w:spacing w:line="360" w:lineRule="auto"/>
        <w:jc w:val="left"/>
        <w:outlineLvl w:val="0"/>
        <w:rPr>
          <w:rFonts w:hint="eastAsia" w:ascii="宋体" w:hAnsi="宋体" w:eastAsia="宋体"/>
          <w:b/>
          <w:color w:val="auto"/>
          <w:szCs w:val="21"/>
          <w:highlight w:val="none"/>
        </w:rPr>
      </w:pPr>
    </w:p>
    <w:p w14:paraId="796FAE33">
      <w:pPr>
        <w:numPr>
          <w:ilvl w:val="0"/>
          <w:numId w:val="3"/>
        </w:numPr>
        <w:snapToGrid w:val="0"/>
        <w:spacing w:before="120" w:line="360" w:lineRule="auto"/>
        <w:ind w:firstLine="0"/>
        <w:jc w:val="left"/>
        <w:outlineLvl w:val="0"/>
        <w:rPr>
          <w:rFonts w:hint="eastAsia" w:ascii="宋体" w:hAnsi="宋体" w:eastAsia="宋体"/>
          <w:b/>
          <w:color w:val="auto"/>
          <w:szCs w:val="21"/>
          <w:highlight w:val="none"/>
        </w:rPr>
      </w:pPr>
      <w:bookmarkStart w:id="62" w:name="_Toc14985"/>
      <w:r>
        <w:rPr>
          <w:rFonts w:hint="eastAsia" w:ascii="宋体" w:hAnsi="宋体" w:eastAsia="宋体"/>
          <w:b/>
          <w:color w:val="auto"/>
          <w:szCs w:val="21"/>
          <w:highlight w:val="none"/>
        </w:rPr>
        <w:t>电子交易活动的中止</w:t>
      </w:r>
      <w:bookmarkEnd w:id="62"/>
    </w:p>
    <w:p w14:paraId="175BA61D">
      <w:pPr>
        <w:pStyle w:val="89"/>
        <w:numPr>
          <w:ilvl w:val="0"/>
          <w:numId w:val="0"/>
        </w:numPr>
        <w:tabs>
          <w:tab w:val="left" w:pos="0"/>
        </w:tabs>
        <w:snapToGrid w:val="0"/>
        <w:spacing w:before="0"/>
        <w:ind w:firstLine="0" w:firstLineChars="0"/>
        <w:jc w:val="left"/>
        <w:rPr>
          <w:rFonts w:hint="eastAsia" w:ascii="宋体" w:hAnsi="宋体" w:eastAsia="宋体"/>
          <w:b/>
          <w:bCs/>
          <w:color w:val="auto"/>
          <w:kern w:val="2"/>
          <w:sz w:val="21"/>
          <w:szCs w:val="21"/>
          <w:highlight w:val="none"/>
          <w:lang w:val="en-US" w:eastAsia="zh-CN" w:bidi="ar-SA"/>
        </w:rPr>
      </w:pPr>
      <w:r>
        <w:rPr>
          <w:rFonts w:hint="eastAsia" w:ascii="宋体" w:hAnsi="宋体" w:eastAsia="宋体"/>
          <w:b/>
          <w:bCs/>
          <w:color w:val="auto"/>
          <w:kern w:val="2"/>
          <w:sz w:val="21"/>
          <w:szCs w:val="21"/>
          <w:highlight w:val="none"/>
          <w:lang w:val="en-US" w:eastAsia="zh-CN" w:bidi="ar-SA"/>
        </w:rPr>
        <w:t>28、</w:t>
      </w:r>
      <w:r>
        <w:rPr>
          <w:rFonts w:hint="eastAsia" w:ascii="宋体" w:hAnsi="宋体" w:eastAsia="宋体"/>
          <w:b/>
          <w:color w:val="auto"/>
          <w:sz w:val="21"/>
          <w:szCs w:val="21"/>
          <w:highlight w:val="none"/>
        </w:rPr>
        <w:t>电子交易活动的中止</w:t>
      </w:r>
    </w:p>
    <w:p w14:paraId="497D98AC">
      <w:pPr>
        <w:pStyle w:val="89"/>
        <w:tabs>
          <w:tab w:val="left" w:pos="0"/>
        </w:tabs>
        <w:snapToGrid w:val="0"/>
        <w:spacing w:before="0"/>
        <w:ind w:firstLine="0" w:firstLineChars="0"/>
        <w:jc w:val="left"/>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采购过程中出现以下情形，导致电子交易平台无法正常运行，或者无法保证电子交易的公平、公正和安全时，采购代理机构可中止电子交易活动</w:t>
      </w:r>
      <w:r>
        <w:rPr>
          <w:rFonts w:hint="eastAsia" w:ascii="宋体" w:hAnsi="宋体" w:eastAsia="宋体"/>
          <w:color w:val="auto"/>
          <w:sz w:val="21"/>
          <w:szCs w:val="21"/>
          <w:highlight w:val="none"/>
        </w:rPr>
        <w:t>：</w:t>
      </w:r>
    </w:p>
    <w:p w14:paraId="6377E7E9">
      <w:pPr>
        <w:pStyle w:val="89"/>
        <w:numPr>
          <w:ilvl w:val="0"/>
          <w:numId w:val="31"/>
        </w:numPr>
        <w:snapToGrid w:val="0"/>
        <w:spacing w:before="0"/>
        <w:ind w:firstLineChars="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电子交易平台发生故障而无法登录访问的； </w:t>
      </w:r>
    </w:p>
    <w:p w14:paraId="00430F82">
      <w:pPr>
        <w:pStyle w:val="89"/>
        <w:numPr>
          <w:ilvl w:val="0"/>
          <w:numId w:val="31"/>
        </w:numPr>
        <w:snapToGrid w:val="0"/>
        <w:spacing w:before="0"/>
        <w:ind w:firstLineChars="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电子交易平台应用或数据库出现错误，不能进行正常操作的；</w:t>
      </w:r>
    </w:p>
    <w:p w14:paraId="7EB861BF">
      <w:pPr>
        <w:pStyle w:val="89"/>
        <w:numPr>
          <w:ilvl w:val="0"/>
          <w:numId w:val="31"/>
        </w:numPr>
        <w:snapToGrid w:val="0"/>
        <w:spacing w:before="0"/>
        <w:ind w:firstLineChars="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电子交易平台发现严重安全漏洞，有潜在泄密危险的；</w:t>
      </w:r>
    </w:p>
    <w:p w14:paraId="0E7C9C7E">
      <w:pPr>
        <w:pStyle w:val="89"/>
        <w:numPr>
          <w:ilvl w:val="0"/>
          <w:numId w:val="31"/>
        </w:numPr>
        <w:snapToGrid w:val="0"/>
        <w:spacing w:before="0"/>
        <w:ind w:firstLineChars="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病毒发作导致不能进行正常操作的； </w:t>
      </w:r>
    </w:p>
    <w:p w14:paraId="1D78A668">
      <w:pPr>
        <w:pStyle w:val="89"/>
        <w:numPr>
          <w:ilvl w:val="0"/>
          <w:numId w:val="31"/>
        </w:numPr>
        <w:snapToGrid w:val="0"/>
        <w:spacing w:before="0"/>
        <w:ind w:firstLineChars="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其他无法保证电子交易的公平、公正和安全的情况。</w:t>
      </w:r>
    </w:p>
    <w:p w14:paraId="20E48A2F">
      <w:pPr>
        <w:pStyle w:val="89"/>
        <w:numPr>
          <w:ilvl w:val="0"/>
          <w:numId w:val="0"/>
        </w:numPr>
        <w:tabs>
          <w:tab w:val="left" w:pos="0"/>
        </w:tabs>
        <w:snapToGrid w:val="0"/>
        <w:spacing w:before="0"/>
        <w:ind w:firstLine="0" w:firstLineChars="0"/>
        <w:jc w:val="left"/>
        <w:rPr>
          <w:rFonts w:hint="eastAsia" w:ascii="宋体" w:hAnsi="宋体" w:eastAsia="宋体"/>
          <w:b/>
          <w:bCs/>
          <w:color w:val="auto"/>
          <w:kern w:val="2"/>
          <w:sz w:val="21"/>
          <w:szCs w:val="21"/>
          <w:highlight w:val="none"/>
          <w:lang w:val="en-US" w:eastAsia="zh-CN" w:bidi="ar-SA"/>
        </w:rPr>
      </w:pPr>
      <w:r>
        <w:rPr>
          <w:rFonts w:hint="eastAsia" w:ascii="宋体" w:hAnsi="宋体" w:eastAsia="宋体"/>
          <w:b/>
          <w:bCs/>
          <w:color w:val="auto"/>
          <w:kern w:val="2"/>
          <w:sz w:val="21"/>
          <w:szCs w:val="21"/>
          <w:highlight w:val="none"/>
          <w:lang w:val="en-US" w:eastAsia="zh-CN" w:bidi="ar-SA"/>
        </w:rPr>
        <w:t>29、</w:t>
      </w:r>
      <w:r>
        <w:rPr>
          <w:rFonts w:hint="eastAsia" w:ascii="宋体" w:hAnsi="宋体" w:eastAsia="宋体"/>
          <w:bCs/>
          <w:color w:val="auto"/>
          <w:sz w:val="21"/>
          <w:szCs w:val="21"/>
          <w:highlight w:val="none"/>
        </w:rPr>
        <w:t>出现以上情形，不影响采购公平、公正性的，采购组织机构可以待上述情形消除后继续组织电</w:t>
      </w:r>
      <w:r>
        <w:rPr>
          <w:rFonts w:hint="eastAsia" w:ascii="宋体" w:hAnsi="宋体" w:eastAsia="宋体"/>
          <w:color w:val="auto"/>
          <w:sz w:val="21"/>
          <w:szCs w:val="21"/>
          <w:highlight w:val="none"/>
        </w:rPr>
        <w:t>子交易活动，也可以决定某些环节以纸质形式进行；影响或可能影响采购公平、公正性的，应当重新采购。</w:t>
      </w:r>
    </w:p>
    <w:p w14:paraId="71FF5AEE">
      <w:pPr>
        <w:snapToGrid w:val="0"/>
        <w:spacing w:line="360" w:lineRule="auto"/>
        <w:jc w:val="left"/>
        <w:outlineLvl w:val="0"/>
        <w:rPr>
          <w:rFonts w:hint="eastAsia" w:ascii="宋体" w:hAnsi="宋体" w:eastAsia="宋体"/>
          <w:b/>
          <w:color w:val="auto"/>
          <w:szCs w:val="21"/>
          <w:highlight w:val="none"/>
        </w:rPr>
      </w:pPr>
    </w:p>
    <w:p w14:paraId="54B8E722">
      <w:pPr>
        <w:numPr>
          <w:ilvl w:val="0"/>
          <w:numId w:val="3"/>
        </w:numPr>
        <w:snapToGrid w:val="0"/>
        <w:spacing w:before="120" w:line="360" w:lineRule="auto"/>
        <w:ind w:firstLine="0"/>
        <w:jc w:val="left"/>
        <w:outlineLvl w:val="0"/>
        <w:rPr>
          <w:rFonts w:hint="eastAsia" w:ascii="宋体" w:hAnsi="宋体" w:eastAsia="宋体"/>
          <w:b/>
          <w:color w:val="auto"/>
          <w:szCs w:val="21"/>
          <w:highlight w:val="none"/>
        </w:rPr>
      </w:pPr>
      <w:bookmarkStart w:id="63" w:name="_Toc3412"/>
      <w:r>
        <w:rPr>
          <w:rFonts w:hint="eastAsia" w:ascii="宋体" w:hAnsi="宋体" w:eastAsia="宋体"/>
          <w:b/>
          <w:color w:val="auto"/>
          <w:szCs w:val="21"/>
          <w:highlight w:val="none"/>
        </w:rPr>
        <w:t>验收</w:t>
      </w:r>
      <w:bookmarkEnd w:id="63"/>
    </w:p>
    <w:p w14:paraId="4026A734">
      <w:pPr>
        <w:pStyle w:val="39"/>
        <w:numPr>
          <w:ilvl w:val="0"/>
          <w:numId w:val="0"/>
        </w:numPr>
        <w:tabs>
          <w:tab w:val="left" w:pos="0"/>
        </w:tabs>
        <w:snapToGrid w:val="0"/>
        <w:spacing w:line="360" w:lineRule="auto"/>
        <w:ind w:firstLine="0" w:firstLineChars="0"/>
        <w:jc w:val="left"/>
        <w:rPr>
          <w:rFonts w:hint="eastAsia" w:ascii="宋体" w:hAnsi="宋体" w:eastAsia="宋体"/>
          <w:b/>
          <w:bCs/>
          <w:color w:val="auto"/>
          <w:kern w:val="0"/>
          <w:sz w:val="21"/>
          <w:szCs w:val="21"/>
          <w:highlight w:val="none"/>
          <w:lang w:val="en-US" w:eastAsia="zh-CN" w:bidi="ar-SA"/>
        </w:rPr>
      </w:pPr>
      <w:r>
        <w:rPr>
          <w:rFonts w:hint="eastAsia" w:ascii="宋体" w:hAnsi="宋体" w:eastAsia="宋体"/>
          <w:b/>
          <w:bCs/>
          <w:color w:val="auto"/>
          <w:kern w:val="0"/>
          <w:sz w:val="21"/>
          <w:szCs w:val="21"/>
          <w:highlight w:val="none"/>
          <w:lang w:val="en-US" w:eastAsia="zh-CN" w:bidi="ar-SA"/>
        </w:rPr>
        <w:t>30、</w:t>
      </w:r>
      <w:r>
        <w:rPr>
          <w:rFonts w:hint="eastAsia" w:ascii="宋体" w:hAnsi="宋体" w:eastAsia="宋体"/>
          <w:b/>
          <w:color w:val="auto"/>
          <w:sz w:val="21"/>
          <w:szCs w:val="21"/>
          <w:highlight w:val="none"/>
        </w:rPr>
        <w:t>验收</w:t>
      </w:r>
    </w:p>
    <w:p w14:paraId="4C1CDA7D">
      <w:pPr>
        <w:numPr>
          <w:ilvl w:val="0"/>
          <w:numId w:val="32"/>
        </w:numPr>
        <w:tabs>
          <w:tab w:val="left" w:pos="0"/>
        </w:tabs>
        <w:snapToGrid w:val="0"/>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3598E34">
      <w:pPr>
        <w:numPr>
          <w:ilvl w:val="0"/>
          <w:numId w:val="32"/>
        </w:numPr>
        <w:tabs>
          <w:tab w:val="left" w:pos="0"/>
        </w:tabs>
        <w:snapToGrid w:val="0"/>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采购人可以邀请参加本项目的其他供应商或者第三方机构参与验收。参与验收的供应商或者第三方机构的意见作为验收书的参考资料一并存档。</w:t>
      </w:r>
    </w:p>
    <w:p w14:paraId="749D4171">
      <w:pPr>
        <w:numPr>
          <w:ilvl w:val="0"/>
          <w:numId w:val="32"/>
        </w:numPr>
        <w:tabs>
          <w:tab w:val="left" w:pos="0"/>
        </w:tabs>
        <w:snapToGrid w:val="0"/>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B0260E">
      <w:pPr>
        <w:numPr>
          <w:ilvl w:val="0"/>
          <w:numId w:val="32"/>
        </w:numPr>
        <w:tabs>
          <w:tab w:val="left" w:pos="0"/>
        </w:tabs>
        <w:snapToGrid w:val="0"/>
        <w:spacing w:line="360" w:lineRule="auto"/>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B4C0427">
      <w:pPr>
        <w:tabs>
          <w:tab w:val="left" w:pos="0"/>
        </w:tabs>
        <w:snapToGrid w:val="0"/>
        <w:spacing w:line="360" w:lineRule="auto"/>
        <w:ind w:firstLine="480"/>
        <w:jc w:val="left"/>
        <w:rPr>
          <w:rFonts w:hint="eastAsia" w:ascii="宋体" w:hAnsi="宋体" w:eastAsia="宋体"/>
          <w:color w:val="auto"/>
          <w:kern w:val="0"/>
          <w:szCs w:val="21"/>
          <w:highlight w:val="none"/>
        </w:rPr>
        <w:sectPr>
          <w:headerReference r:id="rId6" w:type="first"/>
          <w:footerReference r:id="rId9" w:type="first"/>
          <w:footerReference r:id="rId7" w:type="default"/>
          <w:footerReference r:id="rId8" w:type="even"/>
          <w:pgSz w:w="11906" w:h="16838"/>
          <w:pgMar w:top="1134" w:right="1134" w:bottom="1134" w:left="1134" w:header="851" w:footer="992" w:gutter="0"/>
          <w:pgBorders>
            <w:top w:val="none" w:sz="0" w:space="0"/>
            <w:left w:val="none" w:sz="0" w:space="0"/>
            <w:bottom w:val="none" w:sz="0" w:space="0"/>
            <w:right w:val="none" w:sz="0" w:space="0"/>
          </w:pgBorders>
          <w:cols w:space="720" w:num="1"/>
          <w:titlePg/>
          <w:docGrid w:linePitch="312" w:charSpace="0"/>
        </w:sectPr>
      </w:pPr>
    </w:p>
    <w:bookmarkEnd w:id="39"/>
    <w:bookmarkEnd w:id="40"/>
    <w:p w14:paraId="7103C318">
      <w:pPr>
        <w:spacing w:line="360" w:lineRule="auto"/>
        <w:jc w:val="center"/>
        <w:outlineLvl w:val="0"/>
        <w:rPr>
          <w:rFonts w:hint="eastAsia" w:ascii="宋体" w:hAnsi="宋体" w:eastAsia="宋体"/>
          <w:b/>
          <w:color w:val="auto"/>
          <w:sz w:val="36"/>
          <w:szCs w:val="36"/>
          <w:highlight w:val="none"/>
        </w:rPr>
      </w:pPr>
      <w:bookmarkStart w:id="64" w:name="_Toc29574"/>
      <w:bookmarkEnd w:id="64"/>
      <w:bookmarkStart w:id="65" w:name="_Toc19340"/>
      <w:bookmarkStart w:id="66" w:name="第四部分"/>
      <w:r>
        <w:rPr>
          <w:rFonts w:hint="eastAsia" w:ascii="宋体" w:hAnsi="宋体" w:eastAsia="宋体"/>
          <w:b/>
          <w:color w:val="auto"/>
          <w:sz w:val="36"/>
          <w:szCs w:val="36"/>
          <w:highlight w:val="none"/>
        </w:rPr>
        <w:t>第三部分 采购需求</w:t>
      </w:r>
      <w:bookmarkEnd w:id="65"/>
    </w:p>
    <w:p w14:paraId="711F23C0">
      <w:pPr>
        <w:spacing w:line="360" w:lineRule="auto"/>
        <w:jc w:val="center"/>
        <w:outlineLvl w:val="1"/>
        <w:rPr>
          <w:rFonts w:hint="eastAsia" w:ascii="宋体" w:hAnsi="宋体" w:eastAsia="宋体"/>
          <w:b/>
          <w:color w:val="auto"/>
          <w:sz w:val="24"/>
          <w:szCs w:val="28"/>
          <w:highlight w:val="none"/>
        </w:rPr>
      </w:pPr>
      <w:bookmarkStart w:id="67" w:name="_Toc27141"/>
      <w:r>
        <w:rPr>
          <w:rFonts w:hint="eastAsia" w:ascii="宋体" w:hAnsi="宋体" w:eastAsia="宋体"/>
          <w:b/>
          <w:color w:val="auto"/>
          <w:sz w:val="24"/>
          <w:szCs w:val="28"/>
          <w:highlight w:val="none"/>
        </w:rPr>
        <w:t>前附表</w:t>
      </w:r>
      <w:bookmarkEnd w:id="67"/>
    </w:p>
    <w:tbl>
      <w:tblPr>
        <w:tblStyle w:val="5"/>
        <w:tblW w:w="0" w:type="auto"/>
        <w:tblInd w:w="7"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536"/>
        <w:gridCol w:w="5404"/>
      </w:tblGrid>
      <w:tr w14:paraId="128E63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675" w:type="dxa"/>
            <w:vAlign w:val="center"/>
          </w:tcPr>
          <w:p w14:paraId="77BD7A95">
            <w:pPr>
              <w:snapToGrid w:val="0"/>
              <w:spacing w:line="400" w:lineRule="exact"/>
              <w:jc w:val="center"/>
              <w:outlineLvl w:val="1"/>
              <w:rPr>
                <w:rFonts w:hint="eastAsia" w:ascii="宋体" w:hAnsi="宋体" w:eastAsia="宋体"/>
                <w:b/>
                <w:color w:val="auto"/>
                <w:szCs w:val="28"/>
                <w:highlight w:val="none"/>
              </w:rPr>
            </w:pPr>
            <w:bookmarkStart w:id="68" w:name="_Toc19561"/>
            <w:r>
              <w:rPr>
                <w:rFonts w:hint="eastAsia" w:ascii="宋体" w:hAnsi="宋体" w:eastAsia="宋体"/>
                <w:b/>
                <w:color w:val="auto"/>
                <w:szCs w:val="28"/>
                <w:highlight w:val="none"/>
              </w:rPr>
              <w:t>序号</w:t>
            </w:r>
            <w:bookmarkEnd w:id="68"/>
          </w:p>
        </w:tc>
        <w:tc>
          <w:tcPr>
            <w:tcW w:w="3536" w:type="dxa"/>
            <w:vAlign w:val="center"/>
          </w:tcPr>
          <w:p w14:paraId="49FFC09B">
            <w:pPr>
              <w:snapToGrid w:val="0"/>
              <w:spacing w:line="400" w:lineRule="exact"/>
              <w:jc w:val="center"/>
              <w:outlineLvl w:val="1"/>
              <w:rPr>
                <w:rFonts w:hint="eastAsia" w:ascii="宋体" w:hAnsi="宋体" w:eastAsia="宋体"/>
                <w:b/>
                <w:color w:val="auto"/>
                <w:szCs w:val="28"/>
                <w:highlight w:val="none"/>
              </w:rPr>
            </w:pPr>
            <w:bookmarkStart w:id="69" w:name="_Toc20548"/>
            <w:r>
              <w:rPr>
                <w:rFonts w:hint="eastAsia" w:ascii="宋体" w:hAnsi="宋体" w:eastAsia="宋体"/>
                <w:b/>
                <w:color w:val="auto"/>
                <w:szCs w:val="28"/>
                <w:highlight w:val="none"/>
              </w:rPr>
              <w:t>子项</w:t>
            </w:r>
            <w:bookmarkEnd w:id="69"/>
          </w:p>
        </w:tc>
        <w:tc>
          <w:tcPr>
            <w:tcW w:w="5404" w:type="dxa"/>
            <w:vAlign w:val="center"/>
          </w:tcPr>
          <w:p w14:paraId="24D83ED2">
            <w:pPr>
              <w:snapToGrid w:val="0"/>
              <w:spacing w:line="400" w:lineRule="exact"/>
              <w:jc w:val="center"/>
              <w:outlineLvl w:val="1"/>
              <w:rPr>
                <w:rFonts w:hint="eastAsia" w:ascii="宋体" w:hAnsi="宋体" w:eastAsia="宋体"/>
                <w:b/>
                <w:color w:val="auto"/>
                <w:szCs w:val="28"/>
                <w:highlight w:val="none"/>
              </w:rPr>
            </w:pPr>
            <w:bookmarkStart w:id="70" w:name="_Toc22100"/>
            <w:r>
              <w:rPr>
                <w:rFonts w:hint="eastAsia" w:ascii="宋体" w:hAnsi="宋体" w:eastAsia="宋体"/>
                <w:b/>
                <w:color w:val="auto"/>
                <w:szCs w:val="28"/>
                <w:highlight w:val="none"/>
              </w:rPr>
              <w:t>招标需求</w:t>
            </w:r>
            <w:bookmarkEnd w:id="70"/>
          </w:p>
        </w:tc>
      </w:tr>
      <w:tr w14:paraId="6E604C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675" w:type="dxa"/>
            <w:vMerge w:val="restart"/>
            <w:vAlign w:val="center"/>
          </w:tcPr>
          <w:p w14:paraId="5D772542">
            <w:pPr>
              <w:snapToGrid w:val="0"/>
              <w:spacing w:line="400" w:lineRule="exact"/>
              <w:jc w:val="center"/>
              <w:outlineLvl w:val="1"/>
              <w:rPr>
                <w:rFonts w:hint="eastAsia" w:ascii="宋体" w:hAnsi="宋体" w:eastAsia="宋体"/>
                <w:b/>
                <w:color w:val="auto"/>
                <w:szCs w:val="28"/>
                <w:highlight w:val="none"/>
              </w:rPr>
            </w:pPr>
            <w:bookmarkStart w:id="71" w:name="_Toc5936"/>
            <w:r>
              <w:rPr>
                <w:rFonts w:hint="eastAsia" w:ascii="宋体" w:hAnsi="宋体" w:eastAsia="宋体"/>
                <w:b/>
                <w:color w:val="auto"/>
                <w:szCs w:val="28"/>
                <w:highlight w:val="none"/>
              </w:rPr>
              <w:t>一</w:t>
            </w:r>
            <w:bookmarkEnd w:id="71"/>
          </w:p>
        </w:tc>
        <w:tc>
          <w:tcPr>
            <w:tcW w:w="3536" w:type="dxa"/>
            <w:vAlign w:val="center"/>
          </w:tcPr>
          <w:p w14:paraId="679203DF">
            <w:pPr>
              <w:snapToGrid w:val="0"/>
              <w:spacing w:line="240" w:lineRule="auto"/>
              <w:outlineLvl w:val="1"/>
              <w:rPr>
                <w:rFonts w:hint="eastAsia" w:ascii="宋体" w:hAnsi="宋体" w:eastAsia="宋体"/>
                <w:bCs/>
                <w:color w:val="auto"/>
                <w:szCs w:val="28"/>
                <w:highlight w:val="none"/>
              </w:rPr>
            </w:pPr>
            <w:bookmarkStart w:id="72" w:name="_Toc933"/>
            <w:r>
              <w:rPr>
                <w:rFonts w:hint="eastAsia" w:ascii="宋体" w:hAnsi="宋体" w:eastAsia="宋体"/>
                <w:bCs/>
                <w:color w:val="auto"/>
                <w:szCs w:val="28"/>
                <w:highlight w:val="none"/>
              </w:rPr>
              <w:t>采购标的需实现的功能或者目标</w:t>
            </w:r>
            <w:bookmarkEnd w:id="72"/>
          </w:p>
        </w:tc>
        <w:tc>
          <w:tcPr>
            <w:tcW w:w="5404" w:type="dxa"/>
            <w:vAlign w:val="center"/>
          </w:tcPr>
          <w:p w14:paraId="5BEB0C7A">
            <w:pPr>
              <w:snapToGrid w:val="0"/>
              <w:spacing w:line="240" w:lineRule="auto"/>
              <w:outlineLvl w:val="1"/>
              <w:rPr>
                <w:rFonts w:hint="eastAsia" w:ascii="宋体" w:hAnsi="宋体" w:eastAsia="宋体"/>
                <w:bCs/>
                <w:color w:val="auto"/>
                <w:szCs w:val="28"/>
                <w:highlight w:val="none"/>
              </w:rPr>
            </w:pPr>
            <w:bookmarkStart w:id="73" w:name="_Toc30869"/>
            <w:r>
              <w:rPr>
                <w:rFonts w:hint="eastAsia" w:ascii="宋体" w:hAnsi="宋体" w:eastAsia="宋体"/>
                <w:bCs/>
                <w:color w:val="auto"/>
                <w:szCs w:val="28"/>
                <w:highlight w:val="none"/>
              </w:rPr>
              <w:t>各水司</w:t>
            </w:r>
            <w:r>
              <w:rPr>
                <w:rFonts w:hint="eastAsia" w:ascii="宋体" w:hAnsi="宋体" w:eastAsia="宋体"/>
                <w:bCs/>
                <w:color w:val="auto"/>
                <w:szCs w:val="28"/>
                <w:highlight w:val="none"/>
                <w:lang w:val="en-US" w:eastAsia="zh-CN"/>
              </w:rPr>
              <w:t>2024</w:t>
            </w:r>
            <w:r>
              <w:rPr>
                <w:rFonts w:hint="eastAsia" w:ascii="宋体" w:hAnsi="宋体" w:eastAsia="宋体"/>
                <w:bCs/>
                <w:color w:val="auto"/>
                <w:szCs w:val="28"/>
                <w:highlight w:val="none"/>
              </w:rPr>
              <w:t>年</w:t>
            </w:r>
            <w:r>
              <w:rPr>
                <w:rFonts w:hint="eastAsia" w:ascii="宋体" w:hAnsi="宋体" w:eastAsia="宋体"/>
                <w:bCs/>
                <w:color w:val="auto"/>
                <w:szCs w:val="28"/>
                <w:highlight w:val="none"/>
                <w:lang w:val="en-US" w:eastAsia="zh-CN"/>
              </w:rPr>
              <w:t>水质</w:t>
            </w:r>
            <w:r>
              <w:rPr>
                <w:rFonts w:hint="eastAsia" w:ascii="宋体" w:hAnsi="宋体" w:eastAsia="宋体"/>
                <w:bCs/>
                <w:color w:val="auto"/>
                <w:szCs w:val="28"/>
                <w:highlight w:val="none"/>
              </w:rPr>
              <w:t>处理所需。</w:t>
            </w:r>
            <w:bookmarkEnd w:id="73"/>
          </w:p>
        </w:tc>
      </w:tr>
      <w:tr w14:paraId="1427EA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675" w:type="dxa"/>
            <w:vMerge w:val="continue"/>
            <w:vAlign w:val="center"/>
          </w:tcPr>
          <w:p w14:paraId="24DFE93D">
            <w:pPr>
              <w:snapToGrid w:val="0"/>
              <w:spacing w:line="400" w:lineRule="exact"/>
              <w:jc w:val="center"/>
              <w:rPr>
                <w:rFonts w:hint="eastAsia" w:ascii="宋体" w:hAnsi="宋体" w:eastAsia="宋体"/>
                <w:b/>
                <w:color w:val="auto"/>
                <w:szCs w:val="28"/>
                <w:highlight w:val="none"/>
              </w:rPr>
            </w:pPr>
          </w:p>
        </w:tc>
        <w:tc>
          <w:tcPr>
            <w:tcW w:w="3536" w:type="dxa"/>
            <w:vAlign w:val="center"/>
          </w:tcPr>
          <w:p w14:paraId="54A97FCA">
            <w:pPr>
              <w:snapToGrid w:val="0"/>
              <w:spacing w:line="240" w:lineRule="auto"/>
              <w:outlineLvl w:val="1"/>
              <w:rPr>
                <w:rFonts w:hint="eastAsia" w:ascii="宋体" w:hAnsi="宋体" w:eastAsia="宋体"/>
                <w:bCs/>
                <w:color w:val="auto"/>
                <w:szCs w:val="28"/>
                <w:highlight w:val="none"/>
              </w:rPr>
            </w:pPr>
            <w:bookmarkStart w:id="74" w:name="_Toc21642"/>
            <w:r>
              <w:rPr>
                <w:rFonts w:hint="eastAsia" w:ascii="宋体" w:hAnsi="宋体" w:eastAsia="宋体"/>
                <w:bCs/>
                <w:color w:val="auto"/>
                <w:szCs w:val="28"/>
                <w:highlight w:val="none"/>
              </w:rPr>
              <w:t>为落实政府采购需满足的要求</w:t>
            </w:r>
            <w:bookmarkEnd w:id="74"/>
          </w:p>
        </w:tc>
        <w:tc>
          <w:tcPr>
            <w:tcW w:w="5404" w:type="dxa"/>
            <w:vAlign w:val="center"/>
          </w:tcPr>
          <w:p w14:paraId="190EFD64">
            <w:pPr>
              <w:snapToGrid w:val="0"/>
              <w:spacing w:line="240" w:lineRule="auto"/>
              <w:outlineLvl w:val="1"/>
              <w:rPr>
                <w:rFonts w:hint="eastAsia" w:ascii="宋体" w:hAnsi="宋体" w:eastAsia="宋体"/>
                <w:bCs/>
                <w:color w:val="auto"/>
                <w:szCs w:val="28"/>
                <w:highlight w:val="none"/>
              </w:rPr>
            </w:pPr>
            <w:bookmarkStart w:id="75" w:name="_Toc4942"/>
            <w:r>
              <w:rPr>
                <w:rFonts w:hint="eastAsia" w:ascii="宋体" w:hAnsi="宋体" w:eastAsia="宋体"/>
                <w:bCs/>
                <w:color w:val="auto"/>
                <w:szCs w:val="28"/>
                <w:highlight w:val="none"/>
              </w:rPr>
              <w:t>详见第一部分 招标公告。</w:t>
            </w:r>
            <w:bookmarkEnd w:id="75"/>
          </w:p>
        </w:tc>
      </w:tr>
      <w:tr w14:paraId="3BDE12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5" w:hRule="atLeast"/>
        </w:trPr>
        <w:tc>
          <w:tcPr>
            <w:tcW w:w="675" w:type="dxa"/>
            <w:vAlign w:val="center"/>
          </w:tcPr>
          <w:p w14:paraId="2CA4B694">
            <w:pPr>
              <w:snapToGrid w:val="0"/>
              <w:spacing w:line="400" w:lineRule="exact"/>
              <w:jc w:val="center"/>
              <w:outlineLvl w:val="1"/>
              <w:rPr>
                <w:rFonts w:hint="eastAsia" w:ascii="宋体" w:hAnsi="宋体" w:eastAsia="宋体"/>
                <w:b/>
                <w:color w:val="auto"/>
                <w:szCs w:val="28"/>
                <w:highlight w:val="none"/>
              </w:rPr>
            </w:pPr>
            <w:bookmarkStart w:id="76" w:name="_Toc5702"/>
            <w:r>
              <w:rPr>
                <w:rFonts w:hint="eastAsia" w:ascii="宋体" w:hAnsi="宋体" w:eastAsia="宋体"/>
                <w:b/>
                <w:color w:val="auto"/>
                <w:szCs w:val="28"/>
                <w:highlight w:val="none"/>
              </w:rPr>
              <w:t>二</w:t>
            </w:r>
            <w:bookmarkEnd w:id="76"/>
          </w:p>
        </w:tc>
        <w:tc>
          <w:tcPr>
            <w:tcW w:w="3536" w:type="dxa"/>
            <w:vAlign w:val="center"/>
          </w:tcPr>
          <w:p w14:paraId="50284F55">
            <w:pPr>
              <w:snapToGrid w:val="0"/>
              <w:spacing w:line="400" w:lineRule="exact"/>
              <w:outlineLvl w:val="1"/>
              <w:rPr>
                <w:rFonts w:hint="eastAsia" w:ascii="宋体" w:hAnsi="宋体" w:eastAsia="宋体"/>
                <w:bCs/>
                <w:color w:val="auto"/>
                <w:szCs w:val="28"/>
                <w:highlight w:val="none"/>
              </w:rPr>
            </w:pPr>
            <w:bookmarkStart w:id="77" w:name="_Toc27138"/>
            <w:r>
              <w:rPr>
                <w:rFonts w:hint="eastAsia" w:ascii="宋体" w:hAnsi="宋体" w:eastAsia="宋体"/>
                <w:bCs/>
                <w:color w:val="auto"/>
                <w:szCs w:val="28"/>
                <w:highlight w:val="none"/>
              </w:rPr>
              <w:t>采购标的需执行的国家相关标准、行业标准、地方标准或者其他标准规范</w:t>
            </w:r>
            <w:bookmarkEnd w:id="77"/>
          </w:p>
        </w:tc>
        <w:tc>
          <w:tcPr>
            <w:tcW w:w="5404" w:type="dxa"/>
            <w:vAlign w:val="center"/>
          </w:tcPr>
          <w:p w14:paraId="04E49D6D">
            <w:pPr>
              <w:snapToGrid w:val="0"/>
              <w:spacing w:line="400" w:lineRule="exact"/>
              <w:outlineLvl w:val="1"/>
              <w:rPr>
                <w:rFonts w:hint="eastAsia" w:ascii="宋体" w:hAnsi="宋体" w:eastAsia="宋体"/>
                <w:bCs/>
                <w:color w:val="auto"/>
                <w:szCs w:val="28"/>
                <w:highlight w:val="none"/>
              </w:rPr>
            </w:pPr>
            <w:bookmarkStart w:id="78" w:name="_Toc18833"/>
            <w:r>
              <w:rPr>
                <w:rFonts w:hint="eastAsia" w:ascii="宋体" w:hAnsi="宋体" w:eastAsia="宋体"/>
                <w:bCs/>
                <w:color w:val="auto"/>
                <w:szCs w:val="28"/>
                <w:highlight w:val="none"/>
              </w:rPr>
              <w:t>采购人认可的国家相关标准、行业标准、地方标准或者其他标准规范</w:t>
            </w:r>
            <w:r>
              <w:rPr>
                <w:rFonts w:hint="eastAsia" w:ascii="宋体" w:hAnsi="宋体" w:eastAsia="宋体"/>
                <w:color w:val="auto"/>
                <w:szCs w:val="21"/>
                <w:highlight w:val="none"/>
              </w:rPr>
              <w:t>。</w:t>
            </w:r>
            <w:bookmarkEnd w:id="78"/>
          </w:p>
        </w:tc>
      </w:tr>
      <w:tr w14:paraId="261D45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675" w:type="dxa"/>
            <w:vAlign w:val="center"/>
          </w:tcPr>
          <w:p w14:paraId="4CC93A0F">
            <w:pPr>
              <w:snapToGrid w:val="0"/>
              <w:spacing w:line="400" w:lineRule="exact"/>
              <w:jc w:val="center"/>
              <w:outlineLvl w:val="1"/>
              <w:rPr>
                <w:rFonts w:hint="eastAsia" w:ascii="宋体" w:hAnsi="宋体" w:eastAsia="宋体"/>
                <w:b/>
                <w:color w:val="auto"/>
                <w:szCs w:val="28"/>
                <w:highlight w:val="none"/>
              </w:rPr>
            </w:pPr>
            <w:bookmarkStart w:id="79" w:name="_Toc2188"/>
            <w:r>
              <w:rPr>
                <w:rFonts w:hint="eastAsia" w:ascii="宋体" w:hAnsi="宋体" w:eastAsia="宋体"/>
                <w:b/>
                <w:color w:val="auto"/>
                <w:szCs w:val="28"/>
                <w:highlight w:val="none"/>
              </w:rPr>
              <w:t>三</w:t>
            </w:r>
            <w:bookmarkEnd w:id="79"/>
          </w:p>
        </w:tc>
        <w:tc>
          <w:tcPr>
            <w:tcW w:w="3536" w:type="dxa"/>
            <w:vAlign w:val="center"/>
          </w:tcPr>
          <w:p w14:paraId="339904C6">
            <w:pPr>
              <w:snapToGrid w:val="0"/>
              <w:spacing w:line="400" w:lineRule="exact"/>
              <w:outlineLvl w:val="1"/>
              <w:rPr>
                <w:rFonts w:hint="eastAsia" w:ascii="宋体" w:hAnsi="宋体" w:eastAsia="宋体"/>
                <w:bCs/>
                <w:color w:val="auto"/>
                <w:szCs w:val="28"/>
                <w:highlight w:val="none"/>
              </w:rPr>
            </w:pPr>
            <w:bookmarkStart w:id="80" w:name="_Toc10451"/>
            <w:r>
              <w:rPr>
                <w:rFonts w:hint="eastAsia" w:ascii="宋体" w:hAnsi="宋体" w:eastAsia="宋体"/>
                <w:bCs/>
                <w:color w:val="auto"/>
                <w:szCs w:val="28"/>
                <w:highlight w:val="none"/>
              </w:rPr>
              <w:t>采购标的需满足的质量、安全、技术规格、物理特性等要求</w:t>
            </w:r>
            <w:bookmarkEnd w:id="80"/>
          </w:p>
        </w:tc>
        <w:tc>
          <w:tcPr>
            <w:tcW w:w="5404" w:type="dxa"/>
            <w:vAlign w:val="center"/>
          </w:tcPr>
          <w:p w14:paraId="4EFB4A0A">
            <w:pPr>
              <w:snapToGrid w:val="0"/>
              <w:spacing w:line="400" w:lineRule="exact"/>
              <w:outlineLvl w:val="1"/>
              <w:rPr>
                <w:rFonts w:hint="eastAsia" w:ascii="宋体" w:hAnsi="宋体" w:eastAsia="宋体"/>
                <w:bCs/>
                <w:color w:val="auto"/>
                <w:szCs w:val="28"/>
                <w:highlight w:val="none"/>
              </w:rPr>
            </w:pPr>
            <w:bookmarkStart w:id="81" w:name="_Toc3526"/>
            <w:r>
              <w:rPr>
                <w:rFonts w:hint="eastAsia" w:ascii="宋体" w:hAnsi="宋体" w:eastAsia="宋体"/>
                <w:bCs/>
                <w:color w:val="auto"/>
                <w:szCs w:val="28"/>
                <w:highlight w:val="none"/>
              </w:rPr>
              <w:t>详见第三部分 采购需求 第一条。</w:t>
            </w:r>
            <w:bookmarkEnd w:id="81"/>
          </w:p>
        </w:tc>
      </w:tr>
      <w:tr w14:paraId="221360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675" w:type="dxa"/>
            <w:vAlign w:val="center"/>
          </w:tcPr>
          <w:p w14:paraId="2C235C36">
            <w:pPr>
              <w:snapToGrid w:val="0"/>
              <w:spacing w:line="400" w:lineRule="exact"/>
              <w:jc w:val="center"/>
              <w:outlineLvl w:val="1"/>
              <w:rPr>
                <w:rFonts w:hint="eastAsia" w:ascii="宋体" w:hAnsi="宋体" w:eastAsia="宋体"/>
                <w:bCs/>
                <w:color w:val="auto"/>
                <w:szCs w:val="28"/>
                <w:highlight w:val="none"/>
              </w:rPr>
            </w:pPr>
            <w:bookmarkStart w:id="82" w:name="_Toc13643"/>
            <w:r>
              <w:rPr>
                <w:rFonts w:hint="eastAsia" w:ascii="宋体" w:hAnsi="宋体" w:eastAsia="宋体"/>
                <w:bCs/>
                <w:color w:val="auto"/>
                <w:szCs w:val="28"/>
                <w:highlight w:val="none"/>
              </w:rPr>
              <w:t>四</w:t>
            </w:r>
            <w:bookmarkEnd w:id="82"/>
          </w:p>
        </w:tc>
        <w:tc>
          <w:tcPr>
            <w:tcW w:w="3536" w:type="dxa"/>
            <w:vAlign w:val="center"/>
          </w:tcPr>
          <w:p w14:paraId="7E464ECD">
            <w:pPr>
              <w:snapToGrid w:val="0"/>
              <w:spacing w:line="400" w:lineRule="exact"/>
              <w:outlineLvl w:val="1"/>
              <w:rPr>
                <w:rFonts w:hint="eastAsia" w:ascii="宋体" w:hAnsi="宋体" w:eastAsia="宋体"/>
                <w:bCs/>
                <w:color w:val="auto"/>
                <w:szCs w:val="28"/>
                <w:highlight w:val="none"/>
              </w:rPr>
            </w:pPr>
            <w:bookmarkStart w:id="83" w:name="_Toc1170"/>
            <w:r>
              <w:rPr>
                <w:rFonts w:hint="eastAsia" w:ascii="宋体" w:hAnsi="宋体" w:eastAsia="宋体"/>
                <w:bCs/>
                <w:color w:val="auto"/>
                <w:szCs w:val="28"/>
                <w:highlight w:val="none"/>
              </w:rPr>
              <w:t>采购标的数量、采购项目交付或者实施的时间和地点</w:t>
            </w:r>
            <w:bookmarkEnd w:id="83"/>
          </w:p>
        </w:tc>
        <w:tc>
          <w:tcPr>
            <w:tcW w:w="5404" w:type="dxa"/>
            <w:vAlign w:val="center"/>
          </w:tcPr>
          <w:p w14:paraId="7D4522E5">
            <w:pPr>
              <w:snapToGrid w:val="0"/>
              <w:spacing w:line="400" w:lineRule="exact"/>
              <w:outlineLvl w:val="1"/>
              <w:rPr>
                <w:rFonts w:hint="eastAsia" w:ascii="宋体" w:hAnsi="宋体" w:eastAsia="宋体"/>
                <w:bCs/>
                <w:color w:val="auto"/>
                <w:szCs w:val="28"/>
                <w:highlight w:val="none"/>
              </w:rPr>
            </w:pPr>
            <w:bookmarkStart w:id="84" w:name="_Toc10855"/>
            <w:r>
              <w:rPr>
                <w:rFonts w:hint="eastAsia" w:ascii="宋体" w:hAnsi="宋体" w:eastAsia="宋体"/>
                <w:bCs/>
                <w:color w:val="auto"/>
                <w:szCs w:val="28"/>
                <w:highlight w:val="none"/>
              </w:rPr>
              <w:t>采购标的数量、实施的时间（即合同履约期限）：详见第一部分 招标公告。</w:t>
            </w:r>
            <w:bookmarkEnd w:id="84"/>
          </w:p>
          <w:p w14:paraId="16C5B21E">
            <w:pPr>
              <w:snapToGrid w:val="0"/>
              <w:spacing w:line="400" w:lineRule="exact"/>
              <w:outlineLvl w:val="1"/>
              <w:rPr>
                <w:rFonts w:hint="eastAsia" w:ascii="宋体" w:hAnsi="宋体" w:eastAsia="宋体"/>
                <w:color w:val="auto"/>
                <w:szCs w:val="21"/>
                <w:highlight w:val="none"/>
              </w:rPr>
            </w:pPr>
            <w:bookmarkStart w:id="85" w:name="_Toc3676"/>
            <w:r>
              <w:rPr>
                <w:rFonts w:hint="eastAsia" w:ascii="宋体" w:hAnsi="宋体" w:eastAsia="宋体"/>
                <w:color w:val="auto"/>
                <w:szCs w:val="21"/>
                <w:highlight w:val="none"/>
              </w:rPr>
              <w:t>实施的地点：采购人指定地点。</w:t>
            </w:r>
            <w:bookmarkEnd w:id="85"/>
          </w:p>
        </w:tc>
      </w:tr>
      <w:tr w14:paraId="7B4E9C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675" w:type="dxa"/>
            <w:vAlign w:val="center"/>
          </w:tcPr>
          <w:p w14:paraId="575CB320">
            <w:pPr>
              <w:snapToGrid w:val="0"/>
              <w:spacing w:line="400" w:lineRule="exact"/>
              <w:jc w:val="center"/>
              <w:outlineLvl w:val="1"/>
              <w:rPr>
                <w:rFonts w:hint="eastAsia" w:ascii="宋体" w:hAnsi="宋体" w:eastAsia="宋体"/>
                <w:bCs/>
                <w:color w:val="auto"/>
                <w:szCs w:val="28"/>
                <w:highlight w:val="none"/>
              </w:rPr>
            </w:pPr>
            <w:bookmarkStart w:id="86" w:name="_Toc28882"/>
            <w:r>
              <w:rPr>
                <w:rFonts w:hint="eastAsia" w:ascii="宋体" w:hAnsi="宋体" w:eastAsia="宋体"/>
                <w:bCs/>
                <w:color w:val="auto"/>
                <w:szCs w:val="28"/>
                <w:highlight w:val="none"/>
              </w:rPr>
              <w:t>五</w:t>
            </w:r>
            <w:bookmarkEnd w:id="86"/>
          </w:p>
        </w:tc>
        <w:tc>
          <w:tcPr>
            <w:tcW w:w="3536" w:type="dxa"/>
            <w:vAlign w:val="center"/>
          </w:tcPr>
          <w:p w14:paraId="1AD5CE43">
            <w:pPr>
              <w:snapToGrid w:val="0"/>
              <w:spacing w:line="400" w:lineRule="exact"/>
              <w:outlineLvl w:val="1"/>
              <w:rPr>
                <w:rFonts w:hint="eastAsia" w:ascii="宋体" w:hAnsi="宋体" w:eastAsia="宋体"/>
                <w:bCs/>
                <w:color w:val="auto"/>
                <w:szCs w:val="28"/>
                <w:highlight w:val="none"/>
              </w:rPr>
            </w:pPr>
            <w:bookmarkStart w:id="87" w:name="_Toc12899"/>
            <w:r>
              <w:rPr>
                <w:rFonts w:hint="eastAsia" w:ascii="宋体" w:hAnsi="宋体" w:eastAsia="宋体"/>
                <w:bCs/>
                <w:color w:val="auto"/>
                <w:szCs w:val="28"/>
                <w:highlight w:val="none"/>
              </w:rPr>
              <w:t>采购标的需满足的服务标准、期限、效率等要求</w:t>
            </w:r>
            <w:bookmarkEnd w:id="87"/>
          </w:p>
        </w:tc>
        <w:tc>
          <w:tcPr>
            <w:tcW w:w="5404" w:type="dxa"/>
            <w:vAlign w:val="center"/>
          </w:tcPr>
          <w:p w14:paraId="04D5CA76">
            <w:pPr>
              <w:snapToGrid w:val="0"/>
              <w:spacing w:line="400" w:lineRule="exact"/>
              <w:outlineLvl w:val="1"/>
              <w:rPr>
                <w:rFonts w:hint="eastAsia" w:ascii="宋体" w:hAnsi="宋体" w:eastAsia="宋体"/>
                <w:bCs/>
                <w:color w:val="auto"/>
                <w:szCs w:val="28"/>
                <w:highlight w:val="none"/>
              </w:rPr>
            </w:pPr>
            <w:bookmarkStart w:id="88" w:name="_Toc14086"/>
            <w:r>
              <w:rPr>
                <w:rFonts w:hint="eastAsia" w:ascii="宋体" w:hAnsi="宋体" w:eastAsia="宋体"/>
                <w:bCs/>
                <w:color w:val="auto"/>
                <w:szCs w:val="28"/>
                <w:highlight w:val="none"/>
              </w:rPr>
              <w:t>详见第三部分 采购需求 第二条。</w:t>
            </w:r>
            <w:bookmarkEnd w:id="88"/>
          </w:p>
        </w:tc>
      </w:tr>
      <w:tr w14:paraId="2569D5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675" w:type="dxa"/>
            <w:vAlign w:val="center"/>
          </w:tcPr>
          <w:p w14:paraId="540C1FCC">
            <w:pPr>
              <w:snapToGrid w:val="0"/>
              <w:spacing w:line="400" w:lineRule="exact"/>
              <w:jc w:val="center"/>
              <w:outlineLvl w:val="1"/>
              <w:rPr>
                <w:rFonts w:hint="eastAsia" w:ascii="宋体" w:hAnsi="宋体" w:eastAsia="宋体"/>
                <w:bCs/>
                <w:color w:val="auto"/>
                <w:szCs w:val="28"/>
                <w:highlight w:val="none"/>
              </w:rPr>
            </w:pPr>
            <w:bookmarkStart w:id="89" w:name="_Toc137"/>
            <w:r>
              <w:rPr>
                <w:rFonts w:hint="eastAsia" w:ascii="宋体" w:hAnsi="宋体" w:eastAsia="宋体"/>
                <w:bCs/>
                <w:color w:val="auto"/>
                <w:szCs w:val="28"/>
                <w:highlight w:val="none"/>
              </w:rPr>
              <w:t>六</w:t>
            </w:r>
            <w:bookmarkEnd w:id="89"/>
          </w:p>
        </w:tc>
        <w:tc>
          <w:tcPr>
            <w:tcW w:w="3536" w:type="dxa"/>
            <w:vAlign w:val="center"/>
          </w:tcPr>
          <w:p w14:paraId="2B354157">
            <w:pPr>
              <w:snapToGrid w:val="0"/>
              <w:spacing w:line="400" w:lineRule="exact"/>
              <w:outlineLvl w:val="1"/>
              <w:rPr>
                <w:rFonts w:hint="eastAsia" w:ascii="宋体" w:hAnsi="宋体" w:eastAsia="宋体"/>
                <w:bCs/>
                <w:color w:val="auto"/>
                <w:szCs w:val="28"/>
                <w:highlight w:val="none"/>
              </w:rPr>
            </w:pPr>
            <w:bookmarkStart w:id="90" w:name="_Toc17257"/>
            <w:r>
              <w:rPr>
                <w:rFonts w:hint="eastAsia" w:ascii="宋体" w:hAnsi="宋体" w:eastAsia="宋体"/>
                <w:bCs/>
                <w:color w:val="auto"/>
                <w:szCs w:val="28"/>
                <w:highlight w:val="none"/>
              </w:rPr>
              <w:t>采购标的验收标准</w:t>
            </w:r>
            <w:bookmarkEnd w:id="90"/>
          </w:p>
        </w:tc>
        <w:tc>
          <w:tcPr>
            <w:tcW w:w="5404" w:type="dxa"/>
            <w:vAlign w:val="center"/>
          </w:tcPr>
          <w:p w14:paraId="422E6FA4">
            <w:pPr>
              <w:snapToGrid w:val="0"/>
              <w:spacing w:line="400" w:lineRule="exact"/>
              <w:outlineLvl w:val="1"/>
              <w:rPr>
                <w:rFonts w:hint="eastAsia" w:ascii="宋体" w:hAnsi="宋体" w:eastAsia="宋体"/>
                <w:bCs/>
                <w:color w:val="auto"/>
                <w:szCs w:val="21"/>
                <w:highlight w:val="none"/>
              </w:rPr>
            </w:pPr>
            <w:bookmarkStart w:id="91" w:name="_Toc27524"/>
            <w:r>
              <w:rPr>
                <w:rFonts w:hint="eastAsia" w:ascii="宋体" w:hAnsi="宋体" w:eastAsia="宋体"/>
                <w:bCs/>
                <w:color w:val="auto"/>
                <w:szCs w:val="21"/>
                <w:highlight w:val="none"/>
              </w:rPr>
              <w:t>按照</w:t>
            </w:r>
            <w:r>
              <w:rPr>
                <w:rFonts w:hint="eastAsia" w:ascii="宋体" w:hAnsi="宋体" w:eastAsia="宋体"/>
                <w:bCs/>
                <w:color w:val="auto"/>
                <w:szCs w:val="21"/>
                <w:highlight w:val="none"/>
                <w:lang w:eastAsia="zh-CN"/>
              </w:rPr>
              <w:t>中标供应商</w:t>
            </w:r>
            <w:r>
              <w:rPr>
                <w:rFonts w:hint="eastAsia" w:ascii="宋体" w:hAnsi="宋体" w:eastAsia="宋体"/>
                <w:bCs/>
                <w:color w:val="auto"/>
                <w:szCs w:val="21"/>
                <w:highlight w:val="none"/>
              </w:rPr>
              <w:t>提供的投标文件、</w:t>
            </w:r>
            <w:r>
              <w:rPr>
                <w:rFonts w:hint="eastAsia" w:ascii="宋体" w:hAnsi="宋体" w:eastAsia="宋体"/>
                <w:bCs/>
                <w:color w:val="auto"/>
                <w:szCs w:val="21"/>
                <w:highlight w:val="none"/>
                <w:lang w:eastAsia="zh-CN"/>
              </w:rPr>
              <w:t>中标供应商</w:t>
            </w:r>
            <w:r>
              <w:rPr>
                <w:rFonts w:hint="eastAsia" w:ascii="宋体" w:hAnsi="宋体" w:eastAsia="宋体"/>
                <w:bCs/>
                <w:color w:val="auto"/>
                <w:szCs w:val="21"/>
                <w:highlight w:val="none"/>
              </w:rPr>
              <w:t>和采购人签订的政府采购合同为标准进行验收。</w:t>
            </w:r>
            <w:bookmarkEnd w:id="91"/>
          </w:p>
        </w:tc>
      </w:tr>
      <w:tr w14:paraId="66CA6B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675" w:type="dxa"/>
            <w:vAlign w:val="center"/>
          </w:tcPr>
          <w:p w14:paraId="0EFBC12B">
            <w:pPr>
              <w:snapToGrid w:val="0"/>
              <w:jc w:val="center"/>
              <w:outlineLvl w:val="1"/>
              <w:rPr>
                <w:rFonts w:hint="eastAsia" w:ascii="宋体" w:hAnsi="宋体" w:eastAsia="宋体"/>
                <w:bCs/>
                <w:color w:val="auto"/>
                <w:szCs w:val="28"/>
                <w:highlight w:val="none"/>
              </w:rPr>
            </w:pPr>
            <w:bookmarkStart w:id="92" w:name="_Toc29745"/>
            <w:r>
              <w:rPr>
                <w:rFonts w:hint="eastAsia" w:ascii="宋体" w:hAnsi="宋体" w:eastAsia="宋体"/>
                <w:bCs/>
                <w:color w:val="auto"/>
                <w:szCs w:val="28"/>
                <w:highlight w:val="none"/>
              </w:rPr>
              <w:t>七</w:t>
            </w:r>
            <w:bookmarkEnd w:id="92"/>
          </w:p>
        </w:tc>
        <w:tc>
          <w:tcPr>
            <w:tcW w:w="3536" w:type="dxa"/>
            <w:vAlign w:val="center"/>
          </w:tcPr>
          <w:p w14:paraId="2B745158">
            <w:pPr>
              <w:snapToGrid w:val="0"/>
              <w:spacing w:line="240" w:lineRule="auto"/>
              <w:outlineLvl w:val="1"/>
              <w:rPr>
                <w:rFonts w:hint="eastAsia" w:ascii="宋体" w:hAnsi="宋体" w:eastAsia="宋体"/>
                <w:bCs/>
                <w:color w:val="auto"/>
                <w:szCs w:val="28"/>
                <w:highlight w:val="none"/>
              </w:rPr>
            </w:pPr>
            <w:bookmarkStart w:id="93" w:name="_Toc7580"/>
            <w:r>
              <w:rPr>
                <w:rFonts w:hint="eastAsia" w:ascii="宋体" w:hAnsi="宋体" w:eastAsia="宋体"/>
                <w:bCs/>
                <w:color w:val="auto"/>
                <w:szCs w:val="28"/>
                <w:highlight w:val="none"/>
              </w:rPr>
              <w:t>采购标的其他技术、服务等要求</w:t>
            </w:r>
            <w:bookmarkEnd w:id="93"/>
          </w:p>
        </w:tc>
        <w:tc>
          <w:tcPr>
            <w:tcW w:w="5404" w:type="dxa"/>
            <w:vAlign w:val="center"/>
          </w:tcPr>
          <w:p w14:paraId="0BB86E0C">
            <w:pPr>
              <w:snapToGrid w:val="0"/>
              <w:spacing w:line="240" w:lineRule="auto"/>
              <w:outlineLvl w:val="1"/>
              <w:rPr>
                <w:rFonts w:hint="eastAsia" w:ascii="宋体" w:hAnsi="宋体" w:eastAsia="宋体"/>
                <w:bCs/>
                <w:color w:val="auto"/>
                <w:szCs w:val="28"/>
                <w:highlight w:val="none"/>
              </w:rPr>
            </w:pPr>
            <w:bookmarkStart w:id="94" w:name="_Toc17330"/>
            <w:r>
              <w:rPr>
                <w:rFonts w:hint="eastAsia" w:ascii="宋体" w:hAnsi="宋体" w:eastAsia="宋体"/>
                <w:bCs/>
                <w:color w:val="auto"/>
                <w:szCs w:val="28"/>
                <w:highlight w:val="none"/>
              </w:rPr>
              <w:t>详见第三部分 采购需求 第三条。</w:t>
            </w:r>
            <w:bookmarkEnd w:id="94"/>
          </w:p>
        </w:tc>
      </w:tr>
      <w:tr w14:paraId="1BCD79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675" w:type="dxa"/>
            <w:vAlign w:val="center"/>
          </w:tcPr>
          <w:p w14:paraId="686654C9">
            <w:pPr>
              <w:snapToGrid w:val="0"/>
              <w:jc w:val="center"/>
              <w:outlineLvl w:val="1"/>
              <w:rPr>
                <w:rFonts w:hint="eastAsia" w:ascii="宋体" w:hAnsi="宋体" w:eastAsia="宋体"/>
                <w:bCs/>
                <w:color w:val="auto"/>
                <w:szCs w:val="28"/>
                <w:highlight w:val="none"/>
              </w:rPr>
            </w:pPr>
            <w:bookmarkStart w:id="95" w:name="_Toc25696"/>
            <w:r>
              <w:rPr>
                <w:rFonts w:hint="eastAsia" w:ascii="宋体" w:hAnsi="宋体" w:eastAsia="宋体"/>
                <w:bCs/>
                <w:color w:val="auto"/>
                <w:szCs w:val="28"/>
                <w:highlight w:val="none"/>
              </w:rPr>
              <w:t>八</w:t>
            </w:r>
            <w:bookmarkEnd w:id="95"/>
          </w:p>
        </w:tc>
        <w:tc>
          <w:tcPr>
            <w:tcW w:w="3536" w:type="dxa"/>
            <w:vAlign w:val="center"/>
          </w:tcPr>
          <w:p w14:paraId="4871FD84">
            <w:pPr>
              <w:snapToGrid w:val="0"/>
              <w:spacing w:line="240" w:lineRule="auto"/>
              <w:outlineLvl w:val="1"/>
              <w:rPr>
                <w:rFonts w:hint="eastAsia" w:ascii="宋体" w:hAnsi="宋体" w:eastAsia="宋体"/>
                <w:bCs/>
                <w:color w:val="auto"/>
                <w:szCs w:val="28"/>
                <w:highlight w:val="none"/>
              </w:rPr>
            </w:pPr>
            <w:bookmarkStart w:id="96" w:name="_Toc7096"/>
            <w:r>
              <w:rPr>
                <w:rFonts w:hint="eastAsia" w:ascii="宋体" w:hAnsi="宋体" w:eastAsia="宋体"/>
                <w:bCs/>
                <w:color w:val="auto"/>
                <w:szCs w:val="28"/>
                <w:highlight w:val="none"/>
              </w:rPr>
              <w:t>核心产品</w:t>
            </w:r>
            <w:bookmarkEnd w:id="96"/>
          </w:p>
        </w:tc>
        <w:tc>
          <w:tcPr>
            <w:tcW w:w="5404" w:type="dxa"/>
            <w:vAlign w:val="center"/>
          </w:tcPr>
          <w:p w14:paraId="2042464C">
            <w:pPr>
              <w:snapToGrid w:val="0"/>
              <w:spacing w:line="240" w:lineRule="auto"/>
              <w:outlineLvl w:val="1"/>
              <w:rPr>
                <w:rFonts w:hint="eastAsia" w:ascii="宋体" w:hAnsi="宋体" w:eastAsia="宋体"/>
                <w:bCs/>
                <w:color w:val="auto"/>
                <w:szCs w:val="28"/>
                <w:highlight w:val="none"/>
              </w:rPr>
            </w:pPr>
            <w:bookmarkStart w:id="97" w:name="_Toc29429"/>
            <w:r>
              <w:rPr>
                <w:rFonts w:hint="eastAsia" w:ascii="宋体" w:hAnsi="宋体" w:eastAsia="宋体"/>
                <w:bCs/>
                <w:color w:val="auto"/>
                <w:szCs w:val="28"/>
                <w:highlight w:val="none"/>
              </w:rPr>
              <w:t>详见第二部分 供应商须知 前附表。</w:t>
            </w:r>
            <w:bookmarkEnd w:id="97"/>
          </w:p>
        </w:tc>
      </w:tr>
      <w:tr w14:paraId="5E470C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675" w:type="dxa"/>
            <w:vAlign w:val="center"/>
          </w:tcPr>
          <w:p w14:paraId="20707E1F">
            <w:pPr>
              <w:snapToGrid w:val="0"/>
              <w:spacing w:line="400" w:lineRule="exact"/>
              <w:jc w:val="center"/>
              <w:outlineLvl w:val="1"/>
              <w:rPr>
                <w:rFonts w:hint="eastAsia" w:ascii="宋体" w:hAnsi="宋体" w:eastAsia="宋体"/>
                <w:bCs/>
                <w:color w:val="auto"/>
                <w:szCs w:val="28"/>
                <w:highlight w:val="none"/>
              </w:rPr>
            </w:pPr>
            <w:bookmarkStart w:id="98" w:name="_Toc22817"/>
            <w:r>
              <w:rPr>
                <w:rFonts w:hint="eastAsia" w:ascii="宋体" w:hAnsi="宋体" w:eastAsia="宋体"/>
                <w:bCs/>
                <w:color w:val="auto"/>
                <w:szCs w:val="28"/>
                <w:highlight w:val="none"/>
              </w:rPr>
              <w:t>九</w:t>
            </w:r>
            <w:bookmarkEnd w:id="98"/>
          </w:p>
        </w:tc>
        <w:tc>
          <w:tcPr>
            <w:tcW w:w="3536" w:type="dxa"/>
            <w:vAlign w:val="center"/>
          </w:tcPr>
          <w:p w14:paraId="0EEF2319">
            <w:pPr>
              <w:snapToGrid w:val="0"/>
              <w:spacing w:line="400" w:lineRule="exact"/>
              <w:outlineLvl w:val="1"/>
              <w:rPr>
                <w:rFonts w:hint="eastAsia" w:ascii="宋体" w:hAnsi="宋体" w:eastAsia="宋体"/>
                <w:color w:val="auto"/>
                <w:highlight w:val="none"/>
              </w:rPr>
            </w:pPr>
            <w:bookmarkStart w:id="99" w:name="_Toc30699"/>
            <w:r>
              <w:rPr>
                <w:rFonts w:hint="eastAsia" w:ascii="宋体" w:hAnsi="宋体" w:eastAsia="宋体"/>
                <w:color w:val="auto"/>
                <w:highlight w:val="none"/>
              </w:rPr>
              <w:t>现场踏勘</w:t>
            </w:r>
            <w:bookmarkEnd w:id="99"/>
          </w:p>
        </w:tc>
        <w:tc>
          <w:tcPr>
            <w:tcW w:w="5404" w:type="dxa"/>
            <w:vAlign w:val="center"/>
          </w:tcPr>
          <w:p w14:paraId="21935759">
            <w:pPr>
              <w:snapToGrid w:val="0"/>
              <w:spacing w:line="400" w:lineRule="exact"/>
              <w:outlineLvl w:val="1"/>
              <w:rPr>
                <w:rFonts w:hint="eastAsia" w:ascii="宋体" w:hAnsi="宋体" w:eastAsia="宋体"/>
                <w:color w:val="auto"/>
                <w:highlight w:val="none"/>
              </w:rPr>
            </w:pPr>
            <w:bookmarkStart w:id="100" w:name="_Toc10448"/>
            <w:r>
              <w:rPr>
                <w:rFonts w:hint="eastAsia" w:ascii="宋体" w:hAnsi="宋体" w:eastAsia="宋体"/>
                <w:color w:val="auto"/>
                <w:highlight w:val="none"/>
              </w:rPr>
              <w:t>本项目各潜在供应商宜至项目地点进行现场踏勘</w:t>
            </w:r>
            <w:r>
              <w:rPr>
                <w:rFonts w:hint="eastAsia" w:ascii="宋体" w:hAnsi="宋体" w:eastAsia="宋体"/>
                <w:color w:val="auto"/>
                <w:szCs w:val="21"/>
                <w:highlight w:val="none"/>
              </w:rPr>
              <w:t>以充分了解项目位置、情况、道路、及任何其他足以影响本次报价的情况，任何因忽视或误解项目现场实际情况而导致的增加费用、索赔或期限延长申请将不获批准。</w:t>
            </w:r>
            <w:bookmarkEnd w:id="100"/>
          </w:p>
        </w:tc>
      </w:tr>
      <w:tr w14:paraId="4F7C92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675" w:type="dxa"/>
            <w:vAlign w:val="center"/>
          </w:tcPr>
          <w:p w14:paraId="0C2A7E17">
            <w:pPr>
              <w:snapToGrid w:val="0"/>
              <w:jc w:val="center"/>
              <w:outlineLvl w:val="1"/>
              <w:rPr>
                <w:rFonts w:hint="eastAsia" w:ascii="宋体" w:hAnsi="宋体" w:eastAsia="宋体"/>
                <w:bCs/>
                <w:color w:val="auto"/>
                <w:szCs w:val="28"/>
                <w:highlight w:val="none"/>
              </w:rPr>
            </w:pPr>
            <w:bookmarkStart w:id="101" w:name="_Toc10948"/>
            <w:r>
              <w:rPr>
                <w:rFonts w:hint="eastAsia" w:ascii="宋体" w:hAnsi="宋体" w:eastAsia="宋体"/>
                <w:bCs/>
                <w:color w:val="auto"/>
                <w:szCs w:val="28"/>
                <w:highlight w:val="none"/>
              </w:rPr>
              <w:t>十</w:t>
            </w:r>
            <w:bookmarkEnd w:id="101"/>
          </w:p>
        </w:tc>
        <w:tc>
          <w:tcPr>
            <w:tcW w:w="3536" w:type="dxa"/>
            <w:vAlign w:val="center"/>
          </w:tcPr>
          <w:p w14:paraId="4E6D0D7C">
            <w:pPr>
              <w:snapToGrid w:val="0"/>
              <w:outlineLvl w:val="1"/>
              <w:rPr>
                <w:rFonts w:hint="eastAsia" w:ascii="宋体" w:hAnsi="宋体" w:eastAsia="宋体"/>
                <w:color w:val="auto"/>
                <w:highlight w:val="none"/>
              </w:rPr>
            </w:pPr>
            <w:bookmarkStart w:id="102" w:name="_Toc29104"/>
            <w:r>
              <w:rPr>
                <w:rFonts w:hint="eastAsia" w:ascii="宋体" w:hAnsi="宋体" w:eastAsia="宋体"/>
                <w:color w:val="auto"/>
                <w:highlight w:val="none"/>
              </w:rPr>
              <w:t>样品</w:t>
            </w:r>
            <w:bookmarkEnd w:id="102"/>
          </w:p>
        </w:tc>
        <w:tc>
          <w:tcPr>
            <w:tcW w:w="5404" w:type="dxa"/>
            <w:vAlign w:val="center"/>
          </w:tcPr>
          <w:p w14:paraId="40E09602">
            <w:pPr>
              <w:snapToGrid w:val="0"/>
              <w:outlineLvl w:val="1"/>
              <w:rPr>
                <w:rFonts w:hint="eastAsia" w:ascii="宋体" w:hAnsi="宋体" w:eastAsia="宋体"/>
                <w:bCs/>
                <w:color w:val="auto"/>
                <w:szCs w:val="28"/>
                <w:highlight w:val="none"/>
              </w:rPr>
            </w:pPr>
            <w:bookmarkStart w:id="103" w:name="_Toc22150"/>
            <w:r>
              <w:rPr>
                <w:rFonts w:hint="eastAsia" w:ascii="宋体" w:hAnsi="宋体" w:eastAsia="宋体"/>
                <w:bCs/>
                <w:color w:val="auto"/>
                <w:szCs w:val="28"/>
                <w:highlight w:val="none"/>
              </w:rPr>
              <w:t>详见第二部分 供应商须知 前附表。</w:t>
            </w:r>
            <w:bookmarkEnd w:id="103"/>
          </w:p>
        </w:tc>
      </w:tr>
    </w:tbl>
    <w:p w14:paraId="79B8D087">
      <w:pPr>
        <w:snapToGrid w:val="0"/>
        <w:spacing w:before="120" w:after="120" w:line="360" w:lineRule="auto"/>
        <w:jc w:val="center"/>
        <w:rPr>
          <w:rFonts w:hint="eastAsia" w:ascii="宋体" w:hAnsi="宋体" w:eastAsia="宋体"/>
          <w:b/>
          <w:color w:val="auto"/>
          <w:szCs w:val="28"/>
          <w:highlight w:val="none"/>
        </w:rPr>
      </w:pPr>
    </w:p>
    <w:p w14:paraId="0B1BC47F">
      <w:pPr>
        <w:pStyle w:val="39"/>
        <w:ind w:firstLine="0" w:firstLineChars="0"/>
        <w:rPr>
          <w:rFonts w:hint="eastAsia" w:ascii="宋体" w:hAnsi="宋体" w:eastAsia="宋体"/>
          <w:color w:val="auto"/>
          <w:highlight w:val="none"/>
        </w:rPr>
      </w:pPr>
    </w:p>
    <w:p w14:paraId="1A36FA00">
      <w:pPr>
        <w:snapToGrid w:val="0"/>
        <w:spacing w:line="360" w:lineRule="auto"/>
        <w:ind w:firstLine="420" w:firstLineChars="200"/>
        <w:jc w:val="left"/>
        <w:outlineLvl w:val="1"/>
        <w:rPr>
          <w:rFonts w:hint="eastAsia" w:ascii="宋体" w:hAnsi="宋体" w:eastAsia="宋体"/>
          <w:color w:val="auto"/>
          <w:szCs w:val="21"/>
          <w:highlight w:val="none"/>
        </w:rPr>
      </w:pPr>
    </w:p>
    <w:p w14:paraId="0C9E5D4C">
      <w:pPr>
        <w:numPr>
          <w:ilvl w:val="0"/>
          <w:numId w:val="33"/>
        </w:numPr>
        <w:snapToGrid w:val="0"/>
        <w:spacing w:line="360" w:lineRule="auto"/>
        <w:ind w:left="0" w:firstLine="0"/>
        <w:jc w:val="left"/>
        <w:outlineLvl w:val="1"/>
        <w:rPr>
          <w:rFonts w:hint="eastAsia" w:ascii="宋体" w:hAnsi="宋体" w:eastAsia="宋体"/>
          <w:b/>
          <w:color w:val="auto"/>
          <w:szCs w:val="21"/>
          <w:highlight w:val="none"/>
        </w:rPr>
      </w:pPr>
      <w:r>
        <w:rPr>
          <w:rFonts w:hint="eastAsia" w:ascii="宋体" w:hAnsi="宋体" w:eastAsia="宋体"/>
          <w:b/>
          <w:color w:val="auto"/>
          <w:szCs w:val="21"/>
          <w:highlight w:val="none"/>
        </w:rPr>
        <w:br w:type="page"/>
      </w:r>
      <w:bookmarkStart w:id="104" w:name="_Toc23397"/>
      <w:r>
        <w:rPr>
          <w:rFonts w:hint="eastAsia" w:ascii="宋体" w:hAnsi="宋体" w:eastAsia="宋体"/>
          <w:b/>
          <w:color w:val="auto"/>
          <w:szCs w:val="21"/>
          <w:highlight w:val="none"/>
        </w:rPr>
        <w:t>采购标的需满足的质量、安全、技术规格、物理特性等要求</w:t>
      </w:r>
      <w:bookmarkEnd w:id="104"/>
    </w:p>
    <w:p w14:paraId="3E5791A6">
      <w:pPr>
        <w:numPr>
          <w:ilvl w:val="0"/>
          <w:numId w:val="0"/>
        </w:numPr>
        <w:tabs>
          <w:tab w:val="left" w:pos="0"/>
        </w:tabs>
        <w:snapToGrid w:val="0"/>
        <w:spacing w:line="240" w:lineRule="auto"/>
        <w:ind w:left="400" w:leftChars="0"/>
        <w:rPr>
          <w:rFonts w:hint="eastAsia" w:ascii="宋体" w:hAnsi="宋体" w:eastAsia="宋体"/>
          <w:b/>
          <w:color w:val="auto"/>
          <w:szCs w:val="28"/>
          <w:highlight w:val="none"/>
          <w:lang w:val="en-US" w:eastAsia="zh-CN"/>
        </w:rPr>
      </w:pPr>
      <w:r>
        <w:rPr>
          <w:rFonts w:hint="eastAsia" w:ascii="宋体" w:hAnsi="宋体" w:eastAsia="宋体"/>
          <w:b/>
          <w:color w:val="auto"/>
          <w:szCs w:val="28"/>
          <w:highlight w:val="none"/>
          <w:lang w:val="en-US" w:eastAsia="zh-CN"/>
        </w:rPr>
        <w:t>（一）采购</w:t>
      </w:r>
      <w:r>
        <w:rPr>
          <w:rFonts w:hint="eastAsia" w:ascii="宋体" w:hAnsi="宋体" w:eastAsia="宋体"/>
          <w:b/>
          <w:color w:val="auto"/>
          <w:szCs w:val="28"/>
          <w:highlight w:val="none"/>
        </w:rPr>
        <w:t>清单</w:t>
      </w:r>
    </w:p>
    <w:tbl>
      <w:tblPr>
        <w:tblStyle w:val="5"/>
        <w:tblW w:w="9498"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1671"/>
        <w:gridCol w:w="1538"/>
        <w:gridCol w:w="2241"/>
        <w:gridCol w:w="3354"/>
      </w:tblGrid>
      <w:tr w14:paraId="422D8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94" w:type="dxa"/>
            <w:vAlign w:val="center"/>
          </w:tcPr>
          <w:p w14:paraId="1F13572A">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b/>
                <w:bCs/>
                <w:color w:val="auto"/>
                <w:sz w:val="21"/>
                <w:szCs w:val="21"/>
                <w:highlight w:val="none"/>
                <w:shd w:val="clear" w:color="auto" w:fill="auto"/>
              </w:rPr>
            </w:pPr>
            <w:r>
              <w:rPr>
                <w:rFonts w:hint="eastAsia" w:ascii="宋体" w:hAnsi="宋体" w:eastAsia="宋体"/>
                <w:b/>
                <w:bCs/>
                <w:color w:val="auto"/>
                <w:sz w:val="21"/>
                <w:szCs w:val="21"/>
                <w:highlight w:val="none"/>
                <w:shd w:val="clear" w:color="auto" w:fill="auto"/>
              </w:rPr>
              <w:t>序号</w:t>
            </w:r>
          </w:p>
        </w:tc>
        <w:tc>
          <w:tcPr>
            <w:tcW w:w="1671" w:type="dxa"/>
            <w:vAlign w:val="center"/>
          </w:tcPr>
          <w:p w14:paraId="7E58F86B">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b/>
                <w:bCs/>
                <w:color w:val="auto"/>
                <w:sz w:val="21"/>
                <w:szCs w:val="21"/>
                <w:highlight w:val="none"/>
                <w:shd w:val="clear" w:color="auto" w:fill="auto"/>
              </w:rPr>
            </w:pPr>
            <w:r>
              <w:rPr>
                <w:rFonts w:hint="eastAsia" w:ascii="宋体" w:hAnsi="宋体" w:eastAsia="宋体"/>
                <w:b/>
                <w:bCs/>
                <w:color w:val="auto"/>
                <w:sz w:val="21"/>
                <w:szCs w:val="21"/>
                <w:highlight w:val="none"/>
                <w:shd w:val="clear" w:color="auto" w:fill="auto"/>
              </w:rPr>
              <w:t>标的名称</w:t>
            </w:r>
          </w:p>
        </w:tc>
        <w:tc>
          <w:tcPr>
            <w:tcW w:w="1538" w:type="dxa"/>
            <w:vAlign w:val="center"/>
          </w:tcPr>
          <w:p w14:paraId="50E1D0F0">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b/>
                <w:bCs/>
                <w:color w:val="auto"/>
                <w:sz w:val="21"/>
                <w:szCs w:val="21"/>
                <w:highlight w:val="none"/>
                <w:shd w:val="clear" w:color="auto" w:fill="auto"/>
              </w:rPr>
            </w:pPr>
            <w:r>
              <w:rPr>
                <w:rFonts w:hint="eastAsia" w:ascii="宋体" w:hAnsi="宋体" w:eastAsia="宋体"/>
                <w:b/>
                <w:bCs/>
                <w:color w:val="auto"/>
                <w:sz w:val="21"/>
                <w:szCs w:val="21"/>
                <w:highlight w:val="none"/>
                <w:shd w:val="clear" w:color="auto" w:fill="auto"/>
              </w:rPr>
              <w:t>暂定数量(吨)</w:t>
            </w:r>
          </w:p>
        </w:tc>
        <w:tc>
          <w:tcPr>
            <w:tcW w:w="2241" w:type="dxa"/>
            <w:vAlign w:val="center"/>
          </w:tcPr>
          <w:p w14:paraId="55675A0B">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b/>
                <w:bCs/>
                <w:color w:val="auto"/>
                <w:sz w:val="21"/>
                <w:szCs w:val="21"/>
                <w:highlight w:val="none"/>
                <w:shd w:val="clear" w:color="auto" w:fill="auto"/>
              </w:rPr>
            </w:pPr>
            <w:r>
              <w:rPr>
                <w:rFonts w:hint="eastAsia" w:ascii="宋体" w:hAnsi="宋体" w:eastAsia="宋体"/>
                <w:b/>
                <w:bCs/>
                <w:color w:val="auto"/>
                <w:sz w:val="21"/>
                <w:szCs w:val="21"/>
                <w:highlight w:val="none"/>
                <w:shd w:val="clear" w:color="auto" w:fill="auto"/>
              </w:rPr>
              <w:t>单价限价(元/吨)</w:t>
            </w:r>
          </w:p>
        </w:tc>
        <w:tc>
          <w:tcPr>
            <w:tcW w:w="3354" w:type="dxa"/>
            <w:vAlign w:val="center"/>
          </w:tcPr>
          <w:p w14:paraId="696F33C9">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b/>
                <w:bCs/>
                <w:color w:val="auto"/>
                <w:sz w:val="21"/>
                <w:szCs w:val="21"/>
                <w:highlight w:val="none"/>
                <w:shd w:val="clear" w:color="auto" w:fill="auto"/>
              </w:rPr>
            </w:pPr>
            <w:r>
              <w:rPr>
                <w:rFonts w:hint="eastAsia" w:ascii="宋体" w:hAnsi="宋体" w:eastAsia="宋体"/>
                <w:b/>
                <w:bCs/>
                <w:color w:val="auto"/>
                <w:sz w:val="21"/>
                <w:szCs w:val="21"/>
                <w:highlight w:val="none"/>
                <w:shd w:val="clear" w:color="auto" w:fill="auto"/>
              </w:rPr>
              <w:t>总价限价 (元)</w:t>
            </w:r>
          </w:p>
        </w:tc>
      </w:tr>
      <w:tr w14:paraId="67FB0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694" w:type="dxa"/>
            <w:vAlign w:val="center"/>
          </w:tcPr>
          <w:p w14:paraId="5D6C37E2">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rPr>
              <w:t>1</w:t>
            </w:r>
          </w:p>
        </w:tc>
        <w:tc>
          <w:tcPr>
            <w:tcW w:w="1671" w:type="dxa"/>
            <w:vAlign w:val="center"/>
          </w:tcPr>
          <w:p w14:paraId="01F2CF10">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olor w:val="auto"/>
                <w:sz w:val="21"/>
                <w:szCs w:val="21"/>
                <w:highlight w:val="none"/>
                <w:shd w:val="clear" w:color="auto" w:fill="auto"/>
                <w:lang w:val="en-US" w:eastAsia="zh-CN"/>
              </w:rPr>
            </w:pPr>
            <w:r>
              <w:rPr>
                <w:rFonts w:hint="eastAsia" w:ascii="宋体" w:hAnsi="宋体" w:eastAsia="宋体"/>
                <w:color w:val="auto"/>
                <w:sz w:val="21"/>
                <w:szCs w:val="21"/>
                <w:highlight w:val="none"/>
                <w:shd w:val="clear" w:color="auto" w:fill="auto"/>
                <w:lang w:val="en-US" w:eastAsia="zh-CN"/>
              </w:rPr>
              <w:t>次氯酸钠</w:t>
            </w:r>
          </w:p>
        </w:tc>
        <w:tc>
          <w:tcPr>
            <w:tcW w:w="1538" w:type="dxa"/>
            <w:vAlign w:val="center"/>
          </w:tcPr>
          <w:p w14:paraId="2B6D93EB">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olor w:val="auto"/>
                <w:sz w:val="21"/>
                <w:szCs w:val="21"/>
                <w:highlight w:val="none"/>
                <w:shd w:val="clear" w:color="auto" w:fill="auto"/>
                <w:lang w:val="en-US" w:eastAsia="zh-CN"/>
              </w:rPr>
            </w:pPr>
            <w:r>
              <w:rPr>
                <w:rFonts w:hint="eastAsia" w:ascii="宋体" w:hAnsi="宋体" w:eastAsia="宋体"/>
                <w:color w:val="auto"/>
                <w:sz w:val="21"/>
                <w:szCs w:val="21"/>
                <w:highlight w:val="none"/>
                <w:shd w:val="clear" w:color="auto" w:fill="auto"/>
                <w:lang w:val="en-US" w:eastAsia="zh-CN"/>
              </w:rPr>
              <w:t>2156</w:t>
            </w:r>
          </w:p>
        </w:tc>
        <w:tc>
          <w:tcPr>
            <w:tcW w:w="2241" w:type="dxa"/>
            <w:vAlign w:val="center"/>
          </w:tcPr>
          <w:p w14:paraId="4B48A058">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olor w:val="auto"/>
                <w:sz w:val="21"/>
                <w:szCs w:val="21"/>
                <w:highlight w:val="none"/>
                <w:shd w:val="clear" w:color="auto" w:fill="auto"/>
                <w:lang w:val="en-US" w:eastAsia="zh-CN"/>
              </w:rPr>
            </w:pPr>
            <w:r>
              <w:rPr>
                <w:rFonts w:hint="eastAsia" w:ascii="宋体" w:hAnsi="宋体" w:eastAsia="宋体"/>
                <w:color w:val="auto"/>
                <w:sz w:val="21"/>
                <w:szCs w:val="21"/>
                <w:highlight w:val="none"/>
                <w:shd w:val="clear" w:color="auto" w:fill="auto"/>
                <w:lang w:val="en-US" w:eastAsia="zh-CN"/>
              </w:rPr>
              <w:t>9</w:t>
            </w:r>
            <w:r>
              <w:rPr>
                <w:rFonts w:hint="eastAsia" w:ascii="宋体" w:hAnsi="宋体"/>
                <w:color w:val="auto"/>
                <w:sz w:val="21"/>
                <w:szCs w:val="21"/>
                <w:highlight w:val="none"/>
                <w:shd w:val="clear" w:color="auto" w:fill="auto"/>
                <w:lang w:val="en-US" w:eastAsia="zh-CN"/>
              </w:rPr>
              <w:t>0</w:t>
            </w:r>
            <w:r>
              <w:rPr>
                <w:rFonts w:hint="eastAsia" w:ascii="宋体" w:hAnsi="宋体" w:eastAsia="宋体"/>
                <w:color w:val="auto"/>
                <w:sz w:val="21"/>
                <w:szCs w:val="21"/>
                <w:highlight w:val="none"/>
                <w:shd w:val="clear" w:color="auto" w:fill="auto"/>
                <w:lang w:val="en-US" w:eastAsia="zh-CN"/>
              </w:rPr>
              <w:t>0</w:t>
            </w:r>
          </w:p>
        </w:tc>
        <w:tc>
          <w:tcPr>
            <w:tcW w:w="3354" w:type="dxa"/>
            <w:vAlign w:val="center"/>
          </w:tcPr>
          <w:p w14:paraId="02CF8426">
            <w:pPr>
              <w:keepNext w:val="0"/>
              <w:keepLines w:val="0"/>
              <w:pageBreakBefore w:val="0"/>
              <w:widowControl/>
              <w:kinsoku/>
              <w:wordWrap/>
              <w:overflowPunct/>
              <w:topLinePunct w:val="0"/>
              <w:autoSpaceDE/>
              <w:autoSpaceDN/>
              <w:bidi w:val="0"/>
              <w:snapToGrid w:val="0"/>
              <w:spacing w:line="240" w:lineRule="auto"/>
              <w:jc w:val="center"/>
              <w:rPr>
                <w:rFonts w:hint="default" w:ascii="宋体" w:hAnsi="宋体" w:eastAsia="宋体"/>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lang w:val="en-US" w:eastAsia="zh-CN"/>
              </w:rPr>
              <w:t>1940400</w:t>
            </w:r>
          </w:p>
        </w:tc>
      </w:tr>
      <w:tr w14:paraId="6FA7D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694" w:type="dxa"/>
            <w:vAlign w:val="center"/>
          </w:tcPr>
          <w:p w14:paraId="73D0C32F">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olor w:val="auto"/>
                <w:sz w:val="21"/>
                <w:szCs w:val="21"/>
                <w:highlight w:val="none"/>
                <w:shd w:val="clear" w:color="auto" w:fill="auto"/>
                <w:lang w:val="en-US" w:eastAsia="zh-CN"/>
              </w:rPr>
            </w:pPr>
            <w:r>
              <w:rPr>
                <w:rFonts w:hint="eastAsia" w:ascii="宋体" w:hAnsi="宋体" w:eastAsia="宋体"/>
                <w:color w:val="auto"/>
                <w:sz w:val="21"/>
                <w:szCs w:val="21"/>
                <w:highlight w:val="none"/>
                <w:shd w:val="clear" w:color="auto" w:fill="auto"/>
                <w:lang w:val="en-US" w:eastAsia="zh-CN"/>
              </w:rPr>
              <w:t>2</w:t>
            </w:r>
          </w:p>
        </w:tc>
        <w:tc>
          <w:tcPr>
            <w:tcW w:w="1671" w:type="dxa"/>
            <w:vAlign w:val="center"/>
          </w:tcPr>
          <w:p w14:paraId="45CDCE6D">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olor w:val="auto"/>
                <w:sz w:val="21"/>
                <w:szCs w:val="21"/>
                <w:highlight w:val="none"/>
                <w:shd w:val="clear" w:color="auto" w:fill="auto"/>
                <w:lang w:val="en-US" w:eastAsia="zh-CN"/>
              </w:rPr>
            </w:pPr>
            <w:r>
              <w:rPr>
                <w:rFonts w:hint="eastAsia" w:ascii="宋体" w:hAnsi="宋体" w:eastAsia="宋体"/>
                <w:color w:val="auto"/>
                <w:sz w:val="21"/>
                <w:szCs w:val="21"/>
                <w:highlight w:val="none"/>
                <w:shd w:val="clear" w:color="auto" w:fill="auto"/>
                <w:lang w:val="en-US" w:eastAsia="zh-CN"/>
              </w:rPr>
              <w:t>氢氧化钠</w:t>
            </w:r>
          </w:p>
        </w:tc>
        <w:tc>
          <w:tcPr>
            <w:tcW w:w="1538" w:type="dxa"/>
            <w:vAlign w:val="center"/>
          </w:tcPr>
          <w:p w14:paraId="0F97F6C5">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olor w:val="auto"/>
                <w:sz w:val="21"/>
                <w:szCs w:val="21"/>
                <w:highlight w:val="none"/>
                <w:shd w:val="clear" w:color="auto" w:fill="auto"/>
                <w:lang w:val="en-US" w:eastAsia="zh-CN"/>
              </w:rPr>
            </w:pPr>
            <w:r>
              <w:rPr>
                <w:rFonts w:hint="eastAsia" w:ascii="宋体" w:hAnsi="宋体" w:eastAsia="宋体"/>
                <w:color w:val="auto"/>
                <w:sz w:val="21"/>
                <w:szCs w:val="21"/>
                <w:highlight w:val="none"/>
                <w:shd w:val="clear" w:color="auto" w:fill="auto"/>
                <w:lang w:val="en-US" w:eastAsia="zh-CN"/>
              </w:rPr>
              <w:t>174</w:t>
            </w:r>
          </w:p>
        </w:tc>
        <w:tc>
          <w:tcPr>
            <w:tcW w:w="2241" w:type="dxa"/>
            <w:vAlign w:val="center"/>
          </w:tcPr>
          <w:p w14:paraId="7A94C1BC">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olor w:val="auto"/>
                <w:sz w:val="21"/>
                <w:szCs w:val="21"/>
                <w:highlight w:val="none"/>
                <w:shd w:val="clear" w:color="auto" w:fill="auto"/>
                <w:lang w:val="en-US" w:eastAsia="zh-CN"/>
              </w:rPr>
            </w:pPr>
            <w:r>
              <w:rPr>
                <w:rFonts w:hint="eastAsia" w:ascii="宋体" w:hAnsi="宋体" w:eastAsia="宋体"/>
                <w:color w:val="auto"/>
                <w:sz w:val="21"/>
                <w:szCs w:val="21"/>
                <w:highlight w:val="none"/>
                <w:shd w:val="clear" w:color="auto" w:fill="auto"/>
                <w:lang w:val="en-US" w:eastAsia="zh-CN"/>
              </w:rPr>
              <w:t>1300</w:t>
            </w:r>
          </w:p>
        </w:tc>
        <w:tc>
          <w:tcPr>
            <w:tcW w:w="3354" w:type="dxa"/>
            <w:vAlign w:val="center"/>
          </w:tcPr>
          <w:p w14:paraId="0DD6DC16">
            <w:pPr>
              <w:keepNext w:val="0"/>
              <w:keepLines w:val="0"/>
              <w:pageBreakBefore w:val="0"/>
              <w:widowControl/>
              <w:kinsoku/>
              <w:wordWrap/>
              <w:overflowPunct/>
              <w:topLinePunct w:val="0"/>
              <w:autoSpaceDE/>
              <w:autoSpaceDN/>
              <w:bidi w:val="0"/>
              <w:snapToGrid w:val="0"/>
              <w:spacing w:line="240" w:lineRule="auto"/>
              <w:jc w:val="center"/>
              <w:rPr>
                <w:rFonts w:hint="default" w:ascii="宋体" w:hAnsi="宋体" w:eastAsia="宋体"/>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lang w:val="en-US" w:eastAsia="zh-CN"/>
              </w:rPr>
              <w:t>226200</w:t>
            </w:r>
          </w:p>
        </w:tc>
      </w:tr>
      <w:tr w14:paraId="5074F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6144" w:type="dxa"/>
            <w:gridSpan w:val="4"/>
            <w:vAlign w:val="center"/>
          </w:tcPr>
          <w:p w14:paraId="61890975">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olor w:val="auto"/>
                <w:sz w:val="21"/>
                <w:szCs w:val="21"/>
                <w:highlight w:val="none"/>
                <w:shd w:val="clear" w:color="auto" w:fill="auto"/>
                <w:lang w:val="en-US" w:eastAsia="zh-CN"/>
              </w:rPr>
            </w:pPr>
            <w:r>
              <w:rPr>
                <w:rFonts w:hint="eastAsia" w:ascii="宋体" w:hAnsi="宋体" w:eastAsia="宋体"/>
                <w:color w:val="auto"/>
                <w:sz w:val="21"/>
                <w:szCs w:val="21"/>
                <w:highlight w:val="none"/>
                <w:shd w:val="clear" w:color="auto" w:fill="auto"/>
                <w:lang w:val="en-US" w:eastAsia="zh-CN"/>
              </w:rPr>
              <w:t>合计</w:t>
            </w:r>
          </w:p>
        </w:tc>
        <w:tc>
          <w:tcPr>
            <w:tcW w:w="3354" w:type="dxa"/>
            <w:vAlign w:val="center"/>
          </w:tcPr>
          <w:p w14:paraId="3D0DF401">
            <w:pPr>
              <w:keepNext w:val="0"/>
              <w:keepLines w:val="0"/>
              <w:pageBreakBefore w:val="0"/>
              <w:widowControl/>
              <w:kinsoku/>
              <w:wordWrap/>
              <w:overflowPunct/>
              <w:topLinePunct w:val="0"/>
              <w:autoSpaceDE/>
              <w:autoSpaceDN/>
              <w:bidi w:val="0"/>
              <w:snapToGrid w:val="0"/>
              <w:spacing w:line="240" w:lineRule="auto"/>
              <w:jc w:val="center"/>
              <w:rPr>
                <w:rFonts w:hint="default" w:ascii="宋体" w:hAnsi="宋体" w:eastAsia="宋体"/>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lang w:val="en-US" w:eastAsia="zh-CN"/>
              </w:rPr>
              <w:t>2166600</w:t>
            </w:r>
          </w:p>
        </w:tc>
      </w:tr>
    </w:tbl>
    <w:p w14:paraId="39B1B628">
      <w:pPr>
        <w:numPr>
          <w:ilvl w:val="0"/>
          <w:numId w:val="0"/>
        </w:numPr>
        <w:tabs>
          <w:tab w:val="left" w:pos="0"/>
        </w:tabs>
        <w:snapToGrid w:val="0"/>
        <w:spacing w:line="240" w:lineRule="auto"/>
        <w:ind w:left="400" w:leftChars="0"/>
        <w:rPr>
          <w:rFonts w:hint="eastAsia" w:ascii="宋体" w:hAnsi="宋体" w:eastAsia="宋体"/>
          <w:b/>
          <w:color w:val="auto"/>
          <w:szCs w:val="28"/>
          <w:highlight w:val="none"/>
          <w:lang w:val="en-US" w:eastAsia="zh-CN"/>
        </w:rPr>
      </w:pPr>
    </w:p>
    <w:p w14:paraId="76E46528">
      <w:pPr>
        <w:numPr>
          <w:ilvl w:val="0"/>
          <w:numId w:val="0"/>
        </w:numPr>
        <w:tabs>
          <w:tab w:val="left" w:pos="0"/>
        </w:tabs>
        <w:snapToGrid w:val="0"/>
        <w:spacing w:line="240" w:lineRule="auto"/>
        <w:rPr>
          <w:rFonts w:hint="eastAsia" w:ascii="宋体" w:hAnsi="宋体" w:eastAsia="宋体"/>
          <w:b/>
          <w:color w:val="auto"/>
          <w:szCs w:val="28"/>
          <w:highlight w:val="none"/>
          <w:lang w:val="en-US" w:eastAsia="zh-CN"/>
        </w:rPr>
      </w:pPr>
    </w:p>
    <w:p w14:paraId="6E1D4663">
      <w:pPr>
        <w:numPr>
          <w:ilvl w:val="0"/>
          <w:numId w:val="0"/>
        </w:numPr>
        <w:tabs>
          <w:tab w:val="left" w:pos="0"/>
        </w:tabs>
        <w:snapToGrid w:val="0"/>
        <w:spacing w:line="240" w:lineRule="auto"/>
        <w:ind w:left="400" w:leftChars="0"/>
        <w:rPr>
          <w:rFonts w:hint="default" w:ascii="宋体" w:hAnsi="宋体" w:eastAsia="宋体"/>
          <w:b/>
          <w:color w:val="auto"/>
          <w:szCs w:val="28"/>
          <w:highlight w:val="none"/>
          <w:lang w:val="en-US" w:eastAsia="zh-CN"/>
        </w:rPr>
      </w:pPr>
      <w:r>
        <w:rPr>
          <w:rFonts w:hint="eastAsia" w:ascii="宋体" w:hAnsi="宋体" w:eastAsia="宋体"/>
          <w:b/>
          <w:color w:val="auto"/>
          <w:szCs w:val="28"/>
          <w:highlight w:val="none"/>
          <w:lang w:val="en-US" w:eastAsia="zh-CN"/>
        </w:rPr>
        <w:t>（二）各水厂需求情况</w:t>
      </w:r>
    </w:p>
    <w:tbl>
      <w:tblPr>
        <w:tblStyle w:val="5"/>
        <w:tblpPr w:leftFromText="180" w:rightFromText="180" w:vertAnchor="text" w:horzAnchor="page" w:tblpX="1115" w:tblpY="254"/>
        <w:tblOverlap w:val="never"/>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539"/>
        <w:gridCol w:w="1502"/>
        <w:gridCol w:w="1364"/>
        <w:gridCol w:w="1291"/>
        <w:gridCol w:w="1412"/>
        <w:gridCol w:w="1669"/>
      </w:tblGrid>
      <w:tr w14:paraId="176E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700" w:type="dxa"/>
            <w:noWrap/>
            <w:vAlign w:val="center"/>
          </w:tcPr>
          <w:p w14:paraId="719D85E5">
            <w:pPr>
              <w:jc w:val="center"/>
              <w:rPr>
                <w:rFonts w:hint="eastAsia" w:ascii="宋体" w:hAnsi="宋体" w:eastAsia="宋体"/>
                <w:i w:val="0"/>
                <w:iCs w:val="0"/>
                <w:color w:val="auto"/>
                <w:sz w:val="21"/>
                <w:szCs w:val="21"/>
                <w:highlight w:val="none"/>
                <w:u w:val="none"/>
              </w:rPr>
            </w:pPr>
          </w:p>
        </w:tc>
        <w:tc>
          <w:tcPr>
            <w:tcW w:w="1539" w:type="dxa"/>
            <w:vAlign w:val="center"/>
          </w:tcPr>
          <w:p w14:paraId="3CCE93EF">
            <w:pPr>
              <w:keepNext w:val="0"/>
              <w:keepLines w:val="0"/>
              <w:widowControl/>
              <w:suppressLineNumbers w:val="0"/>
              <w:jc w:val="center"/>
              <w:rPr>
                <w:rFonts w:hint="eastAsia" w:ascii="宋体" w:hAnsi="宋体" w:eastAsia="宋体"/>
                <w:b/>
                <w:bCs/>
                <w:i w:val="0"/>
                <w:iCs w:val="0"/>
                <w:color w:val="auto"/>
                <w:kern w:val="0"/>
                <w:sz w:val="21"/>
                <w:szCs w:val="21"/>
                <w:highlight w:val="none"/>
                <w:u w:val="none"/>
                <w:lang w:val="en-US" w:eastAsia="zh-CN" w:bidi="ar"/>
              </w:rPr>
            </w:pPr>
            <w:r>
              <w:rPr>
                <w:rFonts w:hint="eastAsia" w:ascii="宋体" w:hAnsi="宋体" w:eastAsia="宋体"/>
                <w:b/>
                <w:bCs/>
                <w:i w:val="0"/>
                <w:iCs w:val="0"/>
                <w:color w:val="auto"/>
                <w:kern w:val="0"/>
                <w:sz w:val="21"/>
                <w:szCs w:val="21"/>
                <w:highlight w:val="none"/>
                <w:u w:val="none"/>
                <w:lang w:val="en-US" w:eastAsia="zh-CN" w:bidi="ar"/>
              </w:rPr>
              <w:t>制水厂名称</w:t>
            </w:r>
          </w:p>
        </w:tc>
        <w:tc>
          <w:tcPr>
            <w:tcW w:w="1502" w:type="dxa"/>
            <w:vAlign w:val="center"/>
          </w:tcPr>
          <w:p w14:paraId="3DA3DF51">
            <w:pPr>
              <w:keepNext w:val="0"/>
              <w:keepLines w:val="0"/>
              <w:widowControl/>
              <w:suppressLineNumbers w:val="0"/>
              <w:jc w:val="center"/>
              <w:rPr>
                <w:rFonts w:hint="eastAsia" w:ascii="宋体" w:hAnsi="宋体" w:eastAsia="宋体"/>
                <w:b/>
                <w:bCs/>
                <w:i w:val="0"/>
                <w:iCs w:val="0"/>
                <w:color w:val="auto"/>
                <w:kern w:val="0"/>
                <w:sz w:val="21"/>
                <w:szCs w:val="21"/>
                <w:highlight w:val="none"/>
                <w:u w:val="none"/>
                <w:lang w:val="en-US" w:eastAsia="zh-CN" w:bidi="ar"/>
              </w:rPr>
            </w:pPr>
            <w:r>
              <w:rPr>
                <w:rFonts w:hint="eastAsia" w:ascii="宋体" w:hAnsi="宋体" w:eastAsia="宋体"/>
                <w:b/>
                <w:bCs/>
                <w:i w:val="0"/>
                <w:iCs w:val="0"/>
                <w:color w:val="auto"/>
                <w:kern w:val="0"/>
                <w:sz w:val="21"/>
                <w:szCs w:val="21"/>
                <w:highlight w:val="none"/>
                <w:u w:val="none"/>
                <w:lang w:val="en-US" w:eastAsia="zh-CN" w:bidi="ar"/>
              </w:rPr>
              <w:t>需求药剂名称</w:t>
            </w:r>
          </w:p>
        </w:tc>
        <w:tc>
          <w:tcPr>
            <w:tcW w:w="1364" w:type="dxa"/>
            <w:vAlign w:val="center"/>
          </w:tcPr>
          <w:p w14:paraId="65C22EA7">
            <w:pPr>
              <w:keepNext w:val="0"/>
              <w:keepLines w:val="0"/>
              <w:widowControl/>
              <w:suppressLineNumbers w:val="0"/>
              <w:jc w:val="center"/>
              <w:rPr>
                <w:rFonts w:hint="eastAsia" w:ascii="宋体" w:hAnsi="宋体" w:eastAsia="宋体"/>
                <w:b/>
                <w:bCs/>
                <w:i w:val="0"/>
                <w:iCs w:val="0"/>
                <w:color w:val="auto"/>
                <w:kern w:val="0"/>
                <w:sz w:val="21"/>
                <w:szCs w:val="21"/>
                <w:highlight w:val="none"/>
                <w:u w:val="none"/>
                <w:lang w:val="en-US" w:eastAsia="zh-CN" w:bidi="ar"/>
              </w:rPr>
            </w:pPr>
            <w:r>
              <w:rPr>
                <w:rFonts w:hint="eastAsia" w:ascii="宋体" w:hAnsi="宋体" w:eastAsia="宋体"/>
                <w:b/>
                <w:bCs/>
                <w:i w:val="0"/>
                <w:iCs w:val="0"/>
                <w:color w:val="auto"/>
                <w:kern w:val="0"/>
                <w:sz w:val="21"/>
                <w:szCs w:val="21"/>
                <w:highlight w:val="none"/>
                <w:u w:val="none"/>
                <w:lang w:val="en-US" w:eastAsia="zh-CN" w:bidi="ar"/>
              </w:rPr>
              <w:t>每批次进药量（吨）</w:t>
            </w:r>
          </w:p>
        </w:tc>
        <w:tc>
          <w:tcPr>
            <w:tcW w:w="1291" w:type="dxa"/>
            <w:vAlign w:val="center"/>
          </w:tcPr>
          <w:p w14:paraId="4BEBE0DB">
            <w:pPr>
              <w:keepNext w:val="0"/>
              <w:keepLines w:val="0"/>
              <w:widowControl/>
              <w:suppressLineNumbers w:val="0"/>
              <w:jc w:val="center"/>
              <w:rPr>
                <w:rFonts w:hint="eastAsia" w:ascii="宋体" w:hAnsi="宋体" w:eastAsia="宋体"/>
                <w:b/>
                <w:bCs/>
                <w:i w:val="0"/>
                <w:iCs w:val="0"/>
                <w:color w:val="auto"/>
                <w:kern w:val="0"/>
                <w:sz w:val="21"/>
                <w:szCs w:val="21"/>
                <w:highlight w:val="none"/>
                <w:u w:val="none"/>
                <w:lang w:val="en-US" w:eastAsia="zh-CN" w:bidi="ar"/>
              </w:rPr>
            </w:pPr>
            <w:r>
              <w:rPr>
                <w:rFonts w:hint="eastAsia" w:ascii="宋体" w:hAnsi="宋体" w:eastAsia="宋体"/>
                <w:b/>
                <w:bCs/>
                <w:i w:val="0"/>
                <w:iCs w:val="0"/>
                <w:color w:val="auto"/>
                <w:kern w:val="0"/>
                <w:sz w:val="21"/>
                <w:szCs w:val="21"/>
                <w:highlight w:val="none"/>
                <w:u w:val="none"/>
                <w:lang w:val="en-US" w:eastAsia="zh-CN" w:bidi="ar"/>
              </w:rPr>
              <w:t>全年需求批次</w:t>
            </w:r>
          </w:p>
        </w:tc>
        <w:tc>
          <w:tcPr>
            <w:tcW w:w="1412" w:type="dxa"/>
            <w:vAlign w:val="center"/>
          </w:tcPr>
          <w:p w14:paraId="2E32DB43">
            <w:pPr>
              <w:keepNext w:val="0"/>
              <w:keepLines w:val="0"/>
              <w:widowControl/>
              <w:suppressLineNumbers w:val="0"/>
              <w:jc w:val="center"/>
              <w:rPr>
                <w:rFonts w:hint="eastAsia" w:ascii="宋体" w:hAnsi="宋体" w:eastAsia="宋体"/>
                <w:b/>
                <w:bCs/>
                <w:i w:val="0"/>
                <w:iCs w:val="0"/>
                <w:color w:val="auto"/>
                <w:kern w:val="0"/>
                <w:sz w:val="21"/>
                <w:szCs w:val="21"/>
                <w:highlight w:val="none"/>
                <w:u w:val="none"/>
                <w:lang w:val="en-US" w:eastAsia="zh-CN" w:bidi="ar"/>
              </w:rPr>
            </w:pPr>
            <w:r>
              <w:rPr>
                <w:rFonts w:hint="eastAsia" w:ascii="宋体" w:hAnsi="宋体" w:eastAsia="宋体"/>
                <w:b/>
                <w:bCs/>
                <w:i w:val="0"/>
                <w:iCs w:val="0"/>
                <w:color w:val="auto"/>
                <w:kern w:val="0"/>
                <w:sz w:val="21"/>
                <w:szCs w:val="21"/>
                <w:highlight w:val="none"/>
                <w:u w:val="none"/>
                <w:lang w:val="en-US" w:eastAsia="zh-CN" w:bidi="ar"/>
              </w:rPr>
              <w:t>药剂年需求量（吨）</w:t>
            </w:r>
          </w:p>
        </w:tc>
        <w:tc>
          <w:tcPr>
            <w:tcW w:w="1669" w:type="dxa"/>
            <w:vAlign w:val="center"/>
          </w:tcPr>
          <w:p w14:paraId="0E682DBB">
            <w:pPr>
              <w:keepNext w:val="0"/>
              <w:keepLines w:val="0"/>
              <w:widowControl/>
              <w:suppressLineNumbers w:val="0"/>
              <w:jc w:val="center"/>
              <w:rPr>
                <w:rFonts w:hint="eastAsia" w:ascii="宋体" w:hAnsi="宋体" w:eastAsia="宋体"/>
                <w:b/>
                <w:bCs/>
                <w:i w:val="0"/>
                <w:iCs w:val="0"/>
                <w:color w:val="auto"/>
                <w:kern w:val="0"/>
                <w:sz w:val="21"/>
                <w:szCs w:val="21"/>
                <w:highlight w:val="none"/>
                <w:u w:val="none"/>
                <w:lang w:val="en-US" w:eastAsia="zh-CN" w:bidi="ar"/>
              </w:rPr>
            </w:pPr>
            <w:r>
              <w:rPr>
                <w:rFonts w:hint="eastAsia" w:ascii="宋体" w:hAnsi="宋体" w:eastAsia="宋体"/>
                <w:b/>
                <w:bCs/>
                <w:i w:val="0"/>
                <w:iCs w:val="0"/>
                <w:color w:val="auto"/>
                <w:kern w:val="0"/>
                <w:sz w:val="21"/>
                <w:szCs w:val="21"/>
                <w:highlight w:val="none"/>
                <w:u w:val="none"/>
                <w:lang w:val="en-US" w:eastAsia="zh-CN" w:bidi="ar"/>
              </w:rPr>
              <w:t>进厂路况（允许多少吨载重车辆进厂区）</w:t>
            </w:r>
          </w:p>
        </w:tc>
      </w:tr>
      <w:tr w14:paraId="6E44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00" w:type="dxa"/>
            <w:vMerge w:val="restart"/>
            <w:noWrap/>
            <w:vAlign w:val="center"/>
          </w:tcPr>
          <w:p w14:paraId="12EC32BB">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一司</w:t>
            </w:r>
          </w:p>
        </w:tc>
        <w:tc>
          <w:tcPr>
            <w:tcW w:w="1539" w:type="dxa"/>
            <w:vMerge w:val="restart"/>
            <w:vAlign w:val="center"/>
          </w:tcPr>
          <w:p w14:paraId="4791E832">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滨海水厂</w:t>
            </w:r>
          </w:p>
        </w:tc>
        <w:tc>
          <w:tcPr>
            <w:tcW w:w="1502" w:type="dxa"/>
            <w:vAlign w:val="center"/>
          </w:tcPr>
          <w:p w14:paraId="6DB60E83">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次氯酸钠</w:t>
            </w:r>
          </w:p>
        </w:tc>
        <w:tc>
          <w:tcPr>
            <w:tcW w:w="1364" w:type="dxa"/>
            <w:vAlign w:val="center"/>
          </w:tcPr>
          <w:p w14:paraId="604E0ABB">
            <w:pPr>
              <w:keepNext w:val="0"/>
              <w:keepLines w:val="0"/>
              <w:widowControl/>
              <w:suppressLineNumbers w:val="0"/>
              <w:jc w:val="center"/>
              <w:rPr>
                <w:rFonts w:hint="default" w:ascii="宋体" w:hAnsi="宋体" w:eastAsia="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30</w:t>
            </w:r>
          </w:p>
        </w:tc>
        <w:tc>
          <w:tcPr>
            <w:tcW w:w="1291" w:type="dxa"/>
            <w:vAlign w:val="center"/>
          </w:tcPr>
          <w:p w14:paraId="7F8DC074">
            <w:pPr>
              <w:keepNext w:val="0"/>
              <w:keepLines w:val="0"/>
              <w:widowControl/>
              <w:suppressLineNumbers w:val="0"/>
              <w:jc w:val="center"/>
              <w:rPr>
                <w:rFonts w:hint="default" w:ascii="宋体" w:hAnsi="宋体" w:eastAsia="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20</w:t>
            </w:r>
          </w:p>
        </w:tc>
        <w:tc>
          <w:tcPr>
            <w:tcW w:w="1412" w:type="dxa"/>
            <w:vAlign w:val="center"/>
          </w:tcPr>
          <w:p w14:paraId="70786F7A">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580</w:t>
            </w:r>
          </w:p>
        </w:tc>
        <w:tc>
          <w:tcPr>
            <w:tcW w:w="1669" w:type="dxa"/>
            <w:vMerge w:val="restart"/>
            <w:vAlign w:val="center"/>
          </w:tcPr>
          <w:p w14:paraId="78423762">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3</w:t>
            </w:r>
            <w:r>
              <w:rPr>
                <w:rFonts w:hint="eastAsia" w:ascii="宋体" w:hAnsi="宋体" w:eastAsia="宋体"/>
                <w:i w:val="0"/>
                <w:iCs w:val="0"/>
                <w:color w:val="auto"/>
                <w:kern w:val="0"/>
                <w:sz w:val="21"/>
                <w:szCs w:val="21"/>
                <w:highlight w:val="none"/>
                <w:u w:val="none"/>
                <w:lang w:val="en-US" w:eastAsia="zh-CN" w:bidi="ar"/>
              </w:rPr>
              <w:t>0</w:t>
            </w:r>
          </w:p>
        </w:tc>
      </w:tr>
      <w:tr w14:paraId="6574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00" w:type="dxa"/>
            <w:vMerge w:val="continue"/>
            <w:noWrap/>
            <w:vAlign w:val="center"/>
          </w:tcPr>
          <w:p w14:paraId="47BD8513">
            <w:pPr>
              <w:jc w:val="center"/>
              <w:rPr>
                <w:rFonts w:hint="eastAsia" w:ascii="宋体" w:hAnsi="宋体" w:eastAsia="宋体"/>
                <w:i w:val="0"/>
                <w:iCs w:val="0"/>
                <w:color w:val="auto"/>
                <w:sz w:val="21"/>
                <w:szCs w:val="21"/>
                <w:highlight w:val="none"/>
                <w:u w:val="none"/>
              </w:rPr>
            </w:pPr>
          </w:p>
        </w:tc>
        <w:tc>
          <w:tcPr>
            <w:tcW w:w="1539" w:type="dxa"/>
            <w:vMerge w:val="continue"/>
            <w:vAlign w:val="center"/>
          </w:tcPr>
          <w:p w14:paraId="691247C7">
            <w:pPr>
              <w:jc w:val="center"/>
              <w:rPr>
                <w:rFonts w:hint="eastAsia" w:ascii="宋体" w:hAnsi="宋体" w:eastAsia="宋体"/>
                <w:i w:val="0"/>
                <w:iCs w:val="0"/>
                <w:color w:val="auto"/>
                <w:sz w:val="21"/>
                <w:szCs w:val="21"/>
                <w:highlight w:val="none"/>
                <w:u w:val="none"/>
              </w:rPr>
            </w:pPr>
          </w:p>
        </w:tc>
        <w:tc>
          <w:tcPr>
            <w:tcW w:w="1502" w:type="dxa"/>
            <w:vAlign w:val="center"/>
          </w:tcPr>
          <w:p w14:paraId="21F9645A">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氢氧化钠</w:t>
            </w:r>
          </w:p>
        </w:tc>
        <w:tc>
          <w:tcPr>
            <w:tcW w:w="1364" w:type="dxa"/>
            <w:vAlign w:val="center"/>
          </w:tcPr>
          <w:p w14:paraId="7D112B4C">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w:t>
            </w:r>
          </w:p>
        </w:tc>
        <w:tc>
          <w:tcPr>
            <w:tcW w:w="1291" w:type="dxa"/>
            <w:vAlign w:val="center"/>
          </w:tcPr>
          <w:p w14:paraId="189516CF">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w:t>
            </w:r>
          </w:p>
        </w:tc>
        <w:tc>
          <w:tcPr>
            <w:tcW w:w="1412" w:type="dxa"/>
            <w:vAlign w:val="center"/>
          </w:tcPr>
          <w:p w14:paraId="193399A4">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w:t>
            </w:r>
          </w:p>
        </w:tc>
        <w:tc>
          <w:tcPr>
            <w:tcW w:w="1669" w:type="dxa"/>
            <w:vMerge w:val="continue"/>
            <w:vAlign w:val="center"/>
          </w:tcPr>
          <w:p w14:paraId="42A6E95F">
            <w:pPr>
              <w:jc w:val="center"/>
              <w:rPr>
                <w:rFonts w:hint="eastAsia" w:ascii="宋体" w:hAnsi="宋体" w:eastAsia="宋体"/>
                <w:i w:val="0"/>
                <w:iCs w:val="0"/>
                <w:color w:val="auto"/>
                <w:sz w:val="21"/>
                <w:szCs w:val="21"/>
                <w:highlight w:val="none"/>
                <w:u w:val="none"/>
              </w:rPr>
            </w:pPr>
          </w:p>
        </w:tc>
      </w:tr>
      <w:tr w14:paraId="5DE4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00" w:type="dxa"/>
            <w:vMerge w:val="continue"/>
            <w:noWrap/>
            <w:vAlign w:val="center"/>
          </w:tcPr>
          <w:p w14:paraId="7C548E32">
            <w:pPr>
              <w:jc w:val="center"/>
              <w:rPr>
                <w:rFonts w:hint="eastAsia" w:ascii="宋体" w:hAnsi="宋体" w:eastAsia="宋体"/>
                <w:i w:val="0"/>
                <w:iCs w:val="0"/>
                <w:color w:val="auto"/>
                <w:sz w:val="21"/>
                <w:szCs w:val="21"/>
                <w:highlight w:val="none"/>
                <w:u w:val="none"/>
              </w:rPr>
            </w:pPr>
          </w:p>
        </w:tc>
        <w:tc>
          <w:tcPr>
            <w:tcW w:w="1539" w:type="dxa"/>
            <w:vMerge w:val="restart"/>
            <w:vAlign w:val="center"/>
          </w:tcPr>
          <w:p w14:paraId="0431791D">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靖南水厂</w:t>
            </w:r>
          </w:p>
        </w:tc>
        <w:tc>
          <w:tcPr>
            <w:tcW w:w="1502" w:type="dxa"/>
            <w:vAlign w:val="center"/>
          </w:tcPr>
          <w:p w14:paraId="51CB0E4C">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次氯酸钠</w:t>
            </w:r>
          </w:p>
        </w:tc>
        <w:tc>
          <w:tcPr>
            <w:tcW w:w="1364" w:type="dxa"/>
            <w:vAlign w:val="center"/>
          </w:tcPr>
          <w:p w14:paraId="29E72F5A">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10</w:t>
            </w:r>
          </w:p>
        </w:tc>
        <w:tc>
          <w:tcPr>
            <w:tcW w:w="1291" w:type="dxa"/>
            <w:vAlign w:val="center"/>
          </w:tcPr>
          <w:p w14:paraId="06B68B6A">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5</w:t>
            </w:r>
          </w:p>
        </w:tc>
        <w:tc>
          <w:tcPr>
            <w:tcW w:w="1412" w:type="dxa"/>
            <w:vAlign w:val="center"/>
          </w:tcPr>
          <w:p w14:paraId="46EF6882">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50</w:t>
            </w:r>
          </w:p>
        </w:tc>
        <w:tc>
          <w:tcPr>
            <w:tcW w:w="1669" w:type="dxa"/>
            <w:vMerge w:val="restart"/>
            <w:vAlign w:val="center"/>
          </w:tcPr>
          <w:p w14:paraId="25BBF704">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20</w:t>
            </w:r>
          </w:p>
        </w:tc>
      </w:tr>
      <w:tr w14:paraId="0D86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00" w:type="dxa"/>
            <w:vMerge w:val="continue"/>
            <w:noWrap/>
            <w:vAlign w:val="center"/>
          </w:tcPr>
          <w:p w14:paraId="2459D5CE">
            <w:pPr>
              <w:jc w:val="center"/>
              <w:rPr>
                <w:rFonts w:hint="eastAsia" w:ascii="宋体" w:hAnsi="宋体" w:eastAsia="宋体"/>
                <w:i w:val="0"/>
                <w:iCs w:val="0"/>
                <w:color w:val="auto"/>
                <w:sz w:val="21"/>
                <w:szCs w:val="21"/>
                <w:highlight w:val="none"/>
                <w:u w:val="none"/>
              </w:rPr>
            </w:pPr>
          </w:p>
        </w:tc>
        <w:tc>
          <w:tcPr>
            <w:tcW w:w="1539" w:type="dxa"/>
            <w:vMerge w:val="continue"/>
            <w:vAlign w:val="center"/>
          </w:tcPr>
          <w:p w14:paraId="224180DC">
            <w:pPr>
              <w:jc w:val="center"/>
              <w:rPr>
                <w:rFonts w:hint="eastAsia" w:ascii="宋体" w:hAnsi="宋体" w:eastAsia="宋体"/>
                <w:i w:val="0"/>
                <w:iCs w:val="0"/>
                <w:color w:val="auto"/>
                <w:sz w:val="21"/>
                <w:szCs w:val="21"/>
                <w:highlight w:val="none"/>
                <w:u w:val="none"/>
              </w:rPr>
            </w:pPr>
          </w:p>
        </w:tc>
        <w:tc>
          <w:tcPr>
            <w:tcW w:w="1502" w:type="dxa"/>
            <w:vAlign w:val="center"/>
          </w:tcPr>
          <w:p w14:paraId="3A205130">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氢氧化钠</w:t>
            </w:r>
          </w:p>
        </w:tc>
        <w:tc>
          <w:tcPr>
            <w:tcW w:w="1364" w:type="dxa"/>
            <w:vAlign w:val="center"/>
          </w:tcPr>
          <w:p w14:paraId="211AD6C9">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5</w:t>
            </w:r>
          </w:p>
        </w:tc>
        <w:tc>
          <w:tcPr>
            <w:tcW w:w="1291" w:type="dxa"/>
            <w:vAlign w:val="center"/>
          </w:tcPr>
          <w:p w14:paraId="20B4BC3A">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4</w:t>
            </w:r>
          </w:p>
        </w:tc>
        <w:tc>
          <w:tcPr>
            <w:tcW w:w="1412" w:type="dxa"/>
            <w:vAlign w:val="center"/>
          </w:tcPr>
          <w:p w14:paraId="2E172A7A">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20</w:t>
            </w:r>
          </w:p>
        </w:tc>
        <w:tc>
          <w:tcPr>
            <w:tcW w:w="1669" w:type="dxa"/>
            <w:vMerge w:val="continue"/>
            <w:vAlign w:val="center"/>
          </w:tcPr>
          <w:p w14:paraId="2FF84B0B">
            <w:pPr>
              <w:jc w:val="center"/>
              <w:rPr>
                <w:rFonts w:hint="eastAsia" w:ascii="宋体" w:hAnsi="宋体" w:eastAsia="宋体"/>
                <w:i w:val="0"/>
                <w:iCs w:val="0"/>
                <w:color w:val="auto"/>
                <w:sz w:val="21"/>
                <w:szCs w:val="21"/>
                <w:highlight w:val="none"/>
                <w:u w:val="none"/>
              </w:rPr>
            </w:pPr>
          </w:p>
        </w:tc>
      </w:tr>
      <w:tr w14:paraId="71E9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00" w:type="dxa"/>
            <w:vMerge w:val="continue"/>
            <w:noWrap/>
            <w:vAlign w:val="center"/>
          </w:tcPr>
          <w:p w14:paraId="4FD7CA53">
            <w:pPr>
              <w:jc w:val="center"/>
              <w:rPr>
                <w:rFonts w:hint="eastAsia" w:ascii="宋体" w:hAnsi="宋体" w:eastAsia="宋体"/>
                <w:i w:val="0"/>
                <w:iCs w:val="0"/>
                <w:color w:val="auto"/>
                <w:sz w:val="21"/>
                <w:szCs w:val="21"/>
                <w:highlight w:val="none"/>
                <w:u w:val="none"/>
              </w:rPr>
            </w:pPr>
          </w:p>
        </w:tc>
        <w:tc>
          <w:tcPr>
            <w:tcW w:w="1539" w:type="dxa"/>
            <w:vMerge w:val="restart"/>
            <w:vAlign w:val="center"/>
          </w:tcPr>
          <w:p w14:paraId="442463EE">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贤庠水厂</w:t>
            </w:r>
          </w:p>
        </w:tc>
        <w:tc>
          <w:tcPr>
            <w:tcW w:w="1502" w:type="dxa"/>
            <w:vAlign w:val="center"/>
          </w:tcPr>
          <w:p w14:paraId="4A8C4504">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次氯酸钠</w:t>
            </w:r>
          </w:p>
        </w:tc>
        <w:tc>
          <w:tcPr>
            <w:tcW w:w="1364" w:type="dxa"/>
            <w:vAlign w:val="center"/>
          </w:tcPr>
          <w:p w14:paraId="481B3CB6">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5</w:t>
            </w:r>
          </w:p>
        </w:tc>
        <w:tc>
          <w:tcPr>
            <w:tcW w:w="1291" w:type="dxa"/>
            <w:vAlign w:val="center"/>
          </w:tcPr>
          <w:p w14:paraId="1F09E913">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4</w:t>
            </w:r>
          </w:p>
        </w:tc>
        <w:tc>
          <w:tcPr>
            <w:tcW w:w="1412" w:type="dxa"/>
            <w:vAlign w:val="center"/>
          </w:tcPr>
          <w:p w14:paraId="3D7C88E9">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20</w:t>
            </w:r>
          </w:p>
        </w:tc>
        <w:tc>
          <w:tcPr>
            <w:tcW w:w="1669" w:type="dxa"/>
            <w:vMerge w:val="restart"/>
            <w:vAlign w:val="center"/>
          </w:tcPr>
          <w:p w14:paraId="13432403">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5</w:t>
            </w:r>
          </w:p>
        </w:tc>
      </w:tr>
      <w:tr w14:paraId="2A5B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00" w:type="dxa"/>
            <w:vMerge w:val="continue"/>
            <w:noWrap/>
            <w:vAlign w:val="center"/>
          </w:tcPr>
          <w:p w14:paraId="5B99E018">
            <w:pPr>
              <w:jc w:val="center"/>
              <w:rPr>
                <w:rFonts w:hint="eastAsia" w:ascii="宋体" w:hAnsi="宋体" w:eastAsia="宋体"/>
                <w:i w:val="0"/>
                <w:iCs w:val="0"/>
                <w:color w:val="auto"/>
                <w:sz w:val="21"/>
                <w:szCs w:val="21"/>
                <w:highlight w:val="none"/>
                <w:u w:val="none"/>
              </w:rPr>
            </w:pPr>
          </w:p>
        </w:tc>
        <w:tc>
          <w:tcPr>
            <w:tcW w:w="1539" w:type="dxa"/>
            <w:vMerge w:val="continue"/>
            <w:vAlign w:val="center"/>
          </w:tcPr>
          <w:p w14:paraId="73E00E4D">
            <w:pPr>
              <w:jc w:val="center"/>
              <w:rPr>
                <w:rFonts w:hint="eastAsia" w:ascii="宋体" w:hAnsi="宋体" w:eastAsia="宋体"/>
                <w:i w:val="0"/>
                <w:iCs w:val="0"/>
                <w:color w:val="auto"/>
                <w:sz w:val="21"/>
                <w:szCs w:val="21"/>
                <w:highlight w:val="none"/>
                <w:u w:val="none"/>
              </w:rPr>
            </w:pPr>
          </w:p>
        </w:tc>
        <w:tc>
          <w:tcPr>
            <w:tcW w:w="1502" w:type="dxa"/>
            <w:vAlign w:val="center"/>
          </w:tcPr>
          <w:p w14:paraId="0C29AF6E">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氢氧化钠</w:t>
            </w:r>
          </w:p>
        </w:tc>
        <w:tc>
          <w:tcPr>
            <w:tcW w:w="1364" w:type="dxa"/>
            <w:vAlign w:val="center"/>
          </w:tcPr>
          <w:p w14:paraId="635457A0">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w:t>
            </w:r>
          </w:p>
        </w:tc>
        <w:tc>
          <w:tcPr>
            <w:tcW w:w="1291" w:type="dxa"/>
            <w:vAlign w:val="center"/>
          </w:tcPr>
          <w:p w14:paraId="2F8B2C7C">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w:t>
            </w:r>
          </w:p>
        </w:tc>
        <w:tc>
          <w:tcPr>
            <w:tcW w:w="1412" w:type="dxa"/>
            <w:vAlign w:val="center"/>
          </w:tcPr>
          <w:p w14:paraId="3FCB97BC">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w:t>
            </w:r>
          </w:p>
        </w:tc>
        <w:tc>
          <w:tcPr>
            <w:tcW w:w="1669" w:type="dxa"/>
            <w:vMerge w:val="continue"/>
            <w:vAlign w:val="center"/>
          </w:tcPr>
          <w:p w14:paraId="65444D23">
            <w:pPr>
              <w:jc w:val="center"/>
              <w:rPr>
                <w:rFonts w:hint="eastAsia" w:ascii="宋体" w:hAnsi="宋体" w:eastAsia="宋体"/>
                <w:i w:val="0"/>
                <w:iCs w:val="0"/>
                <w:color w:val="auto"/>
                <w:sz w:val="21"/>
                <w:szCs w:val="21"/>
                <w:highlight w:val="none"/>
                <w:u w:val="none"/>
              </w:rPr>
            </w:pPr>
          </w:p>
        </w:tc>
      </w:tr>
      <w:tr w14:paraId="4F33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00" w:type="dxa"/>
            <w:vMerge w:val="restart"/>
            <w:noWrap/>
            <w:vAlign w:val="center"/>
          </w:tcPr>
          <w:p w14:paraId="360262D7">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二司</w:t>
            </w:r>
          </w:p>
        </w:tc>
        <w:tc>
          <w:tcPr>
            <w:tcW w:w="1539" w:type="dxa"/>
            <w:vMerge w:val="restart"/>
            <w:vAlign w:val="center"/>
          </w:tcPr>
          <w:p w14:paraId="57B3AFC0">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石浦制水厂</w:t>
            </w:r>
          </w:p>
        </w:tc>
        <w:tc>
          <w:tcPr>
            <w:tcW w:w="1502" w:type="dxa"/>
            <w:vAlign w:val="center"/>
          </w:tcPr>
          <w:p w14:paraId="1BFD02E2">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次氯酸钠</w:t>
            </w:r>
          </w:p>
        </w:tc>
        <w:tc>
          <w:tcPr>
            <w:tcW w:w="1364" w:type="dxa"/>
            <w:vAlign w:val="center"/>
          </w:tcPr>
          <w:p w14:paraId="7D5617AC">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20</w:t>
            </w:r>
          </w:p>
        </w:tc>
        <w:tc>
          <w:tcPr>
            <w:tcW w:w="1291" w:type="dxa"/>
            <w:vAlign w:val="center"/>
          </w:tcPr>
          <w:p w14:paraId="609DAC46">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12</w:t>
            </w:r>
          </w:p>
        </w:tc>
        <w:tc>
          <w:tcPr>
            <w:tcW w:w="1412" w:type="dxa"/>
            <w:vAlign w:val="center"/>
          </w:tcPr>
          <w:p w14:paraId="754FDE0A">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240</w:t>
            </w:r>
          </w:p>
        </w:tc>
        <w:tc>
          <w:tcPr>
            <w:tcW w:w="1669" w:type="dxa"/>
            <w:vMerge w:val="restart"/>
            <w:vAlign w:val="center"/>
          </w:tcPr>
          <w:p w14:paraId="32092C8C">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40</w:t>
            </w:r>
          </w:p>
        </w:tc>
      </w:tr>
      <w:tr w14:paraId="4F86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00" w:type="dxa"/>
            <w:vMerge w:val="continue"/>
            <w:noWrap/>
            <w:vAlign w:val="center"/>
          </w:tcPr>
          <w:p w14:paraId="2DE0A6F2">
            <w:pPr>
              <w:jc w:val="center"/>
              <w:rPr>
                <w:rFonts w:hint="eastAsia" w:ascii="宋体" w:hAnsi="宋体" w:eastAsia="宋体"/>
                <w:i w:val="0"/>
                <w:iCs w:val="0"/>
                <w:color w:val="auto"/>
                <w:sz w:val="21"/>
                <w:szCs w:val="21"/>
                <w:highlight w:val="none"/>
                <w:u w:val="none"/>
              </w:rPr>
            </w:pPr>
          </w:p>
        </w:tc>
        <w:tc>
          <w:tcPr>
            <w:tcW w:w="1539" w:type="dxa"/>
            <w:vMerge w:val="continue"/>
            <w:vAlign w:val="center"/>
          </w:tcPr>
          <w:p w14:paraId="67B7F4F4">
            <w:pPr>
              <w:jc w:val="center"/>
              <w:rPr>
                <w:rFonts w:hint="eastAsia" w:ascii="宋体" w:hAnsi="宋体" w:eastAsia="宋体"/>
                <w:i w:val="0"/>
                <w:iCs w:val="0"/>
                <w:color w:val="auto"/>
                <w:sz w:val="21"/>
                <w:szCs w:val="21"/>
                <w:highlight w:val="none"/>
                <w:u w:val="none"/>
              </w:rPr>
            </w:pPr>
          </w:p>
        </w:tc>
        <w:tc>
          <w:tcPr>
            <w:tcW w:w="1502" w:type="dxa"/>
            <w:vAlign w:val="center"/>
          </w:tcPr>
          <w:p w14:paraId="111D5B16">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氢氧化钠</w:t>
            </w:r>
          </w:p>
        </w:tc>
        <w:tc>
          <w:tcPr>
            <w:tcW w:w="1364" w:type="dxa"/>
            <w:vAlign w:val="center"/>
          </w:tcPr>
          <w:p w14:paraId="6A1F050C">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20</w:t>
            </w:r>
          </w:p>
        </w:tc>
        <w:tc>
          <w:tcPr>
            <w:tcW w:w="1291" w:type="dxa"/>
            <w:vAlign w:val="center"/>
          </w:tcPr>
          <w:p w14:paraId="0B1F1BA4">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3</w:t>
            </w:r>
          </w:p>
        </w:tc>
        <w:tc>
          <w:tcPr>
            <w:tcW w:w="1412" w:type="dxa"/>
            <w:vAlign w:val="center"/>
          </w:tcPr>
          <w:p w14:paraId="28B2E39F">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60</w:t>
            </w:r>
          </w:p>
        </w:tc>
        <w:tc>
          <w:tcPr>
            <w:tcW w:w="1669" w:type="dxa"/>
            <w:vMerge w:val="continue"/>
            <w:vAlign w:val="center"/>
          </w:tcPr>
          <w:p w14:paraId="6FA1CC4A">
            <w:pPr>
              <w:jc w:val="center"/>
              <w:rPr>
                <w:rFonts w:hint="eastAsia" w:ascii="宋体" w:hAnsi="宋体" w:eastAsia="宋体"/>
                <w:i w:val="0"/>
                <w:iCs w:val="0"/>
                <w:color w:val="auto"/>
                <w:sz w:val="21"/>
                <w:szCs w:val="21"/>
                <w:highlight w:val="none"/>
                <w:u w:val="none"/>
              </w:rPr>
            </w:pPr>
          </w:p>
        </w:tc>
      </w:tr>
      <w:tr w14:paraId="54B0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00" w:type="dxa"/>
            <w:vMerge w:val="continue"/>
            <w:noWrap/>
            <w:vAlign w:val="center"/>
          </w:tcPr>
          <w:p w14:paraId="7ECAEA46">
            <w:pPr>
              <w:jc w:val="center"/>
              <w:rPr>
                <w:rFonts w:hint="eastAsia" w:ascii="宋体" w:hAnsi="宋体" w:eastAsia="宋体"/>
                <w:i w:val="0"/>
                <w:iCs w:val="0"/>
                <w:color w:val="auto"/>
                <w:sz w:val="21"/>
                <w:szCs w:val="21"/>
                <w:highlight w:val="none"/>
                <w:u w:val="none"/>
              </w:rPr>
            </w:pPr>
          </w:p>
        </w:tc>
        <w:tc>
          <w:tcPr>
            <w:tcW w:w="1539" w:type="dxa"/>
            <w:vMerge w:val="restart"/>
            <w:vAlign w:val="center"/>
          </w:tcPr>
          <w:p w14:paraId="49B33A51">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鹤浦制水厂</w:t>
            </w:r>
          </w:p>
        </w:tc>
        <w:tc>
          <w:tcPr>
            <w:tcW w:w="1502" w:type="dxa"/>
            <w:vAlign w:val="center"/>
          </w:tcPr>
          <w:p w14:paraId="1F602A2C">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次氯酸钠</w:t>
            </w:r>
          </w:p>
        </w:tc>
        <w:tc>
          <w:tcPr>
            <w:tcW w:w="1364" w:type="dxa"/>
            <w:vAlign w:val="center"/>
          </w:tcPr>
          <w:p w14:paraId="78C61510">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6</w:t>
            </w:r>
          </w:p>
        </w:tc>
        <w:tc>
          <w:tcPr>
            <w:tcW w:w="1291" w:type="dxa"/>
            <w:vAlign w:val="center"/>
          </w:tcPr>
          <w:p w14:paraId="22188E9C">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11</w:t>
            </w:r>
          </w:p>
        </w:tc>
        <w:tc>
          <w:tcPr>
            <w:tcW w:w="1412" w:type="dxa"/>
            <w:vAlign w:val="center"/>
          </w:tcPr>
          <w:p w14:paraId="193FB429">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66</w:t>
            </w:r>
          </w:p>
        </w:tc>
        <w:tc>
          <w:tcPr>
            <w:tcW w:w="1669" w:type="dxa"/>
            <w:vMerge w:val="restart"/>
            <w:vAlign w:val="center"/>
          </w:tcPr>
          <w:p w14:paraId="3669E2AF">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30</w:t>
            </w:r>
          </w:p>
        </w:tc>
      </w:tr>
      <w:tr w14:paraId="23F38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00" w:type="dxa"/>
            <w:vMerge w:val="continue"/>
            <w:noWrap/>
            <w:vAlign w:val="center"/>
          </w:tcPr>
          <w:p w14:paraId="26C92493">
            <w:pPr>
              <w:jc w:val="center"/>
              <w:rPr>
                <w:rFonts w:hint="eastAsia" w:ascii="宋体" w:hAnsi="宋体" w:eastAsia="宋体"/>
                <w:i w:val="0"/>
                <w:iCs w:val="0"/>
                <w:color w:val="auto"/>
                <w:sz w:val="21"/>
                <w:szCs w:val="21"/>
                <w:highlight w:val="none"/>
                <w:u w:val="none"/>
              </w:rPr>
            </w:pPr>
          </w:p>
        </w:tc>
        <w:tc>
          <w:tcPr>
            <w:tcW w:w="1539" w:type="dxa"/>
            <w:vMerge w:val="continue"/>
            <w:vAlign w:val="center"/>
          </w:tcPr>
          <w:p w14:paraId="3FBE4E55">
            <w:pPr>
              <w:jc w:val="center"/>
              <w:rPr>
                <w:rFonts w:hint="eastAsia" w:ascii="宋体" w:hAnsi="宋体" w:eastAsia="宋体"/>
                <w:i w:val="0"/>
                <w:iCs w:val="0"/>
                <w:color w:val="auto"/>
                <w:sz w:val="21"/>
                <w:szCs w:val="21"/>
                <w:highlight w:val="none"/>
                <w:u w:val="none"/>
              </w:rPr>
            </w:pPr>
          </w:p>
        </w:tc>
        <w:tc>
          <w:tcPr>
            <w:tcW w:w="1502" w:type="dxa"/>
            <w:vAlign w:val="center"/>
          </w:tcPr>
          <w:p w14:paraId="08E082CA">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氢氧化钠</w:t>
            </w:r>
          </w:p>
        </w:tc>
        <w:tc>
          <w:tcPr>
            <w:tcW w:w="1364" w:type="dxa"/>
            <w:vAlign w:val="center"/>
          </w:tcPr>
          <w:p w14:paraId="31013E11">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5</w:t>
            </w:r>
          </w:p>
        </w:tc>
        <w:tc>
          <w:tcPr>
            <w:tcW w:w="1291" w:type="dxa"/>
            <w:vAlign w:val="center"/>
          </w:tcPr>
          <w:p w14:paraId="54DC24E4">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2</w:t>
            </w:r>
          </w:p>
        </w:tc>
        <w:tc>
          <w:tcPr>
            <w:tcW w:w="1412" w:type="dxa"/>
            <w:vAlign w:val="center"/>
          </w:tcPr>
          <w:p w14:paraId="0E437C80">
            <w:pPr>
              <w:keepNext w:val="0"/>
              <w:keepLines w:val="0"/>
              <w:widowControl/>
              <w:suppressLineNumbers w:val="0"/>
              <w:jc w:val="center"/>
              <w:rPr>
                <w:rFonts w:hint="default" w:ascii="宋体" w:hAnsi="宋体" w:eastAsia="宋体"/>
                <w:i w:val="0"/>
                <w:iCs w:val="0"/>
                <w:color w:val="auto"/>
                <w:kern w:val="0"/>
                <w:sz w:val="21"/>
                <w:szCs w:val="21"/>
                <w:highlight w:val="none"/>
                <w:u w:val="none"/>
                <w:lang w:val="en-US" w:eastAsia="zh-CN" w:bidi="ar"/>
              </w:rPr>
            </w:pPr>
            <w:r>
              <w:rPr>
                <w:rFonts w:hint="eastAsia" w:ascii="宋体" w:hAnsi="宋体"/>
                <w:i w:val="0"/>
                <w:iCs w:val="0"/>
                <w:color w:val="auto"/>
                <w:kern w:val="0"/>
                <w:sz w:val="21"/>
                <w:szCs w:val="21"/>
                <w:highlight w:val="none"/>
                <w:u w:val="none"/>
                <w:lang w:val="en-US" w:eastAsia="zh-CN" w:bidi="ar"/>
              </w:rPr>
              <w:t>10</w:t>
            </w:r>
          </w:p>
        </w:tc>
        <w:tc>
          <w:tcPr>
            <w:tcW w:w="1669" w:type="dxa"/>
            <w:vMerge w:val="continue"/>
            <w:vAlign w:val="center"/>
          </w:tcPr>
          <w:p w14:paraId="339B5FB1">
            <w:pPr>
              <w:jc w:val="center"/>
              <w:rPr>
                <w:rFonts w:hint="eastAsia" w:ascii="宋体" w:hAnsi="宋体" w:eastAsia="宋体"/>
                <w:i w:val="0"/>
                <w:iCs w:val="0"/>
                <w:color w:val="auto"/>
                <w:sz w:val="21"/>
                <w:szCs w:val="21"/>
                <w:highlight w:val="none"/>
                <w:u w:val="none"/>
              </w:rPr>
            </w:pPr>
          </w:p>
        </w:tc>
      </w:tr>
      <w:tr w14:paraId="540E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00" w:type="dxa"/>
            <w:vMerge w:val="restart"/>
            <w:noWrap/>
            <w:vAlign w:val="center"/>
          </w:tcPr>
          <w:p w14:paraId="3CCCF86B">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三司</w:t>
            </w:r>
          </w:p>
        </w:tc>
        <w:tc>
          <w:tcPr>
            <w:tcW w:w="1539" w:type="dxa"/>
            <w:vMerge w:val="restart"/>
            <w:vAlign w:val="center"/>
          </w:tcPr>
          <w:p w14:paraId="0224BCF4">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新桥水厂</w:t>
            </w:r>
          </w:p>
        </w:tc>
        <w:tc>
          <w:tcPr>
            <w:tcW w:w="1502" w:type="dxa"/>
            <w:vAlign w:val="center"/>
          </w:tcPr>
          <w:p w14:paraId="783C6482">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次氯酸钠</w:t>
            </w:r>
          </w:p>
        </w:tc>
        <w:tc>
          <w:tcPr>
            <w:tcW w:w="1364" w:type="dxa"/>
            <w:vAlign w:val="center"/>
          </w:tcPr>
          <w:p w14:paraId="7A78D7D6">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4</w:t>
            </w:r>
          </w:p>
        </w:tc>
        <w:tc>
          <w:tcPr>
            <w:tcW w:w="1291" w:type="dxa"/>
            <w:vAlign w:val="center"/>
          </w:tcPr>
          <w:p w14:paraId="3DFBB4D6">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18</w:t>
            </w:r>
          </w:p>
        </w:tc>
        <w:tc>
          <w:tcPr>
            <w:tcW w:w="1412" w:type="dxa"/>
            <w:vAlign w:val="center"/>
          </w:tcPr>
          <w:p w14:paraId="4291CA1B">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70</w:t>
            </w:r>
          </w:p>
        </w:tc>
        <w:tc>
          <w:tcPr>
            <w:tcW w:w="1669" w:type="dxa"/>
            <w:vMerge w:val="restart"/>
            <w:vAlign w:val="center"/>
          </w:tcPr>
          <w:p w14:paraId="682BF957">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20</w:t>
            </w:r>
          </w:p>
        </w:tc>
      </w:tr>
      <w:tr w14:paraId="59D5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00" w:type="dxa"/>
            <w:vMerge w:val="continue"/>
            <w:noWrap/>
            <w:vAlign w:val="center"/>
          </w:tcPr>
          <w:p w14:paraId="52F8AFAE">
            <w:pPr>
              <w:jc w:val="center"/>
              <w:rPr>
                <w:rFonts w:hint="eastAsia" w:ascii="宋体" w:hAnsi="宋体" w:eastAsia="宋体"/>
                <w:i w:val="0"/>
                <w:iCs w:val="0"/>
                <w:color w:val="auto"/>
                <w:sz w:val="21"/>
                <w:szCs w:val="21"/>
                <w:highlight w:val="none"/>
                <w:u w:val="none"/>
              </w:rPr>
            </w:pPr>
          </w:p>
        </w:tc>
        <w:tc>
          <w:tcPr>
            <w:tcW w:w="1539" w:type="dxa"/>
            <w:vMerge w:val="continue"/>
            <w:vAlign w:val="center"/>
          </w:tcPr>
          <w:p w14:paraId="68783373">
            <w:pPr>
              <w:jc w:val="center"/>
              <w:rPr>
                <w:rFonts w:hint="eastAsia" w:ascii="宋体" w:hAnsi="宋体" w:eastAsia="宋体"/>
                <w:i w:val="0"/>
                <w:iCs w:val="0"/>
                <w:color w:val="auto"/>
                <w:sz w:val="21"/>
                <w:szCs w:val="21"/>
                <w:highlight w:val="none"/>
                <w:u w:val="none"/>
              </w:rPr>
            </w:pPr>
          </w:p>
        </w:tc>
        <w:tc>
          <w:tcPr>
            <w:tcW w:w="1502" w:type="dxa"/>
            <w:vAlign w:val="center"/>
          </w:tcPr>
          <w:p w14:paraId="214D764D">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氢氧化钠</w:t>
            </w:r>
          </w:p>
        </w:tc>
        <w:tc>
          <w:tcPr>
            <w:tcW w:w="1364" w:type="dxa"/>
            <w:vAlign w:val="center"/>
          </w:tcPr>
          <w:p w14:paraId="70745BD9">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7</w:t>
            </w:r>
          </w:p>
        </w:tc>
        <w:tc>
          <w:tcPr>
            <w:tcW w:w="1291" w:type="dxa"/>
            <w:vAlign w:val="center"/>
          </w:tcPr>
          <w:p w14:paraId="1B3F6168">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3</w:t>
            </w:r>
          </w:p>
        </w:tc>
        <w:tc>
          <w:tcPr>
            <w:tcW w:w="1412" w:type="dxa"/>
            <w:vAlign w:val="center"/>
          </w:tcPr>
          <w:p w14:paraId="2AEB88E6">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21</w:t>
            </w:r>
          </w:p>
        </w:tc>
        <w:tc>
          <w:tcPr>
            <w:tcW w:w="1669" w:type="dxa"/>
            <w:vMerge w:val="continue"/>
            <w:vAlign w:val="center"/>
          </w:tcPr>
          <w:p w14:paraId="75A422F0">
            <w:pPr>
              <w:jc w:val="center"/>
              <w:rPr>
                <w:rFonts w:hint="eastAsia" w:ascii="宋体" w:hAnsi="宋体" w:eastAsia="宋体"/>
                <w:i w:val="0"/>
                <w:iCs w:val="0"/>
                <w:color w:val="auto"/>
                <w:sz w:val="21"/>
                <w:szCs w:val="21"/>
                <w:highlight w:val="none"/>
                <w:u w:val="none"/>
              </w:rPr>
            </w:pPr>
          </w:p>
        </w:tc>
      </w:tr>
      <w:tr w14:paraId="0B4E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00" w:type="dxa"/>
            <w:vMerge w:val="continue"/>
            <w:noWrap/>
            <w:vAlign w:val="center"/>
          </w:tcPr>
          <w:p w14:paraId="363CCE36">
            <w:pPr>
              <w:jc w:val="center"/>
              <w:rPr>
                <w:rFonts w:hint="eastAsia" w:ascii="宋体" w:hAnsi="宋体" w:eastAsia="宋体"/>
                <w:i w:val="0"/>
                <w:iCs w:val="0"/>
                <w:color w:val="auto"/>
                <w:sz w:val="21"/>
                <w:szCs w:val="21"/>
                <w:highlight w:val="none"/>
                <w:u w:val="none"/>
              </w:rPr>
            </w:pPr>
          </w:p>
        </w:tc>
        <w:tc>
          <w:tcPr>
            <w:tcW w:w="1539" w:type="dxa"/>
            <w:vMerge w:val="restart"/>
            <w:vAlign w:val="center"/>
          </w:tcPr>
          <w:p w14:paraId="1FC37778">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西周水厂</w:t>
            </w:r>
          </w:p>
        </w:tc>
        <w:tc>
          <w:tcPr>
            <w:tcW w:w="1502" w:type="dxa"/>
            <w:vAlign w:val="center"/>
          </w:tcPr>
          <w:p w14:paraId="04D18105">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次氯酸钠</w:t>
            </w:r>
          </w:p>
        </w:tc>
        <w:tc>
          <w:tcPr>
            <w:tcW w:w="1364" w:type="dxa"/>
            <w:vAlign w:val="center"/>
          </w:tcPr>
          <w:p w14:paraId="4C9F7CB6">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12</w:t>
            </w:r>
          </w:p>
        </w:tc>
        <w:tc>
          <w:tcPr>
            <w:tcW w:w="1291" w:type="dxa"/>
            <w:vAlign w:val="center"/>
          </w:tcPr>
          <w:p w14:paraId="030A62CC">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5</w:t>
            </w:r>
          </w:p>
        </w:tc>
        <w:tc>
          <w:tcPr>
            <w:tcW w:w="1412" w:type="dxa"/>
            <w:vAlign w:val="center"/>
          </w:tcPr>
          <w:p w14:paraId="6DC733A1">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65</w:t>
            </w:r>
          </w:p>
        </w:tc>
        <w:tc>
          <w:tcPr>
            <w:tcW w:w="1669" w:type="dxa"/>
            <w:vMerge w:val="restart"/>
            <w:vAlign w:val="center"/>
          </w:tcPr>
          <w:p w14:paraId="5F5CB0A5">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60</w:t>
            </w:r>
          </w:p>
        </w:tc>
      </w:tr>
      <w:tr w14:paraId="4FE4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00" w:type="dxa"/>
            <w:vMerge w:val="continue"/>
            <w:noWrap/>
            <w:vAlign w:val="center"/>
          </w:tcPr>
          <w:p w14:paraId="4E46C048">
            <w:pPr>
              <w:jc w:val="center"/>
              <w:rPr>
                <w:rFonts w:hint="eastAsia" w:ascii="宋体" w:hAnsi="宋体" w:eastAsia="宋体"/>
                <w:i w:val="0"/>
                <w:iCs w:val="0"/>
                <w:color w:val="auto"/>
                <w:sz w:val="21"/>
                <w:szCs w:val="21"/>
                <w:highlight w:val="none"/>
                <w:u w:val="none"/>
              </w:rPr>
            </w:pPr>
          </w:p>
        </w:tc>
        <w:tc>
          <w:tcPr>
            <w:tcW w:w="1539" w:type="dxa"/>
            <w:vMerge w:val="continue"/>
            <w:vAlign w:val="center"/>
          </w:tcPr>
          <w:p w14:paraId="5A45F7B4">
            <w:pPr>
              <w:jc w:val="center"/>
              <w:rPr>
                <w:rFonts w:hint="eastAsia" w:ascii="宋体" w:hAnsi="宋体" w:eastAsia="宋体"/>
                <w:i w:val="0"/>
                <w:iCs w:val="0"/>
                <w:color w:val="auto"/>
                <w:sz w:val="21"/>
                <w:szCs w:val="21"/>
                <w:highlight w:val="none"/>
                <w:u w:val="none"/>
              </w:rPr>
            </w:pPr>
          </w:p>
        </w:tc>
        <w:tc>
          <w:tcPr>
            <w:tcW w:w="1502" w:type="dxa"/>
            <w:vAlign w:val="center"/>
          </w:tcPr>
          <w:p w14:paraId="25346DF3">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氢氧化钠</w:t>
            </w:r>
          </w:p>
        </w:tc>
        <w:tc>
          <w:tcPr>
            <w:tcW w:w="1364" w:type="dxa"/>
            <w:vAlign w:val="center"/>
          </w:tcPr>
          <w:p w14:paraId="716107CF">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12</w:t>
            </w:r>
          </w:p>
        </w:tc>
        <w:tc>
          <w:tcPr>
            <w:tcW w:w="1291" w:type="dxa"/>
            <w:vAlign w:val="center"/>
          </w:tcPr>
          <w:p w14:paraId="23C031BA">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1</w:t>
            </w:r>
          </w:p>
        </w:tc>
        <w:tc>
          <w:tcPr>
            <w:tcW w:w="1412" w:type="dxa"/>
            <w:vAlign w:val="center"/>
          </w:tcPr>
          <w:p w14:paraId="02EE0018">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12</w:t>
            </w:r>
          </w:p>
        </w:tc>
        <w:tc>
          <w:tcPr>
            <w:tcW w:w="1669" w:type="dxa"/>
            <w:vMerge w:val="continue"/>
            <w:vAlign w:val="center"/>
          </w:tcPr>
          <w:p w14:paraId="48D1B301">
            <w:pPr>
              <w:jc w:val="center"/>
              <w:rPr>
                <w:rFonts w:hint="eastAsia" w:ascii="宋体" w:hAnsi="宋体" w:eastAsia="宋体"/>
                <w:i w:val="0"/>
                <w:iCs w:val="0"/>
                <w:color w:val="auto"/>
                <w:sz w:val="21"/>
                <w:szCs w:val="21"/>
                <w:highlight w:val="none"/>
                <w:u w:val="none"/>
              </w:rPr>
            </w:pPr>
          </w:p>
        </w:tc>
      </w:tr>
      <w:tr w14:paraId="2D8A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00" w:type="dxa"/>
            <w:vMerge w:val="continue"/>
            <w:noWrap/>
            <w:vAlign w:val="center"/>
          </w:tcPr>
          <w:p w14:paraId="2F39D04F">
            <w:pPr>
              <w:jc w:val="center"/>
              <w:rPr>
                <w:rFonts w:hint="eastAsia" w:ascii="宋体" w:hAnsi="宋体" w:eastAsia="宋体"/>
                <w:i w:val="0"/>
                <w:iCs w:val="0"/>
                <w:color w:val="auto"/>
                <w:sz w:val="21"/>
                <w:szCs w:val="21"/>
                <w:highlight w:val="none"/>
                <w:u w:val="none"/>
              </w:rPr>
            </w:pPr>
          </w:p>
        </w:tc>
        <w:tc>
          <w:tcPr>
            <w:tcW w:w="1539" w:type="dxa"/>
            <w:vMerge w:val="restart"/>
            <w:vAlign w:val="center"/>
          </w:tcPr>
          <w:p w14:paraId="469C6405">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墙头水厂</w:t>
            </w:r>
          </w:p>
        </w:tc>
        <w:tc>
          <w:tcPr>
            <w:tcW w:w="1502" w:type="dxa"/>
            <w:vAlign w:val="center"/>
          </w:tcPr>
          <w:p w14:paraId="3ABD8E52">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次氯酸钠</w:t>
            </w:r>
          </w:p>
        </w:tc>
        <w:tc>
          <w:tcPr>
            <w:tcW w:w="1364" w:type="dxa"/>
            <w:vAlign w:val="center"/>
          </w:tcPr>
          <w:p w14:paraId="64183086">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2</w:t>
            </w:r>
          </w:p>
        </w:tc>
        <w:tc>
          <w:tcPr>
            <w:tcW w:w="1291" w:type="dxa"/>
            <w:vAlign w:val="center"/>
          </w:tcPr>
          <w:p w14:paraId="6418BFAD">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15</w:t>
            </w:r>
          </w:p>
        </w:tc>
        <w:tc>
          <w:tcPr>
            <w:tcW w:w="1412" w:type="dxa"/>
            <w:vAlign w:val="center"/>
          </w:tcPr>
          <w:p w14:paraId="626A2ADD">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30</w:t>
            </w:r>
          </w:p>
        </w:tc>
        <w:tc>
          <w:tcPr>
            <w:tcW w:w="1669" w:type="dxa"/>
            <w:vMerge w:val="restart"/>
            <w:vAlign w:val="center"/>
          </w:tcPr>
          <w:p w14:paraId="618C6D8E">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20</w:t>
            </w:r>
          </w:p>
        </w:tc>
      </w:tr>
      <w:tr w14:paraId="5184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00" w:type="dxa"/>
            <w:vMerge w:val="continue"/>
            <w:noWrap/>
            <w:vAlign w:val="center"/>
          </w:tcPr>
          <w:p w14:paraId="72261688">
            <w:pPr>
              <w:jc w:val="center"/>
              <w:rPr>
                <w:rFonts w:hint="eastAsia" w:ascii="宋体" w:hAnsi="宋体" w:eastAsia="宋体"/>
                <w:i w:val="0"/>
                <w:iCs w:val="0"/>
                <w:color w:val="auto"/>
                <w:sz w:val="21"/>
                <w:szCs w:val="21"/>
                <w:highlight w:val="none"/>
                <w:u w:val="none"/>
              </w:rPr>
            </w:pPr>
          </w:p>
        </w:tc>
        <w:tc>
          <w:tcPr>
            <w:tcW w:w="1539" w:type="dxa"/>
            <w:vMerge w:val="continue"/>
            <w:vAlign w:val="center"/>
          </w:tcPr>
          <w:p w14:paraId="17709DEC">
            <w:pPr>
              <w:jc w:val="center"/>
              <w:rPr>
                <w:rFonts w:hint="eastAsia" w:ascii="宋体" w:hAnsi="宋体" w:eastAsia="宋体"/>
                <w:i w:val="0"/>
                <w:iCs w:val="0"/>
                <w:color w:val="auto"/>
                <w:sz w:val="21"/>
                <w:szCs w:val="21"/>
                <w:highlight w:val="none"/>
                <w:u w:val="none"/>
              </w:rPr>
            </w:pPr>
          </w:p>
        </w:tc>
        <w:tc>
          <w:tcPr>
            <w:tcW w:w="1502" w:type="dxa"/>
            <w:vAlign w:val="center"/>
          </w:tcPr>
          <w:p w14:paraId="0C5AC4B6">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氢氧化钠</w:t>
            </w:r>
          </w:p>
        </w:tc>
        <w:tc>
          <w:tcPr>
            <w:tcW w:w="1364" w:type="dxa"/>
            <w:vAlign w:val="center"/>
          </w:tcPr>
          <w:p w14:paraId="06B472C9">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4</w:t>
            </w:r>
          </w:p>
        </w:tc>
        <w:tc>
          <w:tcPr>
            <w:tcW w:w="1291" w:type="dxa"/>
            <w:vAlign w:val="center"/>
          </w:tcPr>
          <w:p w14:paraId="7F880CC2">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2</w:t>
            </w:r>
          </w:p>
        </w:tc>
        <w:tc>
          <w:tcPr>
            <w:tcW w:w="1412" w:type="dxa"/>
            <w:vAlign w:val="center"/>
          </w:tcPr>
          <w:p w14:paraId="72AC4987">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8</w:t>
            </w:r>
          </w:p>
        </w:tc>
        <w:tc>
          <w:tcPr>
            <w:tcW w:w="1669" w:type="dxa"/>
            <w:vMerge w:val="continue"/>
            <w:vAlign w:val="center"/>
          </w:tcPr>
          <w:p w14:paraId="52446E96">
            <w:pPr>
              <w:jc w:val="center"/>
              <w:rPr>
                <w:rFonts w:hint="eastAsia" w:ascii="宋体" w:hAnsi="宋体" w:eastAsia="宋体"/>
                <w:i w:val="0"/>
                <w:iCs w:val="0"/>
                <w:color w:val="auto"/>
                <w:sz w:val="21"/>
                <w:szCs w:val="21"/>
                <w:highlight w:val="none"/>
                <w:u w:val="none"/>
              </w:rPr>
            </w:pPr>
          </w:p>
        </w:tc>
      </w:tr>
      <w:tr w14:paraId="46DB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00" w:type="dxa"/>
            <w:vMerge w:val="continue"/>
            <w:noWrap/>
            <w:vAlign w:val="center"/>
          </w:tcPr>
          <w:p w14:paraId="7D006425">
            <w:pPr>
              <w:jc w:val="center"/>
              <w:rPr>
                <w:rFonts w:hint="eastAsia" w:ascii="宋体" w:hAnsi="宋体" w:eastAsia="宋体"/>
                <w:i w:val="0"/>
                <w:iCs w:val="0"/>
                <w:color w:val="auto"/>
                <w:sz w:val="21"/>
                <w:szCs w:val="21"/>
                <w:highlight w:val="none"/>
                <w:u w:val="none"/>
              </w:rPr>
            </w:pPr>
          </w:p>
        </w:tc>
        <w:tc>
          <w:tcPr>
            <w:tcW w:w="1539" w:type="dxa"/>
            <w:vMerge w:val="restart"/>
            <w:vAlign w:val="center"/>
          </w:tcPr>
          <w:p w14:paraId="2F3AEEA7">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茅洋水厂、泗洲头水厂</w:t>
            </w:r>
          </w:p>
        </w:tc>
        <w:tc>
          <w:tcPr>
            <w:tcW w:w="1502" w:type="dxa"/>
            <w:vAlign w:val="center"/>
          </w:tcPr>
          <w:p w14:paraId="10E04545">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次氯酸钠</w:t>
            </w:r>
          </w:p>
        </w:tc>
        <w:tc>
          <w:tcPr>
            <w:tcW w:w="1364" w:type="dxa"/>
            <w:vAlign w:val="center"/>
          </w:tcPr>
          <w:p w14:paraId="2BF94D66">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3</w:t>
            </w:r>
          </w:p>
        </w:tc>
        <w:tc>
          <w:tcPr>
            <w:tcW w:w="1291" w:type="dxa"/>
            <w:vAlign w:val="center"/>
          </w:tcPr>
          <w:p w14:paraId="54390049">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10</w:t>
            </w:r>
          </w:p>
        </w:tc>
        <w:tc>
          <w:tcPr>
            <w:tcW w:w="1412" w:type="dxa"/>
            <w:vAlign w:val="center"/>
          </w:tcPr>
          <w:p w14:paraId="06141C06">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30</w:t>
            </w:r>
          </w:p>
        </w:tc>
        <w:tc>
          <w:tcPr>
            <w:tcW w:w="1669" w:type="dxa"/>
            <w:vMerge w:val="restart"/>
            <w:vAlign w:val="center"/>
          </w:tcPr>
          <w:p w14:paraId="6D17192A">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20</w:t>
            </w:r>
          </w:p>
        </w:tc>
      </w:tr>
      <w:tr w14:paraId="12DA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00" w:type="dxa"/>
            <w:vMerge w:val="continue"/>
            <w:noWrap/>
            <w:vAlign w:val="center"/>
          </w:tcPr>
          <w:p w14:paraId="6F5695BE">
            <w:pPr>
              <w:jc w:val="center"/>
              <w:rPr>
                <w:rFonts w:hint="eastAsia" w:ascii="宋体" w:hAnsi="宋体" w:eastAsia="宋体"/>
                <w:i w:val="0"/>
                <w:iCs w:val="0"/>
                <w:color w:val="auto"/>
                <w:sz w:val="21"/>
                <w:szCs w:val="21"/>
                <w:highlight w:val="none"/>
                <w:u w:val="none"/>
              </w:rPr>
            </w:pPr>
          </w:p>
        </w:tc>
        <w:tc>
          <w:tcPr>
            <w:tcW w:w="1539" w:type="dxa"/>
            <w:vMerge w:val="continue"/>
            <w:vAlign w:val="center"/>
          </w:tcPr>
          <w:p w14:paraId="0E7CFB6F">
            <w:pPr>
              <w:jc w:val="center"/>
              <w:rPr>
                <w:rFonts w:hint="eastAsia" w:ascii="宋体" w:hAnsi="宋体" w:eastAsia="宋体"/>
                <w:i w:val="0"/>
                <w:iCs w:val="0"/>
                <w:color w:val="auto"/>
                <w:sz w:val="21"/>
                <w:szCs w:val="21"/>
                <w:highlight w:val="none"/>
                <w:u w:val="none"/>
              </w:rPr>
            </w:pPr>
          </w:p>
        </w:tc>
        <w:tc>
          <w:tcPr>
            <w:tcW w:w="1502" w:type="dxa"/>
            <w:vAlign w:val="center"/>
          </w:tcPr>
          <w:p w14:paraId="153F8B1D">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氢氧化钠</w:t>
            </w:r>
          </w:p>
        </w:tc>
        <w:tc>
          <w:tcPr>
            <w:tcW w:w="1364" w:type="dxa"/>
            <w:vAlign w:val="center"/>
          </w:tcPr>
          <w:p w14:paraId="2C3B830E">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5</w:t>
            </w:r>
          </w:p>
        </w:tc>
        <w:tc>
          <w:tcPr>
            <w:tcW w:w="1291" w:type="dxa"/>
            <w:vAlign w:val="center"/>
          </w:tcPr>
          <w:p w14:paraId="085BF439">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2</w:t>
            </w:r>
          </w:p>
        </w:tc>
        <w:tc>
          <w:tcPr>
            <w:tcW w:w="1412" w:type="dxa"/>
            <w:vAlign w:val="center"/>
          </w:tcPr>
          <w:p w14:paraId="5B366D3E">
            <w:pPr>
              <w:keepNext w:val="0"/>
              <w:keepLines w:val="0"/>
              <w:widowControl/>
              <w:suppressLineNumbers w:val="0"/>
              <w:jc w:val="center"/>
              <w:rPr>
                <w:rFonts w:hint="eastAsia" w:ascii="宋体" w:hAnsi="宋体" w:eastAsia="宋体"/>
                <w:i w:val="0"/>
                <w:iCs w:val="0"/>
                <w:color w:val="auto"/>
                <w:kern w:val="0"/>
                <w:sz w:val="21"/>
                <w:szCs w:val="21"/>
                <w:highlight w:val="none"/>
                <w:u w:val="none"/>
                <w:lang w:val="en-US" w:eastAsia="zh-CN" w:bidi="ar"/>
              </w:rPr>
            </w:pPr>
            <w:r>
              <w:rPr>
                <w:rFonts w:hint="eastAsia" w:ascii="宋体" w:hAnsi="宋体" w:eastAsia="宋体"/>
                <w:i w:val="0"/>
                <w:iCs w:val="0"/>
                <w:color w:val="auto"/>
                <w:kern w:val="0"/>
                <w:sz w:val="21"/>
                <w:szCs w:val="21"/>
                <w:highlight w:val="none"/>
                <w:u w:val="none"/>
                <w:lang w:val="en-US" w:eastAsia="zh-CN" w:bidi="ar"/>
              </w:rPr>
              <w:t>10</w:t>
            </w:r>
          </w:p>
        </w:tc>
        <w:tc>
          <w:tcPr>
            <w:tcW w:w="1669" w:type="dxa"/>
            <w:vMerge w:val="continue"/>
            <w:vAlign w:val="center"/>
          </w:tcPr>
          <w:p w14:paraId="0C5C6CE2">
            <w:pPr>
              <w:jc w:val="center"/>
              <w:rPr>
                <w:rFonts w:hint="eastAsia" w:ascii="宋体" w:hAnsi="宋体" w:eastAsia="宋体"/>
                <w:i w:val="0"/>
                <w:iCs w:val="0"/>
                <w:color w:val="auto"/>
                <w:sz w:val="21"/>
                <w:szCs w:val="21"/>
                <w:highlight w:val="none"/>
                <w:u w:val="none"/>
              </w:rPr>
            </w:pPr>
          </w:p>
        </w:tc>
      </w:tr>
    </w:tbl>
    <w:p w14:paraId="3446AA31">
      <w:pPr>
        <w:pStyle w:val="37"/>
        <w:rPr>
          <w:rFonts w:hint="eastAsia" w:ascii="宋体" w:hAnsi="宋体" w:eastAsia="宋体"/>
          <w:b/>
          <w:color w:val="auto"/>
          <w:szCs w:val="28"/>
          <w:highlight w:val="none"/>
        </w:rPr>
      </w:pPr>
      <w:r>
        <w:rPr>
          <w:rFonts w:hint="eastAsia" w:ascii="宋体" w:hAnsi="宋体" w:eastAsia="宋体"/>
          <w:b/>
          <w:color w:val="auto"/>
          <w:szCs w:val="28"/>
          <w:highlight w:val="none"/>
          <w:lang w:val="en-US" w:eastAsia="zh-CN"/>
        </w:rPr>
        <w:t>备注：该表格仅做参考，具体送货量根据各水厂实际需求确定。各水厂进药周期、进药日期都不能确定，投标人应充分考虑由此产生的运输成本。</w:t>
      </w:r>
    </w:p>
    <w:p w14:paraId="6932028C">
      <w:pPr>
        <w:rPr>
          <w:rFonts w:hint="eastAsia" w:ascii="宋体" w:hAnsi="宋体" w:eastAsia="宋体"/>
          <w:b/>
          <w:color w:val="auto"/>
          <w:szCs w:val="28"/>
          <w:highlight w:val="none"/>
        </w:rPr>
      </w:pPr>
    </w:p>
    <w:p w14:paraId="32665D85">
      <w:pPr>
        <w:pStyle w:val="18"/>
        <w:rPr>
          <w:rFonts w:hint="eastAsia" w:ascii="宋体" w:hAnsi="宋体" w:eastAsia="宋体"/>
          <w:color w:val="auto"/>
          <w:highlight w:val="none"/>
        </w:rPr>
      </w:pPr>
    </w:p>
    <w:p w14:paraId="5688D342">
      <w:pPr>
        <w:rPr>
          <w:rFonts w:hint="eastAsia" w:ascii="宋体" w:hAnsi="宋体" w:eastAsia="宋体"/>
          <w:color w:val="auto"/>
          <w:highlight w:val="none"/>
        </w:rPr>
      </w:pPr>
    </w:p>
    <w:p w14:paraId="078DED88">
      <w:pPr>
        <w:snapToGrid w:val="0"/>
        <w:spacing w:line="360" w:lineRule="auto"/>
        <w:jc w:val="left"/>
        <w:rPr>
          <w:rFonts w:hint="eastAsia" w:ascii="宋体" w:hAnsi="宋体" w:eastAsia="宋体"/>
          <w:b/>
          <w:bCs/>
          <w:color w:val="auto"/>
          <w:szCs w:val="21"/>
          <w:highlight w:val="none"/>
        </w:rPr>
      </w:pPr>
      <w:bookmarkStart w:id="105" w:name="_Toc789"/>
    </w:p>
    <w:p w14:paraId="4E368F67">
      <w:pPr>
        <w:snapToGrid w:val="0"/>
        <w:spacing w:line="360" w:lineRule="auto"/>
        <w:jc w:val="left"/>
        <w:rPr>
          <w:rFonts w:hint="eastAsia" w:ascii="宋体" w:hAnsi="宋体" w:eastAsia="宋体"/>
          <w:b/>
          <w:bCs/>
          <w:color w:val="auto"/>
          <w:szCs w:val="21"/>
          <w:highlight w:val="none"/>
        </w:rPr>
      </w:pPr>
    </w:p>
    <w:p w14:paraId="1247C613">
      <w:pPr>
        <w:snapToGrid w:val="0"/>
        <w:spacing w:line="360" w:lineRule="auto"/>
        <w:jc w:val="left"/>
        <w:rPr>
          <w:rFonts w:hint="eastAsia" w:ascii="宋体" w:hAnsi="宋体" w:eastAsia="宋体"/>
          <w:b/>
          <w:bCs/>
          <w:color w:val="auto"/>
          <w:szCs w:val="21"/>
          <w:highlight w:val="none"/>
        </w:rPr>
      </w:pPr>
    </w:p>
    <w:p w14:paraId="296799C2">
      <w:pPr>
        <w:snapToGrid w:val="0"/>
        <w:spacing w:line="360" w:lineRule="auto"/>
        <w:jc w:val="left"/>
        <w:rPr>
          <w:rFonts w:hint="eastAsia" w:ascii="宋体" w:hAnsi="宋体" w:eastAsia="宋体"/>
          <w:b/>
          <w:bCs/>
          <w:color w:val="auto"/>
          <w:szCs w:val="21"/>
          <w:highlight w:val="none"/>
        </w:rPr>
      </w:pPr>
    </w:p>
    <w:p w14:paraId="403A69D0">
      <w:pPr>
        <w:snapToGrid w:val="0"/>
        <w:spacing w:line="360" w:lineRule="auto"/>
        <w:jc w:val="left"/>
        <w:rPr>
          <w:rFonts w:hint="eastAsia" w:ascii="宋体" w:hAnsi="宋体" w:eastAsia="宋体"/>
          <w:b/>
          <w:bCs/>
          <w:color w:val="auto"/>
          <w:szCs w:val="21"/>
          <w:highlight w:val="none"/>
        </w:rPr>
      </w:pPr>
    </w:p>
    <w:p w14:paraId="00143E0F">
      <w:pPr>
        <w:snapToGrid w:val="0"/>
        <w:spacing w:line="360" w:lineRule="auto"/>
        <w:jc w:val="left"/>
        <w:rPr>
          <w:rFonts w:hint="eastAsia" w:ascii="宋体" w:hAnsi="宋体" w:eastAsia="宋体"/>
          <w:b/>
          <w:bCs/>
          <w:color w:val="auto"/>
          <w:szCs w:val="21"/>
          <w:highlight w:val="none"/>
        </w:rPr>
      </w:pPr>
    </w:p>
    <w:p w14:paraId="503C3584">
      <w:pPr>
        <w:snapToGrid w:val="0"/>
        <w:spacing w:line="360" w:lineRule="auto"/>
        <w:jc w:val="left"/>
        <w:rPr>
          <w:rFonts w:hint="eastAsia" w:ascii="宋体" w:hAnsi="宋体" w:eastAsia="宋体"/>
          <w:b/>
          <w:bCs/>
          <w:color w:val="auto"/>
          <w:szCs w:val="21"/>
          <w:highlight w:val="none"/>
        </w:rPr>
      </w:pPr>
      <w:r>
        <w:rPr>
          <w:rFonts w:hint="eastAsia" w:ascii="宋体" w:hAnsi="宋体" w:eastAsia="宋体"/>
          <w:b/>
          <w:bCs/>
          <w:color w:val="auto"/>
          <w:szCs w:val="21"/>
          <w:highlight w:val="none"/>
        </w:rPr>
        <w:t>（</w:t>
      </w:r>
      <w:r>
        <w:rPr>
          <w:rFonts w:hint="eastAsia" w:ascii="宋体" w:hAnsi="宋体"/>
          <w:b/>
          <w:bCs/>
          <w:color w:val="auto"/>
          <w:szCs w:val="21"/>
          <w:highlight w:val="none"/>
          <w:lang w:val="en-US" w:eastAsia="zh-CN"/>
        </w:rPr>
        <w:t>三</w:t>
      </w:r>
      <w:r>
        <w:rPr>
          <w:rFonts w:hint="eastAsia" w:ascii="宋体" w:hAnsi="宋体" w:eastAsia="宋体"/>
          <w:b/>
          <w:bCs/>
          <w:color w:val="auto"/>
          <w:szCs w:val="21"/>
          <w:highlight w:val="none"/>
        </w:rPr>
        <w:t>）次氯酸钠</w:t>
      </w:r>
      <w:r>
        <w:rPr>
          <w:rFonts w:hint="eastAsia" w:ascii="宋体" w:hAnsi="宋体" w:eastAsia="宋体"/>
          <w:b/>
          <w:bCs/>
          <w:color w:val="auto"/>
          <w:szCs w:val="21"/>
          <w:highlight w:val="none"/>
          <w:lang w:val="en-US" w:eastAsia="zh-CN"/>
        </w:rPr>
        <w:t>需求详情</w:t>
      </w:r>
    </w:p>
    <w:p w14:paraId="2A3914F3">
      <w:pPr>
        <w:snapToGrid w:val="0"/>
        <w:spacing w:line="360" w:lineRule="auto"/>
        <w:ind w:firstLine="420" w:firstLineChars="200"/>
        <w:jc w:val="left"/>
        <w:rPr>
          <w:rFonts w:hint="eastAsia" w:ascii="宋体" w:hAnsi="宋体" w:eastAsia="宋体"/>
          <w:b w:val="0"/>
          <w:bCs w:val="0"/>
          <w:color w:val="auto"/>
          <w:szCs w:val="21"/>
          <w:highlight w:val="none"/>
        </w:rPr>
      </w:pPr>
      <w:bookmarkStart w:id="106" w:name="_Toc326255597"/>
      <w:bookmarkStart w:id="107" w:name="_Toc325971125"/>
      <w:bookmarkStart w:id="108" w:name="_Toc151648181"/>
      <w:bookmarkStart w:id="109" w:name="_Toc146809079"/>
      <w:bookmarkStart w:id="110" w:name="_Toc434566530"/>
      <w:r>
        <w:rPr>
          <w:rFonts w:hint="eastAsia" w:ascii="宋体" w:hAnsi="宋体" w:eastAsia="宋体"/>
          <w:b w:val="0"/>
          <w:bCs w:val="0"/>
          <w:color w:val="auto"/>
          <w:szCs w:val="21"/>
          <w:highlight w:val="none"/>
        </w:rPr>
        <w:t>1、主要指标</w:t>
      </w:r>
      <w:r>
        <w:rPr>
          <w:rFonts w:hint="eastAsia" w:ascii="宋体" w:hAnsi="宋体" w:eastAsia="宋体"/>
          <w:b w:val="0"/>
          <w:bCs w:val="0"/>
          <w:color w:val="auto"/>
          <w:highlight w:val="none"/>
        </w:rPr>
        <w:t>（应符合GB/T 19106-2013标准规定）</w:t>
      </w:r>
    </w:p>
    <w:tbl>
      <w:tblPr>
        <w:tblStyle w:val="5"/>
        <w:tblW w:w="4995" w:type="pct"/>
        <w:jc w:val="center"/>
        <w:shd w:val="clear" w:color="auto" w:fill="FFFFFF" w:themeFill="background1"/>
        <w:tblLayout w:type="autofit"/>
        <w:tblCellMar>
          <w:top w:w="0" w:type="dxa"/>
          <w:left w:w="108" w:type="dxa"/>
          <w:bottom w:w="0" w:type="dxa"/>
          <w:right w:w="108" w:type="dxa"/>
        </w:tblCellMar>
      </w:tblPr>
      <w:tblGrid>
        <w:gridCol w:w="1664"/>
        <w:gridCol w:w="3922"/>
        <w:gridCol w:w="4258"/>
      </w:tblGrid>
      <w:tr w14:paraId="4679B148">
        <w:tblPrEx>
          <w:tblCellMar>
            <w:top w:w="0" w:type="dxa"/>
            <w:left w:w="108" w:type="dxa"/>
            <w:bottom w:w="0" w:type="dxa"/>
            <w:right w:w="108" w:type="dxa"/>
          </w:tblCellMar>
        </w:tblPrEx>
        <w:trPr>
          <w:trHeight w:val="510" w:hRule="atLeast"/>
          <w:jc w:val="center"/>
        </w:trPr>
        <w:tc>
          <w:tcPr>
            <w:tcW w:w="839" w:type="dxa"/>
            <w:vMerge w:val="restart"/>
            <w:tcBorders>
              <w:top w:val="single" w:color="000000" w:sz="4" w:space="0"/>
              <w:left w:val="single" w:color="000000" w:sz="4" w:space="0"/>
              <w:right w:val="single" w:color="000000" w:sz="4" w:space="0"/>
            </w:tcBorders>
            <w:shd w:val="clear" w:color="auto" w:fill="FFFFFF" w:themeFill="background1"/>
            <w:vAlign w:val="center"/>
          </w:tcPr>
          <w:p w14:paraId="67859D76">
            <w:pPr>
              <w:snapToGrid w:val="0"/>
              <w:spacing w:line="360" w:lineRule="auto"/>
              <w:ind w:firstLine="420" w:firstLineChars="200"/>
              <w:jc w:val="left"/>
              <w:rPr>
                <w:rFonts w:hint="eastAsia" w:ascii="宋体" w:hAnsi="宋体" w:eastAsia="宋体"/>
                <w:color w:val="auto"/>
                <w:kern w:val="0"/>
                <w:szCs w:val="21"/>
                <w:highlight w:val="none"/>
                <w:lang w:val="en-US" w:eastAsia="zh-CN"/>
              </w:rPr>
            </w:pPr>
            <w:r>
              <w:rPr>
                <w:rFonts w:hint="eastAsia" w:ascii="宋体" w:hAnsi="宋体" w:eastAsia="宋体"/>
                <w:b w:val="0"/>
                <w:bCs w:val="0"/>
                <w:color w:val="auto"/>
                <w:szCs w:val="21"/>
                <w:highlight w:val="none"/>
                <w:lang w:val="en-US" w:eastAsia="zh-CN"/>
              </w:rPr>
              <w:t>序号</w:t>
            </w:r>
          </w:p>
        </w:tc>
        <w:tc>
          <w:tcPr>
            <w:tcW w:w="1994" w:type="dxa"/>
            <w:vMerge w:val="restart"/>
            <w:tcBorders>
              <w:top w:val="single" w:color="000000" w:sz="4" w:space="0"/>
              <w:left w:val="single" w:color="000000" w:sz="4" w:space="0"/>
              <w:right w:val="single" w:color="000000" w:sz="4" w:space="0"/>
            </w:tcBorders>
            <w:shd w:val="clear" w:color="auto" w:fill="FFFFFF" w:themeFill="background1"/>
            <w:vAlign w:val="center"/>
          </w:tcPr>
          <w:p w14:paraId="2885076B">
            <w:pPr>
              <w:widowControl/>
              <w:spacing w:line="360" w:lineRule="auto"/>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项目</w:t>
            </w:r>
          </w:p>
        </w:tc>
        <w:tc>
          <w:tcPr>
            <w:tcW w:w="2165" w:type="dxa"/>
            <w:tcBorders>
              <w:top w:val="single" w:color="000000" w:sz="4" w:space="0"/>
              <w:left w:val="nil"/>
              <w:bottom w:val="single" w:color="000000" w:sz="4" w:space="0"/>
              <w:right w:val="single" w:color="000000" w:sz="4" w:space="0"/>
            </w:tcBorders>
            <w:shd w:val="clear" w:color="auto" w:fill="FFFFFF" w:themeFill="background1"/>
            <w:vAlign w:val="center"/>
          </w:tcPr>
          <w:p w14:paraId="0126F2CC">
            <w:pPr>
              <w:widowControl/>
              <w:spacing w:line="360" w:lineRule="auto"/>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A</w:t>
            </w:r>
            <w:r>
              <w:rPr>
                <w:rFonts w:hint="eastAsia" w:ascii="宋体" w:hAnsi="宋体" w:eastAsia="宋体"/>
                <w:color w:val="auto"/>
                <w:kern w:val="0"/>
                <w:sz w:val="28"/>
                <w:szCs w:val="28"/>
                <w:highlight w:val="none"/>
                <w:vertAlign w:val="superscript"/>
              </w:rPr>
              <w:t>b</w:t>
            </w:r>
          </w:p>
        </w:tc>
      </w:tr>
      <w:tr w14:paraId="7649AC2B">
        <w:tblPrEx>
          <w:tblCellMar>
            <w:top w:w="0" w:type="dxa"/>
            <w:left w:w="108" w:type="dxa"/>
            <w:bottom w:w="0" w:type="dxa"/>
            <w:right w:w="108" w:type="dxa"/>
          </w:tblCellMar>
        </w:tblPrEx>
        <w:trPr>
          <w:trHeight w:val="496" w:hRule="atLeast"/>
          <w:jc w:val="center"/>
        </w:trPr>
        <w:tc>
          <w:tcPr>
            <w:tcW w:w="839" w:type="dxa"/>
            <w:vMerge w:val="continue"/>
            <w:tcBorders>
              <w:left w:val="single" w:color="000000" w:sz="4" w:space="0"/>
              <w:right w:val="single" w:color="000000" w:sz="4" w:space="0"/>
            </w:tcBorders>
            <w:shd w:val="clear" w:color="auto" w:fill="FFFFFF" w:themeFill="background1"/>
            <w:vAlign w:val="center"/>
          </w:tcPr>
          <w:p w14:paraId="735D6A7E">
            <w:pPr>
              <w:widowControl/>
              <w:spacing w:line="360" w:lineRule="auto"/>
              <w:contextualSpacing/>
              <w:jc w:val="center"/>
              <w:rPr>
                <w:rFonts w:hint="eastAsia" w:ascii="宋体" w:hAnsi="宋体" w:eastAsia="宋体"/>
                <w:color w:val="auto"/>
                <w:kern w:val="0"/>
                <w:szCs w:val="21"/>
                <w:highlight w:val="none"/>
              </w:rPr>
            </w:pPr>
          </w:p>
        </w:tc>
        <w:tc>
          <w:tcPr>
            <w:tcW w:w="1994" w:type="dxa"/>
            <w:vMerge w:val="continue"/>
            <w:tcBorders>
              <w:top w:val="single" w:color="000000" w:sz="4" w:space="0"/>
              <w:left w:val="single" w:color="000000" w:sz="4" w:space="0"/>
              <w:right w:val="single" w:color="000000" w:sz="4" w:space="0"/>
            </w:tcBorders>
            <w:shd w:val="clear" w:color="auto" w:fill="FFFFFF" w:themeFill="background1"/>
            <w:vAlign w:val="center"/>
          </w:tcPr>
          <w:p w14:paraId="6D6DC964">
            <w:pPr>
              <w:widowControl/>
              <w:spacing w:line="360" w:lineRule="auto"/>
              <w:contextualSpacing/>
              <w:jc w:val="center"/>
              <w:rPr>
                <w:rFonts w:hint="eastAsia" w:ascii="宋体" w:hAnsi="宋体" w:eastAsia="宋体"/>
                <w:color w:val="auto"/>
                <w:kern w:val="0"/>
                <w:szCs w:val="21"/>
                <w:highlight w:val="none"/>
              </w:rPr>
            </w:pPr>
          </w:p>
        </w:tc>
        <w:tc>
          <w:tcPr>
            <w:tcW w:w="2165" w:type="dxa"/>
            <w:tcBorders>
              <w:top w:val="single" w:color="000000" w:sz="4" w:space="0"/>
              <w:left w:val="nil"/>
              <w:bottom w:val="single" w:color="000000" w:sz="4" w:space="0"/>
              <w:right w:val="single" w:color="000000" w:sz="4" w:space="0"/>
            </w:tcBorders>
            <w:shd w:val="clear" w:color="auto" w:fill="FFFFFF" w:themeFill="background1"/>
            <w:vAlign w:val="center"/>
          </w:tcPr>
          <w:p w14:paraId="41FA9C7E">
            <w:pPr>
              <w:widowControl/>
              <w:spacing w:line="360" w:lineRule="auto"/>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Ⅱ</w:t>
            </w:r>
          </w:p>
        </w:tc>
      </w:tr>
      <w:tr w14:paraId="66E339FB">
        <w:tblPrEx>
          <w:tblCellMar>
            <w:top w:w="0" w:type="dxa"/>
            <w:left w:w="108" w:type="dxa"/>
            <w:bottom w:w="0" w:type="dxa"/>
            <w:right w:w="108" w:type="dxa"/>
          </w:tblCellMar>
        </w:tblPrEx>
        <w:trPr>
          <w:trHeight w:val="540" w:hRule="atLeast"/>
          <w:jc w:val="center"/>
        </w:trPr>
        <w:tc>
          <w:tcPr>
            <w:tcW w:w="839"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5AA9AEBE">
            <w:pPr>
              <w:widowControl/>
              <w:spacing w:line="360" w:lineRule="auto"/>
              <w:contextualSpacing/>
              <w:jc w:val="center"/>
              <w:rPr>
                <w:rFonts w:hint="eastAsia" w:ascii="宋体" w:hAnsi="宋体" w:eastAsia="宋体"/>
                <w:color w:val="auto"/>
                <w:kern w:val="0"/>
                <w:szCs w:val="21"/>
                <w:highlight w:val="none"/>
              </w:rPr>
            </w:pPr>
          </w:p>
        </w:tc>
        <w:tc>
          <w:tcPr>
            <w:tcW w:w="1994"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27517E28">
            <w:pPr>
              <w:widowControl/>
              <w:spacing w:line="360" w:lineRule="auto"/>
              <w:contextualSpacing/>
              <w:jc w:val="center"/>
              <w:rPr>
                <w:rFonts w:hint="eastAsia" w:ascii="宋体" w:hAnsi="宋体" w:eastAsia="宋体"/>
                <w:color w:val="auto"/>
                <w:kern w:val="0"/>
                <w:szCs w:val="21"/>
                <w:highlight w:val="none"/>
              </w:rPr>
            </w:pPr>
          </w:p>
        </w:tc>
        <w:tc>
          <w:tcPr>
            <w:tcW w:w="2165" w:type="dxa"/>
            <w:tcBorders>
              <w:top w:val="single" w:color="000000" w:sz="4" w:space="0"/>
              <w:left w:val="nil"/>
              <w:bottom w:val="single" w:color="000000" w:sz="4" w:space="0"/>
              <w:right w:val="single" w:color="000000" w:sz="4" w:space="0"/>
            </w:tcBorders>
            <w:shd w:val="clear" w:color="auto" w:fill="FFFFFF" w:themeFill="background1"/>
            <w:vAlign w:val="center"/>
          </w:tcPr>
          <w:p w14:paraId="46728D11">
            <w:pPr>
              <w:widowControl/>
              <w:spacing w:line="360" w:lineRule="auto"/>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指     标</w:t>
            </w:r>
          </w:p>
        </w:tc>
      </w:tr>
      <w:tr w14:paraId="7174AB3E">
        <w:tblPrEx>
          <w:tblCellMar>
            <w:top w:w="0" w:type="dxa"/>
            <w:left w:w="108" w:type="dxa"/>
            <w:bottom w:w="0" w:type="dxa"/>
            <w:right w:w="108" w:type="dxa"/>
          </w:tblCellMar>
        </w:tblPrEx>
        <w:trPr>
          <w:trHeight w:val="5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7CCEC4">
            <w:pPr>
              <w:widowControl/>
              <w:spacing w:line="360" w:lineRule="auto"/>
              <w:contextualSpacing/>
              <w:jc w:val="center"/>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1</w:t>
            </w:r>
          </w:p>
        </w:tc>
        <w:tc>
          <w:tcPr>
            <w:tcW w:w="19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0E958E">
            <w:pPr>
              <w:widowControl/>
              <w:spacing w:line="360" w:lineRule="auto"/>
              <w:contextualSpacing/>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有效氯（以C1计）</w:t>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 w:val="18"/>
                <w:szCs w:val="18"/>
                <w:highlight w:val="none"/>
              </w:rPr>
              <w:t>ω</w:t>
            </w:r>
            <w:r>
              <w:rPr>
                <w:rFonts w:hint="eastAsia" w:ascii="宋体" w:hAnsi="宋体" w:eastAsia="宋体"/>
                <w:color w:val="auto"/>
                <w:kern w:val="0"/>
                <w:szCs w:val="21"/>
                <w:highlight w:val="none"/>
              </w:rPr>
              <w:t xml:space="preserve">/％ </w:t>
            </w:r>
          </w:p>
        </w:tc>
        <w:tc>
          <w:tcPr>
            <w:tcW w:w="2165" w:type="dxa"/>
            <w:tcBorders>
              <w:top w:val="single" w:color="000000" w:sz="4" w:space="0"/>
              <w:left w:val="nil"/>
              <w:bottom w:val="single" w:color="000000" w:sz="4" w:space="0"/>
              <w:right w:val="single" w:color="000000" w:sz="4" w:space="0"/>
            </w:tcBorders>
            <w:shd w:val="clear" w:color="auto" w:fill="FFFFFF" w:themeFill="background1"/>
            <w:vAlign w:val="center"/>
          </w:tcPr>
          <w:p w14:paraId="4F94AF33">
            <w:pPr>
              <w:widowControl/>
              <w:spacing w:line="360" w:lineRule="auto"/>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≥10.0</w:t>
            </w:r>
          </w:p>
        </w:tc>
      </w:tr>
      <w:tr w14:paraId="2E46A41E">
        <w:tblPrEx>
          <w:tblCellMar>
            <w:top w:w="0" w:type="dxa"/>
            <w:left w:w="108" w:type="dxa"/>
            <w:bottom w:w="0" w:type="dxa"/>
            <w:right w:w="108" w:type="dxa"/>
          </w:tblCellMar>
        </w:tblPrEx>
        <w:trPr>
          <w:trHeight w:val="5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A0C0EC">
            <w:pPr>
              <w:widowControl/>
              <w:spacing w:line="360" w:lineRule="auto"/>
              <w:contextualSpacing/>
              <w:jc w:val="center"/>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2</w:t>
            </w:r>
          </w:p>
        </w:tc>
        <w:tc>
          <w:tcPr>
            <w:tcW w:w="19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78392C">
            <w:pPr>
              <w:widowControl/>
              <w:spacing w:line="360" w:lineRule="auto"/>
              <w:contextualSpacing/>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游离碱（以NaOH计）</w:t>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 w:val="18"/>
                <w:szCs w:val="18"/>
                <w:highlight w:val="none"/>
              </w:rPr>
              <w:t>ω</w:t>
            </w:r>
            <w:r>
              <w:rPr>
                <w:rFonts w:hint="eastAsia" w:ascii="宋体" w:hAnsi="宋体" w:eastAsia="宋体"/>
                <w:color w:val="auto"/>
                <w:kern w:val="0"/>
                <w:szCs w:val="21"/>
                <w:highlight w:val="none"/>
              </w:rPr>
              <w:t xml:space="preserve">/％ </w:t>
            </w:r>
          </w:p>
        </w:tc>
        <w:tc>
          <w:tcPr>
            <w:tcW w:w="2165" w:type="dxa"/>
            <w:tcBorders>
              <w:top w:val="single" w:color="000000" w:sz="4" w:space="0"/>
              <w:left w:val="nil"/>
              <w:bottom w:val="single" w:color="000000" w:sz="4" w:space="0"/>
              <w:right w:val="single" w:color="000000" w:sz="4" w:space="0"/>
            </w:tcBorders>
            <w:shd w:val="clear" w:color="auto" w:fill="FFFFFF" w:themeFill="background1"/>
            <w:vAlign w:val="center"/>
          </w:tcPr>
          <w:p w14:paraId="18FDB464">
            <w:pPr>
              <w:widowControl/>
              <w:spacing w:line="360" w:lineRule="auto"/>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0.1～1.0</w:t>
            </w:r>
          </w:p>
        </w:tc>
      </w:tr>
      <w:tr w14:paraId="0E110C4A">
        <w:tblPrEx>
          <w:tblCellMar>
            <w:top w:w="0" w:type="dxa"/>
            <w:left w:w="108" w:type="dxa"/>
            <w:bottom w:w="0" w:type="dxa"/>
            <w:right w:w="108" w:type="dxa"/>
          </w:tblCellMar>
        </w:tblPrEx>
        <w:trPr>
          <w:trHeight w:val="5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28C0EE">
            <w:pPr>
              <w:widowControl/>
              <w:spacing w:line="360" w:lineRule="auto"/>
              <w:contextualSpacing/>
              <w:jc w:val="center"/>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3</w:t>
            </w:r>
          </w:p>
        </w:tc>
        <w:tc>
          <w:tcPr>
            <w:tcW w:w="19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96604A">
            <w:pPr>
              <w:widowControl/>
              <w:spacing w:line="360" w:lineRule="auto"/>
              <w:contextualSpacing/>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铁（Fe）</w:t>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 w:val="18"/>
                <w:szCs w:val="18"/>
                <w:highlight w:val="none"/>
              </w:rPr>
              <w:t>ω</w:t>
            </w:r>
            <w:r>
              <w:rPr>
                <w:rFonts w:hint="eastAsia" w:ascii="宋体" w:hAnsi="宋体" w:eastAsia="宋体"/>
                <w:color w:val="auto"/>
                <w:kern w:val="0"/>
                <w:szCs w:val="21"/>
                <w:highlight w:val="none"/>
              </w:rPr>
              <w:t xml:space="preserve">/％ </w:t>
            </w:r>
          </w:p>
        </w:tc>
        <w:tc>
          <w:tcPr>
            <w:tcW w:w="2165" w:type="dxa"/>
            <w:tcBorders>
              <w:top w:val="single" w:color="000000" w:sz="4" w:space="0"/>
              <w:left w:val="nil"/>
              <w:bottom w:val="single" w:color="000000" w:sz="4" w:space="0"/>
              <w:right w:val="single" w:color="000000" w:sz="4" w:space="0"/>
            </w:tcBorders>
            <w:shd w:val="clear" w:color="auto" w:fill="FFFFFF" w:themeFill="background1"/>
            <w:vAlign w:val="center"/>
          </w:tcPr>
          <w:p w14:paraId="275571A2">
            <w:pPr>
              <w:widowControl/>
              <w:spacing w:line="360" w:lineRule="auto"/>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≤0.005</w:t>
            </w:r>
          </w:p>
        </w:tc>
      </w:tr>
      <w:tr w14:paraId="0FC52AD8">
        <w:tblPrEx>
          <w:tblCellMar>
            <w:top w:w="0" w:type="dxa"/>
            <w:left w:w="108" w:type="dxa"/>
            <w:bottom w:w="0" w:type="dxa"/>
            <w:right w:w="108" w:type="dxa"/>
          </w:tblCellMar>
        </w:tblPrEx>
        <w:trPr>
          <w:trHeight w:val="5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8D9FCB">
            <w:pPr>
              <w:widowControl/>
              <w:spacing w:line="360" w:lineRule="auto"/>
              <w:contextualSpacing/>
              <w:jc w:val="center"/>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4</w:t>
            </w:r>
          </w:p>
        </w:tc>
        <w:tc>
          <w:tcPr>
            <w:tcW w:w="19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FD74CA">
            <w:pPr>
              <w:widowControl/>
              <w:spacing w:line="360" w:lineRule="auto"/>
              <w:contextualSpacing/>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重金属（以Pb计）</w:t>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 w:val="18"/>
                <w:szCs w:val="18"/>
                <w:highlight w:val="none"/>
              </w:rPr>
              <w:t>ω</w:t>
            </w:r>
            <w:r>
              <w:rPr>
                <w:rFonts w:hint="eastAsia" w:ascii="宋体" w:hAnsi="宋体" w:eastAsia="宋体"/>
                <w:color w:val="auto"/>
                <w:kern w:val="0"/>
                <w:szCs w:val="21"/>
                <w:highlight w:val="none"/>
              </w:rPr>
              <w:t xml:space="preserve">/％ </w:t>
            </w:r>
          </w:p>
        </w:tc>
        <w:tc>
          <w:tcPr>
            <w:tcW w:w="2165" w:type="dxa"/>
            <w:tcBorders>
              <w:top w:val="single" w:color="000000" w:sz="4" w:space="0"/>
              <w:left w:val="nil"/>
              <w:bottom w:val="single" w:color="000000" w:sz="4" w:space="0"/>
              <w:right w:val="single" w:color="000000" w:sz="4" w:space="0"/>
            </w:tcBorders>
            <w:shd w:val="clear" w:color="auto" w:fill="FFFFFF" w:themeFill="background1"/>
            <w:vAlign w:val="center"/>
          </w:tcPr>
          <w:p w14:paraId="5A4E88F8">
            <w:pPr>
              <w:widowControl/>
              <w:spacing w:line="360" w:lineRule="auto"/>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≤0.001</w:t>
            </w:r>
          </w:p>
        </w:tc>
      </w:tr>
      <w:tr w14:paraId="774E713D">
        <w:tblPrEx>
          <w:tblCellMar>
            <w:top w:w="0" w:type="dxa"/>
            <w:left w:w="108" w:type="dxa"/>
            <w:bottom w:w="0" w:type="dxa"/>
            <w:right w:w="108" w:type="dxa"/>
          </w:tblCellMar>
        </w:tblPrEx>
        <w:trPr>
          <w:trHeight w:val="51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E3D8F6">
            <w:pPr>
              <w:widowControl/>
              <w:spacing w:line="360" w:lineRule="auto"/>
              <w:contextualSpacing/>
              <w:jc w:val="center"/>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5</w:t>
            </w:r>
          </w:p>
        </w:tc>
        <w:tc>
          <w:tcPr>
            <w:tcW w:w="19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E21620">
            <w:pPr>
              <w:widowControl/>
              <w:spacing w:line="360" w:lineRule="auto"/>
              <w:contextualSpacing/>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砷（As）</w:t>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 w:val="18"/>
                <w:szCs w:val="18"/>
                <w:highlight w:val="none"/>
              </w:rPr>
              <w:t>ω</w:t>
            </w:r>
            <w:r>
              <w:rPr>
                <w:rFonts w:hint="eastAsia" w:ascii="宋体" w:hAnsi="宋体" w:eastAsia="宋体"/>
                <w:color w:val="auto"/>
                <w:kern w:val="0"/>
                <w:szCs w:val="21"/>
                <w:highlight w:val="none"/>
              </w:rPr>
              <w:t xml:space="preserve">/％ </w:t>
            </w:r>
          </w:p>
        </w:tc>
        <w:tc>
          <w:tcPr>
            <w:tcW w:w="2165" w:type="dxa"/>
            <w:tcBorders>
              <w:top w:val="single" w:color="000000" w:sz="4" w:space="0"/>
              <w:left w:val="nil"/>
              <w:bottom w:val="single" w:color="000000" w:sz="4" w:space="0"/>
              <w:right w:val="single" w:color="000000" w:sz="4" w:space="0"/>
            </w:tcBorders>
            <w:shd w:val="clear" w:color="auto" w:fill="FFFFFF" w:themeFill="background1"/>
            <w:vAlign w:val="center"/>
          </w:tcPr>
          <w:p w14:paraId="1945CC08">
            <w:pPr>
              <w:widowControl/>
              <w:spacing w:line="360" w:lineRule="auto"/>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≤0.0001</w:t>
            </w:r>
          </w:p>
        </w:tc>
      </w:tr>
    </w:tbl>
    <w:p w14:paraId="7927FEF5">
      <w:pPr>
        <w:widowControl/>
        <w:spacing w:line="360" w:lineRule="auto"/>
        <w:ind w:firstLine="420" w:firstLineChars="200"/>
        <w:contextualSpacing/>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2、适应性：适应水厂的指标。</w:t>
      </w:r>
    </w:p>
    <w:p w14:paraId="58315997">
      <w:pPr>
        <w:widowControl/>
        <w:spacing w:line="360" w:lineRule="auto"/>
        <w:ind w:firstLine="420" w:firstLineChars="200"/>
        <w:contextualSpacing/>
        <w:jc w:val="left"/>
        <w:rPr>
          <w:rFonts w:hint="eastAsia" w:ascii="宋体" w:hAnsi="宋体" w:eastAsia="宋体"/>
          <w:color w:val="auto"/>
          <w:kern w:val="0"/>
          <w:szCs w:val="21"/>
          <w:highlight w:val="none"/>
          <w:shd w:val="clear" w:color="auto" w:fill="auto"/>
        </w:rPr>
      </w:pPr>
      <w:r>
        <w:rPr>
          <w:rFonts w:hint="eastAsia" w:ascii="宋体" w:hAnsi="宋体" w:eastAsia="宋体"/>
          <w:color w:val="auto"/>
          <w:kern w:val="0"/>
          <w:szCs w:val="21"/>
          <w:highlight w:val="none"/>
          <w:shd w:val="clear" w:color="auto" w:fill="auto"/>
        </w:rPr>
        <w:t>3、供货量：</w:t>
      </w:r>
      <w:r>
        <w:rPr>
          <w:rFonts w:hint="eastAsia" w:ascii="宋体" w:hAnsi="宋体"/>
          <w:color w:val="auto"/>
          <w:kern w:val="0"/>
          <w:szCs w:val="21"/>
          <w:highlight w:val="none"/>
          <w:lang w:val="en-US" w:eastAsia="zh-CN"/>
        </w:rPr>
        <w:t>每次1</w:t>
      </w:r>
      <w:r>
        <w:rPr>
          <w:rFonts w:hint="eastAsia" w:ascii="宋体" w:hAnsi="宋体"/>
          <w:color w:val="auto"/>
          <w:kern w:val="0"/>
          <w:szCs w:val="21"/>
          <w:highlight w:val="none"/>
        </w:rPr>
        <w:t>吨—30吨不等。</w:t>
      </w:r>
    </w:p>
    <w:p w14:paraId="4BEDB6D6">
      <w:pPr>
        <w:widowControl/>
        <w:spacing w:line="360" w:lineRule="auto"/>
        <w:ind w:firstLine="422" w:firstLineChars="200"/>
        <w:contextualSpacing/>
        <w:jc w:val="left"/>
        <w:rPr>
          <w:rFonts w:hint="eastAsia" w:ascii="宋体" w:hAnsi="宋体" w:eastAsia="宋体"/>
          <w:b/>
          <w:color w:val="auto"/>
          <w:szCs w:val="21"/>
          <w:highlight w:val="none"/>
          <w:shd w:val="clear" w:color="auto" w:fill="auto"/>
        </w:rPr>
      </w:pPr>
      <w:r>
        <w:rPr>
          <w:rFonts w:hint="eastAsia" w:ascii="宋体" w:hAnsi="宋体" w:eastAsia="宋体"/>
          <w:b/>
          <w:color w:val="auto"/>
          <w:szCs w:val="21"/>
          <w:highlight w:val="none"/>
          <w:shd w:val="clear" w:color="auto" w:fill="auto"/>
        </w:rPr>
        <w:t>★</w:t>
      </w:r>
      <w:r>
        <w:rPr>
          <w:rFonts w:hint="eastAsia" w:ascii="宋体" w:hAnsi="宋体" w:eastAsia="宋体"/>
          <w:color w:val="auto"/>
          <w:kern w:val="0"/>
          <w:szCs w:val="21"/>
          <w:highlight w:val="none"/>
          <w:shd w:val="clear" w:color="auto" w:fill="auto"/>
        </w:rPr>
        <w:t>4、</w:t>
      </w:r>
      <w:r>
        <w:rPr>
          <w:rFonts w:hint="eastAsia" w:ascii="宋体" w:hAnsi="宋体" w:eastAsia="宋体"/>
          <w:color w:val="auto"/>
          <w:kern w:val="0"/>
          <w:szCs w:val="21"/>
          <w:highlight w:val="none"/>
          <w:shd w:val="clear" w:color="auto" w:fill="auto"/>
          <w:lang w:eastAsia="zh-CN"/>
        </w:rPr>
        <w:t>投标供应商</w:t>
      </w:r>
      <w:r>
        <w:rPr>
          <w:rFonts w:hint="eastAsia" w:ascii="宋体" w:hAnsi="宋体" w:eastAsia="宋体"/>
          <w:color w:val="auto"/>
          <w:kern w:val="0"/>
          <w:szCs w:val="21"/>
          <w:highlight w:val="none"/>
          <w:shd w:val="clear" w:color="auto" w:fill="auto"/>
          <w:lang w:val="en-US" w:eastAsia="zh-CN"/>
        </w:rPr>
        <w:t>投标文件中须</w:t>
      </w:r>
      <w:r>
        <w:rPr>
          <w:rFonts w:hint="eastAsia" w:ascii="宋体" w:hAnsi="宋体" w:eastAsia="宋体"/>
          <w:color w:val="auto"/>
          <w:kern w:val="0"/>
          <w:szCs w:val="21"/>
          <w:highlight w:val="none"/>
          <w:shd w:val="clear" w:color="auto" w:fill="auto"/>
        </w:rPr>
        <w:t>提供危险化学品经营许可证、</w:t>
      </w:r>
      <w:r>
        <w:rPr>
          <w:rFonts w:hint="eastAsia" w:ascii="宋体" w:hAnsi="宋体" w:eastAsia="宋体"/>
          <w:color w:val="auto"/>
          <w:kern w:val="0"/>
          <w:szCs w:val="21"/>
          <w:highlight w:val="none"/>
          <w:shd w:val="clear" w:color="auto" w:fill="auto"/>
          <w:lang w:val="en-US" w:eastAsia="zh-CN"/>
        </w:rPr>
        <w:t>相关的道路运输许经营许可证（如是承包第三方运输的，提供第三方的道路运输许经营许可证及运输合同）以及投标产品生产方</w:t>
      </w:r>
      <w:r>
        <w:rPr>
          <w:rFonts w:hint="eastAsia" w:ascii="宋体" w:hAnsi="宋体" w:eastAsia="宋体"/>
          <w:color w:val="auto"/>
          <w:kern w:val="0"/>
          <w:szCs w:val="21"/>
          <w:highlight w:val="none"/>
          <w:shd w:val="clear" w:color="auto" w:fill="auto"/>
        </w:rPr>
        <w:t>涉及饮用水卫生安全产品卫生许可批件和202</w:t>
      </w:r>
      <w:r>
        <w:rPr>
          <w:rFonts w:hint="eastAsia" w:ascii="宋体" w:hAnsi="宋体"/>
          <w:color w:val="auto"/>
          <w:kern w:val="0"/>
          <w:szCs w:val="21"/>
          <w:highlight w:val="none"/>
          <w:shd w:val="clear" w:color="auto" w:fill="auto"/>
          <w:lang w:val="en-US" w:eastAsia="zh-CN"/>
        </w:rPr>
        <w:t>2</w:t>
      </w:r>
      <w:r>
        <w:rPr>
          <w:rFonts w:hint="eastAsia" w:ascii="宋体" w:hAnsi="宋体" w:eastAsia="宋体"/>
          <w:color w:val="auto"/>
          <w:kern w:val="0"/>
          <w:szCs w:val="21"/>
          <w:highlight w:val="none"/>
          <w:shd w:val="clear" w:color="auto" w:fill="auto"/>
        </w:rPr>
        <w:t>年1月1日以来市级及以上第三方权威机构出具的检测报告。</w:t>
      </w:r>
    </w:p>
    <w:p w14:paraId="5FF49765">
      <w:pPr>
        <w:snapToGrid w:val="0"/>
        <w:spacing w:line="360" w:lineRule="auto"/>
        <w:ind w:firstLine="42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5、质量保证及售后服务</w:t>
      </w:r>
    </w:p>
    <w:p w14:paraId="3FA69E15">
      <w:pPr>
        <w:widowControl/>
        <w:numPr>
          <w:ilvl w:val="0"/>
          <w:numId w:val="0"/>
        </w:numPr>
        <w:spacing w:line="360" w:lineRule="auto"/>
        <w:ind w:firstLine="630" w:firstLineChars="300"/>
        <w:contextualSpacing/>
        <w:jc w:val="left"/>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1）</w:t>
      </w:r>
      <w:r>
        <w:rPr>
          <w:rFonts w:hint="eastAsia" w:ascii="宋体" w:hAnsi="宋体" w:eastAsia="宋体"/>
          <w:color w:val="auto"/>
          <w:kern w:val="0"/>
          <w:szCs w:val="21"/>
          <w:highlight w:val="none"/>
          <w:lang w:eastAsia="zh-CN"/>
        </w:rPr>
        <w:t>投标供应商</w:t>
      </w:r>
      <w:r>
        <w:rPr>
          <w:rFonts w:hint="eastAsia" w:ascii="宋体" w:hAnsi="宋体" w:eastAsia="宋体"/>
          <w:color w:val="auto"/>
          <w:kern w:val="0"/>
          <w:szCs w:val="21"/>
          <w:highlight w:val="none"/>
        </w:rPr>
        <w:t>提供具有完善的售后服务体系的说明，以验证其售后服务情况。</w:t>
      </w:r>
    </w:p>
    <w:p w14:paraId="1264A18F">
      <w:pPr>
        <w:widowControl/>
        <w:numPr>
          <w:ilvl w:val="0"/>
          <w:numId w:val="0"/>
        </w:numPr>
        <w:spacing w:line="360" w:lineRule="auto"/>
        <w:ind w:firstLine="630" w:firstLineChars="300"/>
        <w:contextualSpacing/>
        <w:jc w:val="left"/>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2）</w:t>
      </w:r>
      <w:r>
        <w:rPr>
          <w:rFonts w:hint="eastAsia" w:ascii="宋体" w:hAnsi="宋体" w:eastAsia="宋体"/>
          <w:color w:val="auto"/>
          <w:kern w:val="0"/>
          <w:szCs w:val="21"/>
          <w:highlight w:val="none"/>
        </w:rPr>
        <w:t>货物送达指定地点经</w:t>
      </w:r>
      <w:r>
        <w:rPr>
          <w:rFonts w:hint="eastAsia" w:ascii="宋体" w:hAnsi="宋体"/>
          <w:color w:val="auto"/>
          <w:kern w:val="0"/>
          <w:szCs w:val="21"/>
          <w:highlight w:val="none"/>
          <w:lang w:val="en-US" w:eastAsia="zh-CN"/>
        </w:rPr>
        <w:t>甲方</w:t>
      </w:r>
      <w:r>
        <w:rPr>
          <w:rFonts w:hint="eastAsia" w:ascii="宋体" w:hAnsi="宋体" w:eastAsia="宋体"/>
          <w:color w:val="auto"/>
          <w:kern w:val="0"/>
          <w:szCs w:val="21"/>
          <w:highlight w:val="none"/>
        </w:rPr>
        <w:t>确认货物数量，同时随车提供产品质量合格证、检测报告。接受使用单位不定期到生产现场抽查，以确保净水药剂质量。</w:t>
      </w:r>
    </w:p>
    <w:p w14:paraId="1BB5136A">
      <w:pPr>
        <w:widowControl/>
        <w:numPr>
          <w:ilvl w:val="0"/>
          <w:numId w:val="0"/>
        </w:numPr>
        <w:spacing w:line="360" w:lineRule="auto"/>
        <w:ind w:firstLine="630" w:firstLineChars="300"/>
        <w:contextualSpacing/>
        <w:jc w:val="left"/>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3）</w:t>
      </w:r>
      <w:r>
        <w:rPr>
          <w:rFonts w:hint="eastAsia" w:ascii="宋体" w:hAnsi="宋体" w:eastAsia="宋体"/>
          <w:color w:val="auto"/>
          <w:kern w:val="0"/>
          <w:szCs w:val="21"/>
          <w:highlight w:val="none"/>
          <w:lang w:eastAsia="zh-CN"/>
        </w:rPr>
        <w:t>中标供应商</w:t>
      </w:r>
      <w:r>
        <w:rPr>
          <w:rFonts w:hint="eastAsia" w:ascii="宋体" w:hAnsi="宋体" w:eastAsia="宋体"/>
          <w:color w:val="auto"/>
          <w:kern w:val="0"/>
          <w:szCs w:val="21"/>
          <w:highlight w:val="none"/>
        </w:rPr>
        <w:t>确保专车对</w:t>
      </w:r>
      <w:r>
        <w:rPr>
          <w:rFonts w:hint="eastAsia" w:ascii="宋体" w:hAnsi="宋体" w:eastAsia="宋体"/>
          <w:color w:val="auto"/>
          <w:kern w:val="0"/>
          <w:szCs w:val="21"/>
          <w:highlight w:val="none"/>
          <w:lang w:eastAsia="zh-CN"/>
        </w:rPr>
        <w:t>采购人</w:t>
      </w:r>
      <w:r>
        <w:rPr>
          <w:rFonts w:hint="eastAsia" w:ascii="宋体" w:hAnsi="宋体" w:eastAsia="宋体"/>
          <w:color w:val="auto"/>
          <w:kern w:val="0"/>
          <w:szCs w:val="21"/>
          <w:highlight w:val="none"/>
        </w:rPr>
        <w:t>进行次氯酸钠（液体）的运输，在中标合同签订中需将该车辆的行驶证和车辆全景照片向</w:t>
      </w:r>
      <w:r>
        <w:rPr>
          <w:rFonts w:hint="eastAsia" w:ascii="宋体" w:hAnsi="宋体" w:eastAsia="宋体"/>
          <w:color w:val="auto"/>
          <w:kern w:val="0"/>
          <w:szCs w:val="21"/>
          <w:highlight w:val="none"/>
          <w:lang w:eastAsia="zh-CN"/>
        </w:rPr>
        <w:t>采购人</w:t>
      </w:r>
      <w:r>
        <w:rPr>
          <w:rFonts w:hint="eastAsia" w:ascii="宋体" w:hAnsi="宋体" w:eastAsia="宋体"/>
          <w:color w:val="auto"/>
          <w:kern w:val="0"/>
          <w:szCs w:val="21"/>
          <w:highlight w:val="none"/>
        </w:rPr>
        <w:t>进行备案，若在实际运输中遇特殊情况需更换车辆的，</w:t>
      </w:r>
      <w:r>
        <w:rPr>
          <w:rFonts w:hint="eastAsia" w:ascii="宋体" w:hAnsi="宋体" w:eastAsia="宋体"/>
          <w:color w:val="auto"/>
          <w:kern w:val="0"/>
          <w:szCs w:val="21"/>
          <w:highlight w:val="none"/>
          <w:lang w:eastAsia="zh-CN"/>
        </w:rPr>
        <w:t>中标供应商</w:t>
      </w:r>
      <w:r>
        <w:rPr>
          <w:rFonts w:hint="eastAsia" w:ascii="宋体" w:hAnsi="宋体" w:eastAsia="宋体"/>
          <w:color w:val="auto"/>
          <w:kern w:val="0"/>
          <w:szCs w:val="21"/>
          <w:highlight w:val="none"/>
        </w:rPr>
        <w:t>需向</w:t>
      </w:r>
      <w:r>
        <w:rPr>
          <w:rFonts w:hint="eastAsia" w:ascii="宋体" w:hAnsi="宋体" w:eastAsia="宋体"/>
          <w:color w:val="auto"/>
          <w:kern w:val="0"/>
          <w:szCs w:val="21"/>
          <w:highlight w:val="none"/>
          <w:lang w:eastAsia="zh-CN"/>
        </w:rPr>
        <w:t>采购人</w:t>
      </w:r>
      <w:r>
        <w:rPr>
          <w:rFonts w:hint="eastAsia" w:ascii="宋体" w:hAnsi="宋体" w:eastAsia="宋体"/>
          <w:color w:val="auto"/>
          <w:kern w:val="0"/>
          <w:szCs w:val="21"/>
          <w:highlight w:val="none"/>
        </w:rPr>
        <w:t>提前书面告知获得</w:t>
      </w:r>
      <w:r>
        <w:rPr>
          <w:rFonts w:hint="eastAsia" w:ascii="宋体" w:hAnsi="宋体" w:eastAsia="宋体"/>
          <w:color w:val="auto"/>
          <w:kern w:val="0"/>
          <w:szCs w:val="21"/>
          <w:highlight w:val="none"/>
          <w:lang w:eastAsia="zh-CN"/>
        </w:rPr>
        <w:t>采购人</w:t>
      </w:r>
      <w:r>
        <w:rPr>
          <w:rFonts w:hint="eastAsia" w:ascii="宋体" w:hAnsi="宋体" w:eastAsia="宋体"/>
          <w:color w:val="auto"/>
          <w:kern w:val="0"/>
          <w:szCs w:val="21"/>
          <w:highlight w:val="none"/>
        </w:rPr>
        <w:t>同意后方可更换。若</w:t>
      </w:r>
      <w:r>
        <w:rPr>
          <w:rFonts w:hint="eastAsia" w:ascii="宋体" w:hAnsi="宋体" w:eastAsia="宋体"/>
          <w:color w:val="auto"/>
          <w:kern w:val="0"/>
          <w:szCs w:val="21"/>
          <w:highlight w:val="none"/>
          <w:lang w:eastAsia="zh-CN"/>
        </w:rPr>
        <w:t>中标供应商</w:t>
      </w:r>
      <w:r>
        <w:rPr>
          <w:rFonts w:hint="eastAsia" w:ascii="宋体" w:hAnsi="宋体" w:eastAsia="宋体"/>
          <w:color w:val="auto"/>
          <w:kern w:val="0"/>
          <w:szCs w:val="21"/>
          <w:highlight w:val="none"/>
        </w:rPr>
        <w:t>擅自更换</w:t>
      </w:r>
      <w:r>
        <w:rPr>
          <w:rFonts w:hint="eastAsia" w:ascii="宋体" w:hAnsi="宋体" w:eastAsia="宋体"/>
          <w:color w:val="auto"/>
          <w:kern w:val="0"/>
          <w:szCs w:val="21"/>
          <w:highlight w:val="none"/>
          <w:lang w:eastAsia="zh-CN"/>
        </w:rPr>
        <w:t>采购人</w:t>
      </w:r>
      <w:r>
        <w:rPr>
          <w:rFonts w:hint="eastAsia" w:ascii="宋体" w:hAnsi="宋体" w:eastAsia="宋体"/>
          <w:color w:val="auto"/>
          <w:kern w:val="0"/>
          <w:szCs w:val="21"/>
          <w:highlight w:val="none"/>
        </w:rPr>
        <w:t>有权不接受该车货物并按</w:t>
      </w:r>
      <w:r>
        <w:rPr>
          <w:rFonts w:hint="eastAsia" w:ascii="宋体" w:hAnsi="宋体" w:eastAsia="宋体"/>
          <w:color w:val="auto"/>
          <w:kern w:val="0"/>
          <w:szCs w:val="21"/>
          <w:highlight w:val="none"/>
          <w:lang w:eastAsia="zh-CN"/>
        </w:rPr>
        <w:t>投标供应商</w:t>
      </w:r>
      <w:r>
        <w:rPr>
          <w:rFonts w:hint="eastAsia" w:ascii="宋体" w:hAnsi="宋体" w:eastAsia="宋体"/>
          <w:color w:val="auto"/>
          <w:kern w:val="0"/>
          <w:szCs w:val="21"/>
          <w:highlight w:val="none"/>
        </w:rPr>
        <w:t>未履行合约进行处罚。</w:t>
      </w:r>
      <w:r>
        <w:rPr>
          <w:rFonts w:hint="eastAsia" w:ascii="宋体" w:hAnsi="宋体" w:eastAsia="宋体"/>
          <w:color w:val="auto"/>
          <w:kern w:val="0"/>
          <w:szCs w:val="21"/>
          <w:highlight w:val="none"/>
          <w:lang w:eastAsia="zh-CN"/>
        </w:rPr>
        <w:t>中标供应商</w:t>
      </w:r>
      <w:r>
        <w:rPr>
          <w:rFonts w:hint="eastAsia" w:ascii="宋体" w:hAnsi="宋体" w:eastAsia="宋体"/>
          <w:color w:val="auto"/>
          <w:kern w:val="0"/>
          <w:szCs w:val="21"/>
          <w:highlight w:val="none"/>
        </w:rPr>
        <w:t>不同吨位的专车对</w:t>
      </w:r>
      <w:r>
        <w:rPr>
          <w:rFonts w:hint="eastAsia" w:ascii="宋体" w:hAnsi="宋体" w:eastAsia="宋体"/>
          <w:color w:val="auto"/>
          <w:kern w:val="0"/>
          <w:szCs w:val="21"/>
          <w:highlight w:val="none"/>
          <w:lang w:eastAsia="zh-CN"/>
        </w:rPr>
        <w:t>采购人</w:t>
      </w:r>
      <w:r>
        <w:rPr>
          <w:rFonts w:hint="eastAsia" w:ascii="宋体" w:hAnsi="宋体" w:eastAsia="宋体"/>
          <w:color w:val="auto"/>
          <w:kern w:val="0"/>
          <w:szCs w:val="21"/>
          <w:highlight w:val="none"/>
        </w:rPr>
        <w:t>进行净水药剂的运输，</w:t>
      </w:r>
      <w:r>
        <w:rPr>
          <w:rFonts w:hint="eastAsia" w:ascii="宋体" w:hAnsi="宋体" w:eastAsia="宋体"/>
          <w:color w:val="auto"/>
          <w:kern w:val="0"/>
          <w:szCs w:val="21"/>
          <w:highlight w:val="none"/>
          <w:lang w:eastAsia="zh-CN"/>
        </w:rPr>
        <w:t>采购人</w:t>
      </w:r>
      <w:r>
        <w:rPr>
          <w:rFonts w:hint="eastAsia" w:ascii="宋体" w:hAnsi="宋体" w:eastAsia="宋体"/>
          <w:color w:val="auto"/>
          <w:kern w:val="0"/>
          <w:szCs w:val="21"/>
          <w:highlight w:val="none"/>
        </w:rPr>
        <w:t>提供的运输药剂数量及指定货物送达地点（包括短拨），全部由</w:t>
      </w:r>
      <w:r>
        <w:rPr>
          <w:rFonts w:hint="eastAsia" w:ascii="宋体" w:hAnsi="宋体" w:eastAsia="宋体"/>
          <w:color w:val="auto"/>
          <w:kern w:val="0"/>
          <w:szCs w:val="21"/>
          <w:highlight w:val="none"/>
          <w:lang w:eastAsia="zh-CN"/>
        </w:rPr>
        <w:t>中标供应商</w:t>
      </w:r>
      <w:r>
        <w:rPr>
          <w:rFonts w:hint="eastAsia" w:ascii="宋体" w:hAnsi="宋体" w:eastAsia="宋体"/>
          <w:color w:val="auto"/>
          <w:kern w:val="0"/>
          <w:szCs w:val="21"/>
          <w:highlight w:val="none"/>
        </w:rPr>
        <w:t>负责，应无条件服从和做到。</w:t>
      </w:r>
    </w:p>
    <w:p w14:paraId="785B4FEC">
      <w:pPr>
        <w:widowControl/>
        <w:numPr>
          <w:ilvl w:val="0"/>
          <w:numId w:val="0"/>
        </w:numPr>
        <w:spacing w:line="360" w:lineRule="auto"/>
        <w:ind w:firstLine="630" w:firstLineChars="300"/>
        <w:contextualSpacing/>
        <w:jc w:val="left"/>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4）</w:t>
      </w:r>
      <w:r>
        <w:rPr>
          <w:rFonts w:hint="eastAsia" w:ascii="宋体" w:hAnsi="宋体" w:eastAsia="宋体"/>
          <w:color w:val="auto"/>
          <w:kern w:val="0"/>
          <w:szCs w:val="21"/>
          <w:highlight w:val="none"/>
          <w:lang w:eastAsia="zh-CN"/>
        </w:rPr>
        <w:t>采购人</w:t>
      </w:r>
      <w:r>
        <w:rPr>
          <w:rFonts w:hint="eastAsia" w:ascii="宋体" w:hAnsi="宋体" w:eastAsia="宋体"/>
          <w:color w:val="auto"/>
          <w:kern w:val="0"/>
          <w:szCs w:val="21"/>
          <w:highlight w:val="none"/>
        </w:rPr>
        <w:t>对</w:t>
      </w:r>
      <w:r>
        <w:rPr>
          <w:rFonts w:hint="eastAsia" w:ascii="宋体" w:hAnsi="宋体" w:eastAsia="宋体"/>
          <w:color w:val="auto"/>
          <w:kern w:val="0"/>
          <w:szCs w:val="21"/>
          <w:highlight w:val="none"/>
          <w:lang w:eastAsia="zh-CN"/>
        </w:rPr>
        <w:t>中标供应商</w:t>
      </w:r>
      <w:r>
        <w:rPr>
          <w:rFonts w:hint="eastAsia" w:ascii="宋体" w:hAnsi="宋体" w:eastAsia="宋体"/>
          <w:color w:val="auto"/>
          <w:kern w:val="0"/>
          <w:szCs w:val="21"/>
          <w:highlight w:val="none"/>
        </w:rPr>
        <w:t>产品进行两个月不少于一次的检测（检测地点可能为生产厂），检测内容包括生产原料的进货和使用情况（包括数量核对，原料进货发票必须和供货产品数量相匹配）以及货物的质量情况。若检测未达到招标要求的，</w:t>
      </w:r>
      <w:r>
        <w:rPr>
          <w:rFonts w:hint="eastAsia" w:ascii="宋体" w:hAnsi="宋体" w:eastAsia="宋体"/>
          <w:color w:val="auto"/>
          <w:kern w:val="0"/>
          <w:szCs w:val="21"/>
          <w:highlight w:val="none"/>
          <w:lang w:eastAsia="zh-CN"/>
        </w:rPr>
        <w:t>采购人</w:t>
      </w:r>
      <w:r>
        <w:rPr>
          <w:rFonts w:hint="eastAsia" w:ascii="宋体" w:hAnsi="宋体" w:eastAsia="宋体"/>
          <w:color w:val="auto"/>
          <w:kern w:val="0"/>
          <w:szCs w:val="21"/>
          <w:highlight w:val="none"/>
        </w:rPr>
        <w:t>有权中止合同，并由此</w:t>
      </w:r>
      <w:r>
        <w:rPr>
          <w:rFonts w:hint="eastAsia" w:ascii="宋体" w:hAnsi="宋体" w:eastAsia="宋体"/>
          <w:color w:val="auto"/>
          <w:kern w:val="0"/>
          <w:szCs w:val="21"/>
          <w:highlight w:val="none"/>
          <w:lang w:val="en-US" w:eastAsia="zh-CN"/>
        </w:rPr>
        <w:t>对</w:t>
      </w:r>
      <w:r>
        <w:rPr>
          <w:rFonts w:hint="eastAsia" w:ascii="宋体" w:hAnsi="宋体" w:eastAsia="宋体"/>
          <w:color w:val="auto"/>
          <w:kern w:val="0"/>
          <w:szCs w:val="21"/>
          <w:highlight w:val="none"/>
          <w:lang w:eastAsia="zh-CN"/>
        </w:rPr>
        <w:t>采购人</w:t>
      </w:r>
      <w:r>
        <w:rPr>
          <w:rFonts w:hint="eastAsia" w:ascii="宋体" w:hAnsi="宋体" w:eastAsia="宋体"/>
          <w:color w:val="auto"/>
          <w:kern w:val="0"/>
          <w:szCs w:val="21"/>
          <w:highlight w:val="none"/>
        </w:rPr>
        <w:t>造成的损失由</w:t>
      </w:r>
      <w:r>
        <w:rPr>
          <w:rFonts w:hint="eastAsia" w:ascii="宋体" w:hAnsi="宋体" w:eastAsia="宋体"/>
          <w:color w:val="auto"/>
          <w:kern w:val="0"/>
          <w:szCs w:val="21"/>
          <w:highlight w:val="none"/>
          <w:lang w:eastAsia="zh-CN"/>
        </w:rPr>
        <w:t>中标供应商</w:t>
      </w:r>
      <w:r>
        <w:rPr>
          <w:rFonts w:hint="eastAsia" w:ascii="宋体" w:hAnsi="宋体" w:eastAsia="宋体"/>
          <w:color w:val="auto"/>
          <w:kern w:val="0"/>
          <w:szCs w:val="21"/>
          <w:highlight w:val="none"/>
        </w:rPr>
        <w:t>负责。</w:t>
      </w:r>
    </w:p>
    <w:p w14:paraId="1C0BDCF2">
      <w:pPr>
        <w:widowControl/>
        <w:numPr>
          <w:ilvl w:val="0"/>
          <w:numId w:val="0"/>
        </w:numPr>
        <w:spacing w:line="360" w:lineRule="auto"/>
        <w:ind w:firstLine="630" w:firstLineChars="300"/>
        <w:contextualSpacing/>
        <w:jc w:val="left"/>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5）</w:t>
      </w:r>
      <w:r>
        <w:rPr>
          <w:rFonts w:hint="eastAsia" w:ascii="宋体" w:hAnsi="宋体" w:eastAsia="宋体"/>
          <w:color w:val="auto"/>
          <w:kern w:val="0"/>
          <w:szCs w:val="21"/>
          <w:highlight w:val="none"/>
          <w:lang w:eastAsia="zh-CN"/>
        </w:rPr>
        <w:t>采购人</w:t>
      </w:r>
      <w:r>
        <w:rPr>
          <w:rFonts w:hint="eastAsia" w:ascii="宋体" w:hAnsi="宋体" w:eastAsia="宋体"/>
          <w:color w:val="auto"/>
          <w:kern w:val="0"/>
          <w:szCs w:val="21"/>
          <w:highlight w:val="none"/>
        </w:rPr>
        <w:t>对每批供货质量进行抽样检查（质量检验依据以</w:t>
      </w:r>
      <w:r>
        <w:rPr>
          <w:rFonts w:hint="eastAsia" w:ascii="宋体" w:hAnsi="宋体" w:eastAsia="宋体"/>
          <w:color w:val="auto"/>
          <w:kern w:val="0"/>
          <w:szCs w:val="21"/>
          <w:highlight w:val="none"/>
          <w:lang w:eastAsia="zh-CN"/>
        </w:rPr>
        <w:t>投标供应商</w:t>
      </w:r>
      <w:r>
        <w:rPr>
          <w:rFonts w:hint="eastAsia" w:ascii="宋体" w:hAnsi="宋体" w:eastAsia="宋体"/>
          <w:color w:val="auto"/>
          <w:kern w:val="0"/>
          <w:szCs w:val="21"/>
          <w:highlight w:val="none"/>
        </w:rPr>
        <w:t>提供的小试样品指标为准），若质量检验结果有异，以书面或传真通知</w:t>
      </w:r>
      <w:r>
        <w:rPr>
          <w:rFonts w:hint="eastAsia" w:ascii="宋体" w:hAnsi="宋体" w:eastAsia="宋体"/>
          <w:color w:val="auto"/>
          <w:kern w:val="0"/>
          <w:szCs w:val="21"/>
          <w:highlight w:val="none"/>
          <w:lang w:eastAsia="zh-CN"/>
        </w:rPr>
        <w:t>中标供应商</w:t>
      </w:r>
      <w:r>
        <w:rPr>
          <w:rFonts w:hint="eastAsia" w:ascii="宋体" w:hAnsi="宋体" w:eastAsia="宋体"/>
          <w:color w:val="auto"/>
          <w:kern w:val="0"/>
          <w:szCs w:val="21"/>
          <w:highlight w:val="none"/>
        </w:rPr>
        <w:t>，</w:t>
      </w:r>
      <w:r>
        <w:rPr>
          <w:rFonts w:hint="eastAsia" w:ascii="宋体" w:hAnsi="宋体" w:eastAsia="宋体"/>
          <w:color w:val="auto"/>
          <w:kern w:val="0"/>
          <w:szCs w:val="21"/>
          <w:highlight w:val="none"/>
          <w:lang w:eastAsia="zh-CN"/>
        </w:rPr>
        <w:t>中标供应商</w:t>
      </w:r>
      <w:r>
        <w:rPr>
          <w:rFonts w:hint="eastAsia" w:ascii="宋体" w:hAnsi="宋体" w:eastAsia="宋体"/>
          <w:color w:val="auto"/>
          <w:kern w:val="0"/>
          <w:szCs w:val="21"/>
          <w:highlight w:val="none"/>
        </w:rPr>
        <w:t>在收到</w:t>
      </w:r>
      <w:r>
        <w:rPr>
          <w:rFonts w:hint="eastAsia" w:ascii="宋体" w:hAnsi="宋体" w:eastAsia="宋体"/>
          <w:color w:val="auto"/>
          <w:kern w:val="0"/>
          <w:szCs w:val="21"/>
          <w:highlight w:val="none"/>
          <w:lang w:eastAsia="zh-CN"/>
        </w:rPr>
        <w:t>采购人</w:t>
      </w:r>
      <w:r>
        <w:rPr>
          <w:rFonts w:hint="eastAsia" w:ascii="宋体" w:hAnsi="宋体" w:eastAsia="宋体"/>
          <w:color w:val="auto"/>
          <w:kern w:val="0"/>
          <w:szCs w:val="21"/>
          <w:highlight w:val="none"/>
        </w:rPr>
        <w:t>通知后的48小时内进行复检，否则视为</w:t>
      </w:r>
      <w:r>
        <w:rPr>
          <w:rFonts w:hint="eastAsia" w:ascii="宋体" w:hAnsi="宋体" w:eastAsia="宋体"/>
          <w:color w:val="auto"/>
          <w:kern w:val="0"/>
          <w:szCs w:val="21"/>
          <w:highlight w:val="none"/>
          <w:lang w:eastAsia="zh-CN"/>
        </w:rPr>
        <w:t>中标供应商</w:t>
      </w:r>
      <w:r>
        <w:rPr>
          <w:rFonts w:hint="eastAsia" w:ascii="宋体" w:hAnsi="宋体" w:eastAsia="宋体"/>
          <w:color w:val="auto"/>
          <w:kern w:val="0"/>
          <w:szCs w:val="21"/>
          <w:highlight w:val="none"/>
        </w:rPr>
        <w:t>认同</w:t>
      </w:r>
      <w:r>
        <w:rPr>
          <w:rFonts w:hint="eastAsia" w:ascii="宋体" w:hAnsi="宋体"/>
          <w:color w:val="auto"/>
          <w:kern w:val="0"/>
          <w:szCs w:val="21"/>
          <w:highlight w:val="none"/>
          <w:lang w:val="en-US" w:eastAsia="zh-CN"/>
        </w:rPr>
        <w:t>甲方</w:t>
      </w:r>
      <w:r>
        <w:rPr>
          <w:rFonts w:hint="eastAsia" w:ascii="宋体" w:hAnsi="宋体" w:eastAsia="宋体"/>
          <w:color w:val="auto"/>
          <w:kern w:val="0"/>
          <w:szCs w:val="21"/>
          <w:highlight w:val="none"/>
        </w:rPr>
        <w:t>检验结果，检验结果认同后，若</w:t>
      </w:r>
      <w:r>
        <w:rPr>
          <w:rFonts w:hint="eastAsia" w:ascii="宋体" w:hAnsi="宋体" w:eastAsia="宋体"/>
          <w:color w:val="auto"/>
          <w:kern w:val="0"/>
          <w:szCs w:val="21"/>
          <w:highlight w:val="none"/>
          <w:lang w:eastAsia="zh-CN"/>
        </w:rPr>
        <w:t>采购人</w:t>
      </w:r>
      <w:r>
        <w:rPr>
          <w:rFonts w:hint="eastAsia" w:ascii="宋体" w:hAnsi="宋体" w:eastAsia="宋体"/>
          <w:color w:val="auto"/>
          <w:kern w:val="0"/>
          <w:szCs w:val="21"/>
          <w:highlight w:val="none"/>
        </w:rPr>
        <w:t>检测原液有效氯（以Cl计）质量分数低于10%，按低于标准含量的百分点数扣除当批次货物数量相应的百分点：例如当批次有效氯（以Cl计）的质量分数为9.9%，则支付当批次货物数量的99%。</w:t>
      </w:r>
    </w:p>
    <w:p w14:paraId="5BACA2C6">
      <w:pPr>
        <w:widowControl/>
        <w:numPr>
          <w:ilvl w:val="0"/>
          <w:numId w:val="0"/>
        </w:numPr>
        <w:spacing w:line="360" w:lineRule="auto"/>
        <w:ind w:firstLine="630" w:firstLineChars="300"/>
        <w:contextualSpacing/>
        <w:jc w:val="left"/>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6）</w:t>
      </w:r>
      <w:r>
        <w:rPr>
          <w:rFonts w:hint="eastAsia" w:ascii="宋体" w:hAnsi="宋体" w:eastAsia="宋体"/>
          <w:color w:val="auto"/>
          <w:kern w:val="0"/>
          <w:szCs w:val="21"/>
          <w:highlight w:val="none"/>
        </w:rPr>
        <w:t>对于其他指标检测结果超过国家标准的，则</w:t>
      </w:r>
      <w:r>
        <w:rPr>
          <w:rFonts w:hint="eastAsia" w:ascii="宋体" w:hAnsi="宋体" w:eastAsia="宋体"/>
          <w:color w:val="auto"/>
          <w:kern w:val="0"/>
          <w:szCs w:val="21"/>
          <w:highlight w:val="none"/>
          <w:lang w:eastAsia="zh-CN"/>
        </w:rPr>
        <w:t>采购人</w:t>
      </w:r>
      <w:r>
        <w:rPr>
          <w:rFonts w:hint="eastAsia" w:ascii="宋体" w:hAnsi="宋体" w:eastAsia="宋体"/>
          <w:color w:val="auto"/>
          <w:kern w:val="0"/>
          <w:szCs w:val="21"/>
          <w:highlight w:val="none"/>
        </w:rPr>
        <w:t>有权拒付货款并要求</w:t>
      </w:r>
      <w:r>
        <w:rPr>
          <w:rFonts w:hint="eastAsia" w:ascii="宋体" w:hAnsi="宋体" w:eastAsia="宋体"/>
          <w:color w:val="auto"/>
          <w:kern w:val="0"/>
          <w:szCs w:val="21"/>
          <w:highlight w:val="none"/>
          <w:lang w:eastAsia="zh-CN"/>
        </w:rPr>
        <w:t>投标供应商</w:t>
      </w:r>
      <w:r>
        <w:rPr>
          <w:rFonts w:hint="eastAsia" w:ascii="宋体" w:hAnsi="宋体" w:eastAsia="宋体"/>
          <w:color w:val="auto"/>
          <w:kern w:val="0"/>
          <w:szCs w:val="21"/>
          <w:highlight w:val="none"/>
        </w:rPr>
        <w:t>停止供货进行整改，如第二次抽样检测结果依然是超过国家标准的，则供货合同终止。</w:t>
      </w:r>
    </w:p>
    <w:p w14:paraId="231CA97E">
      <w:pPr>
        <w:widowControl/>
        <w:numPr>
          <w:ilvl w:val="0"/>
          <w:numId w:val="0"/>
        </w:numPr>
        <w:spacing w:line="360" w:lineRule="auto"/>
        <w:ind w:firstLine="630" w:firstLineChars="300"/>
        <w:contextualSpacing/>
        <w:jc w:val="left"/>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7）</w:t>
      </w:r>
      <w:r>
        <w:rPr>
          <w:rFonts w:hint="eastAsia" w:ascii="宋体" w:hAnsi="宋体" w:eastAsia="宋体"/>
          <w:color w:val="auto"/>
          <w:kern w:val="0"/>
          <w:szCs w:val="21"/>
          <w:highlight w:val="none"/>
        </w:rPr>
        <w:t>在供货过程中，</w:t>
      </w:r>
      <w:r>
        <w:rPr>
          <w:rFonts w:hint="eastAsia" w:ascii="宋体" w:hAnsi="宋体" w:eastAsia="宋体"/>
          <w:color w:val="auto"/>
          <w:kern w:val="0"/>
          <w:szCs w:val="21"/>
          <w:highlight w:val="none"/>
          <w:lang w:eastAsia="zh-CN"/>
        </w:rPr>
        <w:t>采购人</w:t>
      </w:r>
      <w:r>
        <w:rPr>
          <w:rFonts w:hint="eastAsia" w:ascii="宋体" w:hAnsi="宋体" w:eastAsia="宋体"/>
          <w:color w:val="auto"/>
          <w:kern w:val="0"/>
          <w:szCs w:val="21"/>
          <w:highlight w:val="none"/>
        </w:rPr>
        <w:t>有权根据原水水质变化情况，要求</w:t>
      </w:r>
      <w:r>
        <w:rPr>
          <w:rFonts w:hint="eastAsia" w:ascii="宋体" w:hAnsi="宋体" w:eastAsia="宋体"/>
          <w:color w:val="auto"/>
          <w:kern w:val="0"/>
          <w:szCs w:val="21"/>
          <w:highlight w:val="none"/>
          <w:lang w:eastAsia="zh-CN"/>
        </w:rPr>
        <w:t>中标供应商</w:t>
      </w:r>
      <w:r>
        <w:rPr>
          <w:rFonts w:hint="eastAsia" w:ascii="宋体" w:hAnsi="宋体" w:eastAsia="宋体"/>
          <w:color w:val="auto"/>
          <w:kern w:val="0"/>
          <w:szCs w:val="21"/>
          <w:highlight w:val="none"/>
        </w:rPr>
        <w:t>调整产品的配方，确保水处理效果。</w:t>
      </w:r>
    </w:p>
    <w:p w14:paraId="5DAB7025">
      <w:pPr>
        <w:widowControl/>
        <w:numPr>
          <w:ilvl w:val="0"/>
          <w:numId w:val="0"/>
        </w:numPr>
        <w:spacing w:line="360" w:lineRule="auto"/>
        <w:ind w:firstLine="630" w:firstLineChars="300"/>
        <w:contextualSpacing/>
        <w:jc w:val="left"/>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8）</w:t>
      </w:r>
      <w:r>
        <w:rPr>
          <w:rFonts w:hint="eastAsia" w:ascii="宋体" w:hAnsi="宋体" w:eastAsia="宋体"/>
          <w:color w:val="auto"/>
          <w:kern w:val="0"/>
          <w:szCs w:val="21"/>
          <w:highlight w:val="none"/>
        </w:rPr>
        <w:t>若国家对次氯酸钠（液体）实行新的标准（以国家下发执行文件明确实施时间起），</w:t>
      </w:r>
      <w:r>
        <w:rPr>
          <w:rFonts w:hint="eastAsia" w:ascii="宋体" w:hAnsi="宋体" w:eastAsia="宋体"/>
          <w:color w:val="auto"/>
          <w:kern w:val="0"/>
          <w:szCs w:val="21"/>
          <w:highlight w:val="none"/>
          <w:lang w:eastAsia="zh-CN"/>
        </w:rPr>
        <w:t>中标供应商</w:t>
      </w:r>
      <w:r>
        <w:rPr>
          <w:rFonts w:hint="eastAsia" w:ascii="宋体" w:hAnsi="宋体" w:eastAsia="宋体"/>
          <w:color w:val="auto"/>
          <w:kern w:val="0"/>
          <w:szCs w:val="21"/>
          <w:highlight w:val="none"/>
        </w:rPr>
        <w:t>需无条件按新标准执行，并承诺以中标价格不发生任何变化。若</w:t>
      </w:r>
      <w:r>
        <w:rPr>
          <w:rFonts w:hint="eastAsia" w:ascii="宋体" w:hAnsi="宋体" w:eastAsia="宋体"/>
          <w:color w:val="auto"/>
          <w:kern w:val="0"/>
          <w:szCs w:val="21"/>
          <w:highlight w:val="none"/>
          <w:lang w:eastAsia="zh-CN"/>
        </w:rPr>
        <w:t>中标供应商</w:t>
      </w:r>
      <w:r>
        <w:rPr>
          <w:rFonts w:hint="eastAsia" w:ascii="宋体" w:hAnsi="宋体" w:eastAsia="宋体"/>
          <w:color w:val="auto"/>
          <w:kern w:val="0"/>
          <w:szCs w:val="21"/>
          <w:highlight w:val="none"/>
        </w:rPr>
        <w:t>无法执行新标准或不接受原中标价格。</w:t>
      </w:r>
      <w:r>
        <w:rPr>
          <w:rFonts w:hint="eastAsia" w:ascii="宋体" w:hAnsi="宋体" w:eastAsia="宋体"/>
          <w:color w:val="auto"/>
          <w:kern w:val="0"/>
          <w:szCs w:val="21"/>
          <w:highlight w:val="none"/>
          <w:lang w:eastAsia="zh-CN"/>
        </w:rPr>
        <w:t>采购人</w:t>
      </w:r>
      <w:r>
        <w:rPr>
          <w:rFonts w:hint="eastAsia" w:ascii="宋体" w:hAnsi="宋体" w:eastAsia="宋体"/>
          <w:color w:val="auto"/>
          <w:kern w:val="0"/>
          <w:szCs w:val="21"/>
          <w:highlight w:val="none"/>
        </w:rPr>
        <w:t>自动将与</w:t>
      </w:r>
      <w:r>
        <w:rPr>
          <w:rFonts w:hint="eastAsia" w:ascii="宋体" w:hAnsi="宋体" w:eastAsia="宋体"/>
          <w:color w:val="auto"/>
          <w:kern w:val="0"/>
          <w:szCs w:val="21"/>
          <w:highlight w:val="none"/>
          <w:lang w:eastAsia="zh-CN"/>
        </w:rPr>
        <w:t>中标供应商</w:t>
      </w:r>
      <w:r>
        <w:rPr>
          <w:rFonts w:hint="eastAsia" w:ascii="宋体" w:hAnsi="宋体" w:eastAsia="宋体"/>
          <w:color w:val="auto"/>
          <w:kern w:val="0"/>
          <w:szCs w:val="21"/>
          <w:highlight w:val="none"/>
        </w:rPr>
        <w:t>解约。</w:t>
      </w:r>
    </w:p>
    <w:p w14:paraId="3C21438D">
      <w:pPr>
        <w:snapToGrid w:val="0"/>
        <w:spacing w:line="360" w:lineRule="auto"/>
        <w:jc w:val="left"/>
        <w:rPr>
          <w:rFonts w:hint="eastAsia" w:ascii="宋体" w:hAnsi="宋体" w:eastAsia="宋体"/>
          <w:b/>
          <w:bCs/>
          <w:color w:val="auto"/>
          <w:szCs w:val="21"/>
          <w:highlight w:val="none"/>
        </w:rPr>
      </w:pPr>
    </w:p>
    <w:p w14:paraId="7B162F1C">
      <w:pPr>
        <w:snapToGrid w:val="0"/>
        <w:spacing w:line="360" w:lineRule="auto"/>
        <w:jc w:val="left"/>
        <w:rPr>
          <w:rFonts w:hint="eastAsia" w:ascii="宋体" w:hAnsi="宋体" w:eastAsia="宋体"/>
          <w:b/>
          <w:bCs/>
          <w:color w:val="auto"/>
          <w:szCs w:val="21"/>
          <w:highlight w:val="none"/>
        </w:rPr>
      </w:pPr>
      <w:r>
        <w:rPr>
          <w:rFonts w:hint="eastAsia" w:ascii="宋体" w:hAnsi="宋体" w:eastAsia="宋体"/>
          <w:b/>
          <w:bCs/>
          <w:color w:val="auto"/>
          <w:szCs w:val="21"/>
          <w:highlight w:val="none"/>
        </w:rPr>
        <w:t>（</w:t>
      </w:r>
      <w:r>
        <w:rPr>
          <w:rFonts w:hint="eastAsia" w:ascii="宋体" w:hAnsi="宋体"/>
          <w:b/>
          <w:bCs/>
          <w:color w:val="auto"/>
          <w:szCs w:val="21"/>
          <w:highlight w:val="none"/>
          <w:lang w:val="en-US" w:eastAsia="zh-CN"/>
        </w:rPr>
        <w:t>四，</w:t>
      </w:r>
      <w:r>
        <w:rPr>
          <w:rFonts w:hint="eastAsia" w:ascii="宋体" w:hAnsi="宋体" w:eastAsia="宋体"/>
          <w:b/>
          <w:bCs/>
          <w:color w:val="auto"/>
          <w:szCs w:val="21"/>
          <w:highlight w:val="none"/>
        </w:rPr>
        <w:t>）氢氧化钠</w:t>
      </w:r>
      <w:r>
        <w:rPr>
          <w:rFonts w:hint="eastAsia" w:ascii="宋体" w:hAnsi="宋体" w:eastAsia="宋体"/>
          <w:b/>
          <w:bCs/>
          <w:color w:val="auto"/>
          <w:szCs w:val="21"/>
          <w:highlight w:val="none"/>
          <w:lang w:val="en-US" w:eastAsia="zh-CN"/>
        </w:rPr>
        <w:t>需求详情</w:t>
      </w:r>
    </w:p>
    <w:bookmarkEnd w:id="106"/>
    <w:bookmarkEnd w:id="107"/>
    <w:bookmarkEnd w:id="108"/>
    <w:bookmarkEnd w:id="109"/>
    <w:bookmarkEnd w:id="110"/>
    <w:p w14:paraId="64F013CD">
      <w:pPr>
        <w:snapToGrid w:val="0"/>
        <w:spacing w:line="360" w:lineRule="auto"/>
        <w:ind w:firstLine="420" w:firstLineChars="200"/>
        <w:jc w:val="left"/>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1、主要指标</w:t>
      </w:r>
      <w:r>
        <w:rPr>
          <w:rFonts w:hint="eastAsia" w:ascii="宋体" w:hAnsi="宋体" w:eastAsia="宋体"/>
          <w:b w:val="0"/>
          <w:bCs w:val="0"/>
          <w:color w:val="auto"/>
          <w:highlight w:val="none"/>
        </w:rPr>
        <w:t>（应符合GB 1886.20-2016标准规定）</w:t>
      </w:r>
    </w:p>
    <w:tbl>
      <w:tblPr>
        <w:tblStyle w:val="5"/>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autofit"/>
        <w:tblCellMar>
          <w:top w:w="0" w:type="dxa"/>
          <w:left w:w="108" w:type="dxa"/>
          <w:bottom w:w="0" w:type="dxa"/>
          <w:right w:w="108" w:type="dxa"/>
        </w:tblCellMar>
      </w:tblPr>
      <w:tblGrid>
        <w:gridCol w:w="1045"/>
        <w:gridCol w:w="5272"/>
        <w:gridCol w:w="3529"/>
      </w:tblGrid>
      <w:tr w14:paraId="1042B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17" w:type="dxa"/>
            <w:tcBorders>
              <w:tl2br w:val="nil"/>
              <w:tr2bl w:val="nil"/>
            </w:tcBorders>
            <w:shd w:val="clear" w:color="auto" w:fill="FFFFFF" w:themeFill="background1"/>
            <w:vAlign w:val="center"/>
          </w:tcPr>
          <w:p w14:paraId="70553982">
            <w:pPr>
              <w:widowControl/>
              <w:tabs>
                <w:tab w:val="left" w:pos="425"/>
              </w:tabs>
              <w:spacing w:line="400" w:lineRule="exact"/>
              <w:contextualSpacing/>
              <w:jc w:val="center"/>
              <w:rPr>
                <w:rFonts w:hint="eastAsia" w:ascii="宋体" w:hAnsi="宋体" w:eastAsia="宋体"/>
                <w:b/>
                <w:color w:val="auto"/>
                <w:kern w:val="0"/>
                <w:szCs w:val="21"/>
                <w:highlight w:val="none"/>
                <w:lang w:val="en-US" w:eastAsia="zh-CN"/>
              </w:rPr>
            </w:pPr>
            <w:r>
              <w:rPr>
                <w:rFonts w:hint="eastAsia" w:ascii="宋体" w:hAnsi="宋体" w:eastAsia="宋体"/>
                <w:b/>
                <w:color w:val="auto"/>
                <w:kern w:val="0"/>
                <w:szCs w:val="21"/>
                <w:highlight w:val="none"/>
                <w:lang w:val="en-US" w:eastAsia="zh-CN"/>
              </w:rPr>
              <w:t>序号</w:t>
            </w:r>
          </w:p>
        </w:tc>
        <w:tc>
          <w:tcPr>
            <w:tcW w:w="2684" w:type="dxa"/>
            <w:tcBorders>
              <w:tl2br w:val="nil"/>
              <w:tr2bl w:val="nil"/>
            </w:tcBorders>
            <w:shd w:val="clear" w:color="auto" w:fill="FFFFFF" w:themeFill="background1"/>
            <w:vAlign w:val="center"/>
          </w:tcPr>
          <w:p w14:paraId="5B379388">
            <w:pPr>
              <w:widowControl/>
              <w:spacing w:line="400" w:lineRule="exact"/>
              <w:contextualSpacing/>
              <w:jc w:val="center"/>
              <w:rPr>
                <w:rFonts w:hint="eastAsia" w:ascii="宋体" w:hAnsi="宋体" w:eastAsia="宋体"/>
                <w:b/>
                <w:color w:val="auto"/>
                <w:kern w:val="0"/>
                <w:szCs w:val="21"/>
                <w:highlight w:val="none"/>
              </w:rPr>
            </w:pPr>
            <w:r>
              <w:rPr>
                <w:rFonts w:hint="eastAsia" w:ascii="宋体" w:hAnsi="宋体" w:eastAsia="宋体"/>
                <w:b/>
                <w:color w:val="auto"/>
                <w:kern w:val="0"/>
                <w:szCs w:val="21"/>
                <w:highlight w:val="none"/>
              </w:rPr>
              <w:t>项目</w:t>
            </w:r>
          </w:p>
        </w:tc>
        <w:tc>
          <w:tcPr>
            <w:tcW w:w="1797" w:type="dxa"/>
            <w:tcBorders>
              <w:tl2br w:val="nil"/>
              <w:tr2bl w:val="nil"/>
            </w:tcBorders>
            <w:shd w:val="clear" w:color="auto" w:fill="FFFFFF" w:themeFill="background1"/>
            <w:vAlign w:val="center"/>
          </w:tcPr>
          <w:p w14:paraId="2C2FE5DA">
            <w:pPr>
              <w:widowControl/>
              <w:spacing w:line="400" w:lineRule="exact"/>
              <w:contextualSpacing/>
              <w:jc w:val="center"/>
              <w:rPr>
                <w:rFonts w:hint="eastAsia" w:ascii="宋体" w:hAnsi="宋体" w:eastAsia="宋体"/>
                <w:b/>
                <w:color w:val="auto"/>
                <w:kern w:val="0"/>
                <w:szCs w:val="21"/>
                <w:highlight w:val="none"/>
              </w:rPr>
            </w:pPr>
            <w:r>
              <w:rPr>
                <w:rFonts w:hint="eastAsia" w:ascii="宋体" w:hAnsi="宋体" w:eastAsia="宋体"/>
                <w:b/>
                <w:color w:val="auto"/>
                <w:kern w:val="0"/>
                <w:szCs w:val="21"/>
                <w:highlight w:val="none"/>
              </w:rPr>
              <w:t>指     标</w:t>
            </w:r>
          </w:p>
        </w:tc>
      </w:tr>
      <w:tr w14:paraId="5F9C9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17" w:type="dxa"/>
            <w:tcBorders>
              <w:tl2br w:val="nil"/>
              <w:tr2bl w:val="nil"/>
            </w:tcBorders>
            <w:shd w:val="clear" w:color="auto" w:fill="FFFFFF" w:themeFill="background1"/>
            <w:vAlign w:val="center"/>
          </w:tcPr>
          <w:p w14:paraId="3BA9A634">
            <w:pPr>
              <w:widowControl/>
              <w:spacing w:line="400" w:lineRule="exact"/>
              <w:contextualSpacing/>
              <w:jc w:val="center"/>
              <w:rPr>
                <w:rFonts w:hint="eastAsia" w:ascii="宋体" w:hAnsi="宋体" w:eastAsia="宋体"/>
                <w:b/>
                <w:color w:val="auto"/>
                <w:szCs w:val="21"/>
                <w:highlight w:val="none"/>
              </w:rPr>
            </w:pPr>
            <w:r>
              <w:rPr>
                <w:rFonts w:hint="eastAsia" w:ascii="宋体" w:hAnsi="宋体" w:eastAsia="宋体"/>
                <w:b/>
                <w:color w:val="auto"/>
                <w:szCs w:val="21"/>
                <w:highlight w:val="none"/>
              </w:rPr>
              <w:t>★</w:t>
            </w:r>
            <w:r>
              <w:rPr>
                <w:rFonts w:hint="eastAsia" w:ascii="宋体" w:hAnsi="宋体" w:eastAsia="宋体"/>
                <w:color w:val="auto"/>
                <w:kern w:val="0"/>
                <w:szCs w:val="21"/>
                <w:highlight w:val="none"/>
                <w:lang w:val="en-US" w:eastAsia="zh-CN"/>
              </w:rPr>
              <w:t>1</w:t>
            </w:r>
          </w:p>
        </w:tc>
        <w:tc>
          <w:tcPr>
            <w:tcW w:w="2684" w:type="dxa"/>
            <w:tcBorders>
              <w:tl2br w:val="nil"/>
              <w:tr2bl w:val="nil"/>
            </w:tcBorders>
            <w:shd w:val="clear" w:color="auto" w:fill="FFFFFF" w:themeFill="background1"/>
            <w:vAlign w:val="center"/>
          </w:tcPr>
          <w:p w14:paraId="407E9273">
            <w:pPr>
              <w:widowControl/>
              <w:spacing w:line="400" w:lineRule="exact"/>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外观</w:t>
            </w:r>
          </w:p>
        </w:tc>
        <w:tc>
          <w:tcPr>
            <w:tcW w:w="1797" w:type="dxa"/>
            <w:tcBorders>
              <w:tl2br w:val="nil"/>
              <w:tr2bl w:val="nil"/>
            </w:tcBorders>
            <w:shd w:val="clear" w:color="auto" w:fill="FFFFFF" w:themeFill="background1"/>
            <w:vAlign w:val="center"/>
          </w:tcPr>
          <w:p w14:paraId="6ED312DD">
            <w:pPr>
              <w:widowControl/>
              <w:spacing w:line="400" w:lineRule="exact"/>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清亮或略有浑浊、无色或微带颜色的液体</w:t>
            </w:r>
          </w:p>
        </w:tc>
      </w:tr>
      <w:tr w14:paraId="140C3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17" w:type="dxa"/>
            <w:tcBorders>
              <w:tl2br w:val="nil"/>
              <w:tr2bl w:val="nil"/>
            </w:tcBorders>
            <w:shd w:val="clear" w:color="auto" w:fill="FFFFFF" w:themeFill="background1"/>
            <w:vAlign w:val="center"/>
          </w:tcPr>
          <w:p w14:paraId="2D5D5491">
            <w:pPr>
              <w:widowControl/>
              <w:spacing w:line="400" w:lineRule="exact"/>
              <w:contextualSpacing/>
              <w:jc w:val="center"/>
              <w:rPr>
                <w:rFonts w:hint="eastAsia" w:ascii="宋体" w:hAnsi="宋体" w:eastAsia="宋体"/>
                <w:b/>
                <w:color w:val="auto"/>
                <w:szCs w:val="21"/>
                <w:highlight w:val="none"/>
              </w:rPr>
            </w:pPr>
            <w:bookmarkStart w:id="111" w:name="OLE_LINK1"/>
            <w:r>
              <w:rPr>
                <w:rFonts w:hint="eastAsia" w:ascii="宋体" w:hAnsi="宋体" w:eastAsia="宋体"/>
                <w:b/>
                <w:color w:val="auto"/>
                <w:szCs w:val="21"/>
                <w:highlight w:val="none"/>
              </w:rPr>
              <w:t>★</w:t>
            </w:r>
            <w:r>
              <w:rPr>
                <w:rFonts w:hint="eastAsia" w:ascii="宋体" w:hAnsi="宋体" w:eastAsia="宋体"/>
                <w:color w:val="auto"/>
                <w:kern w:val="0"/>
                <w:szCs w:val="21"/>
                <w:highlight w:val="none"/>
                <w:lang w:val="en-US" w:eastAsia="zh-CN"/>
              </w:rPr>
              <w:t>2</w:t>
            </w:r>
          </w:p>
        </w:tc>
        <w:tc>
          <w:tcPr>
            <w:tcW w:w="2684" w:type="dxa"/>
            <w:tcBorders>
              <w:tl2br w:val="nil"/>
              <w:tr2bl w:val="nil"/>
            </w:tcBorders>
            <w:shd w:val="clear" w:color="auto" w:fill="FFFFFF" w:themeFill="background1"/>
            <w:vAlign w:val="center"/>
          </w:tcPr>
          <w:p w14:paraId="4D0E0DC3">
            <w:pPr>
              <w:widowControl/>
              <w:spacing w:line="400" w:lineRule="exact"/>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总碱量（以NaOH计）</w:t>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w/%</w:t>
            </w:r>
          </w:p>
          <w:bookmarkEnd w:id="111"/>
          <w:p w14:paraId="02216D89">
            <w:pPr>
              <w:widowControl/>
              <w:spacing w:line="400" w:lineRule="exact"/>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（按氢氧化钠的标示值折算）</w:t>
            </w:r>
          </w:p>
        </w:tc>
        <w:tc>
          <w:tcPr>
            <w:tcW w:w="1797" w:type="dxa"/>
            <w:tcBorders>
              <w:tl2br w:val="nil"/>
              <w:tr2bl w:val="nil"/>
            </w:tcBorders>
            <w:shd w:val="clear" w:color="auto" w:fill="FFFFFF" w:themeFill="background1"/>
            <w:vAlign w:val="center"/>
          </w:tcPr>
          <w:p w14:paraId="5B1FFCD2">
            <w:pPr>
              <w:widowControl/>
              <w:spacing w:line="400" w:lineRule="exact"/>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98.0</w:t>
            </w:r>
            <w:r>
              <w:rPr>
                <w:rFonts w:hint="eastAsia" w:ascii="宋体" w:hAnsi="宋体" w:eastAsia="宋体"/>
                <w:color w:val="auto"/>
                <w:kern w:val="0"/>
                <w:szCs w:val="21"/>
                <w:highlight w:val="none"/>
                <w:vertAlign w:val="superscript"/>
              </w:rPr>
              <w:t>a</w:t>
            </w:r>
            <w:r>
              <w:rPr>
                <w:rFonts w:hint="eastAsia" w:ascii="宋体" w:hAnsi="宋体" w:eastAsia="宋体"/>
                <w:color w:val="auto"/>
                <w:kern w:val="0"/>
                <w:szCs w:val="21"/>
                <w:highlight w:val="none"/>
              </w:rPr>
              <w:t>-103.5</w:t>
            </w:r>
            <w:r>
              <w:rPr>
                <w:rFonts w:hint="eastAsia" w:ascii="宋体" w:hAnsi="宋体" w:eastAsia="宋体"/>
                <w:color w:val="auto"/>
                <w:kern w:val="0"/>
                <w:szCs w:val="21"/>
                <w:highlight w:val="none"/>
                <w:vertAlign w:val="superscript"/>
              </w:rPr>
              <w:t>a</w:t>
            </w:r>
          </w:p>
        </w:tc>
      </w:tr>
      <w:tr w14:paraId="1D573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17" w:type="dxa"/>
            <w:tcBorders>
              <w:tl2br w:val="nil"/>
              <w:tr2bl w:val="nil"/>
            </w:tcBorders>
            <w:shd w:val="clear" w:color="auto" w:fill="FFFFFF" w:themeFill="background1"/>
            <w:vAlign w:val="center"/>
          </w:tcPr>
          <w:p w14:paraId="2CFE5123">
            <w:pPr>
              <w:widowControl/>
              <w:spacing w:line="400" w:lineRule="exact"/>
              <w:contextualSpacing/>
              <w:jc w:val="center"/>
              <w:rPr>
                <w:rFonts w:hint="eastAsia" w:ascii="宋体" w:hAnsi="宋体" w:eastAsia="宋体"/>
                <w:b/>
                <w:color w:val="auto"/>
                <w:szCs w:val="21"/>
                <w:highlight w:val="none"/>
              </w:rPr>
            </w:pPr>
            <w:r>
              <w:rPr>
                <w:rFonts w:hint="eastAsia" w:ascii="宋体" w:hAnsi="宋体" w:eastAsia="宋体"/>
                <w:b/>
                <w:color w:val="auto"/>
                <w:szCs w:val="21"/>
                <w:highlight w:val="none"/>
              </w:rPr>
              <w:t>★</w:t>
            </w:r>
            <w:r>
              <w:rPr>
                <w:rFonts w:hint="eastAsia" w:ascii="宋体" w:hAnsi="宋体" w:eastAsia="宋体"/>
                <w:color w:val="auto"/>
                <w:kern w:val="0"/>
                <w:szCs w:val="21"/>
                <w:highlight w:val="none"/>
                <w:lang w:val="en-US" w:eastAsia="zh-CN"/>
              </w:rPr>
              <w:t>3</w:t>
            </w:r>
          </w:p>
        </w:tc>
        <w:tc>
          <w:tcPr>
            <w:tcW w:w="2684" w:type="dxa"/>
            <w:tcBorders>
              <w:tl2br w:val="nil"/>
              <w:tr2bl w:val="nil"/>
            </w:tcBorders>
            <w:shd w:val="clear" w:color="auto" w:fill="FFFFFF" w:themeFill="background1"/>
            <w:vAlign w:val="center"/>
          </w:tcPr>
          <w:p w14:paraId="276477D4">
            <w:pPr>
              <w:widowControl/>
              <w:spacing w:line="400" w:lineRule="exact"/>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碳酸钠（以Na</w:t>
            </w:r>
            <w:r>
              <w:rPr>
                <w:rFonts w:hint="eastAsia" w:ascii="宋体" w:hAnsi="宋体" w:eastAsia="宋体"/>
                <w:color w:val="auto"/>
                <w:kern w:val="0"/>
                <w:szCs w:val="21"/>
                <w:highlight w:val="none"/>
                <w:vertAlign w:val="subscript"/>
              </w:rPr>
              <w:t>2</w:t>
            </w:r>
            <w:r>
              <w:rPr>
                <w:rFonts w:hint="eastAsia" w:ascii="宋体" w:hAnsi="宋体" w:eastAsia="宋体"/>
                <w:color w:val="auto"/>
                <w:kern w:val="0"/>
                <w:szCs w:val="21"/>
                <w:highlight w:val="none"/>
              </w:rPr>
              <w:t>CO</w:t>
            </w:r>
            <w:r>
              <w:rPr>
                <w:rFonts w:hint="eastAsia" w:ascii="宋体" w:hAnsi="宋体" w:eastAsia="宋体"/>
                <w:color w:val="auto"/>
                <w:kern w:val="0"/>
                <w:szCs w:val="21"/>
                <w:highlight w:val="none"/>
                <w:vertAlign w:val="subscript"/>
              </w:rPr>
              <w:t>3</w:t>
            </w:r>
            <w:r>
              <w:rPr>
                <w:rFonts w:hint="eastAsia" w:ascii="宋体" w:hAnsi="宋体" w:eastAsia="宋体"/>
                <w:color w:val="auto"/>
                <w:kern w:val="0"/>
                <w:szCs w:val="21"/>
                <w:highlight w:val="none"/>
              </w:rPr>
              <w:t>计）含量</w:t>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w/%</w:t>
            </w:r>
          </w:p>
          <w:p w14:paraId="28861CA4">
            <w:pPr>
              <w:widowControl/>
              <w:spacing w:line="400" w:lineRule="exact"/>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（按氢氧化钠的标示值折算）</w:t>
            </w:r>
          </w:p>
        </w:tc>
        <w:tc>
          <w:tcPr>
            <w:tcW w:w="1797" w:type="dxa"/>
            <w:tcBorders>
              <w:tl2br w:val="nil"/>
              <w:tr2bl w:val="nil"/>
            </w:tcBorders>
            <w:shd w:val="clear" w:color="auto" w:fill="FFFFFF" w:themeFill="background1"/>
            <w:vAlign w:val="center"/>
          </w:tcPr>
          <w:p w14:paraId="2A04A298">
            <w:pPr>
              <w:widowControl/>
              <w:spacing w:line="400" w:lineRule="exact"/>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≤2.0</w:t>
            </w:r>
          </w:p>
        </w:tc>
      </w:tr>
      <w:tr w14:paraId="6C02E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17" w:type="dxa"/>
            <w:tcBorders>
              <w:tl2br w:val="nil"/>
              <w:tr2bl w:val="nil"/>
            </w:tcBorders>
            <w:shd w:val="clear" w:color="auto" w:fill="FFFFFF" w:themeFill="background1"/>
            <w:vAlign w:val="center"/>
          </w:tcPr>
          <w:p w14:paraId="066B709F">
            <w:pPr>
              <w:widowControl/>
              <w:spacing w:line="400" w:lineRule="exact"/>
              <w:contextualSpacing/>
              <w:jc w:val="center"/>
              <w:rPr>
                <w:rFonts w:hint="eastAsia" w:ascii="宋体" w:hAnsi="宋体" w:eastAsia="宋体"/>
                <w:b/>
                <w:color w:val="auto"/>
                <w:szCs w:val="21"/>
                <w:highlight w:val="none"/>
              </w:rPr>
            </w:pPr>
            <w:r>
              <w:rPr>
                <w:rFonts w:hint="eastAsia" w:ascii="宋体" w:hAnsi="宋体" w:eastAsia="宋体"/>
                <w:b/>
                <w:color w:val="auto"/>
                <w:szCs w:val="21"/>
                <w:highlight w:val="none"/>
              </w:rPr>
              <w:t>★</w:t>
            </w:r>
            <w:r>
              <w:rPr>
                <w:rFonts w:hint="eastAsia" w:ascii="宋体" w:hAnsi="宋体" w:eastAsia="宋体"/>
                <w:color w:val="auto"/>
                <w:kern w:val="0"/>
                <w:szCs w:val="21"/>
                <w:highlight w:val="none"/>
                <w:lang w:val="en-US" w:eastAsia="zh-CN"/>
              </w:rPr>
              <w:t>4</w:t>
            </w:r>
          </w:p>
        </w:tc>
        <w:tc>
          <w:tcPr>
            <w:tcW w:w="2684" w:type="dxa"/>
            <w:tcBorders>
              <w:tl2br w:val="nil"/>
              <w:tr2bl w:val="nil"/>
            </w:tcBorders>
            <w:shd w:val="clear" w:color="auto" w:fill="FFFFFF" w:themeFill="background1"/>
            <w:vAlign w:val="center"/>
          </w:tcPr>
          <w:p w14:paraId="0B2C519E">
            <w:pPr>
              <w:widowControl/>
              <w:spacing w:line="400" w:lineRule="exact"/>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砷（As）含量</w:t>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mg/kg</w:t>
            </w:r>
          </w:p>
        </w:tc>
        <w:tc>
          <w:tcPr>
            <w:tcW w:w="1797" w:type="dxa"/>
            <w:tcBorders>
              <w:tl2br w:val="nil"/>
              <w:tr2bl w:val="nil"/>
            </w:tcBorders>
            <w:shd w:val="clear" w:color="auto" w:fill="FFFFFF" w:themeFill="background1"/>
            <w:vAlign w:val="center"/>
          </w:tcPr>
          <w:p w14:paraId="39F98412">
            <w:pPr>
              <w:widowControl/>
              <w:spacing w:line="400" w:lineRule="exact"/>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≤3</w:t>
            </w:r>
          </w:p>
        </w:tc>
      </w:tr>
      <w:tr w14:paraId="4AF1A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17" w:type="dxa"/>
            <w:tcBorders>
              <w:tl2br w:val="nil"/>
              <w:tr2bl w:val="nil"/>
            </w:tcBorders>
            <w:shd w:val="clear" w:color="auto" w:fill="FFFFFF" w:themeFill="background1"/>
            <w:vAlign w:val="center"/>
          </w:tcPr>
          <w:p w14:paraId="4D050612">
            <w:pPr>
              <w:widowControl/>
              <w:spacing w:line="400" w:lineRule="exact"/>
              <w:contextualSpacing/>
              <w:jc w:val="center"/>
              <w:rPr>
                <w:rFonts w:hint="eastAsia" w:ascii="宋体" w:hAnsi="宋体" w:eastAsia="宋体"/>
                <w:b/>
                <w:color w:val="auto"/>
                <w:szCs w:val="21"/>
                <w:highlight w:val="none"/>
              </w:rPr>
            </w:pPr>
            <w:r>
              <w:rPr>
                <w:rFonts w:hint="eastAsia" w:ascii="宋体" w:hAnsi="宋体" w:eastAsia="宋体"/>
                <w:b/>
                <w:color w:val="auto"/>
                <w:szCs w:val="21"/>
                <w:highlight w:val="none"/>
              </w:rPr>
              <w:t>★</w:t>
            </w:r>
            <w:r>
              <w:rPr>
                <w:rFonts w:hint="eastAsia" w:ascii="宋体" w:hAnsi="宋体" w:eastAsia="宋体"/>
                <w:color w:val="auto"/>
                <w:kern w:val="0"/>
                <w:szCs w:val="21"/>
                <w:highlight w:val="none"/>
                <w:lang w:val="en-US" w:eastAsia="zh-CN"/>
              </w:rPr>
              <w:t>5</w:t>
            </w:r>
          </w:p>
        </w:tc>
        <w:tc>
          <w:tcPr>
            <w:tcW w:w="2684" w:type="dxa"/>
            <w:tcBorders>
              <w:tl2br w:val="nil"/>
              <w:tr2bl w:val="nil"/>
            </w:tcBorders>
            <w:shd w:val="clear" w:color="auto" w:fill="FFFFFF" w:themeFill="background1"/>
            <w:vAlign w:val="center"/>
          </w:tcPr>
          <w:p w14:paraId="1879F12D">
            <w:pPr>
              <w:widowControl/>
              <w:spacing w:line="400" w:lineRule="exact"/>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重金属（以Pb计）</w:t>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mg/kg</w:t>
            </w:r>
          </w:p>
        </w:tc>
        <w:tc>
          <w:tcPr>
            <w:tcW w:w="1797" w:type="dxa"/>
            <w:tcBorders>
              <w:tl2br w:val="nil"/>
              <w:tr2bl w:val="nil"/>
            </w:tcBorders>
            <w:shd w:val="clear" w:color="auto" w:fill="FFFFFF" w:themeFill="background1"/>
            <w:vAlign w:val="center"/>
          </w:tcPr>
          <w:p w14:paraId="647BD1F1">
            <w:pPr>
              <w:widowControl/>
              <w:spacing w:line="400" w:lineRule="exact"/>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≤5</w:t>
            </w:r>
          </w:p>
        </w:tc>
      </w:tr>
      <w:tr w14:paraId="4F234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17" w:type="dxa"/>
            <w:tcBorders>
              <w:tl2br w:val="nil"/>
              <w:tr2bl w:val="nil"/>
            </w:tcBorders>
            <w:shd w:val="clear" w:color="auto" w:fill="FFFFFF" w:themeFill="background1"/>
            <w:vAlign w:val="center"/>
          </w:tcPr>
          <w:p w14:paraId="3F7221AB">
            <w:pPr>
              <w:widowControl/>
              <w:spacing w:line="400" w:lineRule="exact"/>
              <w:contextualSpacing/>
              <w:jc w:val="center"/>
              <w:rPr>
                <w:rFonts w:hint="eastAsia" w:ascii="宋体" w:hAnsi="宋体" w:eastAsia="宋体"/>
                <w:b/>
                <w:color w:val="auto"/>
                <w:szCs w:val="21"/>
                <w:highlight w:val="none"/>
              </w:rPr>
            </w:pPr>
            <w:r>
              <w:rPr>
                <w:rFonts w:hint="eastAsia" w:ascii="宋体" w:hAnsi="宋体" w:eastAsia="宋体"/>
                <w:b/>
                <w:color w:val="auto"/>
                <w:szCs w:val="21"/>
                <w:highlight w:val="none"/>
              </w:rPr>
              <w:t>★</w:t>
            </w:r>
            <w:r>
              <w:rPr>
                <w:rFonts w:hint="eastAsia" w:ascii="宋体" w:hAnsi="宋体" w:eastAsia="宋体"/>
                <w:color w:val="auto"/>
                <w:kern w:val="0"/>
                <w:szCs w:val="21"/>
                <w:highlight w:val="none"/>
                <w:lang w:val="en-US" w:eastAsia="zh-CN"/>
              </w:rPr>
              <w:t>6</w:t>
            </w:r>
          </w:p>
        </w:tc>
        <w:tc>
          <w:tcPr>
            <w:tcW w:w="2684" w:type="dxa"/>
            <w:tcBorders>
              <w:tl2br w:val="nil"/>
              <w:tr2bl w:val="nil"/>
            </w:tcBorders>
            <w:shd w:val="clear" w:color="auto" w:fill="FFFFFF" w:themeFill="background1"/>
            <w:vAlign w:val="center"/>
          </w:tcPr>
          <w:p w14:paraId="4A2ABB98">
            <w:pPr>
              <w:widowControl/>
              <w:spacing w:line="400" w:lineRule="exact"/>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不溶物及有机杂质</w:t>
            </w:r>
          </w:p>
        </w:tc>
        <w:tc>
          <w:tcPr>
            <w:tcW w:w="1797" w:type="dxa"/>
            <w:tcBorders>
              <w:tl2br w:val="nil"/>
              <w:tr2bl w:val="nil"/>
            </w:tcBorders>
            <w:shd w:val="clear" w:color="auto" w:fill="FFFFFF" w:themeFill="background1"/>
            <w:vAlign w:val="center"/>
          </w:tcPr>
          <w:p w14:paraId="28495174">
            <w:pPr>
              <w:widowControl/>
              <w:spacing w:line="400" w:lineRule="exact"/>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通过试验</w:t>
            </w:r>
          </w:p>
        </w:tc>
      </w:tr>
      <w:tr w14:paraId="0D2D0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17" w:type="dxa"/>
            <w:tcBorders>
              <w:tl2br w:val="nil"/>
              <w:tr2bl w:val="nil"/>
            </w:tcBorders>
            <w:shd w:val="clear" w:color="auto" w:fill="FFFFFF" w:themeFill="background1"/>
            <w:vAlign w:val="center"/>
          </w:tcPr>
          <w:p w14:paraId="156E0CAA">
            <w:pPr>
              <w:widowControl/>
              <w:spacing w:line="400" w:lineRule="exact"/>
              <w:contextualSpacing/>
              <w:jc w:val="center"/>
              <w:rPr>
                <w:rFonts w:hint="eastAsia" w:ascii="宋体" w:hAnsi="宋体" w:eastAsia="宋体"/>
                <w:b/>
                <w:color w:val="auto"/>
                <w:szCs w:val="21"/>
                <w:highlight w:val="none"/>
              </w:rPr>
            </w:pPr>
            <w:r>
              <w:rPr>
                <w:rFonts w:hint="eastAsia" w:ascii="宋体" w:hAnsi="宋体" w:eastAsia="宋体"/>
                <w:b/>
                <w:color w:val="auto"/>
                <w:szCs w:val="21"/>
                <w:highlight w:val="none"/>
              </w:rPr>
              <w:t>★</w:t>
            </w:r>
            <w:r>
              <w:rPr>
                <w:rFonts w:hint="eastAsia" w:ascii="宋体" w:hAnsi="宋体" w:eastAsia="宋体"/>
                <w:color w:val="auto"/>
                <w:kern w:val="0"/>
                <w:szCs w:val="21"/>
                <w:highlight w:val="none"/>
                <w:lang w:val="en-US" w:eastAsia="zh-CN"/>
              </w:rPr>
              <w:t>7</w:t>
            </w:r>
          </w:p>
        </w:tc>
        <w:tc>
          <w:tcPr>
            <w:tcW w:w="2684" w:type="dxa"/>
            <w:tcBorders>
              <w:tl2br w:val="nil"/>
              <w:tr2bl w:val="nil"/>
            </w:tcBorders>
            <w:shd w:val="clear" w:color="auto" w:fill="FFFFFF" w:themeFill="background1"/>
            <w:vAlign w:val="center"/>
          </w:tcPr>
          <w:p w14:paraId="0572B499">
            <w:pPr>
              <w:widowControl/>
              <w:spacing w:line="400" w:lineRule="exact"/>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汞（Hg）含量</w:t>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mg/kg</w:t>
            </w:r>
          </w:p>
        </w:tc>
        <w:tc>
          <w:tcPr>
            <w:tcW w:w="1797" w:type="dxa"/>
            <w:tcBorders>
              <w:tl2br w:val="nil"/>
              <w:tr2bl w:val="nil"/>
            </w:tcBorders>
            <w:shd w:val="clear" w:color="auto" w:fill="FFFFFF" w:themeFill="background1"/>
            <w:vAlign w:val="center"/>
          </w:tcPr>
          <w:p w14:paraId="402A8BC0">
            <w:pPr>
              <w:widowControl/>
              <w:spacing w:line="400" w:lineRule="exact"/>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≤0.1</w:t>
            </w:r>
          </w:p>
        </w:tc>
      </w:tr>
    </w:tbl>
    <w:p w14:paraId="7AB29CAE">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2、上述氢氧化钠（液体）主要指标若有一项不符合要求的</w:t>
      </w:r>
      <w:r>
        <w:rPr>
          <w:rFonts w:hint="eastAsia" w:ascii="宋体" w:hAnsi="宋体" w:eastAsia="宋体"/>
          <w:color w:val="auto"/>
          <w:kern w:val="0"/>
          <w:szCs w:val="21"/>
          <w:highlight w:val="none"/>
        </w:rPr>
        <w:t>，按技术无效标处理。</w:t>
      </w:r>
    </w:p>
    <w:p w14:paraId="6505199A">
      <w:pPr>
        <w:widowControl/>
        <w:spacing w:line="360" w:lineRule="auto"/>
        <w:ind w:firstLine="420" w:firstLineChars="200"/>
        <w:contextualSpacing/>
        <w:jc w:val="left"/>
        <w:rPr>
          <w:rFonts w:hint="eastAsia" w:ascii="宋体" w:hAnsi="宋体" w:eastAsia="宋体"/>
          <w:color w:val="auto"/>
          <w:kern w:val="0"/>
          <w:szCs w:val="21"/>
          <w:highlight w:val="none"/>
          <w:shd w:val="clear" w:color="auto" w:fill="auto"/>
        </w:rPr>
      </w:pPr>
      <w:r>
        <w:rPr>
          <w:rFonts w:hint="eastAsia" w:ascii="宋体" w:hAnsi="宋体" w:eastAsia="宋体"/>
          <w:color w:val="auto"/>
          <w:kern w:val="0"/>
          <w:szCs w:val="21"/>
          <w:highlight w:val="none"/>
          <w:shd w:val="clear" w:color="auto" w:fill="auto"/>
        </w:rPr>
        <w:t>3、供货量：</w:t>
      </w:r>
      <w:r>
        <w:rPr>
          <w:rFonts w:hint="eastAsia" w:ascii="宋体" w:hAnsi="宋体"/>
          <w:color w:val="auto"/>
          <w:kern w:val="0"/>
          <w:szCs w:val="21"/>
          <w:highlight w:val="none"/>
          <w:lang w:val="en-US" w:eastAsia="zh-CN"/>
        </w:rPr>
        <w:t>每次1</w:t>
      </w:r>
      <w:r>
        <w:rPr>
          <w:rFonts w:hint="eastAsia" w:ascii="宋体" w:hAnsi="宋体"/>
          <w:color w:val="auto"/>
          <w:kern w:val="0"/>
          <w:szCs w:val="21"/>
          <w:highlight w:val="none"/>
        </w:rPr>
        <w:t>吨—</w:t>
      </w:r>
      <w:r>
        <w:rPr>
          <w:rFonts w:hint="eastAsia" w:ascii="宋体" w:hAnsi="宋体"/>
          <w:color w:val="auto"/>
          <w:kern w:val="0"/>
          <w:szCs w:val="21"/>
          <w:highlight w:val="none"/>
          <w:lang w:val="en-US" w:eastAsia="zh-CN"/>
        </w:rPr>
        <w:t>20</w:t>
      </w:r>
      <w:r>
        <w:rPr>
          <w:rFonts w:hint="eastAsia" w:ascii="宋体" w:hAnsi="宋体"/>
          <w:color w:val="auto"/>
          <w:kern w:val="0"/>
          <w:szCs w:val="21"/>
          <w:highlight w:val="none"/>
        </w:rPr>
        <w:t>吨不等</w:t>
      </w:r>
      <w:r>
        <w:rPr>
          <w:rFonts w:hint="eastAsia" w:ascii="宋体" w:hAnsi="宋体" w:eastAsia="宋体"/>
          <w:color w:val="auto"/>
          <w:kern w:val="0"/>
          <w:szCs w:val="21"/>
          <w:highlight w:val="none"/>
          <w:shd w:val="clear" w:color="auto" w:fill="auto"/>
        </w:rPr>
        <w:t>。</w:t>
      </w:r>
    </w:p>
    <w:p w14:paraId="46B27944">
      <w:pPr>
        <w:widowControl/>
        <w:spacing w:line="360" w:lineRule="auto"/>
        <w:ind w:firstLine="420" w:firstLineChars="200"/>
        <w:contextualSpacing/>
        <w:jc w:val="left"/>
        <w:rPr>
          <w:rFonts w:hint="eastAsia" w:ascii="宋体" w:hAnsi="宋体" w:eastAsia="宋体"/>
          <w:color w:val="auto"/>
          <w:kern w:val="0"/>
          <w:szCs w:val="21"/>
          <w:highlight w:val="none"/>
          <w:shd w:val="clear" w:color="auto" w:fill="auto"/>
        </w:rPr>
      </w:pPr>
      <w:r>
        <w:rPr>
          <w:rFonts w:hint="eastAsia" w:ascii="宋体" w:hAnsi="宋体" w:eastAsia="宋体"/>
          <w:color w:val="auto"/>
          <w:kern w:val="0"/>
          <w:szCs w:val="21"/>
          <w:highlight w:val="none"/>
          <w:shd w:val="clear" w:color="auto" w:fill="auto"/>
        </w:rPr>
        <w:t>★4、</w:t>
      </w:r>
      <w:r>
        <w:rPr>
          <w:rFonts w:hint="eastAsia" w:ascii="宋体" w:hAnsi="宋体" w:eastAsia="宋体"/>
          <w:color w:val="auto"/>
          <w:kern w:val="0"/>
          <w:szCs w:val="21"/>
          <w:highlight w:val="none"/>
          <w:shd w:val="clear" w:color="auto" w:fill="auto"/>
          <w:lang w:eastAsia="zh-CN"/>
        </w:rPr>
        <w:t>投标供应商</w:t>
      </w:r>
      <w:r>
        <w:rPr>
          <w:rFonts w:hint="eastAsia" w:ascii="宋体" w:hAnsi="宋体" w:eastAsia="宋体"/>
          <w:color w:val="auto"/>
          <w:kern w:val="0"/>
          <w:szCs w:val="21"/>
          <w:highlight w:val="none"/>
          <w:shd w:val="clear" w:color="auto" w:fill="auto"/>
          <w:lang w:val="en-US" w:eastAsia="zh-CN"/>
        </w:rPr>
        <w:t>须</w:t>
      </w:r>
      <w:r>
        <w:rPr>
          <w:rFonts w:hint="eastAsia" w:ascii="宋体" w:hAnsi="宋体" w:eastAsia="宋体"/>
          <w:color w:val="auto"/>
          <w:kern w:val="0"/>
          <w:szCs w:val="21"/>
          <w:highlight w:val="none"/>
          <w:shd w:val="clear" w:color="auto" w:fill="auto"/>
        </w:rPr>
        <w:t>提供危险化学品经营许可证、</w:t>
      </w:r>
      <w:r>
        <w:rPr>
          <w:rFonts w:hint="eastAsia" w:ascii="宋体" w:hAnsi="宋体" w:eastAsia="宋体"/>
          <w:color w:val="auto"/>
          <w:kern w:val="0"/>
          <w:szCs w:val="21"/>
          <w:highlight w:val="none"/>
          <w:shd w:val="clear" w:color="auto" w:fill="auto"/>
          <w:lang w:val="en-US" w:eastAsia="zh-CN"/>
        </w:rPr>
        <w:t>相关的道路运输许经营许可证（如是承包第三方运输的，提供第三方的道路运输许经营许可证及运输合同）以及投标产品生产方</w:t>
      </w:r>
      <w:r>
        <w:rPr>
          <w:rFonts w:hint="eastAsia" w:ascii="宋体" w:hAnsi="宋体" w:eastAsia="宋体"/>
          <w:color w:val="auto"/>
          <w:kern w:val="0"/>
          <w:szCs w:val="21"/>
          <w:highlight w:val="none"/>
          <w:shd w:val="clear" w:color="auto" w:fill="auto"/>
        </w:rPr>
        <w:t>食品级证书和202</w:t>
      </w:r>
      <w:r>
        <w:rPr>
          <w:rFonts w:hint="eastAsia" w:ascii="宋体" w:hAnsi="宋体" w:eastAsia="宋体"/>
          <w:color w:val="auto"/>
          <w:kern w:val="0"/>
          <w:szCs w:val="21"/>
          <w:highlight w:val="none"/>
          <w:shd w:val="clear" w:color="auto" w:fill="auto"/>
          <w:lang w:val="en-US" w:eastAsia="zh-CN"/>
        </w:rPr>
        <w:t>3</w:t>
      </w:r>
      <w:r>
        <w:rPr>
          <w:rFonts w:hint="eastAsia" w:ascii="宋体" w:hAnsi="宋体" w:eastAsia="宋体"/>
          <w:color w:val="auto"/>
          <w:kern w:val="0"/>
          <w:szCs w:val="21"/>
          <w:highlight w:val="none"/>
          <w:shd w:val="clear" w:color="auto" w:fill="auto"/>
        </w:rPr>
        <w:t>年1月1日以来市级及以上第三方权威机构出具的检测报告。</w:t>
      </w:r>
    </w:p>
    <w:p w14:paraId="7FB2BDB2">
      <w:pPr>
        <w:widowControl/>
        <w:spacing w:line="360" w:lineRule="auto"/>
        <w:ind w:firstLine="420" w:firstLineChars="200"/>
        <w:contextualSpacing/>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5、质量保证及售后服务：</w:t>
      </w:r>
    </w:p>
    <w:p w14:paraId="28E70B20">
      <w:pPr>
        <w:widowControl/>
        <w:numPr>
          <w:ilvl w:val="0"/>
          <w:numId w:val="0"/>
        </w:numPr>
        <w:spacing w:line="360" w:lineRule="auto"/>
        <w:ind w:firstLine="630" w:firstLineChars="300"/>
        <w:contextualSpacing/>
        <w:jc w:val="left"/>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1）</w:t>
      </w:r>
      <w:r>
        <w:rPr>
          <w:rFonts w:hint="eastAsia" w:ascii="宋体" w:hAnsi="宋体" w:eastAsia="宋体"/>
          <w:color w:val="auto"/>
          <w:kern w:val="0"/>
          <w:szCs w:val="21"/>
          <w:highlight w:val="none"/>
          <w:lang w:eastAsia="zh-CN"/>
        </w:rPr>
        <w:t>投标供应商</w:t>
      </w:r>
      <w:r>
        <w:rPr>
          <w:rFonts w:hint="eastAsia" w:ascii="宋体" w:hAnsi="宋体" w:eastAsia="宋体"/>
          <w:color w:val="auto"/>
          <w:kern w:val="0"/>
          <w:szCs w:val="21"/>
          <w:highlight w:val="none"/>
        </w:rPr>
        <w:t>提供具有完善的售后服务体系的说明，以验证其售后服务情况。</w:t>
      </w:r>
    </w:p>
    <w:p w14:paraId="2F801AB0">
      <w:pPr>
        <w:widowControl/>
        <w:numPr>
          <w:ilvl w:val="0"/>
          <w:numId w:val="0"/>
        </w:numPr>
        <w:spacing w:line="360" w:lineRule="auto"/>
        <w:ind w:firstLine="630" w:firstLineChars="300"/>
        <w:contextualSpacing/>
        <w:jc w:val="left"/>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2）</w:t>
      </w:r>
      <w:r>
        <w:rPr>
          <w:rFonts w:hint="eastAsia" w:ascii="宋体" w:hAnsi="宋体" w:eastAsia="宋体"/>
          <w:color w:val="auto"/>
          <w:kern w:val="0"/>
          <w:szCs w:val="21"/>
          <w:highlight w:val="none"/>
        </w:rPr>
        <w:t>货物送达指定地点经</w:t>
      </w:r>
      <w:r>
        <w:rPr>
          <w:rFonts w:hint="eastAsia" w:ascii="宋体" w:hAnsi="宋体" w:eastAsia="宋体"/>
          <w:color w:val="auto"/>
          <w:kern w:val="0"/>
          <w:szCs w:val="21"/>
          <w:highlight w:val="none"/>
          <w:lang w:eastAsia="zh-CN"/>
        </w:rPr>
        <w:t>采购人</w:t>
      </w:r>
      <w:r>
        <w:rPr>
          <w:rFonts w:hint="eastAsia" w:ascii="宋体" w:hAnsi="宋体" w:eastAsia="宋体"/>
          <w:color w:val="auto"/>
          <w:kern w:val="0"/>
          <w:szCs w:val="21"/>
          <w:highlight w:val="none"/>
        </w:rPr>
        <w:t>确认货物数量，同时随车提供产品质量合格证、检测报告。接受使用单位不定期到生产现场抽查。</w:t>
      </w:r>
    </w:p>
    <w:p w14:paraId="6F261A01">
      <w:pPr>
        <w:widowControl/>
        <w:numPr>
          <w:ilvl w:val="0"/>
          <w:numId w:val="0"/>
        </w:numPr>
        <w:spacing w:line="360" w:lineRule="auto"/>
        <w:ind w:firstLine="630" w:firstLineChars="300"/>
        <w:contextualSpacing/>
        <w:jc w:val="left"/>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3）</w:t>
      </w:r>
      <w:r>
        <w:rPr>
          <w:rFonts w:hint="eastAsia" w:ascii="宋体" w:hAnsi="宋体" w:eastAsia="宋体"/>
          <w:color w:val="auto"/>
          <w:kern w:val="0"/>
          <w:szCs w:val="21"/>
          <w:highlight w:val="none"/>
          <w:lang w:eastAsia="zh-CN"/>
        </w:rPr>
        <w:t>采购人</w:t>
      </w:r>
      <w:r>
        <w:rPr>
          <w:rFonts w:hint="eastAsia" w:ascii="宋体" w:hAnsi="宋体" w:eastAsia="宋体"/>
          <w:color w:val="auto"/>
          <w:kern w:val="0"/>
          <w:szCs w:val="21"/>
          <w:highlight w:val="none"/>
        </w:rPr>
        <w:t>对每批供货质量进行抽样检查（质量检验依据以投标方提供的小试样品指标为准），若质量检验结果有异，以书面或传真通知</w:t>
      </w:r>
      <w:r>
        <w:rPr>
          <w:rFonts w:hint="eastAsia" w:ascii="宋体" w:hAnsi="宋体" w:eastAsia="宋体"/>
          <w:color w:val="auto"/>
          <w:kern w:val="0"/>
          <w:szCs w:val="21"/>
          <w:highlight w:val="none"/>
          <w:lang w:eastAsia="zh-CN"/>
        </w:rPr>
        <w:t>中标供应商</w:t>
      </w:r>
      <w:r>
        <w:rPr>
          <w:rFonts w:hint="eastAsia" w:ascii="宋体" w:hAnsi="宋体" w:eastAsia="宋体"/>
          <w:color w:val="auto"/>
          <w:kern w:val="0"/>
          <w:szCs w:val="21"/>
          <w:highlight w:val="none"/>
        </w:rPr>
        <w:t>，</w:t>
      </w:r>
      <w:r>
        <w:rPr>
          <w:rFonts w:hint="eastAsia" w:ascii="宋体" w:hAnsi="宋体" w:eastAsia="宋体"/>
          <w:color w:val="auto"/>
          <w:kern w:val="0"/>
          <w:szCs w:val="21"/>
          <w:highlight w:val="none"/>
          <w:lang w:eastAsia="zh-CN"/>
        </w:rPr>
        <w:t>中标供应商</w:t>
      </w:r>
      <w:r>
        <w:rPr>
          <w:rFonts w:hint="eastAsia" w:ascii="宋体" w:hAnsi="宋体" w:eastAsia="宋体"/>
          <w:color w:val="auto"/>
          <w:kern w:val="0"/>
          <w:szCs w:val="21"/>
          <w:highlight w:val="none"/>
        </w:rPr>
        <w:t>在收到</w:t>
      </w:r>
      <w:r>
        <w:rPr>
          <w:rFonts w:hint="eastAsia" w:ascii="宋体" w:hAnsi="宋体" w:eastAsia="宋体"/>
          <w:color w:val="auto"/>
          <w:kern w:val="0"/>
          <w:szCs w:val="21"/>
          <w:highlight w:val="none"/>
          <w:lang w:eastAsia="zh-CN"/>
        </w:rPr>
        <w:t>采购人</w:t>
      </w:r>
      <w:r>
        <w:rPr>
          <w:rFonts w:hint="eastAsia" w:ascii="宋体" w:hAnsi="宋体" w:eastAsia="宋体"/>
          <w:color w:val="auto"/>
          <w:kern w:val="0"/>
          <w:szCs w:val="21"/>
          <w:highlight w:val="none"/>
        </w:rPr>
        <w:t>通知后的48小时内进行复检，否则视为供方</w:t>
      </w:r>
      <w:r>
        <w:rPr>
          <w:rFonts w:hint="eastAsia" w:ascii="宋体" w:hAnsi="宋体" w:eastAsia="宋体"/>
          <w:color w:val="auto"/>
          <w:kern w:val="0"/>
          <w:szCs w:val="21"/>
          <w:highlight w:val="none"/>
          <w:shd w:val="clear" w:color="auto" w:fill="auto"/>
        </w:rPr>
        <w:t>认同</w:t>
      </w:r>
      <w:r>
        <w:rPr>
          <w:rFonts w:hint="eastAsia" w:ascii="宋体" w:hAnsi="宋体" w:eastAsia="宋体"/>
          <w:color w:val="auto"/>
          <w:kern w:val="0"/>
          <w:szCs w:val="21"/>
          <w:highlight w:val="none"/>
          <w:shd w:val="clear" w:color="auto" w:fill="auto"/>
          <w:lang w:eastAsia="zh-CN"/>
        </w:rPr>
        <w:t>采购人</w:t>
      </w:r>
      <w:r>
        <w:rPr>
          <w:rFonts w:hint="eastAsia" w:ascii="宋体" w:hAnsi="宋体" w:eastAsia="宋体"/>
          <w:color w:val="auto"/>
          <w:kern w:val="0"/>
          <w:szCs w:val="21"/>
          <w:highlight w:val="none"/>
          <w:shd w:val="clear" w:color="auto" w:fill="auto"/>
        </w:rPr>
        <w:t>检验结果，检验结果认同后</w:t>
      </w:r>
      <w:r>
        <w:rPr>
          <w:rFonts w:hint="eastAsia" w:ascii="宋体" w:hAnsi="宋体" w:eastAsia="宋体"/>
          <w:color w:val="auto"/>
          <w:kern w:val="0"/>
          <w:szCs w:val="21"/>
          <w:highlight w:val="none"/>
          <w:shd w:val="clear" w:color="auto" w:fill="auto"/>
          <w:lang w:eastAsia="zh-CN"/>
        </w:rPr>
        <w:t>，</w:t>
      </w:r>
      <w:r>
        <w:rPr>
          <w:rFonts w:hint="eastAsia" w:ascii="宋体" w:hAnsi="宋体" w:eastAsia="宋体"/>
          <w:color w:val="auto"/>
          <w:kern w:val="0"/>
          <w:szCs w:val="21"/>
          <w:highlight w:val="none"/>
          <w:shd w:val="clear" w:color="auto" w:fill="auto"/>
          <w:lang w:val="en-US" w:eastAsia="zh-CN"/>
        </w:rPr>
        <w:t>按招标文件规定进行违约处罚。</w:t>
      </w:r>
    </w:p>
    <w:p w14:paraId="2BB92B53">
      <w:pPr>
        <w:widowControl/>
        <w:numPr>
          <w:ilvl w:val="0"/>
          <w:numId w:val="0"/>
        </w:numPr>
        <w:spacing w:line="360" w:lineRule="auto"/>
        <w:ind w:firstLine="630" w:firstLineChars="300"/>
        <w:contextualSpacing/>
        <w:jc w:val="left"/>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4）</w:t>
      </w:r>
      <w:r>
        <w:rPr>
          <w:rFonts w:hint="eastAsia" w:ascii="宋体" w:hAnsi="宋体" w:eastAsia="宋体"/>
          <w:color w:val="auto"/>
          <w:kern w:val="0"/>
          <w:szCs w:val="21"/>
          <w:highlight w:val="none"/>
        </w:rPr>
        <w:t>对于其他指标检测结果超过国家标准的，则</w:t>
      </w:r>
      <w:r>
        <w:rPr>
          <w:rFonts w:hint="eastAsia" w:ascii="宋体" w:hAnsi="宋体" w:eastAsia="宋体"/>
          <w:color w:val="auto"/>
          <w:kern w:val="0"/>
          <w:szCs w:val="21"/>
          <w:highlight w:val="none"/>
          <w:lang w:eastAsia="zh-CN"/>
        </w:rPr>
        <w:t>采购人</w:t>
      </w:r>
      <w:r>
        <w:rPr>
          <w:rFonts w:hint="eastAsia" w:ascii="宋体" w:hAnsi="宋体" w:eastAsia="宋体"/>
          <w:color w:val="auto"/>
          <w:kern w:val="0"/>
          <w:szCs w:val="21"/>
          <w:highlight w:val="none"/>
        </w:rPr>
        <w:t>有权拒付货款并要求</w:t>
      </w:r>
      <w:r>
        <w:rPr>
          <w:rFonts w:hint="eastAsia" w:ascii="宋体" w:hAnsi="宋体" w:eastAsia="宋体"/>
          <w:color w:val="auto"/>
          <w:kern w:val="0"/>
          <w:szCs w:val="21"/>
          <w:highlight w:val="none"/>
          <w:lang w:eastAsia="zh-CN"/>
        </w:rPr>
        <w:t>中标供应商</w:t>
      </w:r>
      <w:r>
        <w:rPr>
          <w:rFonts w:hint="eastAsia" w:ascii="宋体" w:hAnsi="宋体" w:eastAsia="宋体"/>
          <w:color w:val="auto"/>
          <w:kern w:val="0"/>
          <w:szCs w:val="21"/>
          <w:highlight w:val="none"/>
        </w:rPr>
        <w:t>停止供货进行整改，如第二次抽样检测结果依然是超过国家标准的，则供货合同终止。</w:t>
      </w:r>
    </w:p>
    <w:p w14:paraId="7985361F">
      <w:pPr>
        <w:widowControl/>
        <w:numPr>
          <w:ilvl w:val="0"/>
          <w:numId w:val="0"/>
        </w:numPr>
        <w:spacing w:line="360" w:lineRule="auto"/>
        <w:ind w:firstLine="630" w:firstLineChars="300"/>
        <w:contextualSpacing/>
        <w:jc w:val="left"/>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5）</w:t>
      </w:r>
      <w:r>
        <w:rPr>
          <w:rFonts w:hint="eastAsia" w:ascii="宋体" w:hAnsi="宋体" w:eastAsia="宋体"/>
          <w:color w:val="auto"/>
          <w:kern w:val="0"/>
          <w:szCs w:val="21"/>
          <w:highlight w:val="none"/>
        </w:rPr>
        <w:t>在供货过程中，</w:t>
      </w:r>
      <w:r>
        <w:rPr>
          <w:rFonts w:hint="eastAsia" w:ascii="宋体" w:hAnsi="宋体" w:eastAsia="宋体"/>
          <w:color w:val="auto"/>
          <w:kern w:val="0"/>
          <w:szCs w:val="21"/>
          <w:highlight w:val="none"/>
          <w:lang w:eastAsia="zh-CN"/>
        </w:rPr>
        <w:t>采购人</w:t>
      </w:r>
      <w:r>
        <w:rPr>
          <w:rFonts w:hint="eastAsia" w:ascii="宋体" w:hAnsi="宋体" w:eastAsia="宋体"/>
          <w:color w:val="auto"/>
          <w:kern w:val="0"/>
          <w:szCs w:val="21"/>
          <w:highlight w:val="none"/>
        </w:rPr>
        <w:t>有权根据原水水质变化情况，要求</w:t>
      </w:r>
      <w:r>
        <w:rPr>
          <w:rFonts w:hint="eastAsia" w:ascii="宋体" w:hAnsi="宋体" w:eastAsia="宋体"/>
          <w:color w:val="auto"/>
          <w:kern w:val="0"/>
          <w:szCs w:val="21"/>
          <w:highlight w:val="none"/>
          <w:lang w:eastAsia="zh-CN"/>
        </w:rPr>
        <w:t>中标供应商</w:t>
      </w:r>
      <w:r>
        <w:rPr>
          <w:rFonts w:hint="eastAsia" w:ascii="宋体" w:hAnsi="宋体" w:eastAsia="宋体"/>
          <w:color w:val="auto"/>
          <w:kern w:val="0"/>
          <w:szCs w:val="21"/>
          <w:highlight w:val="none"/>
        </w:rPr>
        <w:t>调整产品的配方，确保水处理效果。</w:t>
      </w:r>
    </w:p>
    <w:p w14:paraId="6FBDAAEC">
      <w:pPr>
        <w:widowControl/>
        <w:numPr>
          <w:ilvl w:val="0"/>
          <w:numId w:val="0"/>
        </w:numPr>
        <w:spacing w:line="360" w:lineRule="auto"/>
        <w:ind w:firstLine="630" w:firstLineChars="300"/>
        <w:contextualSpacing/>
        <w:jc w:val="left"/>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6）</w:t>
      </w:r>
      <w:r>
        <w:rPr>
          <w:rFonts w:hint="eastAsia" w:ascii="宋体" w:hAnsi="宋体" w:eastAsia="宋体"/>
          <w:color w:val="auto"/>
          <w:kern w:val="0"/>
          <w:szCs w:val="21"/>
          <w:highlight w:val="none"/>
        </w:rPr>
        <w:t>若国家实行新的标准（以国家下发执行文件明确实施时间起），</w:t>
      </w:r>
      <w:r>
        <w:rPr>
          <w:rFonts w:hint="eastAsia" w:ascii="宋体" w:hAnsi="宋体" w:eastAsia="宋体"/>
          <w:color w:val="auto"/>
          <w:kern w:val="0"/>
          <w:szCs w:val="21"/>
          <w:highlight w:val="none"/>
          <w:lang w:eastAsia="zh-CN"/>
        </w:rPr>
        <w:t>中标供应商</w:t>
      </w:r>
      <w:r>
        <w:rPr>
          <w:rFonts w:hint="eastAsia" w:ascii="宋体" w:hAnsi="宋体" w:eastAsia="宋体"/>
          <w:color w:val="auto"/>
          <w:kern w:val="0"/>
          <w:szCs w:val="21"/>
          <w:highlight w:val="none"/>
        </w:rPr>
        <w:t>需无条件按新标准执行，并承诺以中标价格不发生任何变化。若</w:t>
      </w:r>
      <w:r>
        <w:rPr>
          <w:rFonts w:hint="eastAsia" w:ascii="宋体" w:hAnsi="宋体" w:eastAsia="宋体"/>
          <w:color w:val="auto"/>
          <w:kern w:val="0"/>
          <w:szCs w:val="21"/>
          <w:highlight w:val="none"/>
          <w:lang w:eastAsia="zh-CN"/>
        </w:rPr>
        <w:t>中标供应商</w:t>
      </w:r>
      <w:r>
        <w:rPr>
          <w:rFonts w:hint="eastAsia" w:ascii="宋体" w:hAnsi="宋体" w:eastAsia="宋体"/>
          <w:color w:val="auto"/>
          <w:kern w:val="0"/>
          <w:szCs w:val="21"/>
          <w:highlight w:val="none"/>
        </w:rPr>
        <w:t>无法执行新标准或不接受原中标价格。</w:t>
      </w:r>
      <w:r>
        <w:rPr>
          <w:rFonts w:hint="eastAsia" w:ascii="宋体" w:hAnsi="宋体" w:eastAsia="宋体"/>
          <w:color w:val="auto"/>
          <w:kern w:val="0"/>
          <w:szCs w:val="21"/>
          <w:highlight w:val="none"/>
          <w:lang w:eastAsia="zh-CN"/>
        </w:rPr>
        <w:t>采购人</w:t>
      </w:r>
      <w:r>
        <w:rPr>
          <w:rFonts w:hint="eastAsia" w:ascii="宋体" w:hAnsi="宋体" w:eastAsia="宋体"/>
          <w:color w:val="auto"/>
          <w:kern w:val="0"/>
          <w:szCs w:val="21"/>
          <w:highlight w:val="none"/>
        </w:rPr>
        <w:t>自动将与</w:t>
      </w:r>
      <w:r>
        <w:rPr>
          <w:rFonts w:hint="eastAsia" w:ascii="宋体" w:hAnsi="宋体" w:eastAsia="宋体"/>
          <w:color w:val="auto"/>
          <w:kern w:val="0"/>
          <w:szCs w:val="21"/>
          <w:highlight w:val="none"/>
          <w:lang w:eastAsia="zh-CN"/>
        </w:rPr>
        <w:t>中标供应商</w:t>
      </w:r>
      <w:r>
        <w:rPr>
          <w:rFonts w:hint="eastAsia" w:ascii="宋体" w:hAnsi="宋体" w:eastAsia="宋体"/>
          <w:color w:val="auto"/>
          <w:kern w:val="0"/>
          <w:szCs w:val="21"/>
          <w:highlight w:val="none"/>
        </w:rPr>
        <w:t>解约。</w:t>
      </w:r>
    </w:p>
    <w:p w14:paraId="698069B2">
      <w:pPr>
        <w:widowControl/>
        <w:numPr>
          <w:ilvl w:val="0"/>
          <w:numId w:val="0"/>
        </w:numPr>
        <w:spacing w:line="360" w:lineRule="auto"/>
        <w:ind w:firstLine="630" w:firstLineChars="300"/>
        <w:contextualSpacing/>
        <w:jc w:val="left"/>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7）</w:t>
      </w:r>
      <w:r>
        <w:rPr>
          <w:rFonts w:hint="eastAsia" w:ascii="宋体" w:hAnsi="宋体" w:eastAsia="宋体"/>
          <w:color w:val="auto"/>
          <w:kern w:val="0"/>
          <w:szCs w:val="21"/>
          <w:highlight w:val="none"/>
          <w:lang w:eastAsia="zh-CN"/>
        </w:rPr>
        <w:t>中标供应商</w:t>
      </w:r>
      <w:r>
        <w:rPr>
          <w:rFonts w:hint="eastAsia" w:ascii="宋体" w:hAnsi="宋体" w:eastAsia="宋体"/>
          <w:color w:val="auto"/>
          <w:kern w:val="0"/>
          <w:szCs w:val="21"/>
          <w:highlight w:val="none"/>
        </w:rPr>
        <w:t>提供不同吨位的专车对</w:t>
      </w:r>
      <w:r>
        <w:rPr>
          <w:rFonts w:hint="eastAsia" w:ascii="宋体" w:hAnsi="宋体" w:eastAsia="宋体"/>
          <w:color w:val="auto"/>
          <w:kern w:val="0"/>
          <w:szCs w:val="21"/>
          <w:highlight w:val="none"/>
          <w:lang w:eastAsia="zh-CN"/>
        </w:rPr>
        <w:t>采购人</w:t>
      </w:r>
      <w:r>
        <w:rPr>
          <w:rFonts w:hint="eastAsia" w:ascii="宋体" w:hAnsi="宋体" w:eastAsia="宋体"/>
          <w:color w:val="auto"/>
          <w:kern w:val="0"/>
          <w:szCs w:val="21"/>
          <w:highlight w:val="none"/>
        </w:rPr>
        <w:t>进行净水药剂的运输，</w:t>
      </w:r>
      <w:r>
        <w:rPr>
          <w:rFonts w:hint="eastAsia" w:ascii="宋体" w:hAnsi="宋体" w:eastAsia="宋体"/>
          <w:color w:val="auto"/>
          <w:kern w:val="0"/>
          <w:szCs w:val="21"/>
          <w:highlight w:val="none"/>
          <w:lang w:eastAsia="zh-CN"/>
        </w:rPr>
        <w:t>采购人</w:t>
      </w:r>
      <w:r>
        <w:rPr>
          <w:rFonts w:hint="eastAsia" w:ascii="宋体" w:hAnsi="宋体" w:eastAsia="宋体"/>
          <w:color w:val="auto"/>
          <w:kern w:val="0"/>
          <w:szCs w:val="21"/>
          <w:highlight w:val="none"/>
        </w:rPr>
        <w:t>提供的运输药剂数量及指定货物送达地点（包括短拨），全部由</w:t>
      </w:r>
      <w:r>
        <w:rPr>
          <w:rFonts w:hint="eastAsia" w:ascii="宋体" w:hAnsi="宋体" w:eastAsia="宋体"/>
          <w:color w:val="auto"/>
          <w:kern w:val="0"/>
          <w:szCs w:val="21"/>
          <w:highlight w:val="none"/>
          <w:lang w:eastAsia="zh-CN"/>
        </w:rPr>
        <w:t>中标供应商</w:t>
      </w:r>
      <w:r>
        <w:rPr>
          <w:rFonts w:hint="eastAsia" w:ascii="宋体" w:hAnsi="宋体" w:eastAsia="宋体"/>
          <w:color w:val="auto"/>
          <w:kern w:val="0"/>
          <w:szCs w:val="21"/>
          <w:highlight w:val="none"/>
        </w:rPr>
        <w:t>负责，应无条件服从和做到。</w:t>
      </w:r>
    </w:p>
    <w:p w14:paraId="32ADE698">
      <w:pPr>
        <w:snapToGrid w:val="0"/>
        <w:spacing w:before="120" w:line="360" w:lineRule="auto"/>
        <w:jc w:val="left"/>
        <w:outlineLvl w:val="1"/>
        <w:rPr>
          <w:rFonts w:hint="eastAsia" w:ascii="宋体" w:hAnsi="宋体" w:eastAsia="宋体"/>
          <w:b/>
          <w:color w:val="auto"/>
          <w:szCs w:val="21"/>
          <w:highlight w:val="none"/>
          <w:lang w:val="en-US" w:eastAsia="zh-CN"/>
        </w:rPr>
      </w:pPr>
      <w:bookmarkStart w:id="112" w:name="_Toc21011"/>
      <w:bookmarkStart w:id="113" w:name="_Toc414286119"/>
      <w:bookmarkStart w:id="114" w:name="_Toc479319490"/>
      <w:r>
        <w:rPr>
          <w:rFonts w:hint="eastAsia" w:ascii="宋体" w:hAnsi="宋体" w:eastAsia="宋体"/>
          <w:b/>
          <w:color w:val="auto"/>
          <w:szCs w:val="21"/>
          <w:highlight w:val="none"/>
          <w:lang w:val="en-US" w:eastAsia="zh-CN"/>
        </w:rPr>
        <w:t>二</w:t>
      </w:r>
      <w:r>
        <w:rPr>
          <w:rFonts w:hint="eastAsia" w:ascii="宋体" w:hAnsi="宋体" w:eastAsia="宋体"/>
          <w:b/>
          <w:color w:val="auto"/>
          <w:szCs w:val="21"/>
          <w:highlight w:val="none"/>
        </w:rPr>
        <w:t>、采购标的的其他技术、服务等要求（即商务要求）</w:t>
      </w:r>
      <w:bookmarkEnd w:id="112"/>
    </w:p>
    <w:bookmarkEnd w:id="113"/>
    <w:bookmarkEnd w:id="114"/>
    <w:tbl>
      <w:tblPr>
        <w:tblStyle w:val="5"/>
        <w:tblW w:w="0" w:type="auto"/>
        <w:tblInd w:w="-10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83"/>
        <w:gridCol w:w="1365"/>
        <w:gridCol w:w="7639"/>
      </w:tblGrid>
      <w:tr w14:paraId="210FB1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83" w:type="dxa"/>
            <w:vAlign w:val="center"/>
          </w:tcPr>
          <w:p w14:paraId="3039856C">
            <w:pPr>
              <w:spacing w:line="400" w:lineRule="exact"/>
              <w:contextualSpacing/>
              <w:jc w:val="center"/>
              <w:rPr>
                <w:rFonts w:hint="eastAsia" w:ascii="宋体" w:hAnsi="宋体" w:eastAsia="宋体"/>
                <w:b/>
                <w:color w:val="auto"/>
                <w:szCs w:val="21"/>
                <w:highlight w:val="none"/>
              </w:rPr>
            </w:pPr>
            <w:r>
              <w:rPr>
                <w:rFonts w:hint="eastAsia" w:ascii="宋体" w:hAnsi="宋体" w:eastAsia="宋体"/>
                <w:b/>
                <w:color w:val="auto"/>
                <w:szCs w:val="21"/>
                <w:highlight w:val="none"/>
              </w:rPr>
              <w:t>序号</w:t>
            </w:r>
          </w:p>
        </w:tc>
        <w:tc>
          <w:tcPr>
            <w:tcW w:w="9004" w:type="dxa"/>
            <w:gridSpan w:val="2"/>
            <w:vAlign w:val="center"/>
          </w:tcPr>
          <w:p w14:paraId="0FCB2CA4">
            <w:pPr>
              <w:spacing w:line="400" w:lineRule="exact"/>
              <w:contextualSpacing/>
              <w:jc w:val="center"/>
              <w:rPr>
                <w:rFonts w:hint="eastAsia" w:ascii="宋体" w:hAnsi="宋体" w:eastAsia="宋体"/>
                <w:b/>
                <w:color w:val="auto"/>
                <w:szCs w:val="21"/>
                <w:highlight w:val="none"/>
              </w:rPr>
            </w:pPr>
            <w:r>
              <w:rPr>
                <w:rFonts w:hint="eastAsia" w:ascii="宋体" w:hAnsi="宋体" w:eastAsia="宋体"/>
                <w:b/>
                <w:color w:val="auto"/>
                <w:szCs w:val="21"/>
                <w:highlight w:val="none"/>
              </w:rPr>
              <w:t>商务要求</w:t>
            </w:r>
          </w:p>
        </w:tc>
      </w:tr>
      <w:tr w14:paraId="3A0CBD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83" w:type="dxa"/>
            <w:vAlign w:val="center"/>
          </w:tcPr>
          <w:p w14:paraId="69316656">
            <w:pPr>
              <w:spacing w:line="400" w:lineRule="exact"/>
              <w:contextualSpacing/>
              <w:jc w:val="center"/>
              <w:rPr>
                <w:rFonts w:hint="eastAsia" w:ascii="宋体" w:hAnsi="宋体" w:eastAsia="宋体"/>
                <w:b/>
                <w:color w:val="auto"/>
                <w:szCs w:val="21"/>
                <w:highlight w:val="none"/>
              </w:rPr>
            </w:pPr>
            <w:r>
              <w:rPr>
                <w:rFonts w:hint="eastAsia" w:ascii="宋体" w:hAnsi="宋体" w:eastAsia="宋体"/>
                <w:b/>
                <w:color w:val="auto"/>
                <w:szCs w:val="21"/>
                <w:highlight w:val="none"/>
              </w:rPr>
              <w:t>★</w:t>
            </w:r>
            <w:r>
              <w:rPr>
                <w:rFonts w:hint="eastAsia" w:ascii="宋体" w:hAnsi="宋体" w:eastAsia="宋体"/>
                <w:color w:val="auto"/>
                <w:szCs w:val="21"/>
                <w:highlight w:val="none"/>
              </w:rPr>
              <w:t>1</w:t>
            </w:r>
          </w:p>
        </w:tc>
        <w:tc>
          <w:tcPr>
            <w:tcW w:w="1365" w:type="dxa"/>
            <w:vAlign w:val="center"/>
          </w:tcPr>
          <w:p w14:paraId="7C2A33BC">
            <w:pPr>
              <w:spacing w:line="400" w:lineRule="exact"/>
              <w:contextualSpacing/>
              <w:jc w:val="center"/>
              <w:rPr>
                <w:rFonts w:hint="eastAsia" w:ascii="宋体" w:hAnsi="宋体" w:eastAsia="宋体"/>
                <w:color w:val="auto"/>
                <w:szCs w:val="21"/>
                <w:highlight w:val="none"/>
                <w:shd w:val="clear" w:color="auto" w:fill="auto"/>
              </w:rPr>
            </w:pPr>
            <w:r>
              <w:rPr>
                <w:rFonts w:hint="eastAsia" w:ascii="宋体" w:hAnsi="宋体" w:eastAsia="宋体"/>
                <w:color w:val="auto"/>
                <w:szCs w:val="21"/>
                <w:highlight w:val="none"/>
                <w:shd w:val="clear" w:color="auto" w:fill="auto"/>
              </w:rPr>
              <w:t>履约保证金</w:t>
            </w:r>
          </w:p>
        </w:tc>
        <w:tc>
          <w:tcPr>
            <w:tcW w:w="7639" w:type="dxa"/>
            <w:vAlign w:val="center"/>
          </w:tcPr>
          <w:p w14:paraId="6D0E8A00">
            <w:pPr>
              <w:pStyle w:val="66"/>
              <w:tabs>
                <w:tab w:val="clear" w:pos="0"/>
                <w:tab w:val="clear" w:pos="1260"/>
                <w:tab w:val="clear" w:pos="1365"/>
              </w:tabs>
              <w:ind w:left="0" w:leftChars="0" w:firstLine="0" w:firstLineChars="0"/>
              <w:jc w:val="left"/>
              <w:rPr>
                <w:rFonts w:hint="eastAsia" w:ascii="宋体" w:hAnsi="宋体"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rPr>
              <w:t>中标人须在合同签订后第一笔预付款拨付前向采购人提供合同总价的1%履约保证金。</w:t>
            </w:r>
          </w:p>
          <w:p w14:paraId="4D11AC3F">
            <w:pPr>
              <w:pStyle w:val="66"/>
              <w:tabs>
                <w:tab w:val="clear" w:pos="0"/>
                <w:tab w:val="clear" w:pos="1260"/>
                <w:tab w:val="clear" w:pos="1365"/>
              </w:tabs>
              <w:ind w:left="0" w:leftChars="0" w:firstLine="0" w:firstLineChars="0"/>
              <w:jc w:val="left"/>
              <w:rPr>
                <w:rFonts w:hint="eastAsia" w:ascii="宋体" w:hAnsi="宋体"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rPr>
              <w:t>其形式为银行、担保公司提供的保函、保险保单（银行、担保企业按市、县政府相关规定执行），保函形式出具的履约担保须经采购人确认。</w:t>
            </w:r>
          </w:p>
          <w:p w14:paraId="3E59DBE3">
            <w:pPr>
              <w:spacing w:line="400" w:lineRule="exact"/>
              <w:contextualSpacing/>
              <w:rPr>
                <w:rFonts w:hint="eastAsia" w:ascii="宋体" w:hAnsi="宋体" w:eastAsia="宋体"/>
                <w:color w:val="auto"/>
                <w:szCs w:val="21"/>
                <w:highlight w:val="none"/>
                <w:shd w:val="clear" w:color="auto" w:fill="auto"/>
              </w:rPr>
            </w:pPr>
            <w:r>
              <w:rPr>
                <w:rFonts w:hint="eastAsia" w:ascii="宋体" w:hAnsi="宋体" w:eastAsia="宋体"/>
                <w:color w:val="auto"/>
                <w:sz w:val="21"/>
                <w:szCs w:val="21"/>
                <w:highlight w:val="none"/>
                <w:shd w:val="clear" w:color="auto" w:fill="auto"/>
              </w:rPr>
              <w:t>待合同履约期满，供应的所有货物验收通过后退回。</w:t>
            </w:r>
          </w:p>
        </w:tc>
      </w:tr>
      <w:tr w14:paraId="272E31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83" w:type="dxa"/>
            <w:vAlign w:val="center"/>
          </w:tcPr>
          <w:p w14:paraId="44830F80">
            <w:pPr>
              <w:spacing w:line="400" w:lineRule="exact"/>
              <w:contextualSpacing/>
              <w:jc w:val="center"/>
              <w:rPr>
                <w:rFonts w:hint="eastAsia" w:ascii="宋体" w:hAnsi="宋体" w:eastAsia="宋体"/>
                <w:b/>
                <w:color w:val="auto"/>
                <w:szCs w:val="21"/>
                <w:highlight w:val="none"/>
              </w:rPr>
            </w:pPr>
            <w:r>
              <w:rPr>
                <w:rFonts w:hint="eastAsia" w:ascii="宋体" w:hAnsi="宋体" w:eastAsia="宋体"/>
                <w:b/>
                <w:color w:val="auto"/>
                <w:szCs w:val="21"/>
                <w:highlight w:val="none"/>
              </w:rPr>
              <w:t>★</w:t>
            </w:r>
            <w:r>
              <w:rPr>
                <w:rFonts w:hint="eastAsia" w:ascii="宋体" w:hAnsi="宋体" w:eastAsia="宋体"/>
                <w:color w:val="auto"/>
                <w:szCs w:val="21"/>
                <w:highlight w:val="none"/>
              </w:rPr>
              <w:t>2</w:t>
            </w:r>
          </w:p>
        </w:tc>
        <w:tc>
          <w:tcPr>
            <w:tcW w:w="1365" w:type="dxa"/>
            <w:vAlign w:val="center"/>
          </w:tcPr>
          <w:p w14:paraId="21ADF7C7">
            <w:pPr>
              <w:spacing w:line="400" w:lineRule="exact"/>
              <w:contextualSpacing/>
              <w:jc w:val="center"/>
              <w:rPr>
                <w:rFonts w:hint="eastAsia" w:ascii="宋体" w:hAnsi="宋体" w:eastAsia="宋体"/>
                <w:color w:val="auto"/>
                <w:szCs w:val="21"/>
                <w:highlight w:val="none"/>
              </w:rPr>
            </w:pPr>
            <w:r>
              <w:rPr>
                <w:rFonts w:hint="eastAsia" w:ascii="宋体" w:hAnsi="宋体" w:eastAsia="宋体"/>
                <w:color w:val="auto"/>
                <w:szCs w:val="21"/>
                <w:highlight w:val="none"/>
              </w:rPr>
              <w:t>付款方式</w:t>
            </w:r>
          </w:p>
        </w:tc>
        <w:tc>
          <w:tcPr>
            <w:tcW w:w="7639" w:type="dxa"/>
            <w:vAlign w:val="center"/>
          </w:tcPr>
          <w:p w14:paraId="7360FBCB">
            <w:pPr>
              <w:pStyle w:val="66"/>
              <w:tabs>
                <w:tab w:val="clear" w:pos="0"/>
                <w:tab w:val="clear" w:pos="1260"/>
                <w:tab w:val="clear" w:pos="1365"/>
              </w:tabs>
              <w:ind w:left="0" w:leftChars="0" w:firstLine="0" w:firstLineChars="0"/>
              <w:jc w:val="left"/>
              <w:rPr>
                <w:rFonts w:hint="eastAsia" w:ascii="宋体" w:hAnsi="宋体"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rPr>
              <w:t>付款方式：</w:t>
            </w:r>
          </w:p>
          <w:p w14:paraId="05A4A12E">
            <w:pPr>
              <w:pStyle w:val="66"/>
              <w:tabs>
                <w:tab w:val="clear" w:pos="0"/>
                <w:tab w:val="clear" w:pos="1260"/>
                <w:tab w:val="clear" w:pos="1365"/>
              </w:tabs>
              <w:ind w:left="0" w:leftChars="0" w:firstLine="0" w:firstLineChars="0"/>
              <w:jc w:val="left"/>
              <w:rPr>
                <w:rFonts w:hint="eastAsia" w:ascii="宋体" w:hAnsi="宋体" w:eastAsia="宋体"/>
                <w:color w:val="auto"/>
                <w:sz w:val="21"/>
                <w:szCs w:val="21"/>
                <w:highlight w:val="none"/>
                <w:shd w:val="clear" w:color="auto" w:fill="auto"/>
                <w:lang w:eastAsia="zh-CN"/>
              </w:rPr>
            </w:pPr>
            <w:r>
              <w:rPr>
                <w:rFonts w:hint="eastAsia" w:ascii="宋体" w:hAnsi="宋体" w:eastAsia="宋体"/>
                <w:color w:val="auto"/>
                <w:sz w:val="21"/>
                <w:szCs w:val="21"/>
                <w:highlight w:val="none"/>
                <w:shd w:val="clear" w:color="auto" w:fill="auto"/>
                <w:lang w:eastAsia="zh-CN"/>
              </w:rPr>
              <w:t>分批次供货，接到采购人订单</w:t>
            </w:r>
            <w:r>
              <w:rPr>
                <w:rFonts w:hint="eastAsia" w:ascii="宋体" w:hAnsi="宋体" w:eastAsia="宋体"/>
                <w:color w:val="auto"/>
                <w:sz w:val="21"/>
                <w:szCs w:val="21"/>
                <w:highlight w:val="none"/>
                <w:shd w:val="clear" w:color="auto" w:fill="auto"/>
                <w:lang w:val="en-US" w:eastAsia="zh-CN"/>
              </w:rPr>
              <w:t>7个工作日</w:t>
            </w:r>
            <w:r>
              <w:rPr>
                <w:rFonts w:hint="eastAsia" w:ascii="宋体" w:hAnsi="宋体" w:eastAsia="宋体"/>
                <w:color w:val="auto"/>
                <w:sz w:val="21"/>
                <w:szCs w:val="21"/>
                <w:highlight w:val="none"/>
                <w:shd w:val="clear" w:color="auto" w:fill="auto"/>
                <w:lang w:eastAsia="zh-CN"/>
              </w:rPr>
              <w:t>内支付该批次货款的40%作为预付款，同时中标供应商向采购人提交同等金额的预付款保函；每批货到验收合格后，根据质量抽查检验合格结果，双方在每月25日之前对帐，次月10日前支付上月经验收合格批次的全额费用</w:t>
            </w:r>
            <w:r>
              <w:rPr>
                <w:rFonts w:hint="eastAsia" w:ascii="宋体" w:hAnsi="宋体" w:eastAsia="宋体"/>
                <w:color w:val="auto"/>
                <w:sz w:val="21"/>
                <w:szCs w:val="21"/>
                <w:highlight w:val="none"/>
                <w:shd w:val="clear" w:color="auto" w:fill="auto"/>
                <w:lang w:val="en-US" w:eastAsia="zh-CN"/>
              </w:rPr>
              <w:t>并退还</w:t>
            </w:r>
            <w:r>
              <w:rPr>
                <w:rFonts w:hint="eastAsia" w:ascii="宋体" w:hAnsi="宋体" w:eastAsia="宋体"/>
                <w:color w:val="auto"/>
                <w:sz w:val="21"/>
                <w:szCs w:val="21"/>
                <w:highlight w:val="none"/>
                <w:shd w:val="clear" w:color="auto" w:fill="auto"/>
                <w:lang w:eastAsia="zh-CN"/>
              </w:rPr>
              <w:t>上月</w:t>
            </w:r>
            <w:r>
              <w:rPr>
                <w:rFonts w:hint="eastAsia" w:ascii="宋体" w:hAnsi="宋体" w:eastAsia="宋体"/>
                <w:color w:val="auto"/>
                <w:sz w:val="21"/>
                <w:szCs w:val="21"/>
                <w:highlight w:val="none"/>
                <w:shd w:val="clear" w:color="auto" w:fill="auto"/>
                <w:lang w:val="en-US" w:eastAsia="zh-CN"/>
              </w:rPr>
              <w:t>预付款保函</w:t>
            </w:r>
            <w:r>
              <w:rPr>
                <w:rFonts w:hint="eastAsia" w:ascii="宋体" w:hAnsi="宋体" w:eastAsia="宋体"/>
                <w:color w:val="auto"/>
                <w:sz w:val="21"/>
                <w:szCs w:val="21"/>
                <w:highlight w:val="none"/>
                <w:shd w:val="clear" w:color="auto" w:fill="auto"/>
                <w:lang w:eastAsia="zh-CN"/>
              </w:rPr>
              <w:t>。</w:t>
            </w:r>
          </w:p>
          <w:p w14:paraId="42E0BF34">
            <w:pPr>
              <w:pStyle w:val="66"/>
              <w:tabs>
                <w:tab w:val="clear" w:pos="0"/>
                <w:tab w:val="clear" w:pos="1260"/>
                <w:tab w:val="clear" w:pos="1365"/>
              </w:tabs>
              <w:ind w:left="0" w:leftChars="0" w:firstLine="0" w:firstLineChars="0"/>
              <w:jc w:val="left"/>
              <w:rPr>
                <w:rFonts w:hint="eastAsia" w:ascii="宋体" w:hAnsi="宋体" w:eastAsia="宋体"/>
                <w:color w:val="auto"/>
                <w:szCs w:val="21"/>
                <w:highlight w:val="none"/>
                <w:shd w:val="clear" w:color="FFFFFF" w:fill="D9D9D9"/>
                <w:lang w:eastAsia="zh-CN"/>
              </w:rPr>
            </w:pPr>
            <w:r>
              <w:rPr>
                <w:rFonts w:hint="eastAsia" w:ascii="宋体" w:hAnsi="宋体"/>
                <w:color w:val="auto"/>
                <w:sz w:val="21"/>
                <w:szCs w:val="21"/>
                <w:highlight w:val="none"/>
                <w:shd w:val="clear" w:color="auto" w:fill="auto"/>
                <w:lang w:eastAsia="zh-CN"/>
              </w:rPr>
              <w:t>每次付款前，中标供应商需提供全额增值税专用发票【提供增值税税率不低于13%，如中标供应商提供发票的增值税税率低于13%的，差额部分在当期应付款项中扣回】</w:t>
            </w:r>
            <w:r>
              <w:rPr>
                <w:rFonts w:hint="eastAsia" w:ascii="宋体" w:hAnsi="宋体" w:eastAsia="宋体"/>
                <w:color w:val="auto"/>
                <w:sz w:val="21"/>
                <w:szCs w:val="21"/>
                <w:highlight w:val="none"/>
                <w:shd w:val="clear" w:color="auto" w:fill="auto"/>
              </w:rPr>
              <w:t>。</w:t>
            </w:r>
          </w:p>
        </w:tc>
      </w:tr>
      <w:tr w14:paraId="59C9D0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83" w:type="dxa"/>
            <w:vAlign w:val="center"/>
          </w:tcPr>
          <w:p w14:paraId="28EDECF7">
            <w:pPr>
              <w:spacing w:line="400" w:lineRule="exact"/>
              <w:contextualSpacing/>
              <w:jc w:val="center"/>
              <w:rPr>
                <w:rFonts w:hint="eastAsia" w:ascii="宋体" w:hAnsi="宋体" w:eastAsia="宋体"/>
                <w:color w:val="auto"/>
                <w:szCs w:val="21"/>
                <w:highlight w:val="none"/>
              </w:rPr>
            </w:pPr>
            <w:r>
              <w:rPr>
                <w:rFonts w:hint="eastAsia" w:ascii="宋体" w:hAnsi="宋体" w:eastAsia="宋体"/>
                <w:color w:val="auto"/>
                <w:szCs w:val="21"/>
                <w:highlight w:val="none"/>
              </w:rPr>
              <w:t>3</w:t>
            </w:r>
          </w:p>
        </w:tc>
        <w:tc>
          <w:tcPr>
            <w:tcW w:w="1365" w:type="dxa"/>
            <w:vAlign w:val="center"/>
          </w:tcPr>
          <w:p w14:paraId="2BB03F42">
            <w:pPr>
              <w:spacing w:line="400" w:lineRule="exact"/>
              <w:contextualSpacing/>
              <w:jc w:val="center"/>
              <w:rPr>
                <w:rFonts w:hint="eastAsia" w:ascii="宋体" w:hAnsi="宋体" w:eastAsia="宋体"/>
                <w:color w:val="auto"/>
                <w:szCs w:val="21"/>
                <w:highlight w:val="none"/>
              </w:rPr>
            </w:pPr>
            <w:r>
              <w:rPr>
                <w:rFonts w:hint="eastAsia" w:ascii="宋体" w:hAnsi="宋体" w:eastAsia="宋体"/>
                <w:color w:val="auto"/>
                <w:szCs w:val="21"/>
                <w:highlight w:val="none"/>
              </w:rPr>
              <w:t>交货地点、交货方式、</w:t>
            </w:r>
            <w:r>
              <w:rPr>
                <w:rFonts w:hint="eastAsia" w:ascii="宋体" w:hAnsi="宋体" w:eastAsia="宋体"/>
                <w:color w:val="auto"/>
                <w:szCs w:val="27"/>
                <w:highlight w:val="none"/>
              </w:rPr>
              <w:t>合同履约期限（即</w:t>
            </w:r>
            <w:r>
              <w:rPr>
                <w:rFonts w:hint="eastAsia" w:ascii="宋体" w:hAnsi="宋体" w:eastAsia="宋体"/>
                <w:color w:val="auto"/>
                <w:szCs w:val="21"/>
                <w:highlight w:val="none"/>
              </w:rPr>
              <w:t>交货期限</w:t>
            </w:r>
            <w:r>
              <w:rPr>
                <w:rFonts w:hint="eastAsia" w:ascii="宋体" w:hAnsi="宋体" w:eastAsia="宋体"/>
                <w:color w:val="auto"/>
                <w:szCs w:val="27"/>
                <w:highlight w:val="none"/>
              </w:rPr>
              <w:t>）</w:t>
            </w:r>
          </w:p>
        </w:tc>
        <w:tc>
          <w:tcPr>
            <w:tcW w:w="7639" w:type="dxa"/>
            <w:vAlign w:val="center"/>
          </w:tcPr>
          <w:p w14:paraId="7E99CFF2">
            <w:pPr>
              <w:numPr>
                <w:ilvl w:val="0"/>
                <w:numId w:val="34"/>
              </w:numPr>
              <w:spacing w:line="400" w:lineRule="exact"/>
              <w:contextualSpacing/>
              <w:rPr>
                <w:rFonts w:hint="eastAsia" w:ascii="宋体" w:hAnsi="宋体"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rPr>
              <w:t>交货地点：</w:t>
            </w:r>
            <w:r>
              <w:rPr>
                <w:rFonts w:hint="eastAsia" w:ascii="宋体" w:hAnsi="宋体" w:eastAsia="宋体"/>
                <w:color w:val="auto"/>
                <w:sz w:val="21"/>
                <w:szCs w:val="21"/>
                <w:highlight w:val="none"/>
                <w:shd w:val="clear" w:color="auto" w:fill="auto"/>
                <w:lang w:eastAsia="zh-CN"/>
              </w:rPr>
              <w:t>中标人送达到县域范围内买方指定地点</w:t>
            </w:r>
            <w:r>
              <w:rPr>
                <w:rFonts w:hint="eastAsia" w:ascii="宋体" w:hAnsi="宋体" w:eastAsia="宋体"/>
                <w:color w:val="auto"/>
                <w:sz w:val="21"/>
                <w:szCs w:val="21"/>
                <w:highlight w:val="none"/>
                <w:shd w:val="clear" w:color="auto" w:fill="auto"/>
              </w:rPr>
              <w:t>。</w:t>
            </w:r>
          </w:p>
          <w:p w14:paraId="0C43FE58">
            <w:pPr>
              <w:pStyle w:val="66"/>
              <w:tabs>
                <w:tab w:val="clear" w:pos="0"/>
                <w:tab w:val="clear" w:pos="1260"/>
                <w:tab w:val="clear" w:pos="1365"/>
              </w:tabs>
              <w:ind w:left="0" w:leftChars="0" w:firstLine="0" w:firstLineChars="0"/>
              <w:jc w:val="left"/>
              <w:rPr>
                <w:rFonts w:hint="eastAsia" w:ascii="宋体" w:hAnsi="宋体"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rPr>
              <w:t>2、交货方式：</w:t>
            </w:r>
            <w:r>
              <w:rPr>
                <w:rFonts w:hint="eastAsia" w:ascii="宋体" w:hAnsi="宋体" w:eastAsia="宋体"/>
                <w:bCs/>
                <w:color w:val="auto"/>
                <w:sz w:val="21"/>
                <w:szCs w:val="21"/>
                <w:highlight w:val="none"/>
                <w:shd w:val="clear" w:color="auto" w:fill="auto"/>
              </w:rPr>
              <w:t>按</w:t>
            </w:r>
            <w:r>
              <w:rPr>
                <w:rFonts w:hint="eastAsia" w:ascii="宋体" w:hAnsi="宋体" w:eastAsia="宋体"/>
                <w:bCs/>
                <w:color w:val="auto"/>
                <w:sz w:val="21"/>
                <w:szCs w:val="21"/>
                <w:highlight w:val="none"/>
                <w:shd w:val="clear" w:color="auto" w:fill="auto"/>
                <w:lang w:val="en-US" w:eastAsia="zh-CN"/>
              </w:rPr>
              <w:t>采购人</w:t>
            </w:r>
            <w:r>
              <w:rPr>
                <w:rFonts w:hint="eastAsia" w:ascii="宋体" w:hAnsi="宋体" w:eastAsia="宋体"/>
                <w:bCs/>
                <w:color w:val="auto"/>
                <w:sz w:val="21"/>
                <w:szCs w:val="21"/>
                <w:highlight w:val="none"/>
                <w:shd w:val="clear" w:color="auto" w:fill="auto"/>
              </w:rPr>
              <w:t>要求分批供货。</w:t>
            </w:r>
          </w:p>
          <w:p w14:paraId="1AFF1ED4">
            <w:pPr>
              <w:spacing w:line="400" w:lineRule="exact"/>
              <w:contextualSpacing/>
              <w:rPr>
                <w:rFonts w:hint="eastAsia" w:ascii="宋体" w:hAnsi="宋体"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rPr>
              <w:t>3、合同履约期限：详见招标文件第一章 公开招标采购公告</w:t>
            </w:r>
            <w:r>
              <w:rPr>
                <w:rFonts w:hint="eastAsia" w:ascii="宋体" w:hAnsi="宋体" w:eastAsia="宋体"/>
                <w:color w:val="auto"/>
                <w:sz w:val="21"/>
                <w:szCs w:val="21"/>
                <w:highlight w:val="none"/>
                <w:shd w:val="clear" w:color="auto" w:fill="auto"/>
                <w:lang w:eastAsia="zh-CN"/>
              </w:rPr>
              <w:t>。</w:t>
            </w:r>
          </w:p>
          <w:p w14:paraId="698A83FB">
            <w:pPr>
              <w:spacing w:line="400" w:lineRule="exact"/>
              <w:contextualSpacing/>
              <w:rPr>
                <w:rFonts w:hint="eastAsia" w:ascii="宋体" w:hAnsi="宋体" w:eastAsia="宋体"/>
                <w:color w:val="auto"/>
                <w:sz w:val="21"/>
                <w:szCs w:val="21"/>
                <w:highlight w:val="none"/>
                <w:shd w:val="clear" w:color="auto" w:fill="auto"/>
                <w:lang w:val="en-US" w:eastAsia="zh-CN"/>
              </w:rPr>
            </w:pPr>
            <w:r>
              <w:rPr>
                <w:rFonts w:hint="eastAsia" w:ascii="宋体" w:hAnsi="宋体" w:eastAsia="宋体"/>
                <w:color w:val="auto"/>
                <w:sz w:val="21"/>
                <w:szCs w:val="21"/>
                <w:highlight w:val="none"/>
                <w:shd w:val="clear" w:color="auto" w:fill="auto"/>
                <w:lang w:val="en-US" w:eastAsia="zh-CN"/>
              </w:rPr>
              <w:t>4、交货期限：中标供应商合同签订后根据采购人要求分批供货且收到采购人通知后5天内到货。</w:t>
            </w:r>
          </w:p>
          <w:p w14:paraId="0F8C55CC">
            <w:pPr>
              <w:spacing w:line="400" w:lineRule="exact"/>
              <w:contextualSpacing/>
              <w:rPr>
                <w:rFonts w:hint="default" w:ascii="宋体" w:hAnsi="宋体" w:eastAsia="宋体"/>
                <w:color w:val="auto"/>
                <w:highlight w:val="none"/>
                <w:shd w:val="clear" w:color="FFFFFF" w:fill="D9D9D9"/>
                <w:lang w:val="en-US" w:eastAsia="zh-CN"/>
              </w:rPr>
            </w:pPr>
            <w:r>
              <w:rPr>
                <w:rFonts w:hint="eastAsia" w:ascii="宋体" w:hAnsi="宋体" w:eastAsia="宋体" w:cs="宋体"/>
                <w:bCs/>
                <w:color w:val="auto"/>
                <w:kern w:val="2"/>
                <w:sz w:val="21"/>
                <w:szCs w:val="21"/>
                <w:highlight w:val="none"/>
                <w:lang w:val="en-US" w:eastAsia="zh-CN" w:bidi="ar-SA"/>
              </w:rPr>
              <w:t>5、运输车辆入厂时间须在每日8:00-16：00之间，避免因夜间交货从而造成危险事故。</w:t>
            </w:r>
          </w:p>
        </w:tc>
      </w:tr>
      <w:tr w14:paraId="7C80FE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83" w:type="dxa"/>
            <w:vAlign w:val="center"/>
          </w:tcPr>
          <w:p w14:paraId="06C34B67">
            <w:pPr>
              <w:spacing w:line="400" w:lineRule="exact"/>
              <w:contextualSpacing/>
              <w:jc w:val="center"/>
              <w:rPr>
                <w:rFonts w:hint="eastAsia" w:ascii="宋体" w:hAnsi="宋体" w:eastAsia="宋体"/>
                <w:color w:val="auto"/>
                <w:szCs w:val="21"/>
                <w:highlight w:val="none"/>
              </w:rPr>
            </w:pPr>
            <w:r>
              <w:rPr>
                <w:rFonts w:hint="eastAsia" w:ascii="宋体" w:hAnsi="宋体" w:eastAsia="宋体"/>
                <w:color w:val="auto"/>
                <w:szCs w:val="21"/>
                <w:highlight w:val="none"/>
              </w:rPr>
              <w:t>4</w:t>
            </w:r>
          </w:p>
        </w:tc>
        <w:tc>
          <w:tcPr>
            <w:tcW w:w="1365" w:type="dxa"/>
            <w:vAlign w:val="center"/>
          </w:tcPr>
          <w:p w14:paraId="5F3544C0">
            <w:pPr>
              <w:spacing w:line="400" w:lineRule="exact"/>
              <w:contextualSpacing/>
              <w:jc w:val="center"/>
              <w:rPr>
                <w:rFonts w:hint="eastAsia" w:ascii="宋体" w:hAnsi="宋体" w:eastAsia="宋体"/>
                <w:color w:val="auto"/>
                <w:szCs w:val="21"/>
                <w:highlight w:val="none"/>
              </w:rPr>
            </w:pPr>
            <w:r>
              <w:rPr>
                <w:rFonts w:hint="eastAsia" w:ascii="宋体" w:hAnsi="宋体" w:eastAsia="宋体"/>
                <w:color w:val="auto"/>
                <w:szCs w:val="21"/>
                <w:highlight w:val="none"/>
              </w:rPr>
              <w:t>验收</w:t>
            </w:r>
          </w:p>
        </w:tc>
        <w:tc>
          <w:tcPr>
            <w:tcW w:w="7639" w:type="dxa"/>
            <w:vAlign w:val="center"/>
          </w:tcPr>
          <w:p w14:paraId="0911089E">
            <w:pPr>
              <w:spacing w:line="400" w:lineRule="exact"/>
              <w:rPr>
                <w:rFonts w:hint="eastAsia" w:ascii="宋体" w:hAnsi="宋体" w:eastAsia="宋体"/>
                <w:bCs/>
                <w:color w:val="auto"/>
                <w:szCs w:val="21"/>
                <w:highlight w:val="none"/>
              </w:rPr>
            </w:pPr>
            <w:r>
              <w:rPr>
                <w:rFonts w:hint="eastAsia" w:ascii="宋体" w:hAnsi="宋体" w:eastAsia="宋体"/>
                <w:bCs/>
                <w:color w:val="auto"/>
                <w:szCs w:val="21"/>
                <w:highlight w:val="none"/>
              </w:rPr>
              <w:t>采购人根据采购文件和供应商提供的投标文件、</w:t>
            </w:r>
            <w:r>
              <w:rPr>
                <w:rFonts w:hint="eastAsia" w:ascii="宋体" w:hAnsi="宋体" w:eastAsia="宋体"/>
                <w:bCs/>
                <w:color w:val="auto"/>
                <w:szCs w:val="21"/>
                <w:highlight w:val="none"/>
                <w:lang w:eastAsia="zh-CN"/>
              </w:rPr>
              <w:t>中标供应商</w:t>
            </w:r>
            <w:r>
              <w:rPr>
                <w:rFonts w:hint="eastAsia" w:ascii="宋体" w:hAnsi="宋体" w:eastAsia="宋体"/>
                <w:bCs/>
                <w:color w:val="auto"/>
                <w:szCs w:val="21"/>
                <w:highlight w:val="none"/>
              </w:rPr>
              <w:t>和采购人签订的政府采购合同要求，对性能指标进行验收。</w:t>
            </w:r>
          </w:p>
        </w:tc>
      </w:tr>
      <w:tr w14:paraId="5C3CDA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683" w:type="dxa"/>
            <w:vAlign w:val="center"/>
          </w:tcPr>
          <w:p w14:paraId="2D56625A">
            <w:pPr>
              <w:spacing w:line="400" w:lineRule="exact"/>
              <w:contextualSpacing/>
              <w:jc w:val="center"/>
              <w:rPr>
                <w:rFonts w:hint="eastAsia" w:ascii="宋体" w:hAnsi="宋体" w:eastAsia="宋体"/>
                <w:b/>
                <w:color w:val="auto"/>
                <w:szCs w:val="21"/>
                <w:highlight w:val="none"/>
              </w:rPr>
            </w:pPr>
            <w:r>
              <w:rPr>
                <w:rFonts w:hint="eastAsia" w:ascii="宋体" w:hAnsi="宋体" w:eastAsia="宋体"/>
                <w:b/>
                <w:color w:val="auto"/>
                <w:szCs w:val="21"/>
                <w:highlight w:val="none"/>
              </w:rPr>
              <w:t>★</w:t>
            </w:r>
            <w:r>
              <w:rPr>
                <w:rFonts w:hint="eastAsia" w:ascii="宋体" w:hAnsi="宋体" w:eastAsia="宋体"/>
                <w:color w:val="auto"/>
                <w:szCs w:val="21"/>
                <w:highlight w:val="none"/>
              </w:rPr>
              <w:t>5</w:t>
            </w:r>
          </w:p>
        </w:tc>
        <w:tc>
          <w:tcPr>
            <w:tcW w:w="1365" w:type="dxa"/>
            <w:vAlign w:val="center"/>
          </w:tcPr>
          <w:p w14:paraId="717CCA04">
            <w:pPr>
              <w:spacing w:line="400" w:lineRule="exact"/>
              <w:contextualSpacing/>
              <w:jc w:val="center"/>
              <w:rPr>
                <w:rFonts w:hint="eastAsia" w:ascii="宋体" w:hAnsi="宋体" w:eastAsia="宋体"/>
                <w:color w:val="auto"/>
                <w:szCs w:val="21"/>
                <w:highlight w:val="none"/>
              </w:rPr>
            </w:pPr>
            <w:r>
              <w:rPr>
                <w:rFonts w:hint="eastAsia" w:ascii="宋体" w:hAnsi="宋体" w:eastAsia="宋体"/>
                <w:color w:val="auto"/>
                <w:szCs w:val="21"/>
                <w:highlight w:val="none"/>
              </w:rPr>
              <w:t>质保期</w:t>
            </w:r>
          </w:p>
        </w:tc>
        <w:tc>
          <w:tcPr>
            <w:tcW w:w="7639" w:type="dxa"/>
            <w:vAlign w:val="center"/>
          </w:tcPr>
          <w:p w14:paraId="5B1948C5">
            <w:pPr>
              <w:spacing w:line="400" w:lineRule="exact"/>
              <w:contextualSpacing/>
              <w:rPr>
                <w:rFonts w:hint="eastAsia" w:ascii="宋体" w:hAnsi="宋体" w:eastAsia="宋体"/>
                <w:bCs/>
                <w:color w:val="auto"/>
                <w:szCs w:val="36"/>
                <w:highlight w:val="none"/>
                <w:shd w:val="clear" w:color="auto" w:fill="auto"/>
                <w:lang w:val="en-US" w:eastAsia="zh-CN"/>
              </w:rPr>
            </w:pPr>
            <w:r>
              <w:rPr>
                <w:rFonts w:hint="eastAsia" w:ascii="宋体" w:hAnsi="宋体" w:eastAsia="宋体"/>
                <w:bCs/>
                <w:color w:val="auto"/>
                <w:szCs w:val="36"/>
                <w:highlight w:val="none"/>
                <w:shd w:val="clear" w:color="auto" w:fill="auto"/>
                <w:lang w:val="en-US" w:eastAsia="zh-CN"/>
              </w:rPr>
              <w:t>1、</w:t>
            </w:r>
            <w:r>
              <w:rPr>
                <w:rFonts w:hint="eastAsia" w:ascii="宋体" w:hAnsi="宋体" w:eastAsia="宋体"/>
                <w:bCs/>
                <w:color w:val="auto"/>
                <w:szCs w:val="36"/>
                <w:highlight w:val="none"/>
                <w:shd w:val="clear" w:color="auto" w:fill="auto"/>
              </w:rPr>
              <w:t>质量保证期（或质保期限）</w:t>
            </w:r>
            <w:r>
              <w:rPr>
                <w:rFonts w:hint="eastAsia" w:ascii="宋体" w:hAnsi="宋体" w:eastAsia="宋体"/>
                <w:bCs/>
                <w:color w:val="auto"/>
                <w:szCs w:val="36"/>
                <w:highlight w:val="none"/>
                <w:shd w:val="clear" w:color="auto" w:fill="auto"/>
                <w:lang w:eastAsia="zh-CN"/>
              </w:rPr>
              <w:t>：</w:t>
            </w:r>
            <w:r>
              <w:rPr>
                <w:rFonts w:hint="eastAsia" w:ascii="宋体" w:hAnsi="宋体" w:eastAsia="宋体"/>
                <w:bCs/>
                <w:color w:val="auto"/>
                <w:szCs w:val="36"/>
                <w:highlight w:val="none"/>
                <w:shd w:val="clear" w:color="auto" w:fill="auto"/>
              </w:rPr>
              <w:t>验收合格后12个月。保修期间更换、人工、差旅等一切费用由中标</w:t>
            </w:r>
            <w:r>
              <w:rPr>
                <w:rFonts w:hint="eastAsia" w:ascii="宋体" w:hAnsi="宋体" w:eastAsia="宋体"/>
                <w:bCs/>
                <w:color w:val="auto"/>
                <w:szCs w:val="36"/>
                <w:highlight w:val="none"/>
                <w:shd w:val="clear" w:color="auto" w:fill="auto"/>
                <w:lang w:val="en-US" w:eastAsia="zh-CN"/>
              </w:rPr>
              <w:t>供应商</w:t>
            </w:r>
            <w:r>
              <w:rPr>
                <w:rFonts w:hint="eastAsia" w:ascii="宋体" w:hAnsi="宋体" w:eastAsia="宋体"/>
                <w:bCs/>
                <w:color w:val="auto"/>
                <w:szCs w:val="36"/>
                <w:highlight w:val="none"/>
                <w:shd w:val="clear" w:color="auto" w:fill="auto"/>
              </w:rPr>
              <w:t>负担；</w:t>
            </w:r>
          </w:p>
          <w:p w14:paraId="66411568">
            <w:pPr>
              <w:spacing w:line="400" w:lineRule="exact"/>
              <w:contextualSpacing/>
              <w:rPr>
                <w:rFonts w:hint="eastAsia" w:ascii="宋体" w:hAnsi="宋体" w:eastAsia="宋体"/>
                <w:bCs/>
                <w:color w:val="auto"/>
                <w:szCs w:val="36"/>
                <w:highlight w:val="none"/>
                <w:shd w:val="clear" w:color="auto" w:fill="auto"/>
              </w:rPr>
            </w:pPr>
            <w:r>
              <w:rPr>
                <w:rFonts w:hint="eastAsia" w:ascii="宋体" w:hAnsi="宋体" w:eastAsia="宋体"/>
                <w:bCs/>
                <w:color w:val="auto"/>
                <w:szCs w:val="36"/>
                <w:highlight w:val="none"/>
                <w:shd w:val="clear" w:color="auto" w:fill="auto"/>
              </w:rPr>
              <w:t>2、质保期内被免费更换的货物质量保证：自更换之日起计不少于12个月。</w:t>
            </w:r>
          </w:p>
        </w:tc>
      </w:tr>
      <w:tr w14:paraId="02FB40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 w:hRule="atLeast"/>
        </w:trPr>
        <w:tc>
          <w:tcPr>
            <w:tcW w:w="683" w:type="dxa"/>
            <w:vAlign w:val="center"/>
          </w:tcPr>
          <w:p w14:paraId="157EE257">
            <w:pPr>
              <w:spacing w:line="400" w:lineRule="exact"/>
              <w:contextualSpacing/>
              <w:jc w:val="center"/>
              <w:rPr>
                <w:rFonts w:hint="eastAsia" w:ascii="宋体" w:hAnsi="宋体" w:eastAsia="宋体"/>
                <w:color w:val="auto"/>
                <w:szCs w:val="21"/>
                <w:highlight w:val="none"/>
              </w:rPr>
            </w:pPr>
            <w:r>
              <w:rPr>
                <w:rFonts w:hint="eastAsia" w:ascii="宋体" w:hAnsi="宋体" w:eastAsia="宋体"/>
                <w:color w:val="auto"/>
                <w:szCs w:val="21"/>
                <w:highlight w:val="none"/>
              </w:rPr>
              <w:t>6</w:t>
            </w:r>
          </w:p>
        </w:tc>
        <w:tc>
          <w:tcPr>
            <w:tcW w:w="1365" w:type="dxa"/>
            <w:vAlign w:val="center"/>
          </w:tcPr>
          <w:p w14:paraId="72175B29">
            <w:pPr>
              <w:spacing w:line="440" w:lineRule="exact"/>
              <w:jc w:val="center"/>
              <w:rPr>
                <w:rFonts w:hint="eastAsia" w:ascii="宋体" w:hAnsi="宋体" w:eastAsia="宋体"/>
                <w:bCs/>
                <w:color w:val="auto"/>
                <w:szCs w:val="21"/>
                <w:highlight w:val="none"/>
              </w:rPr>
            </w:pPr>
            <w:r>
              <w:rPr>
                <w:rFonts w:hint="eastAsia" w:ascii="宋体" w:hAnsi="宋体" w:eastAsia="宋体"/>
                <w:bCs/>
                <w:color w:val="auto"/>
                <w:szCs w:val="21"/>
                <w:highlight w:val="none"/>
              </w:rPr>
              <w:t>售后服务要求</w:t>
            </w:r>
          </w:p>
        </w:tc>
        <w:tc>
          <w:tcPr>
            <w:tcW w:w="7639" w:type="dxa"/>
            <w:vAlign w:val="center"/>
          </w:tcPr>
          <w:p w14:paraId="7AE89D73">
            <w:pPr>
              <w:spacing w:line="360" w:lineRule="exact"/>
              <w:rPr>
                <w:rFonts w:hint="eastAsia" w:ascii="宋体" w:hAnsi="宋体" w:eastAsia="宋体"/>
                <w:color w:val="auto"/>
                <w:szCs w:val="21"/>
                <w:highlight w:val="none"/>
              </w:rPr>
            </w:pPr>
            <w:r>
              <w:rPr>
                <w:rFonts w:hint="eastAsia" w:ascii="宋体" w:hAnsi="宋体" w:eastAsia="宋体"/>
                <w:color w:val="auto"/>
                <w:szCs w:val="21"/>
                <w:highlight w:val="none"/>
              </w:rPr>
              <w:t>1、售后服务：中标</w:t>
            </w:r>
            <w:r>
              <w:rPr>
                <w:rFonts w:hint="eastAsia" w:ascii="宋体" w:hAnsi="宋体" w:eastAsia="宋体"/>
                <w:color w:val="auto"/>
                <w:szCs w:val="21"/>
                <w:highlight w:val="none"/>
                <w:lang w:val="en-US" w:eastAsia="zh-CN"/>
              </w:rPr>
              <w:t>供应商</w:t>
            </w:r>
            <w:r>
              <w:rPr>
                <w:rFonts w:hint="eastAsia" w:ascii="宋体" w:hAnsi="宋体" w:eastAsia="宋体"/>
                <w:color w:val="auto"/>
                <w:szCs w:val="21"/>
                <w:highlight w:val="none"/>
              </w:rPr>
              <w:t>应配有指定的售后服务人员，保证提供及时优质的售后服务。</w:t>
            </w:r>
          </w:p>
          <w:p w14:paraId="6382065A">
            <w:pPr>
              <w:spacing w:line="400" w:lineRule="exact"/>
              <w:rPr>
                <w:rFonts w:hint="eastAsia" w:ascii="宋体" w:hAnsi="宋体" w:eastAsia="宋体"/>
                <w:color w:val="auto"/>
                <w:szCs w:val="21"/>
                <w:highlight w:val="none"/>
              </w:rPr>
            </w:pPr>
            <w:r>
              <w:rPr>
                <w:rFonts w:hint="eastAsia" w:ascii="宋体" w:hAnsi="宋体" w:eastAsia="宋体"/>
                <w:color w:val="auto"/>
                <w:szCs w:val="21"/>
                <w:highlight w:val="none"/>
              </w:rPr>
              <w:t>2、售后服务的响应速度要求：在质量保证期内，不能使用，中标</w:t>
            </w:r>
            <w:r>
              <w:rPr>
                <w:rFonts w:hint="eastAsia" w:ascii="宋体" w:hAnsi="宋体" w:eastAsia="宋体"/>
                <w:color w:val="auto"/>
                <w:szCs w:val="21"/>
                <w:highlight w:val="none"/>
                <w:lang w:val="en-US" w:eastAsia="zh-CN"/>
              </w:rPr>
              <w:t>供应商</w:t>
            </w:r>
            <w:r>
              <w:rPr>
                <w:rFonts w:hint="eastAsia" w:ascii="宋体" w:hAnsi="宋体" w:eastAsia="宋体"/>
                <w:color w:val="auto"/>
                <w:szCs w:val="21"/>
                <w:highlight w:val="none"/>
              </w:rPr>
              <w:t>应在接到通知后24小时内派人到现场解决问题</w:t>
            </w:r>
            <w:r>
              <w:rPr>
                <w:rFonts w:hint="eastAsia" w:ascii="宋体" w:hAnsi="宋体" w:eastAsia="宋体"/>
                <w:b w:val="0"/>
                <w:bCs w:val="0"/>
                <w:color w:val="auto"/>
                <w:szCs w:val="21"/>
                <w:highlight w:val="none"/>
              </w:rPr>
              <w:t>；具体要求详见招标文件技术需求</w:t>
            </w:r>
            <w:r>
              <w:rPr>
                <w:rFonts w:hint="eastAsia" w:ascii="宋体" w:hAnsi="宋体" w:eastAsia="宋体"/>
                <w:b w:val="0"/>
                <w:bCs w:val="0"/>
                <w:color w:val="auto"/>
                <w:szCs w:val="21"/>
                <w:highlight w:val="none"/>
                <w:lang w:eastAsia="zh-CN"/>
              </w:rPr>
              <w:t>。</w:t>
            </w:r>
          </w:p>
        </w:tc>
      </w:tr>
      <w:tr w14:paraId="0B1AA7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83" w:type="dxa"/>
            <w:vAlign w:val="center"/>
          </w:tcPr>
          <w:p w14:paraId="667B8C17">
            <w:pPr>
              <w:spacing w:line="400" w:lineRule="exact"/>
              <w:contextualSpacing/>
              <w:jc w:val="center"/>
              <w:rPr>
                <w:rFonts w:hint="eastAsia" w:ascii="宋体" w:hAnsi="宋体" w:eastAsia="宋体"/>
                <w:b/>
                <w:color w:val="auto"/>
                <w:szCs w:val="21"/>
                <w:highlight w:val="none"/>
              </w:rPr>
            </w:pPr>
            <w:r>
              <w:rPr>
                <w:rFonts w:hint="eastAsia" w:ascii="宋体" w:hAnsi="宋体" w:eastAsia="宋体"/>
                <w:b/>
                <w:color w:val="auto"/>
                <w:szCs w:val="21"/>
                <w:highlight w:val="none"/>
              </w:rPr>
              <w:t>★</w:t>
            </w:r>
            <w:r>
              <w:rPr>
                <w:rFonts w:hint="eastAsia" w:ascii="宋体" w:hAnsi="宋体" w:eastAsia="宋体"/>
                <w:color w:val="auto"/>
                <w:szCs w:val="21"/>
                <w:highlight w:val="none"/>
              </w:rPr>
              <w:t>7</w:t>
            </w:r>
          </w:p>
        </w:tc>
        <w:tc>
          <w:tcPr>
            <w:tcW w:w="1365" w:type="dxa"/>
            <w:vAlign w:val="center"/>
          </w:tcPr>
          <w:p w14:paraId="0D9A5A68">
            <w:pPr>
              <w:spacing w:line="360" w:lineRule="exact"/>
              <w:jc w:val="center"/>
              <w:rPr>
                <w:rFonts w:hint="eastAsia" w:ascii="宋体" w:hAnsi="宋体" w:eastAsia="宋体"/>
                <w:color w:val="auto"/>
                <w:szCs w:val="21"/>
                <w:highlight w:val="none"/>
              </w:rPr>
            </w:pPr>
            <w:r>
              <w:rPr>
                <w:rFonts w:hint="eastAsia" w:ascii="宋体" w:hAnsi="宋体" w:eastAsia="宋体"/>
                <w:color w:val="auto"/>
                <w:highlight w:val="none"/>
                <w:lang w:val="en-US" w:eastAsia="zh-CN"/>
              </w:rPr>
              <w:t>抽样送检</w:t>
            </w:r>
          </w:p>
        </w:tc>
        <w:tc>
          <w:tcPr>
            <w:tcW w:w="7639" w:type="dxa"/>
            <w:vAlign w:val="center"/>
          </w:tcPr>
          <w:p w14:paraId="5FFE1C3F">
            <w:pPr>
              <w:spacing w:line="360" w:lineRule="exact"/>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采购人有权不定期将供应商所供产品送有关部门检测，检测结果具有同等效力。前三次抽检所产生的检测费、送样费、运费等一切费用均由供应商负责，第四次开始，测试结果合格的由采购人支付检测费用，结果不合格由供应商支付检测费用并重新供货组织第二次测试，测试费用由供应商支付。</w:t>
            </w:r>
          </w:p>
          <w:p w14:paraId="60FC6B64">
            <w:pPr>
              <w:spacing w:line="360" w:lineRule="exact"/>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抽检样品由采购人取样、封存，并由采购人送至第三方机构进行检测。</w:t>
            </w:r>
          </w:p>
          <w:p w14:paraId="7DDBF07A">
            <w:pPr>
              <w:spacing w:line="360" w:lineRule="exact"/>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检测内容包括但不仅限于</w:t>
            </w:r>
            <w:r>
              <w:rPr>
                <w:rFonts w:hint="eastAsia" w:ascii="宋体" w:hAnsi="宋体"/>
                <w:color w:val="auto"/>
                <w:highlight w:val="none"/>
                <w:lang w:val="en-US" w:eastAsia="zh-CN"/>
              </w:rPr>
              <w:t>次</w:t>
            </w:r>
            <w:r>
              <w:rPr>
                <w:rFonts w:hint="eastAsia" w:ascii="宋体" w:hAnsi="宋体" w:eastAsia="宋体"/>
                <w:color w:val="auto"/>
                <w:kern w:val="0"/>
                <w:szCs w:val="21"/>
                <w:highlight w:val="none"/>
                <w:lang w:val="en-US" w:eastAsia="zh-CN"/>
              </w:rPr>
              <w:t>氯酸钠</w:t>
            </w:r>
            <w:r>
              <w:rPr>
                <w:rFonts w:hint="eastAsia" w:hAnsi="宋体"/>
                <w:color w:val="auto"/>
                <w:kern w:val="0"/>
                <w:szCs w:val="21"/>
                <w:highlight w:val="none"/>
                <w:lang w:val="en-US" w:eastAsia="zh-CN"/>
              </w:rPr>
              <w:t>：</w:t>
            </w:r>
            <w:r>
              <w:rPr>
                <w:rFonts w:hint="eastAsia" w:ascii="宋体" w:hAnsi="宋体" w:eastAsia="宋体"/>
                <w:color w:val="auto"/>
                <w:kern w:val="0"/>
                <w:szCs w:val="21"/>
                <w:highlight w:val="none"/>
                <w:lang w:val="en-US" w:eastAsia="zh-CN"/>
              </w:rPr>
              <w:t>有效氯（以C1计）、游离碱（以NaOH计）、铁（Fe）重金属、（以Pb计）、砷（As）等</w:t>
            </w:r>
            <w:r>
              <w:rPr>
                <w:rFonts w:hint="eastAsia" w:hAnsi="宋体"/>
                <w:color w:val="auto"/>
                <w:kern w:val="0"/>
                <w:szCs w:val="21"/>
                <w:highlight w:val="none"/>
                <w:lang w:val="en-US" w:eastAsia="zh-CN"/>
              </w:rPr>
              <w:t>；氢氧化钠：总碱量（以NaOH计）ω/％、碳酸钠（以Na2CO3计）含量ω/％、砷（As）含量（mg/kg）、重金属（以Pb计）（mg/kg）、汞(Hg)含量（mg/kg）</w:t>
            </w:r>
            <w:r>
              <w:rPr>
                <w:rFonts w:hint="eastAsia" w:ascii="宋体" w:hAnsi="宋体" w:eastAsia="宋体"/>
                <w:color w:val="auto"/>
                <w:highlight w:val="none"/>
                <w:lang w:val="en-US" w:eastAsia="zh-CN"/>
              </w:rPr>
              <w:t>，由招标人随机抽取确定送检内容。</w:t>
            </w:r>
          </w:p>
          <w:p w14:paraId="5A2B085B">
            <w:pPr>
              <w:spacing w:line="360" w:lineRule="exact"/>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供应商需协助采购人验收、抽样检测等工作（包括但不限于支付检测费用、运输费用、管材切割费用等关于抽样检测的一切费用）</w:t>
            </w:r>
          </w:p>
          <w:p w14:paraId="0D5CCE4C">
            <w:pPr>
              <w:spacing w:line="360" w:lineRule="exact"/>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无论抽检的产品是否合格，在检测过程中对产品产生损坏的损失由供应商承担，供应商应在10个工作日内重新发送同规格的合格产品到采购人指定地点。</w:t>
            </w:r>
          </w:p>
          <w:p w14:paraId="2A63EFEF">
            <w:pPr>
              <w:spacing w:line="360" w:lineRule="exact"/>
              <w:rPr>
                <w:rFonts w:hint="eastAsia" w:ascii="宋体" w:hAnsi="宋体" w:eastAsia="宋体"/>
                <w:bCs/>
                <w:color w:val="auto"/>
                <w:szCs w:val="21"/>
                <w:highlight w:val="none"/>
                <w:shd w:val="clear" w:color="FFFFFF" w:fill="D9D9D9"/>
                <w:lang w:val="en-US" w:eastAsia="zh-CN"/>
              </w:rPr>
            </w:pPr>
            <w:r>
              <w:rPr>
                <w:rFonts w:hint="eastAsia" w:ascii="宋体" w:hAnsi="宋体" w:eastAsia="宋体"/>
                <w:color w:val="auto"/>
                <w:highlight w:val="none"/>
                <w:lang w:val="en-US" w:eastAsia="zh-CN"/>
              </w:rPr>
              <w:t>出现抽检结果不合格时，采购人有权将该不合格产品涉及的同批次产品做退货处理，产生的一切费用由供应商承担。</w:t>
            </w:r>
          </w:p>
        </w:tc>
      </w:tr>
      <w:tr w14:paraId="671852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83" w:type="dxa"/>
            <w:vAlign w:val="center"/>
          </w:tcPr>
          <w:p w14:paraId="7891F31D">
            <w:pPr>
              <w:spacing w:line="400" w:lineRule="exact"/>
              <w:contextualSpacing/>
              <w:jc w:val="center"/>
              <w:rPr>
                <w:rFonts w:hint="eastAsia" w:ascii="宋体" w:hAnsi="宋体" w:eastAsia="宋体"/>
                <w:color w:val="auto"/>
                <w:szCs w:val="21"/>
                <w:highlight w:val="none"/>
              </w:rPr>
            </w:pPr>
            <w:r>
              <w:rPr>
                <w:rFonts w:hint="eastAsia" w:ascii="宋体" w:hAnsi="宋体" w:eastAsia="宋体"/>
                <w:color w:val="auto"/>
                <w:szCs w:val="21"/>
                <w:highlight w:val="none"/>
              </w:rPr>
              <w:t>8</w:t>
            </w:r>
          </w:p>
        </w:tc>
        <w:tc>
          <w:tcPr>
            <w:tcW w:w="1365" w:type="dxa"/>
            <w:vAlign w:val="center"/>
          </w:tcPr>
          <w:p w14:paraId="7AC1D5EC">
            <w:pPr>
              <w:spacing w:line="360" w:lineRule="exact"/>
              <w:rPr>
                <w:rFonts w:hint="eastAsia" w:ascii="宋体" w:hAnsi="宋体" w:eastAsia="宋体"/>
                <w:bCs/>
                <w:color w:val="auto"/>
                <w:szCs w:val="21"/>
                <w:highlight w:val="none"/>
                <w:shd w:val="clear" w:color="auto" w:fill="auto"/>
                <w:lang w:val="en-US" w:eastAsia="zh-CN"/>
              </w:rPr>
            </w:pPr>
            <w:r>
              <w:rPr>
                <w:rFonts w:hint="eastAsia" w:ascii="宋体" w:hAnsi="宋体" w:eastAsia="宋体"/>
                <w:bCs/>
                <w:color w:val="auto"/>
                <w:szCs w:val="21"/>
                <w:highlight w:val="none"/>
                <w:shd w:val="clear" w:color="auto" w:fill="auto"/>
                <w:lang w:val="en-US" w:eastAsia="zh-CN"/>
              </w:rPr>
              <w:t>违约责任</w:t>
            </w:r>
          </w:p>
        </w:tc>
        <w:tc>
          <w:tcPr>
            <w:tcW w:w="7639" w:type="dxa"/>
            <w:vAlign w:val="center"/>
          </w:tcPr>
          <w:p w14:paraId="54CCDEDA">
            <w:pPr>
              <w:spacing w:line="360" w:lineRule="exact"/>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kern w:val="2"/>
                <w:sz w:val="21"/>
                <w:szCs w:val="21"/>
                <w:highlight w:val="none"/>
                <w:lang w:val="en-US" w:eastAsia="zh-CN" w:bidi="ar-SA"/>
              </w:rPr>
              <w:t>1、采购人无正当理由拒收货物的，采购人向中标供应商偿付拒收货款总值的百分之五违约金。</w:t>
            </w:r>
          </w:p>
          <w:p w14:paraId="77E5385B">
            <w:pPr>
              <w:spacing w:line="360" w:lineRule="exact"/>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kern w:val="2"/>
                <w:sz w:val="21"/>
                <w:szCs w:val="21"/>
                <w:highlight w:val="none"/>
                <w:lang w:val="en-US" w:eastAsia="zh-CN" w:bidi="ar-SA"/>
              </w:rPr>
              <w:t>2、采购人无故逾期验收和办理货款支付手续,采购人应按逾期付款总额每日万分之二向中标供应商支付违约金。</w:t>
            </w:r>
          </w:p>
          <w:p w14:paraId="22D74106">
            <w:pPr>
              <w:spacing w:line="360" w:lineRule="exact"/>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kern w:val="2"/>
                <w:sz w:val="21"/>
                <w:szCs w:val="21"/>
                <w:highlight w:val="none"/>
                <w:lang w:val="en-US" w:eastAsia="zh-CN" w:bidi="ar-SA"/>
              </w:rPr>
              <w:t>3、除不可抗力因素外，如中标人发生不能按期交货或提供服务等情况，中标人应向采购人支付违约金,每延期1天的违约金</w:t>
            </w:r>
            <w:r>
              <w:rPr>
                <w:rFonts w:hint="eastAsia" w:ascii="宋体" w:hAnsi="宋体"/>
                <w:color w:val="auto"/>
                <w:kern w:val="2"/>
                <w:sz w:val="21"/>
                <w:szCs w:val="21"/>
                <w:highlight w:val="none"/>
                <w:lang w:val="en-US" w:eastAsia="zh-CN" w:bidi="ar-SA"/>
              </w:rPr>
              <w:t>为2000元</w:t>
            </w:r>
            <w:r>
              <w:rPr>
                <w:rFonts w:hint="eastAsia" w:ascii="宋体" w:hAnsi="宋体" w:eastAsia="宋体"/>
                <w:color w:val="auto"/>
                <w:kern w:val="2"/>
                <w:sz w:val="21"/>
                <w:szCs w:val="21"/>
                <w:highlight w:val="none"/>
                <w:lang w:val="en-US" w:eastAsia="zh-CN" w:bidi="ar-SA"/>
              </w:rPr>
              <w:t>，违约金上限</w:t>
            </w:r>
            <w:r>
              <w:rPr>
                <w:rFonts w:hint="eastAsia" w:ascii="宋体" w:hAnsi="宋体"/>
                <w:color w:val="auto"/>
                <w:kern w:val="2"/>
                <w:sz w:val="21"/>
                <w:szCs w:val="21"/>
                <w:highlight w:val="none"/>
                <w:lang w:val="en-US" w:eastAsia="zh-CN" w:bidi="ar-SA"/>
              </w:rPr>
              <w:t>为8000元</w:t>
            </w:r>
            <w:r>
              <w:rPr>
                <w:rFonts w:hint="eastAsia" w:ascii="宋体" w:hAnsi="宋体" w:eastAsia="宋体"/>
                <w:color w:val="auto"/>
                <w:kern w:val="2"/>
                <w:sz w:val="21"/>
                <w:szCs w:val="21"/>
                <w:highlight w:val="none"/>
                <w:lang w:val="en-US" w:eastAsia="zh-CN" w:bidi="ar-SA"/>
              </w:rPr>
              <w:t>，累计延迟供货3次及以上的或单次延迟供货4天以上的，采购人有权单方解除合同，并要求退还已支付的货款，同时中标人应向采购人支付合同总价5%的违约金，如造成采购人损失超过违约金的，超出部分由中标人继续承担赔偿责任。</w:t>
            </w:r>
          </w:p>
          <w:p w14:paraId="0A7E27D7">
            <w:pPr>
              <w:spacing w:line="360" w:lineRule="exact"/>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kern w:val="2"/>
                <w:sz w:val="21"/>
                <w:szCs w:val="21"/>
                <w:highlight w:val="none"/>
                <w:lang w:val="en-US" w:eastAsia="zh-CN" w:bidi="ar-SA"/>
              </w:rPr>
              <w:t>4、由于抽检结果不合格或其他产品质量问题导致采购人的损失均由中标人负责。第一次检测不合格中标人还应支付该批次货物总价10%的违约金（违约金不足5000元的按5000元计算，高于2万元的按2万元计算）；第二次检测不合格中标人还应支该批次货物总价20%的违约金（违约金不足1万元的按1万元计算，高于4万元的按4万元计算）；质量问题造成后果严重的或检测不合格累计达到3次的采购人有权单方解除合同，同时中标人应向采购人支付合同总价5%的违约金并赔偿采购人一切损失。</w:t>
            </w:r>
          </w:p>
          <w:p w14:paraId="13D38FD8">
            <w:pPr>
              <w:spacing w:line="360" w:lineRule="exact"/>
              <w:rPr>
                <w:rFonts w:hint="eastAsia" w:ascii="宋体" w:hAnsi="宋体" w:eastAsia="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5</w:t>
            </w:r>
            <w:r>
              <w:rPr>
                <w:rFonts w:hint="eastAsia" w:ascii="宋体" w:hAnsi="宋体" w:eastAsia="宋体"/>
                <w:color w:val="auto"/>
                <w:kern w:val="2"/>
                <w:sz w:val="21"/>
                <w:szCs w:val="21"/>
                <w:highlight w:val="none"/>
                <w:lang w:val="en-US" w:eastAsia="zh-CN" w:bidi="ar-SA"/>
              </w:rPr>
              <w:t>、中标供应商方擅自更换合同中备案的次氯酸钠（液体）运输车辆的，采购人有权拒收该货物，中标供应商愿意更换货物但逾期交货的，按中标供应商逾期交货处理。中标供应商拒绝更换货物的，采购人可单方面解除合同</w:t>
            </w:r>
            <w:r>
              <w:rPr>
                <w:rFonts w:hint="eastAsia" w:ascii="宋体" w:hAnsi="宋体"/>
                <w:color w:val="auto"/>
                <w:kern w:val="2"/>
                <w:sz w:val="21"/>
                <w:szCs w:val="21"/>
                <w:highlight w:val="none"/>
                <w:lang w:val="en-US" w:eastAsia="zh-CN" w:bidi="ar-SA"/>
              </w:rPr>
              <w:t>，</w:t>
            </w:r>
            <w:r>
              <w:rPr>
                <w:rFonts w:hint="eastAsia" w:ascii="宋体" w:hAnsi="宋体" w:eastAsia="宋体"/>
                <w:color w:val="auto"/>
                <w:kern w:val="2"/>
                <w:sz w:val="21"/>
                <w:szCs w:val="21"/>
                <w:highlight w:val="none"/>
                <w:lang w:val="en-US" w:eastAsia="zh-CN" w:bidi="ar-SA"/>
              </w:rPr>
              <w:t>同时中标人应向采购人支付合同总价5%的违约金并赔偿采购人一切损失。</w:t>
            </w:r>
          </w:p>
          <w:p w14:paraId="7E5A985D">
            <w:pPr>
              <w:spacing w:line="360" w:lineRule="exact"/>
              <w:rPr>
                <w:rFonts w:hint="eastAsia" w:ascii="宋体" w:hAnsi="宋体" w:eastAsia="宋体"/>
                <w:color w:val="auto"/>
                <w:kern w:val="2"/>
                <w:sz w:val="21"/>
                <w:szCs w:val="21"/>
                <w:highlight w:val="none"/>
                <w:lang w:val="en-US" w:eastAsia="zh-CN" w:bidi="ar-SA"/>
              </w:rPr>
            </w:pPr>
            <w:r>
              <w:rPr>
                <w:rFonts w:hint="eastAsia" w:hAnsi="宋体"/>
                <w:color w:val="auto"/>
                <w:kern w:val="2"/>
                <w:sz w:val="21"/>
                <w:szCs w:val="21"/>
                <w:highlight w:val="none"/>
                <w:lang w:val="en-US" w:eastAsia="zh-CN" w:bidi="ar-SA"/>
              </w:rPr>
              <w:t>6</w:t>
            </w:r>
            <w:r>
              <w:rPr>
                <w:rFonts w:hint="eastAsia" w:ascii="宋体" w:hAnsi="宋体" w:eastAsia="宋体"/>
                <w:color w:val="auto"/>
                <w:kern w:val="2"/>
                <w:sz w:val="21"/>
                <w:szCs w:val="21"/>
                <w:highlight w:val="none"/>
                <w:lang w:val="en-US" w:eastAsia="zh-CN" w:bidi="ar-SA"/>
              </w:rPr>
              <w:t>、采购人对每批供货质量进行抽样检查（质量检验依据以中标供应商提供的小试样品指标为准），若质量检验结果有异，以书面或传真通知中标供应商，中标供应商在收到采购人通知后的48小时内进行复检，否则视为中标供应商认同需方检验结果，检验结果认同后，若采购人检测原液有效氯（以Cl计）质量分数低于10%，按低于标准含量的百分点数扣除当批次货物数量相应的百分点：例如当批次有效氯（以Cl计）的质量分数为9.9%，则支付当批次货物数量的99%。</w:t>
            </w:r>
          </w:p>
          <w:p w14:paraId="3FDDF9F6">
            <w:pPr>
              <w:spacing w:line="360" w:lineRule="exact"/>
              <w:rPr>
                <w:rFonts w:hint="eastAsia" w:ascii="宋体" w:hAnsi="宋体" w:eastAsia="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7、</w:t>
            </w:r>
            <w:r>
              <w:rPr>
                <w:rFonts w:hint="eastAsia" w:ascii="宋体" w:hAnsi="宋体" w:eastAsia="宋体"/>
                <w:color w:val="auto"/>
                <w:kern w:val="2"/>
                <w:sz w:val="21"/>
                <w:szCs w:val="21"/>
                <w:highlight w:val="none"/>
                <w:lang w:val="en-US" w:eastAsia="zh-CN" w:bidi="ar-SA"/>
              </w:rPr>
              <w:t>采购人对每批供货质量进行抽样检查，实际供货中的抽检数值(</w:t>
            </w:r>
            <w:r>
              <w:rPr>
                <w:rFonts w:hint="eastAsia" w:ascii="宋体" w:hAnsi="宋体"/>
                <w:color w:val="auto"/>
                <w:kern w:val="2"/>
                <w:sz w:val="21"/>
                <w:szCs w:val="21"/>
                <w:highlight w:val="none"/>
                <w:lang w:val="en-US" w:eastAsia="zh-CN" w:bidi="ar-SA"/>
              </w:rPr>
              <w:t>次</w:t>
            </w:r>
            <w:r>
              <w:rPr>
                <w:rFonts w:hint="eastAsia" w:ascii="宋体" w:hAnsi="宋体" w:eastAsia="宋体"/>
                <w:color w:val="auto"/>
                <w:kern w:val="2"/>
                <w:sz w:val="21"/>
                <w:szCs w:val="21"/>
                <w:highlight w:val="none"/>
                <w:lang w:val="en-US" w:eastAsia="zh-CN" w:bidi="ar-SA"/>
              </w:rPr>
              <w:t>氯酸钠：游离碱（以NaOH计）、铁（Fe）重金属、（以Pb计）、砷（As）等；氢氧化钠：总碱量（以NaOH计）ω/％、碳酸钠（以Na2CO3计）含量ω/％、砷（As）含量（mg/kg）、重金属（以Pb计）（mg/kg）、汞(Hg)含量（mg/kg））与投标所提供的检测报告数值超出10%内但仍在国家标准范围内的则扣除10%的本批货款。</w:t>
            </w:r>
          </w:p>
          <w:p w14:paraId="7BCA74F9">
            <w:pPr>
              <w:spacing w:line="360" w:lineRule="exact"/>
              <w:rPr>
                <w:rFonts w:hint="eastAsia" w:ascii="宋体" w:hAnsi="宋体" w:eastAsia="宋体"/>
                <w:color w:val="auto"/>
                <w:kern w:val="2"/>
                <w:sz w:val="21"/>
                <w:szCs w:val="21"/>
                <w:highlight w:val="none"/>
                <w:lang w:val="en-US" w:eastAsia="zh-CN" w:bidi="ar-SA"/>
              </w:rPr>
            </w:pPr>
            <w:r>
              <w:rPr>
                <w:rFonts w:hint="eastAsia" w:hAnsi="宋体"/>
                <w:color w:val="auto"/>
                <w:kern w:val="2"/>
                <w:sz w:val="21"/>
                <w:szCs w:val="21"/>
                <w:highlight w:val="none"/>
                <w:lang w:val="en-US" w:eastAsia="zh-CN" w:bidi="ar-SA"/>
              </w:rPr>
              <w:t>8</w:t>
            </w:r>
            <w:r>
              <w:rPr>
                <w:rFonts w:hint="eastAsia" w:ascii="宋体" w:hAnsi="宋体" w:eastAsia="宋体"/>
                <w:color w:val="auto"/>
                <w:kern w:val="2"/>
                <w:sz w:val="21"/>
                <w:szCs w:val="21"/>
                <w:highlight w:val="none"/>
                <w:lang w:val="en-US" w:eastAsia="zh-CN" w:bidi="ar-SA"/>
              </w:rPr>
              <w:t>、以上违约金与赔偿款，采购人有权从中标供应商剩余货款中直接扣除，不足部分予以追偿。</w:t>
            </w:r>
          </w:p>
          <w:p w14:paraId="0C8CA393">
            <w:pPr>
              <w:spacing w:line="360" w:lineRule="exact"/>
              <w:rPr>
                <w:rFonts w:hint="eastAsia" w:ascii="宋体" w:hAnsi="宋体" w:eastAsia="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9</w:t>
            </w:r>
            <w:r>
              <w:rPr>
                <w:rFonts w:hint="eastAsia" w:ascii="宋体" w:hAnsi="宋体" w:eastAsia="宋体"/>
                <w:color w:val="auto"/>
                <w:kern w:val="2"/>
                <w:sz w:val="21"/>
                <w:szCs w:val="21"/>
                <w:highlight w:val="none"/>
                <w:lang w:val="en-US" w:eastAsia="zh-CN" w:bidi="ar-SA"/>
              </w:rPr>
              <w:t>、若国家对次氯酸钠（液体）及氢氧化钠（液体）实行新的标准（以国家下发执行文件明确实施时间起），中标供应商需无条件按新标准执行，合同单价不发生任何变化。若中标供应商无法执行新标准或不接受原中标价格，采购人自动将与中标供应商解约。</w:t>
            </w:r>
          </w:p>
        </w:tc>
      </w:tr>
      <w:tr w14:paraId="7610A9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83" w:type="dxa"/>
            <w:vAlign w:val="center"/>
          </w:tcPr>
          <w:p w14:paraId="14691976">
            <w:pPr>
              <w:spacing w:line="400" w:lineRule="exact"/>
              <w:contextualSpacing/>
              <w:jc w:val="center"/>
              <w:rPr>
                <w:rFonts w:hint="eastAsia" w:ascii="宋体" w:hAnsi="宋体" w:eastAsia="宋体"/>
                <w:b/>
                <w:color w:val="auto"/>
                <w:szCs w:val="21"/>
                <w:highlight w:val="none"/>
                <w:lang w:eastAsia="zh-CN"/>
              </w:rPr>
            </w:pPr>
            <w:r>
              <w:rPr>
                <w:rFonts w:hint="eastAsia" w:ascii="宋体" w:hAnsi="宋体" w:eastAsia="宋体"/>
                <w:b/>
                <w:color w:val="auto"/>
                <w:szCs w:val="21"/>
                <w:highlight w:val="none"/>
              </w:rPr>
              <w:t>★</w:t>
            </w:r>
            <w:r>
              <w:rPr>
                <w:rFonts w:hint="eastAsia" w:ascii="宋体" w:hAnsi="宋体"/>
                <w:color w:val="auto"/>
                <w:szCs w:val="21"/>
                <w:highlight w:val="none"/>
                <w:lang w:val="en-US" w:eastAsia="zh-CN"/>
              </w:rPr>
              <w:t>9</w:t>
            </w:r>
          </w:p>
        </w:tc>
        <w:tc>
          <w:tcPr>
            <w:tcW w:w="1365" w:type="dxa"/>
            <w:vAlign w:val="center"/>
          </w:tcPr>
          <w:p w14:paraId="11E1D5DD">
            <w:pPr>
              <w:spacing w:line="400" w:lineRule="exact"/>
              <w:contextualSpacing/>
              <w:jc w:val="center"/>
              <w:rPr>
                <w:rFonts w:hint="eastAsia" w:ascii="宋体" w:hAnsi="宋体" w:eastAsia="宋体"/>
                <w:color w:val="auto"/>
                <w:szCs w:val="21"/>
                <w:highlight w:val="none"/>
              </w:rPr>
            </w:pPr>
            <w:r>
              <w:rPr>
                <w:rFonts w:hint="eastAsia" w:ascii="宋体" w:hAnsi="宋体" w:eastAsia="宋体"/>
                <w:color w:val="auto"/>
                <w:szCs w:val="21"/>
                <w:highlight w:val="none"/>
              </w:rPr>
              <w:t>投标报价</w:t>
            </w:r>
          </w:p>
        </w:tc>
        <w:tc>
          <w:tcPr>
            <w:tcW w:w="7639" w:type="dxa"/>
            <w:vAlign w:val="center"/>
          </w:tcPr>
          <w:p w14:paraId="7ADFB4A8">
            <w:pPr>
              <w:spacing w:line="400" w:lineRule="exact"/>
              <w:contextualSpacing/>
              <w:rPr>
                <w:rFonts w:hint="eastAsia" w:ascii="宋体" w:hAnsi="宋体" w:eastAsia="宋体"/>
                <w:color w:val="auto"/>
                <w:highlight w:val="none"/>
                <w:shd w:val="clear" w:color="auto" w:fill="auto"/>
              </w:rPr>
            </w:pPr>
            <w:r>
              <w:rPr>
                <w:rFonts w:hint="eastAsia" w:ascii="宋体" w:hAnsi="宋体" w:eastAsia="宋体"/>
                <w:color w:val="auto"/>
                <w:highlight w:val="none"/>
                <w:shd w:val="clear" w:color="auto" w:fill="auto"/>
              </w:rPr>
              <w:t>1、投标报价：本项目投标报价为货到单位价，应以人民币报价且报单价。投标单价应包括药剂费、包装、运杂费、装卸、保险、税金</w:t>
            </w:r>
            <w:r>
              <w:rPr>
                <w:rFonts w:hint="eastAsia" w:ascii="宋体" w:hAnsi="宋体" w:eastAsia="宋体"/>
                <w:color w:val="auto"/>
                <w:highlight w:val="none"/>
                <w:shd w:val="clear" w:color="auto" w:fill="auto"/>
                <w:lang w:eastAsia="zh-CN"/>
              </w:rPr>
              <w:t>、售后服务、伴随服务费、</w:t>
            </w:r>
            <w:r>
              <w:rPr>
                <w:rFonts w:hint="eastAsia" w:ascii="宋体" w:hAnsi="宋体" w:eastAsia="宋体"/>
                <w:color w:val="auto"/>
                <w:highlight w:val="none"/>
                <w:shd w:val="clear" w:color="auto" w:fill="auto"/>
              </w:rPr>
              <w:t>等完成本项目所需的一切费用。投标</w:t>
            </w:r>
            <w:r>
              <w:rPr>
                <w:rFonts w:hint="eastAsia" w:ascii="宋体" w:hAnsi="宋体" w:eastAsia="宋体"/>
                <w:color w:val="auto"/>
                <w:highlight w:val="none"/>
                <w:shd w:val="clear" w:color="auto" w:fill="auto"/>
                <w:lang w:val="en-US" w:eastAsia="zh-CN"/>
              </w:rPr>
              <w:t>供应商</w:t>
            </w:r>
            <w:r>
              <w:rPr>
                <w:rFonts w:hint="eastAsia" w:ascii="宋体" w:hAnsi="宋体" w:eastAsia="宋体"/>
                <w:color w:val="auto"/>
                <w:highlight w:val="none"/>
                <w:shd w:val="clear" w:color="auto" w:fill="auto"/>
              </w:rPr>
              <w:t>应充分考虑其间的风险；并且投标</w:t>
            </w:r>
            <w:r>
              <w:rPr>
                <w:rFonts w:hint="eastAsia" w:ascii="宋体" w:hAnsi="宋体" w:eastAsia="宋体"/>
                <w:color w:val="auto"/>
                <w:highlight w:val="none"/>
                <w:shd w:val="clear" w:color="auto" w:fill="auto"/>
                <w:lang w:val="en-US" w:eastAsia="zh-CN"/>
              </w:rPr>
              <w:t>供应商</w:t>
            </w:r>
            <w:r>
              <w:rPr>
                <w:rFonts w:hint="eastAsia" w:ascii="宋体" w:hAnsi="宋体" w:eastAsia="宋体"/>
                <w:color w:val="auto"/>
                <w:highlight w:val="none"/>
                <w:shd w:val="clear" w:color="auto" w:fill="auto"/>
              </w:rPr>
              <w:t>应充分考虑在合同期内的</w:t>
            </w:r>
            <w:r>
              <w:rPr>
                <w:rFonts w:hint="eastAsia" w:ascii="宋体" w:hAnsi="宋体" w:eastAsia="宋体"/>
                <w:color w:val="auto"/>
                <w:highlight w:val="none"/>
                <w:shd w:val="clear" w:color="auto" w:fill="auto"/>
                <w:lang w:val="en-US" w:eastAsia="zh-CN"/>
              </w:rPr>
              <w:t>生产成本</w:t>
            </w:r>
            <w:r>
              <w:rPr>
                <w:rFonts w:hint="eastAsia" w:ascii="宋体" w:hAnsi="宋体" w:eastAsia="宋体"/>
                <w:color w:val="auto"/>
                <w:highlight w:val="none"/>
                <w:shd w:val="clear" w:color="auto" w:fill="auto"/>
              </w:rPr>
              <w:t>浮动风险。</w:t>
            </w:r>
          </w:p>
          <w:p w14:paraId="6EE0907B">
            <w:pPr>
              <w:spacing w:line="400" w:lineRule="exact"/>
              <w:contextualSpacing/>
              <w:rPr>
                <w:rFonts w:hint="eastAsia" w:ascii="宋体" w:hAnsi="宋体" w:eastAsia="宋体"/>
                <w:b/>
                <w:bCs/>
                <w:color w:val="auto"/>
                <w:highlight w:val="none"/>
                <w:shd w:val="clear" w:color="auto" w:fill="auto"/>
                <w:lang w:val="en-US" w:eastAsia="zh-CN"/>
              </w:rPr>
            </w:pPr>
            <w:r>
              <w:rPr>
                <w:rFonts w:hint="eastAsia" w:ascii="宋体" w:hAnsi="宋体" w:eastAsia="宋体"/>
                <w:b/>
                <w:bCs/>
                <w:color w:val="auto"/>
                <w:highlight w:val="none"/>
                <w:shd w:val="clear" w:color="auto" w:fill="auto"/>
                <w:lang w:val="en-US" w:eastAsia="zh-CN"/>
              </w:rPr>
              <w:t>2、</w:t>
            </w:r>
            <w:r>
              <w:rPr>
                <w:rFonts w:hint="eastAsia" w:ascii="宋体" w:hAnsi="宋体" w:eastAsia="宋体"/>
                <w:b/>
                <w:bCs/>
                <w:color w:val="auto"/>
                <w:highlight w:val="none"/>
                <w:shd w:val="clear" w:color="auto" w:fill="auto"/>
              </w:rPr>
              <w:t>本项目最高限价：</w:t>
            </w:r>
            <w:r>
              <w:rPr>
                <w:rFonts w:hint="eastAsia" w:ascii="宋体" w:hAnsi="宋体" w:eastAsia="宋体"/>
                <w:b/>
                <w:bCs/>
                <w:color w:val="auto"/>
                <w:highlight w:val="none"/>
                <w:shd w:val="clear" w:color="auto" w:fill="auto"/>
                <w:lang w:val="en-US" w:eastAsia="zh-CN"/>
              </w:rPr>
              <w:t>人民币 2166600 元（其中：</w:t>
            </w:r>
            <w:r>
              <w:rPr>
                <w:rFonts w:hint="eastAsia" w:ascii="宋体" w:hAnsi="宋体" w:eastAsia="宋体"/>
                <w:b/>
                <w:bCs/>
                <w:color w:val="auto"/>
                <w:highlight w:val="none"/>
                <w:shd w:val="clear" w:color="auto" w:fill="auto"/>
              </w:rPr>
              <w:t>次氯酸钠</w:t>
            </w:r>
            <w:r>
              <w:rPr>
                <w:rFonts w:hint="eastAsia" w:ascii="宋体" w:hAnsi="宋体" w:eastAsia="宋体"/>
                <w:b/>
                <w:bCs/>
                <w:color w:val="auto"/>
                <w:highlight w:val="none"/>
                <w:shd w:val="clear" w:color="auto" w:fill="auto"/>
                <w:lang w:val="en-US" w:eastAsia="zh-CN"/>
              </w:rPr>
              <w:t>相关限价详见“采购清单”，</w:t>
            </w:r>
            <w:r>
              <w:rPr>
                <w:rFonts w:hint="eastAsia" w:ascii="宋体" w:hAnsi="宋体" w:eastAsia="宋体"/>
                <w:b/>
                <w:bCs/>
                <w:color w:val="auto"/>
                <w:highlight w:val="none"/>
                <w:shd w:val="clear" w:color="auto" w:fill="auto"/>
              </w:rPr>
              <w:t>氢氧化钠</w:t>
            </w:r>
            <w:r>
              <w:rPr>
                <w:rFonts w:hint="eastAsia" w:ascii="宋体" w:hAnsi="宋体" w:eastAsia="宋体"/>
                <w:b/>
                <w:bCs/>
                <w:color w:val="auto"/>
                <w:highlight w:val="none"/>
                <w:shd w:val="clear" w:color="auto" w:fill="auto"/>
                <w:lang w:val="en-US" w:eastAsia="zh-CN"/>
              </w:rPr>
              <w:t>相关限价详见“采购清单”）</w:t>
            </w:r>
            <w:r>
              <w:rPr>
                <w:rFonts w:hint="eastAsia" w:ascii="宋体" w:hAnsi="宋体" w:eastAsia="宋体"/>
                <w:b/>
                <w:bCs/>
                <w:color w:val="auto"/>
                <w:highlight w:val="none"/>
                <w:shd w:val="clear" w:color="auto" w:fill="auto"/>
              </w:rPr>
              <w:t>。投标报价超过最高限价的作无效标处理。</w:t>
            </w:r>
          </w:p>
          <w:p w14:paraId="71C62F90">
            <w:pPr>
              <w:spacing w:line="400" w:lineRule="exact"/>
              <w:contextualSpacing/>
              <w:rPr>
                <w:rFonts w:hint="eastAsia" w:ascii="宋体" w:hAnsi="宋体" w:eastAsia="宋体"/>
                <w:color w:val="auto"/>
                <w:highlight w:val="none"/>
                <w:shd w:val="clear" w:color="auto" w:fill="auto"/>
                <w:lang w:val="en-US" w:eastAsia="zh-CN"/>
              </w:rPr>
            </w:pPr>
            <w:r>
              <w:rPr>
                <w:rFonts w:hint="eastAsia" w:ascii="宋体" w:hAnsi="宋体" w:eastAsia="宋体"/>
                <w:color w:val="auto"/>
                <w:highlight w:val="none"/>
                <w:shd w:val="clear" w:color="auto" w:fill="auto"/>
                <w:lang w:val="en-US" w:eastAsia="zh-CN"/>
              </w:rPr>
              <w:t>3、</w:t>
            </w:r>
            <w:r>
              <w:rPr>
                <w:rFonts w:hint="eastAsia" w:ascii="宋体" w:hAnsi="宋体" w:eastAsia="宋体"/>
                <w:color w:val="auto"/>
                <w:highlight w:val="none"/>
                <w:shd w:val="clear" w:color="auto" w:fill="auto"/>
              </w:rPr>
              <w:t>不论投标结果如何，投标</w:t>
            </w:r>
            <w:r>
              <w:rPr>
                <w:rFonts w:hint="eastAsia" w:ascii="宋体" w:hAnsi="宋体" w:eastAsia="宋体"/>
                <w:color w:val="auto"/>
                <w:highlight w:val="none"/>
                <w:shd w:val="clear" w:color="auto" w:fill="auto"/>
                <w:lang w:val="en-US" w:eastAsia="zh-CN"/>
              </w:rPr>
              <w:t>供应商</w:t>
            </w:r>
            <w:r>
              <w:rPr>
                <w:rFonts w:hint="eastAsia" w:ascii="宋体" w:hAnsi="宋体" w:eastAsia="宋体"/>
                <w:color w:val="auto"/>
                <w:highlight w:val="none"/>
                <w:shd w:val="clear" w:color="auto" w:fill="auto"/>
              </w:rPr>
              <w:t>均应自行承担所有与投标有关的全部费用。</w:t>
            </w:r>
          </w:p>
          <w:p w14:paraId="43A1D8CD">
            <w:pPr>
              <w:spacing w:line="400" w:lineRule="exact"/>
              <w:contextualSpacing/>
              <w:rPr>
                <w:rFonts w:hint="eastAsia" w:ascii="宋体" w:hAnsi="宋体" w:eastAsia="宋体"/>
                <w:color w:val="auto"/>
                <w:highlight w:val="none"/>
                <w:shd w:val="clear" w:color="auto" w:fill="auto"/>
              </w:rPr>
            </w:pPr>
            <w:r>
              <w:rPr>
                <w:rFonts w:hint="eastAsia" w:ascii="宋体" w:hAnsi="宋体" w:eastAsia="宋体"/>
                <w:color w:val="auto"/>
                <w:highlight w:val="none"/>
                <w:shd w:val="clear" w:color="auto" w:fill="auto"/>
              </w:rPr>
              <w:t>本次</w:t>
            </w:r>
            <w:r>
              <w:rPr>
                <w:rFonts w:hint="eastAsia" w:ascii="宋体" w:hAnsi="宋体" w:eastAsia="宋体"/>
                <w:color w:val="auto"/>
                <w:highlight w:val="none"/>
                <w:shd w:val="clear" w:color="auto" w:fill="auto"/>
                <w:lang w:val="en-US" w:eastAsia="zh-CN"/>
              </w:rPr>
              <w:t>采购</w:t>
            </w:r>
            <w:r>
              <w:rPr>
                <w:rFonts w:hint="eastAsia" w:ascii="宋体" w:hAnsi="宋体" w:eastAsia="宋体"/>
                <w:color w:val="auto"/>
                <w:highlight w:val="none"/>
                <w:shd w:val="clear" w:color="auto" w:fill="auto"/>
              </w:rPr>
              <w:t>为单价招标。在合同期限内，</w:t>
            </w:r>
            <w:r>
              <w:rPr>
                <w:rFonts w:hint="eastAsia" w:ascii="宋体" w:hAnsi="宋体" w:eastAsia="宋体"/>
                <w:color w:val="auto"/>
                <w:highlight w:val="none"/>
                <w:shd w:val="clear" w:color="auto" w:fill="auto"/>
                <w:lang w:val="en-US" w:eastAsia="zh-CN"/>
              </w:rPr>
              <w:t>采购</w:t>
            </w:r>
            <w:r>
              <w:rPr>
                <w:rFonts w:hint="eastAsia" w:ascii="宋体" w:hAnsi="宋体" w:eastAsia="宋体"/>
                <w:color w:val="auto"/>
                <w:highlight w:val="none"/>
                <w:shd w:val="clear" w:color="auto" w:fill="auto"/>
              </w:rPr>
              <w:t>人有权根据实际需求确定具体的规格和数量，投标</w:t>
            </w:r>
            <w:r>
              <w:rPr>
                <w:rFonts w:hint="eastAsia" w:ascii="宋体" w:hAnsi="宋体" w:eastAsia="宋体"/>
                <w:color w:val="auto"/>
                <w:highlight w:val="none"/>
                <w:shd w:val="clear" w:color="auto" w:fill="auto"/>
                <w:lang w:val="en-US" w:eastAsia="zh-CN"/>
              </w:rPr>
              <w:t>供应商</w:t>
            </w:r>
            <w:r>
              <w:rPr>
                <w:rFonts w:hint="eastAsia" w:ascii="宋体" w:hAnsi="宋体" w:eastAsia="宋体"/>
                <w:color w:val="auto"/>
                <w:highlight w:val="none"/>
                <w:shd w:val="clear" w:color="auto" w:fill="auto"/>
              </w:rPr>
              <w:t>应充分考虑其间的风险；并且投标</w:t>
            </w:r>
            <w:r>
              <w:rPr>
                <w:rFonts w:hint="eastAsia" w:ascii="宋体" w:hAnsi="宋体" w:eastAsia="宋体"/>
                <w:color w:val="auto"/>
                <w:highlight w:val="none"/>
                <w:shd w:val="clear" w:color="auto" w:fill="auto"/>
                <w:lang w:val="en-US" w:eastAsia="zh-CN"/>
              </w:rPr>
              <w:t>供应商</w:t>
            </w:r>
            <w:r>
              <w:rPr>
                <w:rFonts w:hint="eastAsia" w:ascii="宋体" w:hAnsi="宋体" w:eastAsia="宋体"/>
                <w:color w:val="auto"/>
                <w:highlight w:val="none"/>
                <w:shd w:val="clear" w:color="auto" w:fill="auto"/>
              </w:rPr>
              <w:t>应充分考虑在合同期内的材料费浮动风险。</w:t>
            </w:r>
          </w:p>
        </w:tc>
      </w:tr>
      <w:tr w14:paraId="0B54F4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683" w:type="dxa"/>
            <w:vAlign w:val="center"/>
          </w:tcPr>
          <w:p w14:paraId="34D05DE4">
            <w:pPr>
              <w:spacing w:line="400" w:lineRule="exact"/>
              <w:contextualSpacing/>
              <w:jc w:val="center"/>
              <w:rPr>
                <w:rFonts w:hint="default" w:ascii="宋体" w:hAnsi="宋体" w:eastAsia="宋体"/>
                <w:b/>
                <w:color w:val="auto"/>
                <w:szCs w:val="21"/>
                <w:highlight w:val="none"/>
                <w:lang w:val="en-US" w:eastAsia="zh-CN"/>
              </w:rPr>
            </w:pPr>
            <w:r>
              <w:rPr>
                <w:rFonts w:hint="eastAsia" w:ascii="宋体" w:hAnsi="宋体" w:eastAsia="宋体"/>
                <w:b/>
                <w:color w:val="auto"/>
                <w:szCs w:val="21"/>
                <w:highlight w:val="none"/>
                <w:lang w:val="en-US" w:eastAsia="zh-CN"/>
              </w:rPr>
              <w:t>1</w:t>
            </w:r>
            <w:r>
              <w:rPr>
                <w:rFonts w:hint="eastAsia" w:ascii="宋体" w:hAnsi="宋体"/>
                <w:b/>
                <w:color w:val="auto"/>
                <w:szCs w:val="21"/>
                <w:highlight w:val="none"/>
                <w:lang w:val="en-US" w:eastAsia="zh-CN"/>
              </w:rPr>
              <w:t>0</w:t>
            </w:r>
          </w:p>
        </w:tc>
        <w:tc>
          <w:tcPr>
            <w:tcW w:w="1365" w:type="dxa"/>
            <w:vAlign w:val="center"/>
          </w:tcPr>
          <w:p w14:paraId="751F9C6D">
            <w:pPr>
              <w:spacing w:line="400" w:lineRule="exact"/>
              <w:contextualSpacing/>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调价机制</w:t>
            </w:r>
          </w:p>
        </w:tc>
        <w:tc>
          <w:tcPr>
            <w:tcW w:w="7639" w:type="dxa"/>
            <w:vAlign w:val="center"/>
          </w:tcPr>
          <w:p w14:paraId="24F9EE64">
            <w:pPr>
              <w:spacing w:line="400" w:lineRule="exact"/>
              <w:contextualSpacing/>
              <w:rPr>
                <w:rFonts w:hint="eastAsia" w:ascii="宋体" w:hAnsi="宋体" w:eastAsia="宋体"/>
                <w:color w:val="auto"/>
                <w:highlight w:val="none"/>
                <w:lang w:val="en-US" w:eastAsia="zh-CN"/>
              </w:rPr>
            </w:pPr>
            <w:r>
              <w:rPr>
                <w:rFonts w:hint="eastAsia" w:ascii="宋体" w:hAnsi="宋体" w:eastAsia="宋体"/>
                <w:color w:val="auto"/>
                <w:highlight w:val="none"/>
              </w:rPr>
              <w:t>本次招标为综合单价招标</w:t>
            </w:r>
            <w:r>
              <w:rPr>
                <w:rFonts w:hint="eastAsia" w:ascii="宋体" w:hAnsi="宋体"/>
                <w:color w:val="auto"/>
                <w:highlight w:val="none"/>
                <w:lang w:eastAsia="zh-CN"/>
              </w:rPr>
              <w:t>，</w:t>
            </w:r>
            <w:r>
              <w:rPr>
                <w:rFonts w:hint="eastAsia" w:ascii="宋体" w:hAnsi="宋体" w:eastAsia="宋体"/>
                <w:color w:val="auto"/>
                <w:highlight w:val="none"/>
              </w:rPr>
              <w:t>在合同履行期间</w:t>
            </w:r>
            <w:r>
              <w:rPr>
                <w:rFonts w:hint="eastAsia" w:ascii="宋体" w:hAnsi="宋体"/>
                <w:color w:val="auto"/>
                <w:highlight w:val="none"/>
                <w:lang w:eastAsia="zh-CN"/>
              </w:rPr>
              <w:t>，</w:t>
            </w:r>
            <w:r>
              <w:rPr>
                <w:rFonts w:hint="eastAsia" w:ascii="宋体" w:hAnsi="宋体" w:eastAsia="宋体"/>
                <w:color w:val="auto"/>
                <w:highlight w:val="none"/>
              </w:rPr>
              <w:t>综合单价</w:t>
            </w:r>
            <w:r>
              <w:rPr>
                <w:rFonts w:hint="eastAsia" w:ascii="宋体" w:hAnsi="宋体"/>
                <w:color w:val="auto"/>
                <w:highlight w:val="none"/>
                <w:lang w:val="en-US" w:eastAsia="zh-CN"/>
              </w:rPr>
              <w:t>不作调整</w:t>
            </w:r>
            <w:r>
              <w:rPr>
                <w:rFonts w:hint="eastAsia" w:ascii="宋体" w:hAnsi="宋体" w:eastAsia="宋体"/>
                <w:color w:val="auto"/>
                <w:highlight w:val="none"/>
              </w:rPr>
              <w:t xml:space="preserve">。 </w:t>
            </w:r>
          </w:p>
        </w:tc>
      </w:tr>
      <w:bookmarkEnd w:id="105"/>
    </w:tbl>
    <w:p w14:paraId="0FD0A95C">
      <w:pPr>
        <w:spacing w:line="360" w:lineRule="auto"/>
        <w:jc w:val="center"/>
        <w:outlineLvl w:val="0"/>
        <w:rPr>
          <w:rFonts w:hint="eastAsia" w:ascii="宋体" w:hAnsi="宋体" w:eastAsia="宋体"/>
          <w:b/>
          <w:color w:val="auto"/>
          <w:sz w:val="36"/>
          <w:szCs w:val="36"/>
          <w:highlight w:val="none"/>
        </w:rPr>
      </w:pPr>
      <w:bookmarkStart w:id="115" w:name="_Toc184310322"/>
      <w:bookmarkEnd w:id="115"/>
      <w:bookmarkStart w:id="116" w:name="_Toc184314439"/>
      <w:bookmarkEnd w:id="116"/>
      <w:bookmarkStart w:id="117" w:name="_Toc184314427"/>
      <w:bookmarkEnd w:id="117"/>
      <w:bookmarkStart w:id="118" w:name="_Toc184314454"/>
      <w:bookmarkEnd w:id="118"/>
      <w:bookmarkStart w:id="119" w:name="_Toc184310342"/>
      <w:bookmarkEnd w:id="119"/>
      <w:bookmarkStart w:id="120" w:name="_Toc184310333"/>
      <w:bookmarkEnd w:id="120"/>
      <w:bookmarkStart w:id="121" w:name="_Toc184314468"/>
      <w:bookmarkEnd w:id="121"/>
      <w:bookmarkStart w:id="122" w:name="_Toc184314478"/>
      <w:bookmarkEnd w:id="122"/>
      <w:bookmarkStart w:id="123" w:name="_Toc184310324"/>
      <w:bookmarkEnd w:id="123"/>
      <w:bookmarkStart w:id="124" w:name="_Toc184312070"/>
      <w:bookmarkEnd w:id="124"/>
      <w:bookmarkStart w:id="125" w:name="_Toc184310325"/>
      <w:bookmarkEnd w:id="125"/>
      <w:bookmarkStart w:id="126" w:name="_Toc184313271"/>
      <w:bookmarkEnd w:id="126"/>
      <w:bookmarkStart w:id="127" w:name="_Toc184310336"/>
      <w:bookmarkEnd w:id="127"/>
      <w:bookmarkStart w:id="128" w:name="_Toc184313299"/>
      <w:bookmarkEnd w:id="128"/>
      <w:bookmarkStart w:id="129" w:name="_Toc184312135"/>
      <w:bookmarkEnd w:id="129"/>
      <w:bookmarkStart w:id="130" w:name="_Toc184312082"/>
      <w:bookmarkEnd w:id="130"/>
      <w:bookmarkStart w:id="131" w:name="_Toc184310294"/>
      <w:bookmarkEnd w:id="131"/>
      <w:bookmarkStart w:id="132" w:name="_Toc184308082"/>
      <w:bookmarkEnd w:id="132"/>
      <w:bookmarkStart w:id="133" w:name="_Toc184312077"/>
      <w:bookmarkEnd w:id="133"/>
      <w:bookmarkStart w:id="134" w:name="_Toc184314476"/>
      <w:bookmarkEnd w:id="134"/>
      <w:bookmarkStart w:id="135" w:name="_Toc184308039"/>
      <w:bookmarkEnd w:id="135"/>
      <w:bookmarkStart w:id="136" w:name="_Toc184314455"/>
      <w:bookmarkEnd w:id="136"/>
      <w:bookmarkStart w:id="137" w:name="_Toc184312087"/>
      <w:bookmarkEnd w:id="137"/>
      <w:bookmarkStart w:id="138" w:name="_Toc184308074"/>
      <w:bookmarkEnd w:id="138"/>
      <w:bookmarkStart w:id="139" w:name="_Toc184313269"/>
      <w:bookmarkEnd w:id="139"/>
      <w:bookmarkStart w:id="140" w:name="_Toc184312101"/>
      <w:bookmarkEnd w:id="140"/>
      <w:bookmarkStart w:id="141" w:name="_Toc184314446"/>
      <w:bookmarkEnd w:id="141"/>
      <w:bookmarkStart w:id="142" w:name="_Toc184312088"/>
      <w:bookmarkEnd w:id="142"/>
      <w:bookmarkStart w:id="143" w:name="_Toc184313254"/>
      <w:bookmarkEnd w:id="143"/>
      <w:bookmarkStart w:id="144" w:name="_Toc184308042"/>
      <w:bookmarkEnd w:id="144"/>
      <w:bookmarkStart w:id="145" w:name="_Toc184310278"/>
      <w:bookmarkEnd w:id="145"/>
      <w:bookmarkStart w:id="146" w:name="_Toc184310279"/>
      <w:bookmarkEnd w:id="146"/>
      <w:bookmarkStart w:id="147" w:name="_Toc184314473"/>
      <w:bookmarkEnd w:id="147"/>
      <w:bookmarkStart w:id="148" w:name="_Toc184312100"/>
      <w:bookmarkEnd w:id="148"/>
      <w:bookmarkStart w:id="149" w:name="_Toc184310314"/>
      <w:bookmarkEnd w:id="149"/>
      <w:bookmarkStart w:id="150" w:name="_Toc184314477"/>
      <w:bookmarkEnd w:id="150"/>
      <w:bookmarkStart w:id="151" w:name="_Toc184312084"/>
      <w:bookmarkEnd w:id="151"/>
      <w:bookmarkStart w:id="152" w:name="_Toc184313252"/>
      <w:bookmarkEnd w:id="152"/>
      <w:bookmarkStart w:id="153" w:name="_Toc184312074"/>
      <w:bookmarkEnd w:id="153"/>
      <w:bookmarkStart w:id="154" w:name="_Toc184310305"/>
      <w:bookmarkEnd w:id="154"/>
      <w:bookmarkStart w:id="155" w:name="_Toc184313298"/>
      <w:bookmarkEnd w:id="155"/>
      <w:bookmarkStart w:id="156" w:name="_Toc184314412"/>
      <w:bookmarkEnd w:id="156"/>
      <w:bookmarkStart w:id="157" w:name="_Toc184313284"/>
      <w:bookmarkEnd w:id="157"/>
      <w:bookmarkStart w:id="158" w:name="_Toc184314421"/>
      <w:bookmarkEnd w:id="158"/>
      <w:bookmarkStart w:id="159" w:name="_Toc184308088"/>
      <w:bookmarkEnd w:id="159"/>
      <w:bookmarkStart w:id="160" w:name="_Toc184314445"/>
      <w:bookmarkEnd w:id="160"/>
      <w:bookmarkStart w:id="161" w:name="_Toc184308047"/>
      <w:bookmarkEnd w:id="161"/>
      <w:bookmarkStart w:id="162" w:name="_Toc184313304"/>
      <w:bookmarkEnd w:id="162"/>
      <w:bookmarkStart w:id="163" w:name="_Toc184308057"/>
      <w:bookmarkEnd w:id="163"/>
      <w:bookmarkStart w:id="164" w:name="_Toc184310282"/>
      <w:bookmarkEnd w:id="164"/>
      <w:bookmarkStart w:id="165" w:name="_Toc184310332"/>
      <w:bookmarkEnd w:id="165"/>
      <w:bookmarkStart w:id="166" w:name="_Toc184314460"/>
      <w:bookmarkEnd w:id="166"/>
      <w:bookmarkStart w:id="167" w:name="_Toc184308094"/>
      <w:bookmarkEnd w:id="167"/>
      <w:bookmarkStart w:id="168" w:name="_Toc184313280"/>
      <w:bookmarkEnd w:id="168"/>
      <w:bookmarkStart w:id="169" w:name="_Toc184308093"/>
      <w:bookmarkEnd w:id="169"/>
      <w:bookmarkStart w:id="170" w:name="_Toc184312137"/>
      <w:bookmarkEnd w:id="170"/>
      <w:bookmarkStart w:id="171" w:name="_Toc184312110"/>
      <w:bookmarkEnd w:id="171"/>
      <w:bookmarkStart w:id="172" w:name="_Toc184308040"/>
      <w:bookmarkEnd w:id="172"/>
      <w:bookmarkStart w:id="173" w:name="_Toc184310289"/>
      <w:bookmarkEnd w:id="173"/>
      <w:bookmarkStart w:id="174" w:name="_Toc184314410"/>
      <w:bookmarkEnd w:id="174"/>
      <w:bookmarkStart w:id="175" w:name="_Toc184312111"/>
      <w:bookmarkEnd w:id="175"/>
      <w:bookmarkStart w:id="176" w:name="_Toc184310304"/>
      <w:bookmarkEnd w:id="176"/>
      <w:bookmarkStart w:id="177" w:name="_Toc184313307"/>
      <w:bookmarkEnd w:id="177"/>
      <w:bookmarkStart w:id="178" w:name="_Toc184308078"/>
      <w:bookmarkEnd w:id="178"/>
      <w:bookmarkStart w:id="179" w:name="_Toc184308036"/>
      <w:bookmarkEnd w:id="179"/>
      <w:bookmarkStart w:id="180" w:name="_Toc184312079"/>
      <w:bookmarkEnd w:id="180"/>
      <w:bookmarkStart w:id="181" w:name="_Toc184310343"/>
      <w:bookmarkEnd w:id="181"/>
      <w:bookmarkStart w:id="182" w:name="_Toc184312089"/>
      <w:bookmarkEnd w:id="182"/>
      <w:bookmarkStart w:id="183" w:name="_Toc184312075"/>
      <w:bookmarkEnd w:id="183"/>
      <w:bookmarkStart w:id="184" w:name="_Toc184310315"/>
      <w:bookmarkEnd w:id="184"/>
      <w:bookmarkStart w:id="185" w:name="_Toc184308049"/>
      <w:bookmarkEnd w:id="185"/>
      <w:bookmarkStart w:id="186" w:name="_Toc184313308"/>
      <w:bookmarkEnd w:id="186"/>
      <w:bookmarkStart w:id="187" w:name="_Toc184313267"/>
      <w:bookmarkEnd w:id="187"/>
      <w:bookmarkStart w:id="188" w:name="_Toc184310299"/>
      <w:bookmarkEnd w:id="188"/>
      <w:bookmarkStart w:id="189" w:name="_Toc184314441"/>
      <w:bookmarkEnd w:id="189"/>
      <w:bookmarkStart w:id="190" w:name="_Toc184310288"/>
      <w:bookmarkEnd w:id="190"/>
      <w:bookmarkStart w:id="191" w:name="_Toc184308107"/>
      <w:bookmarkEnd w:id="191"/>
      <w:bookmarkStart w:id="192" w:name="_Toc184312072"/>
      <w:bookmarkEnd w:id="192"/>
      <w:bookmarkStart w:id="193" w:name="_Toc184312096"/>
      <w:bookmarkEnd w:id="193"/>
      <w:bookmarkStart w:id="194" w:name="_Toc184312078"/>
      <w:bookmarkEnd w:id="194"/>
      <w:bookmarkStart w:id="195" w:name="_Toc184313305"/>
      <w:bookmarkEnd w:id="195"/>
      <w:bookmarkStart w:id="196" w:name="_Toc184310331"/>
      <w:bookmarkEnd w:id="196"/>
      <w:bookmarkStart w:id="197" w:name="_Toc184313276"/>
      <w:bookmarkEnd w:id="197"/>
      <w:bookmarkStart w:id="198" w:name="_Toc184308103"/>
      <w:bookmarkEnd w:id="198"/>
      <w:bookmarkStart w:id="199" w:name="_Toc184313275"/>
      <w:bookmarkEnd w:id="199"/>
      <w:bookmarkStart w:id="200" w:name="_Toc184310272"/>
      <w:bookmarkEnd w:id="200"/>
      <w:bookmarkStart w:id="201" w:name="_Toc184312083"/>
      <w:bookmarkEnd w:id="201"/>
      <w:bookmarkStart w:id="202" w:name="_Toc184312073"/>
      <w:bookmarkEnd w:id="202"/>
      <w:bookmarkStart w:id="203" w:name="_Toc184314435"/>
      <w:bookmarkEnd w:id="203"/>
      <w:bookmarkStart w:id="204" w:name="_Toc184310286"/>
      <w:bookmarkEnd w:id="204"/>
      <w:bookmarkStart w:id="205" w:name="_Toc184314465"/>
      <w:bookmarkEnd w:id="205"/>
      <w:bookmarkStart w:id="206" w:name="_Toc184308045"/>
      <w:bookmarkEnd w:id="206"/>
      <w:bookmarkStart w:id="207" w:name="_Toc184312090"/>
      <w:bookmarkEnd w:id="207"/>
      <w:bookmarkStart w:id="208" w:name="_Toc184313260"/>
      <w:bookmarkEnd w:id="208"/>
      <w:bookmarkStart w:id="209" w:name="_Toc184314424"/>
      <w:bookmarkEnd w:id="209"/>
      <w:bookmarkStart w:id="210" w:name="_Toc184313292"/>
      <w:bookmarkEnd w:id="210"/>
      <w:bookmarkStart w:id="211" w:name="_Toc184312071"/>
      <w:bookmarkEnd w:id="211"/>
      <w:bookmarkStart w:id="212" w:name="_Toc184313274"/>
      <w:bookmarkEnd w:id="212"/>
      <w:bookmarkStart w:id="213" w:name="_Toc184312126"/>
      <w:bookmarkEnd w:id="213"/>
      <w:bookmarkStart w:id="214" w:name="_Toc184314438"/>
      <w:bookmarkEnd w:id="214"/>
      <w:bookmarkStart w:id="215" w:name="_Toc184312132"/>
      <w:bookmarkEnd w:id="215"/>
      <w:bookmarkStart w:id="216" w:name="_Toc184312114"/>
      <w:bookmarkEnd w:id="216"/>
      <w:bookmarkStart w:id="217" w:name="_Toc184314458"/>
      <w:bookmarkEnd w:id="217"/>
      <w:bookmarkStart w:id="218" w:name="_Toc184312124"/>
      <w:bookmarkEnd w:id="218"/>
      <w:bookmarkStart w:id="219" w:name="_Toc184308065"/>
      <w:bookmarkEnd w:id="219"/>
      <w:bookmarkStart w:id="220" w:name="_Toc184312068"/>
      <w:bookmarkEnd w:id="220"/>
      <w:bookmarkStart w:id="221" w:name="_Toc184313281"/>
      <w:bookmarkEnd w:id="221"/>
      <w:bookmarkStart w:id="222" w:name="_Toc184312085"/>
      <w:bookmarkEnd w:id="222"/>
      <w:bookmarkStart w:id="223" w:name="_Toc184310321"/>
      <w:bookmarkEnd w:id="223"/>
      <w:bookmarkStart w:id="224" w:name="_Toc184312104"/>
      <w:bookmarkEnd w:id="224"/>
      <w:bookmarkStart w:id="225" w:name="_Toc184312092"/>
      <w:bookmarkEnd w:id="225"/>
      <w:bookmarkStart w:id="226" w:name="_Toc184313240"/>
      <w:bookmarkEnd w:id="226"/>
      <w:bookmarkStart w:id="227" w:name="_Toc184314453"/>
      <w:bookmarkEnd w:id="227"/>
      <w:bookmarkStart w:id="228" w:name="_Toc184308075"/>
      <w:bookmarkEnd w:id="228"/>
      <w:bookmarkStart w:id="229" w:name="_Toc184308052"/>
      <w:bookmarkEnd w:id="229"/>
      <w:bookmarkStart w:id="230" w:name="_Toc184308084"/>
      <w:bookmarkEnd w:id="230"/>
      <w:bookmarkStart w:id="231" w:name="_Toc184310344"/>
      <w:bookmarkEnd w:id="231"/>
      <w:bookmarkStart w:id="232" w:name="_Toc184308101"/>
      <w:bookmarkEnd w:id="232"/>
      <w:bookmarkStart w:id="233" w:name="_Toc184313249"/>
      <w:bookmarkEnd w:id="233"/>
      <w:bookmarkStart w:id="234" w:name="_Toc184314482"/>
      <w:bookmarkEnd w:id="234"/>
      <w:bookmarkStart w:id="235" w:name="_Toc184312127"/>
      <w:bookmarkEnd w:id="235"/>
      <w:bookmarkStart w:id="236" w:name="_Toc184312125"/>
      <w:bookmarkEnd w:id="236"/>
      <w:bookmarkStart w:id="237" w:name="_Toc184308037"/>
      <w:bookmarkEnd w:id="237"/>
      <w:bookmarkStart w:id="238" w:name="_Toc184313286"/>
      <w:bookmarkEnd w:id="238"/>
      <w:bookmarkStart w:id="239" w:name="_Toc184313279"/>
      <w:bookmarkEnd w:id="239"/>
      <w:bookmarkStart w:id="240" w:name="_Toc184313278"/>
      <w:bookmarkEnd w:id="240"/>
      <w:bookmarkStart w:id="241" w:name="_Toc184308061"/>
      <w:bookmarkEnd w:id="241"/>
      <w:bookmarkStart w:id="242" w:name="_Toc184310302"/>
      <w:bookmarkEnd w:id="242"/>
      <w:bookmarkStart w:id="243" w:name="_Toc184313238"/>
      <w:bookmarkEnd w:id="243"/>
      <w:bookmarkStart w:id="244" w:name="_Toc184312112"/>
      <w:bookmarkEnd w:id="244"/>
      <w:bookmarkStart w:id="245" w:name="_Toc184313277"/>
      <w:bookmarkEnd w:id="245"/>
      <w:bookmarkStart w:id="246" w:name="_Toc184312091"/>
      <w:bookmarkEnd w:id="246"/>
      <w:bookmarkStart w:id="247" w:name="_Toc184314466"/>
      <w:bookmarkEnd w:id="247"/>
      <w:bookmarkStart w:id="248" w:name="_Toc184310293"/>
      <w:bookmarkEnd w:id="248"/>
      <w:bookmarkStart w:id="249" w:name="_Toc184314430"/>
      <w:bookmarkEnd w:id="249"/>
      <w:bookmarkStart w:id="250" w:name="_Toc184314426"/>
      <w:bookmarkEnd w:id="250"/>
      <w:bookmarkStart w:id="251" w:name="_Toc184312103"/>
      <w:bookmarkEnd w:id="251"/>
      <w:bookmarkStart w:id="252" w:name="_Toc184314436"/>
      <w:bookmarkEnd w:id="252"/>
      <w:bookmarkStart w:id="253" w:name="_Toc184308053"/>
      <w:bookmarkEnd w:id="253"/>
      <w:bookmarkStart w:id="254" w:name="_Toc184308054"/>
      <w:bookmarkEnd w:id="254"/>
      <w:bookmarkStart w:id="255" w:name="_Toc184313295"/>
      <w:bookmarkEnd w:id="255"/>
      <w:bookmarkStart w:id="256" w:name="_Toc184313283"/>
      <w:bookmarkEnd w:id="256"/>
      <w:bookmarkStart w:id="257" w:name="_Toc184313257"/>
      <w:bookmarkEnd w:id="257"/>
      <w:bookmarkStart w:id="258" w:name="_Toc184310307"/>
      <w:bookmarkEnd w:id="258"/>
      <w:bookmarkStart w:id="259" w:name="_Toc184312121"/>
      <w:bookmarkEnd w:id="259"/>
      <w:bookmarkStart w:id="260" w:name="_Toc184310296"/>
      <w:bookmarkEnd w:id="260"/>
      <w:bookmarkStart w:id="261" w:name="_Toc184308098"/>
      <w:bookmarkEnd w:id="261"/>
      <w:bookmarkStart w:id="262" w:name="_Toc184308081"/>
      <w:bookmarkEnd w:id="262"/>
      <w:bookmarkStart w:id="263" w:name="_Toc184314456"/>
      <w:bookmarkEnd w:id="263"/>
      <w:bookmarkStart w:id="264" w:name="_Toc184312128"/>
      <w:bookmarkEnd w:id="264"/>
      <w:bookmarkStart w:id="265" w:name="_Toc184310309"/>
      <w:bookmarkEnd w:id="265"/>
      <w:bookmarkStart w:id="266" w:name="_Toc184310292"/>
      <w:bookmarkEnd w:id="266"/>
      <w:bookmarkStart w:id="267" w:name="_Toc184313259"/>
      <w:bookmarkEnd w:id="267"/>
      <w:bookmarkStart w:id="268" w:name="_Toc184310320"/>
      <w:bookmarkEnd w:id="268"/>
      <w:bookmarkStart w:id="269" w:name="_Toc184312134"/>
      <w:bookmarkEnd w:id="269"/>
      <w:bookmarkStart w:id="270" w:name="_Toc184313290"/>
      <w:bookmarkEnd w:id="270"/>
      <w:bookmarkStart w:id="271" w:name="_Toc184310290"/>
      <w:bookmarkEnd w:id="271"/>
      <w:bookmarkStart w:id="272" w:name="_Toc184308090"/>
      <w:bookmarkEnd w:id="272"/>
      <w:bookmarkStart w:id="273" w:name="_Toc184313242"/>
      <w:bookmarkEnd w:id="273"/>
      <w:bookmarkStart w:id="274" w:name="_Toc184308062"/>
      <w:bookmarkEnd w:id="274"/>
      <w:bookmarkStart w:id="275" w:name="_Toc184308067"/>
      <w:bookmarkEnd w:id="275"/>
      <w:bookmarkStart w:id="276" w:name="_Toc184314444"/>
      <w:bookmarkEnd w:id="276"/>
      <w:bookmarkStart w:id="277" w:name="_Toc184314481"/>
      <w:bookmarkEnd w:id="277"/>
      <w:bookmarkStart w:id="278" w:name="_Toc184313302"/>
      <w:bookmarkEnd w:id="278"/>
      <w:bookmarkStart w:id="279" w:name="_Toc184308071"/>
      <w:bookmarkEnd w:id="279"/>
      <w:bookmarkStart w:id="280" w:name="_Toc184312119"/>
      <w:bookmarkEnd w:id="280"/>
      <w:bookmarkStart w:id="281" w:name="_Toc184314452"/>
      <w:bookmarkEnd w:id="281"/>
      <w:bookmarkStart w:id="282" w:name="_Toc184310291"/>
      <w:bookmarkEnd w:id="282"/>
      <w:bookmarkStart w:id="283" w:name="_Toc184312106"/>
      <w:bookmarkEnd w:id="283"/>
      <w:bookmarkStart w:id="284" w:name="_Toc184308063"/>
      <w:bookmarkEnd w:id="284"/>
      <w:bookmarkStart w:id="285" w:name="_Toc184313261"/>
      <w:bookmarkEnd w:id="285"/>
      <w:bookmarkStart w:id="286" w:name="_Toc184308100"/>
      <w:bookmarkEnd w:id="286"/>
      <w:bookmarkStart w:id="287" w:name="_Toc184312123"/>
      <w:bookmarkEnd w:id="287"/>
      <w:bookmarkStart w:id="288" w:name="_Toc184314417"/>
      <w:bookmarkEnd w:id="288"/>
      <w:bookmarkStart w:id="289" w:name="_Toc184314472"/>
      <w:bookmarkEnd w:id="289"/>
      <w:bookmarkStart w:id="290" w:name="_Toc184314462"/>
      <w:bookmarkEnd w:id="290"/>
      <w:bookmarkStart w:id="291" w:name="_Toc184312138"/>
      <w:bookmarkEnd w:id="291"/>
      <w:bookmarkStart w:id="292" w:name="_Toc184314474"/>
      <w:bookmarkEnd w:id="292"/>
      <w:bookmarkStart w:id="293" w:name="_Toc184312095"/>
      <w:bookmarkEnd w:id="293"/>
      <w:bookmarkStart w:id="294" w:name="_Toc184310297"/>
      <w:bookmarkEnd w:id="294"/>
      <w:bookmarkStart w:id="295" w:name="_Toc184312080"/>
      <w:bookmarkEnd w:id="295"/>
      <w:bookmarkStart w:id="296" w:name="_Toc184308076"/>
      <w:bookmarkEnd w:id="296"/>
      <w:bookmarkStart w:id="297" w:name="_Toc184310283"/>
      <w:bookmarkEnd w:id="297"/>
      <w:bookmarkStart w:id="298" w:name="_Toc184314429"/>
      <w:bookmarkEnd w:id="298"/>
      <w:bookmarkStart w:id="299" w:name="_Toc184312129"/>
      <w:bookmarkEnd w:id="299"/>
      <w:bookmarkStart w:id="300" w:name="_Toc184310330"/>
      <w:bookmarkEnd w:id="300"/>
      <w:bookmarkStart w:id="301" w:name="_Toc184313273"/>
      <w:bookmarkEnd w:id="301"/>
      <w:bookmarkStart w:id="302" w:name="_Toc184314480"/>
      <w:bookmarkEnd w:id="302"/>
      <w:bookmarkStart w:id="303" w:name="_Toc184308092"/>
      <w:bookmarkEnd w:id="303"/>
      <w:bookmarkStart w:id="304" w:name="_Toc184314470"/>
      <w:bookmarkEnd w:id="304"/>
      <w:bookmarkStart w:id="305" w:name="_Toc184314433"/>
      <w:bookmarkEnd w:id="305"/>
      <w:bookmarkStart w:id="306" w:name="_Toc184308108"/>
      <w:bookmarkEnd w:id="306"/>
      <w:bookmarkStart w:id="307" w:name="_Toc184313264"/>
      <w:bookmarkEnd w:id="307"/>
      <w:bookmarkStart w:id="308" w:name="_Toc184313248"/>
      <w:bookmarkEnd w:id="308"/>
      <w:bookmarkStart w:id="309" w:name="_Toc184314448"/>
      <w:bookmarkEnd w:id="309"/>
      <w:bookmarkStart w:id="310" w:name="_Toc184308070"/>
      <w:bookmarkEnd w:id="310"/>
      <w:bookmarkStart w:id="311" w:name="_Toc184308068"/>
      <w:bookmarkEnd w:id="311"/>
      <w:bookmarkStart w:id="312" w:name="_Toc184313245"/>
      <w:bookmarkEnd w:id="312"/>
      <w:bookmarkStart w:id="313" w:name="_Toc184310300"/>
      <w:bookmarkEnd w:id="313"/>
      <w:bookmarkStart w:id="314" w:name="_Toc184312067"/>
      <w:bookmarkEnd w:id="314"/>
      <w:bookmarkStart w:id="315" w:name="_Toc184313294"/>
      <w:bookmarkEnd w:id="315"/>
      <w:bookmarkStart w:id="316" w:name="_Toc184310295"/>
      <w:bookmarkEnd w:id="316"/>
      <w:bookmarkStart w:id="317" w:name="_Toc184310281"/>
      <w:bookmarkEnd w:id="317"/>
      <w:bookmarkStart w:id="318" w:name="_Toc184313258"/>
      <w:bookmarkEnd w:id="318"/>
      <w:bookmarkStart w:id="319" w:name="_Toc184312117"/>
      <w:bookmarkEnd w:id="319"/>
      <w:bookmarkStart w:id="320" w:name="_Toc184310326"/>
      <w:bookmarkEnd w:id="320"/>
      <w:bookmarkStart w:id="321" w:name="_Toc184314416"/>
      <w:bookmarkEnd w:id="321"/>
      <w:bookmarkStart w:id="322" w:name="_Toc184314461"/>
      <w:bookmarkEnd w:id="322"/>
      <w:bookmarkStart w:id="323" w:name="_Toc184310273"/>
      <w:bookmarkEnd w:id="323"/>
      <w:bookmarkStart w:id="324" w:name="_Toc184312098"/>
      <w:bookmarkEnd w:id="324"/>
      <w:bookmarkStart w:id="325" w:name="_Toc184310334"/>
      <w:bookmarkEnd w:id="325"/>
      <w:bookmarkStart w:id="326" w:name="_Toc184308096"/>
      <w:bookmarkEnd w:id="326"/>
      <w:bookmarkStart w:id="327" w:name="_Toc184308072"/>
      <w:bookmarkEnd w:id="327"/>
      <w:bookmarkStart w:id="328" w:name="_Toc184308086"/>
      <w:bookmarkEnd w:id="328"/>
      <w:bookmarkStart w:id="329" w:name="_Toc184310301"/>
      <w:bookmarkEnd w:id="329"/>
      <w:bookmarkStart w:id="330" w:name="_Toc184308091"/>
      <w:bookmarkEnd w:id="330"/>
      <w:bookmarkStart w:id="331" w:name="_Toc184312108"/>
      <w:bookmarkEnd w:id="331"/>
      <w:bookmarkStart w:id="332" w:name="_Toc184312133"/>
      <w:bookmarkEnd w:id="332"/>
      <w:bookmarkStart w:id="333" w:name="_Toc184310323"/>
      <w:bookmarkEnd w:id="333"/>
      <w:bookmarkStart w:id="334" w:name="_Toc184314457"/>
      <w:bookmarkEnd w:id="334"/>
      <w:bookmarkStart w:id="335" w:name="_Toc184314459"/>
      <w:bookmarkEnd w:id="335"/>
      <w:bookmarkStart w:id="336" w:name="_Toc184312097"/>
      <w:bookmarkEnd w:id="336"/>
      <w:bookmarkStart w:id="337" w:name="_Toc184308064"/>
      <w:bookmarkEnd w:id="337"/>
      <w:bookmarkStart w:id="338" w:name="_Toc184313250"/>
      <w:bookmarkEnd w:id="338"/>
      <w:bookmarkStart w:id="339" w:name="_Toc184313289"/>
      <w:bookmarkEnd w:id="339"/>
      <w:bookmarkStart w:id="340" w:name="_Toc184308079"/>
      <w:bookmarkEnd w:id="340"/>
      <w:bookmarkStart w:id="341" w:name="_Toc184312081"/>
      <w:bookmarkEnd w:id="341"/>
      <w:bookmarkStart w:id="342" w:name="_Toc184310284"/>
      <w:bookmarkEnd w:id="342"/>
      <w:bookmarkStart w:id="343" w:name="_Toc184312093"/>
      <w:bookmarkEnd w:id="343"/>
      <w:bookmarkStart w:id="344" w:name="_Toc184314432"/>
      <w:bookmarkEnd w:id="344"/>
      <w:bookmarkStart w:id="345" w:name="_Toc184310275"/>
      <w:bookmarkEnd w:id="345"/>
      <w:bookmarkStart w:id="346" w:name="_Toc184308073"/>
      <w:bookmarkEnd w:id="346"/>
      <w:bookmarkStart w:id="347" w:name="_Toc184310298"/>
      <w:bookmarkEnd w:id="347"/>
      <w:bookmarkStart w:id="348" w:name="_Toc184312139"/>
      <w:bookmarkEnd w:id="348"/>
      <w:bookmarkStart w:id="349" w:name="_Toc184310276"/>
      <w:bookmarkEnd w:id="349"/>
      <w:bookmarkStart w:id="350" w:name="_Toc184314415"/>
      <w:bookmarkEnd w:id="350"/>
      <w:bookmarkStart w:id="351" w:name="_Toc184314434"/>
      <w:bookmarkEnd w:id="351"/>
      <w:bookmarkStart w:id="352" w:name="_Toc184313253"/>
      <w:bookmarkEnd w:id="352"/>
      <w:bookmarkStart w:id="353" w:name="_Toc184310303"/>
      <w:bookmarkEnd w:id="353"/>
      <w:bookmarkStart w:id="354" w:name="_Toc184313297"/>
      <w:bookmarkEnd w:id="354"/>
      <w:bookmarkStart w:id="355" w:name="_Toc184310340"/>
      <w:bookmarkEnd w:id="355"/>
      <w:bookmarkStart w:id="356" w:name="_Toc184312099"/>
      <w:bookmarkEnd w:id="356"/>
      <w:bookmarkStart w:id="357" w:name="_Toc184312131"/>
      <w:bookmarkEnd w:id="357"/>
      <w:bookmarkStart w:id="358" w:name="_Toc184308089"/>
      <w:bookmarkEnd w:id="358"/>
      <w:bookmarkStart w:id="359" w:name="_Toc184308041"/>
      <w:bookmarkEnd w:id="359"/>
      <w:bookmarkStart w:id="360" w:name="_Toc184314414"/>
      <w:bookmarkEnd w:id="360"/>
      <w:bookmarkStart w:id="361" w:name="_Toc184308085"/>
      <w:bookmarkEnd w:id="361"/>
      <w:bookmarkStart w:id="362" w:name="_Toc184313272"/>
      <w:bookmarkEnd w:id="362"/>
      <w:bookmarkStart w:id="363" w:name="_Toc184308087"/>
      <w:bookmarkEnd w:id="363"/>
      <w:bookmarkStart w:id="364" w:name="_Toc184314443"/>
      <w:bookmarkEnd w:id="364"/>
      <w:bookmarkStart w:id="365" w:name="_Toc184308048"/>
      <w:bookmarkEnd w:id="365"/>
      <w:bookmarkStart w:id="366" w:name="_Toc184313241"/>
      <w:bookmarkEnd w:id="366"/>
      <w:bookmarkStart w:id="367" w:name="_Toc184314450"/>
      <w:bookmarkEnd w:id="367"/>
      <w:bookmarkStart w:id="368" w:name="_Toc184310310"/>
      <w:bookmarkEnd w:id="368"/>
      <w:bookmarkStart w:id="369" w:name="_Toc184308105"/>
      <w:bookmarkEnd w:id="369"/>
      <w:bookmarkStart w:id="370" w:name="_Toc184314437"/>
      <w:bookmarkEnd w:id="370"/>
      <w:bookmarkStart w:id="371" w:name="_Toc184314464"/>
      <w:bookmarkEnd w:id="371"/>
      <w:bookmarkStart w:id="372" w:name="_Toc184312130"/>
      <w:bookmarkEnd w:id="372"/>
      <w:bookmarkStart w:id="373" w:name="_Toc184312107"/>
      <w:bookmarkEnd w:id="373"/>
      <w:bookmarkStart w:id="374" w:name="_Toc184314411"/>
      <w:bookmarkEnd w:id="374"/>
      <w:bookmarkStart w:id="375" w:name="_Toc184314413"/>
      <w:bookmarkEnd w:id="375"/>
      <w:bookmarkStart w:id="376" w:name="_Toc184314447"/>
      <w:bookmarkEnd w:id="376"/>
      <w:bookmarkStart w:id="377" w:name="_Toc184314425"/>
      <w:bookmarkEnd w:id="377"/>
      <w:bookmarkStart w:id="378" w:name="_Toc184313255"/>
      <w:bookmarkEnd w:id="378"/>
      <w:bookmarkStart w:id="379" w:name="_Toc184310329"/>
      <w:bookmarkEnd w:id="379"/>
      <w:bookmarkStart w:id="380" w:name="_Toc184313291"/>
      <w:bookmarkEnd w:id="380"/>
      <w:bookmarkStart w:id="381" w:name="_Toc184313301"/>
      <w:bookmarkEnd w:id="381"/>
      <w:bookmarkStart w:id="382" w:name="_Toc184314449"/>
      <w:bookmarkEnd w:id="382"/>
      <w:bookmarkStart w:id="383" w:name="_Toc184308046"/>
      <w:bookmarkEnd w:id="383"/>
      <w:bookmarkStart w:id="384" w:name="_Toc184310274"/>
      <w:bookmarkEnd w:id="384"/>
      <w:bookmarkStart w:id="385" w:name="_Toc184310335"/>
      <w:bookmarkEnd w:id="385"/>
      <w:bookmarkStart w:id="386" w:name="_Toc184312069"/>
      <w:bookmarkEnd w:id="386"/>
      <w:bookmarkStart w:id="387" w:name="_Toc184314423"/>
      <w:bookmarkEnd w:id="387"/>
      <w:bookmarkStart w:id="388" w:name="_Toc184313251"/>
      <w:bookmarkEnd w:id="388"/>
      <w:bookmarkStart w:id="389" w:name="_Toc184308080"/>
      <w:bookmarkEnd w:id="389"/>
      <w:bookmarkStart w:id="390" w:name="_Toc184312118"/>
      <w:bookmarkEnd w:id="390"/>
      <w:bookmarkStart w:id="391" w:name="_Toc184313309"/>
      <w:bookmarkEnd w:id="391"/>
      <w:bookmarkStart w:id="392" w:name="_Toc184310318"/>
      <w:bookmarkEnd w:id="392"/>
      <w:bookmarkStart w:id="393" w:name="_Toc184313282"/>
      <w:bookmarkEnd w:id="393"/>
      <w:bookmarkStart w:id="394" w:name="_Toc184314420"/>
      <w:bookmarkEnd w:id="394"/>
      <w:bookmarkStart w:id="395" w:name="_Toc184312109"/>
      <w:bookmarkEnd w:id="395"/>
      <w:bookmarkStart w:id="396" w:name="_Toc184310337"/>
      <w:bookmarkEnd w:id="396"/>
      <w:bookmarkStart w:id="397" w:name="_Toc184313288"/>
      <w:bookmarkEnd w:id="397"/>
      <w:bookmarkStart w:id="398" w:name="_Toc184314442"/>
      <w:bookmarkEnd w:id="398"/>
      <w:bookmarkStart w:id="399" w:name="_Toc184314451"/>
      <w:bookmarkEnd w:id="399"/>
      <w:bookmarkStart w:id="400" w:name="_Toc184308083"/>
      <w:bookmarkEnd w:id="400"/>
      <w:bookmarkStart w:id="401" w:name="_Toc184313287"/>
      <w:bookmarkEnd w:id="401"/>
      <w:bookmarkStart w:id="402" w:name="_Toc184308069"/>
      <w:bookmarkEnd w:id="402"/>
      <w:bookmarkStart w:id="403" w:name="_Toc184310327"/>
      <w:bookmarkEnd w:id="403"/>
      <w:bookmarkStart w:id="404" w:name="_Toc184312076"/>
      <w:bookmarkEnd w:id="404"/>
      <w:bookmarkStart w:id="405" w:name="_Toc184314428"/>
      <w:bookmarkEnd w:id="405"/>
      <w:bookmarkStart w:id="406" w:name="_Toc184312094"/>
      <w:bookmarkEnd w:id="406"/>
      <w:bookmarkStart w:id="407" w:name="_Toc184310308"/>
      <w:bookmarkEnd w:id="407"/>
      <w:bookmarkStart w:id="408" w:name="_Toc184308056"/>
      <w:bookmarkEnd w:id="408"/>
      <w:bookmarkStart w:id="409" w:name="_Toc184308050"/>
      <w:bookmarkEnd w:id="409"/>
      <w:bookmarkStart w:id="410" w:name="_Toc184314418"/>
      <w:bookmarkEnd w:id="410"/>
      <w:bookmarkStart w:id="411" w:name="_Toc184314440"/>
      <w:bookmarkEnd w:id="411"/>
      <w:bookmarkStart w:id="412" w:name="_Toc184314471"/>
      <w:bookmarkEnd w:id="412"/>
      <w:bookmarkStart w:id="413" w:name="_Toc184314467"/>
      <w:bookmarkEnd w:id="413"/>
      <w:bookmarkStart w:id="414" w:name="_Toc184313263"/>
      <w:bookmarkEnd w:id="414"/>
      <w:bookmarkStart w:id="415" w:name="_Toc184308059"/>
      <w:bookmarkEnd w:id="415"/>
      <w:bookmarkStart w:id="416" w:name="_Toc184313243"/>
      <w:bookmarkEnd w:id="416"/>
      <w:bookmarkStart w:id="417" w:name="_Toc184310285"/>
      <w:bookmarkEnd w:id="417"/>
      <w:bookmarkStart w:id="418" w:name="_Toc184313310"/>
      <w:bookmarkEnd w:id="418"/>
      <w:bookmarkStart w:id="419" w:name="_Toc184313270"/>
      <w:bookmarkEnd w:id="419"/>
      <w:bookmarkStart w:id="420" w:name="_Toc184308051"/>
      <w:bookmarkEnd w:id="420"/>
      <w:bookmarkStart w:id="421" w:name="_Toc184312136"/>
      <w:bookmarkEnd w:id="421"/>
      <w:bookmarkStart w:id="422" w:name="_Toc184310317"/>
      <w:bookmarkEnd w:id="422"/>
      <w:bookmarkStart w:id="423" w:name="_Toc184314479"/>
      <w:bookmarkEnd w:id="423"/>
      <w:bookmarkStart w:id="424" w:name="_Toc184313266"/>
      <w:bookmarkEnd w:id="424"/>
      <w:bookmarkStart w:id="425" w:name="_Toc184313256"/>
      <w:bookmarkEnd w:id="425"/>
      <w:bookmarkStart w:id="426" w:name="_Toc184310319"/>
      <w:bookmarkEnd w:id="426"/>
      <w:bookmarkStart w:id="427" w:name="_Toc184314431"/>
      <w:bookmarkEnd w:id="427"/>
      <w:bookmarkStart w:id="428" w:name="_Toc184312105"/>
      <w:bookmarkEnd w:id="428"/>
      <w:bookmarkStart w:id="429" w:name="_Toc184310277"/>
      <w:bookmarkEnd w:id="429"/>
      <w:bookmarkStart w:id="430" w:name="_Toc184310316"/>
      <w:bookmarkEnd w:id="430"/>
      <w:bookmarkStart w:id="431" w:name="_Toc184308044"/>
      <w:bookmarkEnd w:id="431"/>
      <w:bookmarkStart w:id="432" w:name="_Toc184312122"/>
      <w:bookmarkEnd w:id="432"/>
      <w:bookmarkStart w:id="433" w:name="_Toc184308106"/>
      <w:bookmarkEnd w:id="433"/>
      <w:bookmarkStart w:id="434" w:name="_Toc184313262"/>
      <w:bookmarkEnd w:id="434"/>
      <w:bookmarkStart w:id="435" w:name="_Toc184310313"/>
      <w:bookmarkEnd w:id="435"/>
      <w:bookmarkStart w:id="436" w:name="_Toc184310311"/>
      <w:bookmarkEnd w:id="436"/>
      <w:bookmarkStart w:id="437" w:name="_Toc184310328"/>
      <w:bookmarkEnd w:id="437"/>
      <w:bookmarkStart w:id="438" w:name="_Toc184308077"/>
      <w:bookmarkEnd w:id="438"/>
      <w:bookmarkStart w:id="439" w:name="_Toc184314469"/>
      <w:bookmarkEnd w:id="439"/>
      <w:bookmarkStart w:id="440" w:name="_Toc184310306"/>
      <w:bookmarkEnd w:id="440"/>
      <w:bookmarkStart w:id="441" w:name="_Toc184313293"/>
      <w:bookmarkEnd w:id="441"/>
      <w:bookmarkStart w:id="442" w:name="_Toc184310339"/>
      <w:bookmarkEnd w:id="442"/>
      <w:bookmarkStart w:id="443" w:name="_Toc184313244"/>
      <w:bookmarkEnd w:id="443"/>
      <w:bookmarkStart w:id="444" w:name="_Toc184313303"/>
      <w:bookmarkEnd w:id="444"/>
      <w:bookmarkStart w:id="445" w:name="_Toc184308095"/>
      <w:bookmarkEnd w:id="445"/>
      <w:bookmarkStart w:id="446" w:name="_Toc184312116"/>
      <w:bookmarkEnd w:id="446"/>
      <w:bookmarkStart w:id="447" w:name="_Toc184312113"/>
      <w:bookmarkEnd w:id="447"/>
      <w:bookmarkStart w:id="448" w:name="_Toc184313265"/>
      <w:bookmarkEnd w:id="448"/>
      <w:bookmarkStart w:id="449" w:name="_Toc184313306"/>
      <w:bookmarkEnd w:id="449"/>
      <w:bookmarkStart w:id="450" w:name="_Toc184313285"/>
      <w:bookmarkEnd w:id="450"/>
      <w:bookmarkStart w:id="451" w:name="_Toc184308060"/>
      <w:bookmarkEnd w:id="451"/>
      <w:bookmarkStart w:id="452" w:name="_Toc184308043"/>
      <w:bookmarkEnd w:id="452"/>
      <w:bookmarkStart w:id="453" w:name="_Toc184313268"/>
      <w:bookmarkEnd w:id="453"/>
      <w:bookmarkStart w:id="454" w:name="_Toc184313300"/>
      <w:bookmarkEnd w:id="454"/>
      <w:bookmarkStart w:id="455" w:name="_Toc184312115"/>
      <w:bookmarkEnd w:id="455"/>
      <w:bookmarkStart w:id="456" w:name="_Toc184310312"/>
      <w:bookmarkEnd w:id="456"/>
      <w:bookmarkStart w:id="457" w:name="_Toc184308102"/>
      <w:bookmarkEnd w:id="457"/>
      <w:bookmarkStart w:id="458" w:name="_Toc184310280"/>
      <w:bookmarkEnd w:id="458"/>
      <w:bookmarkStart w:id="459" w:name="_Toc184313239"/>
      <w:bookmarkEnd w:id="459"/>
      <w:bookmarkStart w:id="460" w:name="_Toc184310338"/>
      <w:bookmarkEnd w:id="460"/>
      <w:bookmarkStart w:id="461" w:name="_Toc184313296"/>
      <w:bookmarkEnd w:id="461"/>
      <w:bookmarkStart w:id="462" w:name="_Toc184308099"/>
      <w:bookmarkEnd w:id="462"/>
      <w:bookmarkStart w:id="463" w:name="_Toc184308097"/>
      <w:bookmarkEnd w:id="463"/>
      <w:bookmarkStart w:id="464" w:name="_Toc184308104"/>
      <w:bookmarkEnd w:id="464"/>
      <w:bookmarkStart w:id="465" w:name="_Toc184312086"/>
      <w:bookmarkEnd w:id="465"/>
      <w:bookmarkStart w:id="466" w:name="_Toc184313247"/>
      <w:bookmarkEnd w:id="466"/>
      <w:bookmarkStart w:id="467" w:name="_Toc184310287"/>
      <w:bookmarkEnd w:id="467"/>
      <w:bookmarkStart w:id="468" w:name="_Toc184313246"/>
      <w:bookmarkEnd w:id="468"/>
      <w:bookmarkStart w:id="469" w:name="_Toc184312102"/>
      <w:bookmarkEnd w:id="469"/>
      <w:bookmarkStart w:id="470" w:name="_Toc184308038"/>
      <w:bookmarkEnd w:id="470"/>
      <w:bookmarkStart w:id="471" w:name="_Toc184308066"/>
      <w:bookmarkEnd w:id="471"/>
      <w:bookmarkStart w:id="472" w:name="_Toc184314463"/>
      <w:bookmarkEnd w:id="472"/>
      <w:bookmarkStart w:id="473" w:name="_Toc184312120"/>
      <w:bookmarkEnd w:id="473"/>
      <w:bookmarkStart w:id="474" w:name="_Toc184314422"/>
      <w:bookmarkEnd w:id="474"/>
      <w:bookmarkStart w:id="475" w:name="_Toc184308055"/>
      <w:bookmarkEnd w:id="475"/>
      <w:bookmarkStart w:id="476" w:name="_Toc184310341"/>
      <w:bookmarkEnd w:id="476"/>
      <w:bookmarkStart w:id="477" w:name="_Toc184314419"/>
      <w:bookmarkEnd w:id="477"/>
      <w:bookmarkStart w:id="478" w:name="_Toc184314475"/>
      <w:bookmarkEnd w:id="478"/>
      <w:bookmarkStart w:id="479" w:name="_Toc184308058"/>
      <w:bookmarkEnd w:id="479"/>
      <w:r>
        <w:rPr>
          <w:rFonts w:hint="eastAsia" w:ascii="宋体" w:hAnsi="宋体" w:eastAsia="宋体"/>
          <w:b/>
          <w:color w:val="auto"/>
          <w:sz w:val="36"/>
          <w:szCs w:val="36"/>
          <w:highlight w:val="none"/>
        </w:rPr>
        <w:br w:type="page"/>
      </w:r>
      <w:bookmarkStart w:id="480" w:name="_Toc16340"/>
      <w:r>
        <w:rPr>
          <w:rFonts w:hint="eastAsia" w:ascii="宋体" w:hAnsi="宋体" w:eastAsia="宋体"/>
          <w:b/>
          <w:color w:val="auto"/>
          <w:sz w:val="36"/>
          <w:szCs w:val="36"/>
          <w:highlight w:val="none"/>
        </w:rPr>
        <w:t>第四部分   评标办法</w:t>
      </w:r>
      <w:bookmarkEnd w:id="480"/>
    </w:p>
    <w:p w14:paraId="41AEED19">
      <w:pPr>
        <w:snapToGrid w:val="0"/>
        <w:spacing w:line="360" w:lineRule="auto"/>
        <w:jc w:val="center"/>
        <w:outlineLvl w:val="0"/>
        <w:rPr>
          <w:rFonts w:hint="eastAsia" w:ascii="宋体" w:hAnsi="宋体" w:eastAsia="宋体"/>
          <w:b/>
          <w:color w:val="auto"/>
          <w:sz w:val="28"/>
          <w:szCs w:val="28"/>
          <w:highlight w:val="none"/>
        </w:rPr>
      </w:pPr>
      <w:bookmarkStart w:id="481" w:name="_Toc32156"/>
      <w:bookmarkEnd w:id="481"/>
      <w:bookmarkStart w:id="482" w:name="_Toc7203"/>
      <w:r>
        <w:rPr>
          <w:rFonts w:hint="eastAsia" w:ascii="宋体" w:hAnsi="宋体" w:eastAsia="宋体"/>
          <w:b/>
          <w:color w:val="auto"/>
          <w:sz w:val="28"/>
          <w:szCs w:val="28"/>
          <w:highlight w:val="none"/>
        </w:rPr>
        <w:t>评标办法前附表</w:t>
      </w:r>
      <w:bookmarkEnd w:id="482"/>
    </w:p>
    <w:tbl>
      <w:tblPr>
        <w:tblStyle w:val="5"/>
        <w:tblW w:w="4881" w:type="pct"/>
        <w:tblInd w:w="3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46"/>
        <w:gridCol w:w="819"/>
        <w:gridCol w:w="8153"/>
      </w:tblGrid>
      <w:tr w14:paraId="20F9E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64" w:hRule="atLeast"/>
        </w:trPr>
        <w:tc>
          <w:tcPr>
            <w:tcW w:w="446" w:type="dxa"/>
            <w:vMerge w:val="restart"/>
            <w:vAlign w:val="center"/>
          </w:tcPr>
          <w:p w14:paraId="651DA453">
            <w:pPr>
              <w:keepNext w:val="0"/>
              <w:keepLines w:val="0"/>
              <w:pageBreakBefore w:val="0"/>
              <w:widowControl w:val="0"/>
              <w:kinsoku/>
              <w:wordWrap/>
              <w:overflowPunct/>
              <w:topLinePunct w:val="0"/>
              <w:bidi w:val="0"/>
              <w:snapToGrid/>
              <w:spacing w:line="480" w:lineRule="exact"/>
              <w:contextualSpacing/>
              <w:jc w:val="center"/>
              <w:rPr>
                <w:rFonts w:hint="eastAsia" w:ascii="宋体" w:hAnsi="宋体"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rPr>
              <w:t>技</w:t>
            </w:r>
          </w:p>
          <w:p w14:paraId="2B444543">
            <w:pPr>
              <w:keepNext w:val="0"/>
              <w:keepLines w:val="0"/>
              <w:pageBreakBefore w:val="0"/>
              <w:widowControl w:val="0"/>
              <w:kinsoku/>
              <w:wordWrap/>
              <w:overflowPunct/>
              <w:topLinePunct w:val="0"/>
              <w:bidi w:val="0"/>
              <w:snapToGrid/>
              <w:spacing w:line="480" w:lineRule="exact"/>
              <w:contextualSpacing/>
              <w:jc w:val="center"/>
              <w:rPr>
                <w:rFonts w:hint="eastAsia" w:ascii="宋体" w:hAnsi="宋体"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rPr>
              <w:t>术</w:t>
            </w:r>
          </w:p>
          <w:p w14:paraId="340466C8">
            <w:pPr>
              <w:keepNext w:val="0"/>
              <w:keepLines w:val="0"/>
              <w:pageBreakBefore w:val="0"/>
              <w:widowControl w:val="0"/>
              <w:kinsoku/>
              <w:wordWrap/>
              <w:overflowPunct/>
              <w:topLinePunct w:val="0"/>
              <w:bidi w:val="0"/>
              <w:snapToGrid/>
              <w:spacing w:line="480" w:lineRule="exact"/>
              <w:contextualSpacing/>
              <w:jc w:val="center"/>
              <w:rPr>
                <w:rFonts w:hint="eastAsia" w:ascii="宋体" w:hAnsi="宋体"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rPr>
              <w:t>分</w:t>
            </w:r>
          </w:p>
          <w:p w14:paraId="57DC8125">
            <w:pPr>
              <w:keepNext w:val="0"/>
              <w:keepLines w:val="0"/>
              <w:pageBreakBefore w:val="0"/>
              <w:widowControl w:val="0"/>
              <w:kinsoku/>
              <w:wordWrap/>
              <w:overflowPunct/>
              <w:topLinePunct w:val="0"/>
              <w:bidi w:val="0"/>
              <w:snapToGrid/>
              <w:spacing w:line="480" w:lineRule="exact"/>
              <w:contextualSpacing/>
              <w:jc w:val="center"/>
              <w:rPr>
                <w:rFonts w:hint="eastAsia" w:ascii="宋体" w:hAnsi="宋体"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rPr>
              <w:t>40</w:t>
            </w:r>
          </w:p>
          <w:p w14:paraId="291DE1F0">
            <w:pPr>
              <w:keepNext w:val="0"/>
              <w:keepLines w:val="0"/>
              <w:pageBreakBefore w:val="0"/>
              <w:widowControl w:val="0"/>
              <w:kinsoku/>
              <w:wordWrap/>
              <w:overflowPunct/>
              <w:topLinePunct w:val="0"/>
              <w:bidi w:val="0"/>
              <w:snapToGrid/>
              <w:spacing w:line="480" w:lineRule="exact"/>
              <w:contextualSpacing/>
              <w:jc w:val="center"/>
              <w:rPr>
                <w:rFonts w:hint="eastAsia" w:ascii="宋体" w:hAnsi="宋体"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rPr>
              <w:t>分</w:t>
            </w:r>
          </w:p>
        </w:tc>
        <w:tc>
          <w:tcPr>
            <w:tcW w:w="818" w:type="dxa"/>
            <w:vAlign w:val="center"/>
          </w:tcPr>
          <w:p w14:paraId="013EB5D6">
            <w:pPr>
              <w:spacing w:line="400" w:lineRule="exact"/>
              <w:ind w:left="105" w:leftChars="50" w:right="113" w:rightChars="0"/>
              <w:contextualSpacing/>
              <w:jc w:val="center"/>
              <w:rPr>
                <w:rFonts w:hint="eastAsia" w:ascii="宋体" w:hAnsi="宋体" w:eastAsia="宋体"/>
                <w:b/>
                <w:color w:val="auto"/>
                <w:sz w:val="21"/>
                <w:szCs w:val="21"/>
                <w:highlight w:val="none"/>
                <w:shd w:val="clear" w:color="auto" w:fill="auto"/>
              </w:rPr>
            </w:pPr>
            <w:r>
              <w:rPr>
                <w:rFonts w:hint="eastAsia" w:ascii="宋体" w:hAnsi="宋体" w:eastAsia="宋体"/>
                <w:b/>
                <w:color w:val="auto"/>
                <w:sz w:val="21"/>
                <w:szCs w:val="21"/>
                <w:highlight w:val="none"/>
                <w:shd w:val="clear" w:color="auto" w:fill="auto"/>
              </w:rPr>
              <w:t>商务条款响应（</w:t>
            </w:r>
            <w:r>
              <w:rPr>
                <w:rFonts w:hint="eastAsia" w:ascii="宋体" w:hAnsi="宋体"/>
                <w:b/>
                <w:color w:val="auto"/>
                <w:sz w:val="21"/>
                <w:szCs w:val="21"/>
                <w:highlight w:val="none"/>
                <w:shd w:val="clear" w:color="auto" w:fill="auto"/>
                <w:lang w:val="en-US" w:eastAsia="zh-CN"/>
              </w:rPr>
              <w:t>9</w:t>
            </w:r>
            <w:r>
              <w:rPr>
                <w:rFonts w:hint="eastAsia" w:ascii="宋体" w:hAnsi="宋体" w:eastAsia="宋体"/>
                <w:b/>
                <w:color w:val="auto"/>
                <w:sz w:val="21"/>
                <w:szCs w:val="21"/>
                <w:highlight w:val="none"/>
                <w:shd w:val="clear" w:color="auto" w:fill="auto"/>
              </w:rPr>
              <w:t>分）</w:t>
            </w:r>
          </w:p>
        </w:tc>
        <w:tc>
          <w:tcPr>
            <w:tcW w:w="8145" w:type="dxa"/>
            <w:shd w:val="clear" w:color="auto" w:fill="FFFFFF"/>
            <w:vAlign w:val="center"/>
          </w:tcPr>
          <w:p w14:paraId="3F4A6B30">
            <w:pPr>
              <w:keepNext w:val="0"/>
              <w:keepLines w:val="0"/>
              <w:pageBreakBefore w:val="0"/>
              <w:widowControl w:val="0"/>
              <w:kinsoku/>
              <w:wordWrap/>
              <w:overflowPunct/>
              <w:topLinePunct w:val="0"/>
              <w:bidi w:val="0"/>
              <w:snapToGrid/>
              <w:spacing w:line="480" w:lineRule="exact"/>
              <w:ind w:left="105" w:leftChars="50"/>
              <w:contextualSpacing/>
              <w:rPr>
                <w:rFonts w:hint="eastAsia" w:ascii="宋体" w:hAnsi="宋体" w:eastAsia="宋体"/>
                <w:color w:val="auto"/>
                <w:kern w:val="0"/>
                <w:sz w:val="21"/>
                <w:szCs w:val="21"/>
                <w:highlight w:val="none"/>
                <w:shd w:val="clear" w:color="auto" w:fill="auto"/>
              </w:rPr>
            </w:pPr>
            <w:r>
              <w:rPr>
                <w:rFonts w:hint="eastAsia" w:ascii="宋体" w:hAnsi="宋体" w:eastAsia="宋体"/>
                <w:color w:val="auto"/>
                <w:kern w:val="0"/>
                <w:sz w:val="21"/>
                <w:szCs w:val="21"/>
                <w:highlight w:val="none"/>
                <w:shd w:val="clear" w:color="auto" w:fill="auto"/>
              </w:rPr>
              <w:t>由评委根据投标</w:t>
            </w:r>
            <w:r>
              <w:rPr>
                <w:rFonts w:hint="eastAsia" w:ascii="宋体" w:hAnsi="宋体" w:eastAsia="宋体"/>
                <w:color w:val="auto"/>
                <w:kern w:val="0"/>
                <w:sz w:val="21"/>
                <w:szCs w:val="21"/>
                <w:highlight w:val="none"/>
                <w:shd w:val="clear" w:color="auto" w:fill="auto"/>
                <w:lang w:val="en-US" w:eastAsia="zh-CN"/>
              </w:rPr>
              <w:t>供应商</w:t>
            </w:r>
            <w:r>
              <w:rPr>
                <w:rFonts w:hint="eastAsia" w:ascii="宋体" w:hAnsi="宋体" w:eastAsia="宋体"/>
                <w:color w:val="auto"/>
                <w:sz w:val="21"/>
                <w:szCs w:val="21"/>
                <w:highlight w:val="none"/>
                <w:shd w:val="clear" w:color="auto" w:fill="auto"/>
                <w:lang w:val="en-US" w:eastAsia="zh-CN"/>
              </w:rPr>
              <w:t>对</w:t>
            </w:r>
            <w:r>
              <w:rPr>
                <w:rFonts w:hint="eastAsia" w:ascii="宋体" w:hAnsi="宋体" w:eastAsia="宋体"/>
                <w:color w:val="auto"/>
                <w:sz w:val="21"/>
                <w:szCs w:val="21"/>
                <w:highlight w:val="none"/>
                <w:shd w:val="clear" w:color="auto" w:fill="auto"/>
              </w:rPr>
              <w:t>招标文件</w:t>
            </w:r>
            <w:r>
              <w:rPr>
                <w:rFonts w:hint="eastAsia" w:ascii="宋体" w:hAnsi="宋体" w:eastAsia="宋体"/>
                <w:color w:val="auto"/>
                <w:kern w:val="0"/>
                <w:sz w:val="21"/>
                <w:szCs w:val="21"/>
                <w:highlight w:val="none"/>
                <w:shd w:val="clear" w:color="auto" w:fill="auto"/>
              </w:rPr>
              <w:t>“第</w:t>
            </w:r>
            <w:r>
              <w:rPr>
                <w:rFonts w:hint="eastAsia" w:ascii="宋体" w:hAnsi="宋体" w:eastAsia="宋体"/>
                <w:color w:val="auto"/>
                <w:kern w:val="0"/>
                <w:sz w:val="21"/>
                <w:szCs w:val="21"/>
                <w:highlight w:val="none"/>
                <w:shd w:val="clear" w:color="auto" w:fill="auto"/>
                <w:lang w:val="en-US" w:eastAsia="zh-CN"/>
              </w:rPr>
              <w:t>三部分</w:t>
            </w:r>
            <w:r>
              <w:rPr>
                <w:rFonts w:hint="eastAsia" w:ascii="宋体" w:hAnsi="宋体" w:eastAsia="宋体"/>
                <w:color w:val="auto"/>
                <w:kern w:val="0"/>
                <w:sz w:val="21"/>
                <w:szCs w:val="21"/>
                <w:highlight w:val="none"/>
                <w:shd w:val="clear" w:color="auto" w:fill="auto"/>
              </w:rPr>
              <w:t xml:space="preserve"> </w:t>
            </w:r>
            <w:r>
              <w:rPr>
                <w:rFonts w:hint="eastAsia" w:ascii="宋体" w:hAnsi="宋体" w:eastAsia="宋体"/>
                <w:color w:val="auto"/>
                <w:kern w:val="0"/>
                <w:sz w:val="21"/>
                <w:szCs w:val="21"/>
                <w:highlight w:val="none"/>
                <w:shd w:val="clear" w:color="auto" w:fill="auto"/>
                <w:lang w:val="en-US" w:eastAsia="zh-CN"/>
              </w:rPr>
              <w:t>采购</w:t>
            </w:r>
            <w:r>
              <w:rPr>
                <w:rFonts w:hint="eastAsia" w:ascii="宋体" w:hAnsi="宋体" w:eastAsia="宋体"/>
                <w:color w:val="auto"/>
                <w:kern w:val="0"/>
                <w:sz w:val="21"/>
                <w:szCs w:val="21"/>
                <w:highlight w:val="none"/>
                <w:shd w:val="clear" w:color="auto" w:fill="auto"/>
              </w:rPr>
              <w:t>需求”</w:t>
            </w:r>
            <w:r>
              <w:rPr>
                <w:rFonts w:hint="eastAsia" w:ascii="宋体" w:hAnsi="宋体" w:eastAsia="宋体"/>
                <w:color w:val="auto"/>
                <w:sz w:val="21"/>
                <w:szCs w:val="21"/>
                <w:highlight w:val="none"/>
                <w:shd w:val="clear" w:color="auto" w:fill="auto"/>
              </w:rPr>
              <w:t>商务条款要求的</w:t>
            </w:r>
            <w:r>
              <w:rPr>
                <w:rFonts w:hint="eastAsia" w:ascii="宋体" w:hAnsi="宋体" w:eastAsia="宋体"/>
                <w:color w:val="auto"/>
                <w:kern w:val="0"/>
                <w:sz w:val="21"/>
                <w:szCs w:val="21"/>
                <w:highlight w:val="none"/>
                <w:shd w:val="clear" w:color="auto" w:fill="auto"/>
              </w:rPr>
              <w:t>响应进行评议</w:t>
            </w:r>
            <w:r>
              <w:rPr>
                <w:rFonts w:hint="eastAsia" w:ascii="宋体" w:hAnsi="宋体" w:eastAsia="宋体"/>
                <w:color w:val="auto"/>
                <w:sz w:val="21"/>
                <w:szCs w:val="21"/>
                <w:highlight w:val="none"/>
                <w:shd w:val="clear" w:color="auto" w:fill="auto"/>
              </w:rPr>
              <w:t>。</w:t>
            </w:r>
            <w:r>
              <w:rPr>
                <w:rFonts w:hint="eastAsia" w:ascii="宋体" w:hAnsi="宋体" w:eastAsia="宋体"/>
                <w:b/>
                <w:color w:val="auto"/>
                <w:kern w:val="0"/>
                <w:sz w:val="21"/>
                <w:szCs w:val="21"/>
                <w:highlight w:val="none"/>
                <w:shd w:val="clear" w:color="auto" w:fill="auto"/>
              </w:rPr>
              <w:t>标注“</w:t>
            </w:r>
            <w:r>
              <w:rPr>
                <w:rFonts w:hint="eastAsia" w:ascii="宋体" w:hAnsi="宋体" w:eastAsia="宋体"/>
                <w:b/>
                <w:color w:val="auto"/>
                <w:sz w:val="21"/>
                <w:szCs w:val="21"/>
                <w:highlight w:val="none"/>
                <w:shd w:val="clear" w:color="auto" w:fill="auto"/>
              </w:rPr>
              <w:t>★</w:t>
            </w:r>
            <w:r>
              <w:rPr>
                <w:rFonts w:hint="eastAsia" w:ascii="宋体" w:hAnsi="宋体" w:eastAsia="宋体"/>
                <w:b/>
                <w:color w:val="auto"/>
                <w:kern w:val="0"/>
                <w:sz w:val="21"/>
                <w:szCs w:val="21"/>
                <w:highlight w:val="none"/>
                <w:shd w:val="clear" w:color="auto" w:fill="auto"/>
              </w:rPr>
              <w:t>”的招标要求的未响应或负偏离的，将导致投标无效；</w:t>
            </w:r>
            <w:r>
              <w:rPr>
                <w:rFonts w:hint="eastAsia" w:ascii="宋体" w:hAnsi="宋体" w:eastAsia="宋体"/>
                <w:b/>
                <w:bCs/>
                <w:color w:val="auto"/>
                <w:sz w:val="21"/>
                <w:szCs w:val="21"/>
                <w:highlight w:val="none"/>
                <w:shd w:val="clear" w:color="auto" w:fill="auto"/>
              </w:rPr>
              <w:t>对招标文件未标注“</w:t>
            </w:r>
            <w:r>
              <w:rPr>
                <w:rFonts w:hint="eastAsia" w:ascii="宋体" w:hAnsi="宋体" w:eastAsia="宋体"/>
                <w:b/>
                <w:color w:val="auto"/>
                <w:sz w:val="21"/>
                <w:szCs w:val="21"/>
                <w:highlight w:val="none"/>
                <w:shd w:val="clear" w:color="auto" w:fill="auto"/>
              </w:rPr>
              <w:t>★</w:t>
            </w:r>
            <w:r>
              <w:rPr>
                <w:rFonts w:hint="eastAsia" w:ascii="宋体" w:hAnsi="宋体" w:eastAsia="宋体"/>
                <w:b/>
                <w:bCs/>
                <w:color w:val="auto"/>
                <w:sz w:val="21"/>
                <w:szCs w:val="21"/>
                <w:highlight w:val="none"/>
                <w:shd w:val="clear" w:color="auto" w:fill="auto"/>
              </w:rPr>
              <w:t>”的商务条款</w:t>
            </w:r>
            <w:r>
              <w:rPr>
                <w:rFonts w:hint="eastAsia" w:ascii="宋体" w:hAnsi="宋体" w:eastAsia="宋体"/>
                <w:b/>
                <w:bCs/>
                <w:color w:val="auto"/>
                <w:kern w:val="0"/>
                <w:sz w:val="21"/>
                <w:szCs w:val="21"/>
                <w:highlight w:val="none"/>
                <w:shd w:val="clear" w:color="auto" w:fill="auto"/>
              </w:rPr>
              <w:t>未响应或</w:t>
            </w:r>
            <w:r>
              <w:rPr>
                <w:rFonts w:hint="eastAsia" w:ascii="宋体" w:hAnsi="宋体" w:eastAsia="宋体"/>
                <w:b/>
                <w:bCs/>
                <w:color w:val="auto"/>
                <w:sz w:val="21"/>
                <w:szCs w:val="21"/>
                <w:highlight w:val="none"/>
                <w:shd w:val="clear" w:color="auto" w:fill="auto"/>
              </w:rPr>
              <w:t>负偏离的</w:t>
            </w:r>
            <w:r>
              <w:rPr>
                <w:rFonts w:hint="eastAsia" w:ascii="宋体" w:hAnsi="宋体" w:eastAsia="宋体"/>
                <w:b/>
                <w:bCs/>
                <w:color w:val="auto"/>
                <w:sz w:val="21"/>
                <w:szCs w:val="21"/>
                <w:highlight w:val="none"/>
                <w:shd w:val="clear" w:color="auto" w:fill="auto"/>
                <w:lang w:val="en-US" w:eastAsia="zh-CN"/>
              </w:rPr>
              <w:t>每负条扣</w:t>
            </w:r>
            <w:r>
              <w:rPr>
                <w:rFonts w:hint="eastAsia" w:ascii="宋体" w:hAnsi="宋体"/>
                <w:b/>
                <w:bCs/>
                <w:color w:val="auto"/>
                <w:sz w:val="21"/>
                <w:szCs w:val="21"/>
                <w:highlight w:val="none"/>
                <w:shd w:val="clear" w:color="auto" w:fill="auto"/>
                <w:lang w:val="en-US" w:eastAsia="zh-CN"/>
              </w:rPr>
              <w:t>3</w:t>
            </w:r>
            <w:r>
              <w:rPr>
                <w:rFonts w:hint="eastAsia" w:ascii="宋体" w:hAnsi="宋体" w:eastAsia="宋体"/>
                <w:b/>
                <w:bCs/>
                <w:color w:val="auto"/>
                <w:sz w:val="21"/>
                <w:szCs w:val="21"/>
                <w:highlight w:val="none"/>
                <w:shd w:val="clear" w:color="auto" w:fill="auto"/>
                <w:lang w:val="en-US" w:eastAsia="zh-CN"/>
              </w:rPr>
              <w:t>分</w:t>
            </w:r>
            <w:r>
              <w:rPr>
                <w:rFonts w:hint="eastAsia" w:ascii="宋体" w:hAnsi="宋体" w:eastAsia="宋体"/>
                <w:b/>
                <w:bCs/>
                <w:color w:val="auto"/>
                <w:sz w:val="21"/>
                <w:szCs w:val="21"/>
                <w:highlight w:val="none"/>
                <w:shd w:val="clear" w:color="auto" w:fill="auto"/>
                <w:lang w:eastAsia="zh-CN"/>
              </w:rPr>
              <w:t>，</w:t>
            </w:r>
            <w:r>
              <w:rPr>
                <w:rFonts w:hint="eastAsia" w:ascii="宋体" w:hAnsi="宋体" w:eastAsia="宋体"/>
                <w:b/>
                <w:color w:val="auto"/>
                <w:kern w:val="0"/>
                <w:sz w:val="21"/>
                <w:szCs w:val="21"/>
                <w:highlight w:val="none"/>
                <w:shd w:val="clear" w:color="auto" w:fill="auto"/>
              </w:rPr>
              <w:t>超过3条将导致投标无效</w:t>
            </w:r>
            <w:r>
              <w:rPr>
                <w:rFonts w:hint="eastAsia" w:ascii="宋体" w:hAnsi="宋体" w:eastAsia="宋体"/>
                <w:b/>
                <w:bCs/>
                <w:color w:val="auto"/>
                <w:sz w:val="21"/>
                <w:szCs w:val="21"/>
                <w:highlight w:val="none"/>
                <w:shd w:val="clear" w:color="auto" w:fill="auto"/>
              </w:rPr>
              <w:t>。</w:t>
            </w:r>
          </w:p>
        </w:tc>
      </w:tr>
      <w:tr w14:paraId="0269E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7" w:hRule="atLeast"/>
        </w:trPr>
        <w:tc>
          <w:tcPr>
            <w:tcW w:w="446" w:type="dxa"/>
            <w:vMerge w:val="continue"/>
            <w:vAlign w:val="center"/>
          </w:tcPr>
          <w:p w14:paraId="38E91772">
            <w:pPr>
              <w:keepNext w:val="0"/>
              <w:keepLines w:val="0"/>
              <w:pageBreakBefore w:val="0"/>
              <w:widowControl w:val="0"/>
              <w:kinsoku/>
              <w:wordWrap/>
              <w:overflowPunct/>
              <w:topLinePunct w:val="0"/>
              <w:bidi w:val="0"/>
              <w:snapToGrid/>
              <w:spacing w:line="480" w:lineRule="exact"/>
              <w:ind w:left="113" w:right="113"/>
              <w:contextualSpacing/>
              <w:rPr>
                <w:rFonts w:hint="eastAsia" w:ascii="宋体" w:hAnsi="宋体" w:eastAsia="宋体"/>
                <w:color w:val="auto"/>
                <w:sz w:val="21"/>
                <w:szCs w:val="21"/>
                <w:highlight w:val="none"/>
                <w:shd w:val="clear" w:color="auto" w:fill="auto"/>
              </w:rPr>
            </w:pPr>
          </w:p>
        </w:tc>
        <w:tc>
          <w:tcPr>
            <w:tcW w:w="818" w:type="dxa"/>
            <w:vAlign w:val="center"/>
          </w:tcPr>
          <w:p w14:paraId="490AB52C">
            <w:pPr>
              <w:spacing w:line="400" w:lineRule="exact"/>
              <w:ind w:left="105" w:leftChars="50" w:right="113" w:rightChars="0"/>
              <w:contextualSpacing/>
              <w:jc w:val="center"/>
              <w:rPr>
                <w:rFonts w:hint="eastAsia" w:ascii="宋体" w:hAnsi="宋体" w:eastAsia="宋体"/>
                <w:b/>
                <w:color w:val="auto"/>
                <w:kern w:val="0"/>
                <w:sz w:val="21"/>
                <w:szCs w:val="21"/>
                <w:highlight w:val="none"/>
                <w:shd w:val="clear" w:color="auto" w:fill="auto"/>
              </w:rPr>
            </w:pPr>
            <w:r>
              <w:rPr>
                <w:rFonts w:hint="eastAsia" w:ascii="宋体" w:hAnsi="宋体" w:eastAsia="宋体"/>
                <w:b/>
                <w:color w:val="auto"/>
                <w:kern w:val="0"/>
                <w:sz w:val="21"/>
                <w:szCs w:val="21"/>
                <w:highlight w:val="none"/>
                <w:shd w:val="clear" w:color="auto" w:fill="auto"/>
              </w:rPr>
              <w:t>技术响应（</w:t>
            </w:r>
            <w:r>
              <w:rPr>
                <w:rFonts w:hint="eastAsia" w:ascii="宋体" w:hAnsi="宋体" w:eastAsia="宋体"/>
                <w:b/>
                <w:color w:val="auto"/>
                <w:kern w:val="0"/>
                <w:sz w:val="21"/>
                <w:szCs w:val="21"/>
                <w:highlight w:val="none"/>
                <w:shd w:val="clear" w:color="auto" w:fill="auto"/>
                <w:lang w:val="en-US" w:eastAsia="zh-CN"/>
              </w:rPr>
              <w:t>9</w:t>
            </w:r>
            <w:r>
              <w:rPr>
                <w:rFonts w:hint="eastAsia" w:ascii="宋体" w:hAnsi="宋体" w:eastAsia="宋体"/>
                <w:b/>
                <w:color w:val="auto"/>
                <w:kern w:val="0"/>
                <w:sz w:val="21"/>
                <w:szCs w:val="21"/>
                <w:highlight w:val="none"/>
                <w:shd w:val="clear" w:color="auto" w:fill="auto"/>
              </w:rPr>
              <w:t>分）</w:t>
            </w:r>
          </w:p>
        </w:tc>
        <w:tc>
          <w:tcPr>
            <w:tcW w:w="8145" w:type="dxa"/>
            <w:vAlign w:val="center"/>
          </w:tcPr>
          <w:p w14:paraId="6FF80491">
            <w:pPr>
              <w:pStyle w:val="18"/>
              <w:keepNext w:val="0"/>
              <w:keepLines w:val="0"/>
              <w:pageBreakBefore w:val="0"/>
              <w:widowControl w:val="0"/>
              <w:numPr>
                <w:ilvl w:val="0"/>
                <w:numId w:val="0"/>
              </w:numPr>
              <w:kinsoku/>
              <w:wordWrap/>
              <w:overflowPunct/>
              <w:topLinePunct w:val="0"/>
              <w:bidi w:val="0"/>
              <w:snapToGrid/>
              <w:spacing w:line="480" w:lineRule="exact"/>
              <w:ind w:firstLine="210" w:firstLineChars="100"/>
              <w:rPr>
                <w:rFonts w:hint="eastAsia" w:ascii="宋体" w:hAnsi="宋体" w:eastAsia="宋体"/>
                <w:color w:val="auto"/>
                <w:kern w:val="0"/>
                <w:sz w:val="21"/>
                <w:szCs w:val="21"/>
                <w:highlight w:val="none"/>
                <w:shd w:val="clear" w:color="auto" w:fill="auto"/>
              </w:rPr>
            </w:pPr>
            <w:r>
              <w:rPr>
                <w:rFonts w:hint="eastAsia" w:ascii="宋体" w:hAnsi="宋体" w:eastAsia="宋体"/>
                <w:color w:val="auto"/>
                <w:kern w:val="0"/>
                <w:sz w:val="21"/>
                <w:szCs w:val="21"/>
                <w:highlight w:val="none"/>
                <w:shd w:val="clear" w:color="auto" w:fill="auto"/>
              </w:rPr>
              <w:t>由评委根据投标</w:t>
            </w:r>
            <w:r>
              <w:rPr>
                <w:rFonts w:hint="eastAsia" w:ascii="宋体" w:hAnsi="宋体" w:eastAsia="宋体"/>
                <w:color w:val="auto"/>
                <w:kern w:val="0"/>
                <w:sz w:val="21"/>
                <w:szCs w:val="21"/>
                <w:highlight w:val="none"/>
                <w:shd w:val="clear" w:color="auto" w:fill="auto"/>
                <w:lang w:val="en-US" w:eastAsia="zh-CN"/>
              </w:rPr>
              <w:t>供应商</w:t>
            </w:r>
            <w:r>
              <w:rPr>
                <w:rFonts w:hint="eastAsia" w:ascii="宋体" w:hAnsi="宋体" w:eastAsia="宋体"/>
                <w:color w:val="auto"/>
                <w:kern w:val="0"/>
                <w:sz w:val="21"/>
                <w:szCs w:val="21"/>
                <w:highlight w:val="none"/>
                <w:shd w:val="clear" w:color="auto" w:fill="auto"/>
              </w:rPr>
              <w:t>对招标文件“第</w:t>
            </w:r>
            <w:r>
              <w:rPr>
                <w:rFonts w:hint="eastAsia" w:ascii="宋体" w:hAnsi="宋体" w:eastAsia="宋体"/>
                <w:color w:val="auto"/>
                <w:kern w:val="0"/>
                <w:sz w:val="21"/>
                <w:szCs w:val="21"/>
                <w:highlight w:val="none"/>
                <w:shd w:val="clear" w:color="auto" w:fill="auto"/>
                <w:lang w:val="en-US" w:eastAsia="zh-CN"/>
              </w:rPr>
              <w:t>三部分</w:t>
            </w:r>
            <w:r>
              <w:rPr>
                <w:rFonts w:hint="eastAsia" w:ascii="宋体" w:hAnsi="宋体" w:eastAsia="宋体"/>
                <w:color w:val="auto"/>
                <w:kern w:val="0"/>
                <w:sz w:val="21"/>
                <w:szCs w:val="21"/>
                <w:highlight w:val="none"/>
                <w:shd w:val="clear" w:color="auto" w:fill="auto"/>
              </w:rPr>
              <w:t xml:space="preserve"> </w:t>
            </w:r>
            <w:r>
              <w:rPr>
                <w:rFonts w:hint="eastAsia" w:ascii="宋体" w:hAnsi="宋体" w:eastAsia="宋体"/>
                <w:color w:val="auto"/>
                <w:kern w:val="0"/>
                <w:sz w:val="21"/>
                <w:szCs w:val="21"/>
                <w:highlight w:val="none"/>
                <w:shd w:val="clear" w:color="auto" w:fill="auto"/>
                <w:lang w:val="en-US" w:eastAsia="zh-CN"/>
              </w:rPr>
              <w:t>采购</w:t>
            </w:r>
            <w:r>
              <w:rPr>
                <w:rFonts w:hint="eastAsia" w:ascii="宋体" w:hAnsi="宋体" w:eastAsia="宋体"/>
                <w:color w:val="auto"/>
                <w:kern w:val="0"/>
                <w:sz w:val="21"/>
                <w:szCs w:val="21"/>
                <w:highlight w:val="none"/>
                <w:shd w:val="clear" w:color="auto" w:fill="auto"/>
              </w:rPr>
              <w:t>需求”中的</w:t>
            </w:r>
            <w:r>
              <w:rPr>
                <w:rFonts w:hint="eastAsia" w:ascii="宋体" w:hAnsi="宋体" w:eastAsia="宋体"/>
                <w:b/>
                <w:bCs/>
                <w:color w:val="auto"/>
                <w:sz w:val="21"/>
                <w:szCs w:val="21"/>
                <w:highlight w:val="none"/>
                <w:shd w:val="clear" w:color="auto" w:fill="auto"/>
              </w:rPr>
              <w:t>次氯酸钠</w:t>
            </w:r>
            <w:r>
              <w:rPr>
                <w:rFonts w:hint="eastAsia" w:ascii="宋体" w:hAnsi="宋体" w:eastAsia="宋体"/>
                <w:b/>
                <w:bCs/>
                <w:color w:val="auto"/>
                <w:sz w:val="21"/>
                <w:szCs w:val="21"/>
                <w:highlight w:val="none"/>
                <w:shd w:val="clear" w:color="auto" w:fill="auto"/>
                <w:lang w:val="en-US" w:eastAsia="zh-CN"/>
              </w:rPr>
              <w:t>及氢氧化钠主要指标</w:t>
            </w:r>
            <w:r>
              <w:rPr>
                <w:rFonts w:hint="eastAsia" w:ascii="宋体" w:hAnsi="宋体" w:eastAsia="宋体"/>
                <w:color w:val="auto"/>
                <w:kern w:val="0"/>
                <w:sz w:val="21"/>
                <w:szCs w:val="21"/>
                <w:highlight w:val="none"/>
                <w:shd w:val="clear" w:color="auto" w:fill="auto"/>
              </w:rPr>
              <w:t>的响应进行评议，对招标要求的未响应或负偏离的，每条扣3分。</w:t>
            </w:r>
            <w:r>
              <w:rPr>
                <w:rFonts w:hint="eastAsia" w:ascii="宋体" w:hAnsi="宋体" w:eastAsia="宋体"/>
                <w:b/>
                <w:color w:val="auto"/>
                <w:kern w:val="0"/>
                <w:sz w:val="21"/>
                <w:szCs w:val="21"/>
                <w:highlight w:val="none"/>
                <w:shd w:val="clear" w:color="auto" w:fill="auto"/>
              </w:rPr>
              <w:t>标注“</w:t>
            </w:r>
            <w:r>
              <w:rPr>
                <w:rFonts w:hint="eastAsia" w:ascii="宋体" w:hAnsi="宋体" w:eastAsia="宋体"/>
                <w:b/>
                <w:color w:val="auto"/>
                <w:sz w:val="21"/>
                <w:szCs w:val="21"/>
                <w:highlight w:val="none"/>
                <w:shd w:val="clear" w:color="auto" w:fill="auto"/>
              </w:rPr>
              <w:t>★</w:t>
            </w:r>
            <w:r>
              <w:rPr>
                <w:rFonts w:hint="eastAsia" w:ascii="宋体" w:hAnsi="宋体" w:eastAsia="宋体"/>
                <w:b/>
                <w:color w:val="auto"/>
                <w:kern w:val="0"/>
                <w:sz w:val="21"/>
                <w:szCs w:val="21"/>
                <w:highlight w:val="none"/>
                <w:shd w:val="clear" w:color="auto" w:fill="auto"/>
              </w:rPr>
              <w:t>”的招标要求的未响应或负偏离的将导致投标无效；</w:t>
            </w:r>
            <w:r>
              <w:rPr>
                <w:rFonts w:hint="eastAsia" w:ascii="宋体" w:hAnsi="宋体" w:eastAsia="宋体"/>
                <w:b/>
                <w:bCs/>
                <w:color w:val="auto"/>
                <w:sz w:val="21"/>
                <w:szCs w:val="21"/>
                <w:highlight w:val="none"/>
                <w:shd w:val="clear" w:color="auto" w:fill="auto"/>
              </w:rPr>
              <w:t>未标注“</w:t>
            </w:r>
            <w:r>
              <w:rPr>
                <w:rFonts w:hint="eastAsia" w:ascii="宋体" w:hAnsi="宋体" w:eastAsia="宋体"/>
                <w:b/>
                <w:color w:val="auto"/>
                <w:sz w:val="21"/>
                <w:szCs w:val="21"/>
                <w:highlight w:val="none"/>
                <w:shd w:val="clear" w:color="auto" w:fill="auto"/>
              </w:rPr>
              <w:t>★</w:t>
            </w:r>
            <w:r>
              <w:rPr>
                <w:rFonts w:hint="eastAsia" w:ascii="宋体" w:hAnsi="宋体" w:eastAsia="宋体"/>
                <w:b/>
                <w:bCs/>
                <w:color w:val="auto"/>
                <w:sz w:val="21"/>
                <w:szCs w:val="21"/>
                <w:highlight w:val="none"/>
                <w:shd w:val="clear" w:color="auto" w:fill="auto"/>
              </w:rPr>
              <w:t>”的</w:t>
            </w:r>
            <w:r>
              <w:rPr>
                <w:rFonts w:hint="eastAsia" w:ascii="宋体" w:hAnsi="宋体" w:eastAsia="宋体"/>
                <w:b/>
                <w:color w:val="auto"/>
                <w:kern w:val="0"/>
                <w:sz w:val="21"/>
                <w:szCs w:val="21"/>
                <w:highlight w:val="none"/>
                <w:shd w:val="clear" w:color="auto" w:fill="auto"/>
              </w:rPr>
              <w:t>招标要求的</w:t>
            </w:r>
            <w:r>
              <w:rPr>
                <w:rFonts w:hint="eastAsia" w:ascii="宋体" w:hAnsi="宋体" w:eastAsia="宋体"/>
                <w:b/>
                <w:bCs/>
                <w:color w:val="auto"/>
                <w:kern w:val="0"/>
                <w:sz w:val="21"/>
                <w:szCs w:val="21"/>
                <w:highlight w:val="none"/>
                <w:shd w:val="clear" w:color="auto" w:fill="auto"/>
              </w:rPr>
              <w:t>未响应或</w:t>
            </w:r>
            <w:r>
              <w:rPr>
                <w:rFonts w:hint="eastAsia" w:ascii="宋体" w:hAnsi="宋体" w:eastAsia="宋体"/>
                <w:b/>
                <w:bCs/>
                <w:color w:val="auto"/>
                <w:sz w:val="21"/>
                <w:szCs w:val="21"/>
                <w:highlight w:val="none"/>
                <w:shd w:val="clear" w:color="auto" w:fill="auto"/>
              </w:rPr>
              <w:t>负偏离</w:t>
            </w:r>
            <w:r>
              <w:rPr>
                <w:rFonts w:hint="eastAsia" w:ascii="宋体" w:hAnsi="宋体" w:eastAsia="宋体"/>
                <w:b/>
                <w:color w:val="auto"/>
                <w:kern w:val="0"/>
                <w:sz w:val="21"/>
                <w:szCs w:val="21"/>
                <w:highlight w:val="none"/>
                <w:shd w:val="clear" w:color="auto" w:fill="auto"/>
              </w:rPr>
              <w:t>超过3条将导致投标无效。</w:t>
            </w:r>
          </w:p>
        </w:tc>
      </w:tr>
      <w:tr w14:paraId="5A86A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53" w:hRule="atLeast"/>
        </w:trPr>
        <w:tc>
          <w:tcPr>
            <w:tcW w:w="446" w:type="dxa"/>
            <w:vMerge w:val="continue"/>
            <w:vAlign w:val="center"/>
          </w:tcPr>
          <w:p w14:paraId="1BE3CD78">
            <w:pPr>
              <w:keepNext w:val="0"/>
              <w:keepLines w:val="0"/>
              <w:pageBreakBefore w:val="0"/>
              <w:widowControl w:val="0"/>
              <w:kinsoku/>
              <w:wordWrap/>
              <w:overflowPunct/>
              <w:topLinePunct w:val="0"/>
              <w:bidi w:val="0"/>
              <w:snapToGrid/>
              <w:spacing w:line="480" w:lineRule="exact"/>
              <w:ind w:left="113" w:right="113"/>
              <w:contextualSpacing/>
              <w:rPr>
                <w:rFonts w:hint="eastAsia" w:ascii="宋体" w:hAnsi="宋体" w:eastAsia="宋体"/>
                <w:color w:val="auto"/>
                <w:sz w:val="21"/>
                <w:szCs w:val="21"/>
                <w:highlight w:val="none"/>
                <w:shd w:val="clear" w:color="auto" w:fill="auto"/>
              </w:rPr>
            </w:pPr>
          </w:p>
        </w:tc>
        <w:tc>
          <w:tcPr>
            <w:tcW w:w="818" w:type="dxa"/>
            <w:vAlign w:val="center"/>
          </w:tcPr>
          <w:p w14:paraId="74C189E0">
            <w:pPr>
              <w:spacing w:line="400" w:lineRule="exact"/>
              <w:ind w:left="105" w:leftChars="50" w:right="113" w:rightChars="0"/>
              <w:contextualSpacing/>
              <w:jc w:val="center"/>
              <w:rPr>
                <w:rFonts w:hint="eastAsia" w:ascii="宋体" w:hAnsi="宋体" w:eastAsia="宋体"/>
                <w:b/>
                <w:bCs/>
                <w:color w:val="auto"/>
                <w:sz w:val="21"/>
                <w:szCs w:val="21"/>
                <w:highlight w:val="none"/>
                <w:shd w:val="clear" w:color="FFFFFF" w:fill="D9D9D9"/>
              </w:rPr>
            </w:pPr>
            <w:r>
              <w:rPr>
                <w:rFonts w:hint="eastAsia" w:ascii="宋体" w:hAnsi="宋体" w:eastAsia="宋体"/>
                <w:b/>
                <w:color w:val="auto"/>
                <w:kern w:val="0"/>
                <w:sz w:val="21"/>
                <w:szCs w:val="21"/>
                <w:highlight w:val="none"/>
                <w:shd w:val="clear" w:color="auto" w:fill="auto"/>
              </w:rPr>
              <w:t>次氯酸钠主要指标评比（</w:t>
            </w:r>
            <w:r>
              <w:rPr>
                <w:rFonts w:hint="eastAsia" w:ascii="宋体" w:hAnsi="宋体"/>
                <w:b/>
                <w:color w:val="auto"/>
                <w:kern w:val="0"/>
                <w:sz w:val="21"/>
                <w:szCs w:val="21"/>
                <w:highlight w:val="none"/>
                <w:shd w:val="clear" w:color="auto" w:fill="auto"/>
                <w:lang w:val="en-US" w:eastAsia="zh-CN"/>
              </w:rPr>
              <w:t>2</w:t>
            </w:r>
            <w:r>
              <w:rPr>
                <w:rFonts w:hint="eastAsia" w:ascii="宋体" w:hAnsi="宋体" w:eastAsia="宋体"/>
                <w:b/>
                <w:color w:val="auto"/>
                <w:kern w:val="0"/>
                <w:sz w:val="21"/>
                <w:szCs w:val="21"/>
                <w:highlight w:val="none"/>
                <w:shd w:val="clear" w:color="auto" w:fill="auto"/>
              </w:rPr>
              <w:t>分）</w:t>
            </w:r>
          </w:p>
        </w:tc>
        <w:tc>
          <w:tcPr>
            <w:tcW w:w="8145" w:type="dxa"/>
            <w:vAlign w:val="center"/>
          </w:tcPr>
          <w:p w14:paraId="7EF3AF5E">
            <w:pPr>
              <w:keepNext w:val="0"/>
              <w:keepLines w:val="0"/>
              <w:pageBreakBefore w:val="0"/>
              <w:widowControl w:val="0"/>
              <w:kinsoku/>
              <w:wordWrap/>
              <w:overflowPunct/>
              <w:topLinePunct w:val="0"/>
              <w:bidi w:val="0"/>
              <w:snapToGrid/>
              <w:spacing w:line="480" w:lineRule="exact"/>
              <w:ind w:left="105" w:leftChars="50"/>
              <w:contextualSpacing/>
              <w:rPr>
                <w:rFonts w:hint="eastAsia" w:ascii="宋体" w:hAnsi="宋体"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rPr>
              <w:t>评委根据</w:t>
            </w:r>
            <w:r>
              <w:rPr>
                <w:rFonts w:hint="eastAsia" w:ascii="宋体" w:hAnsi="宋体" w:eastAsia="宋体"/>
                <w:color w:val="auto"/>
                <w:sz w:val="21"/>
                <w:szCs w:val="21"/>
                <w:highlight w:val="none"/>
                <w:shd w:val="clear" w:color="auto" w:fill="auto"/>
                <w:lang w:eastAsia="zh-CN"/>
              </w:rPr>
              <w:t>投标供应商</w:t>
            </w:r>
            <w:r>
              <w:rPr>
                <w:rFonts w:hint="eastAsia" w:ascii="宋体" w:hAnsi="宋体" w:eastAsia="宋体"/>
                <w:color w:val="auto"/>
                <w:sz w:val="21"/>
                <w:szCs w:val="21"/>
                <w:highlight w:val="none"/>
                <w:shd w:val="clear" w:color="auto" w:fill="auto"/>
              </w:rPr>
              <w:t>提供</w:t>
            </w:r>
            <w:r>
              <w:rPr>
                <w:rFonts w:hint="eastAsia" w:ascii="宋体" w:hAnsi="宋体" w:eastAsia="宋体"/>
                <w:color w:val="auto"/>
                <w:sz w:val="21"/>
                <w:szCs w:val="21"/>
                <w:highlight w:val="none"/>
                <w:shd w:val="clear" w:color="auto" w:fill="auto"/>
                <w:lang w:val="en-US" w:eastAsia="zh-CN"/>
              </w:rPr>
              <w:t>次氯酸钠检测报告数据中</w:t>
            </w:r>
            <w:r>
              <w:rPr>
                <w:rFonts w:hint="eastAsia" w:ascii="宋体" w:hAnsi="宋体" w:eastAsia="宋体"/>
                <w:color w:val="auto"/>
                <w:kern w:val="0"/>
                <w:sz w:val="21"/>
                <w:szCs w:val="21"/>
                <w:highlight w:val="none"/>
                <w:shd w:val="clear" w:color="auto" w:fill="auto"/>
              </w:rPr>
              <w:t>有效氯（以C1计）</w:t>
            </w:r>
            <w:r>
              <w:rPr>
                <w:rFonts w:hint="eastAsia" w:ascii="宋体" w:hAnsi="宋体" w:eastAsia="宋体"/>
                <w:color w:val="auto"/>
                <w:kern w:val="0"/>
                <w:sz w:val="21"/>
                <w:szCs w:val="21"/>
                <w:highlight w:val="none"/>
                <w:shd w:val="clear" w:color="auto" w:fill="auto"/>
                <w:lang w:eastAsia="zh-CN"/>
              </w:rPr>
              <w:t>、</w:t>
            </w:r>
            <w:r>
              <w:rPr>
                <w:rFonts w:hint="eastAsia" w:ascii="宋体" w:hAnsi="宋体" w:eastAsia="宋体"/>
                <w:color w:val="auto"/>
                <w:kern w:val="0"/>
                <w:sz w:val="21"/>
                <w:szCs w:val="21"/>
                <w:highlight w:val="none"/>
                <w:shd w:val="clear" w:color="auto" w:fill="auto"/>
              </w:rPr>
              <w:t>游离碱（以NaOH计）</w:t>
            </w:r>
            <w:r>
              <w:rPr>
                <w:rFonts w:hint="eastAsia" w:ascii="宋体" w:hAnsi="宋体" w:eastAsia="宋体"/>
                <w:color w:val="auto"/>
                <w:kern w:val="0"/>
                <w:sz w:val="21"/>
                <w:szCs w:val="21"/>
                <w:highlight w:val="none"/>
                <w:shd w:val="clear" w:color="auto" w:fill="auto"/>
                <w:lang w:eastAsia="zh-CN"/>
              </w:rPr>
              <w:t>、</w:t>
            </w:r>
            <w:r>
              <w:rPr>
                <w:rFonts w:hint="eastAsia" w:ascii="宋体" w:hAnsi="宋体" w:eastAsia="宋体"/>
                <w:color w:val="auto"/>
                <w:kern w:val="0"/>
                <w:sz w:val="21"/>
                <w:szCs w:val="21"/>
                <w:highlight w:val="none"/>
                <w:shd w:val="clear" w:color="auto" w:fill="auto"/>
              </w:rPr>
              <w:t>铁（Fe）重金属</w:t>
            </w:r>
            <w:r>
              <w:rPr>
                <w:rFonts w:hint="eastAsia" w:ascii="宋体" w:hAnsi="宋体" w:eastAsia="宋体"/>
                <w:color w:val="auto"/>
                <w:kern w:val="0"/>
                <w:sz w:val="21"/>
                <w:szCs w:val="21"/>
                <w:highlight w:val="none"/>
                <w:shd w:val="clear" w:color="auto" w:fill="auto"/>
                <w:lang w:eastAsia="zh-CN"/>
              </w:rPr>
              <w:t>、</w:t>
            </w:r>
            <w:r>
              <w:rPr>
                <w:rFonts w:hint="eastAsia" w:ascii="宋体" w:hAnsi="宋体" w:eastAsia="宋体"/>
                <w:color w:val="auto"/>
                <w:kern w:val="0"/>
                <w:sz w:val="21"/>
                <w:szCs w:val="21"/>
                <w:highlight w:val="none"/>
                <w:shd w:val="clear" w:color="auto" w:fill="auto"/>
              </w:rPr>
              <w:t>（以Pb计）</w:t>
            </w:r>
            <w:r>
              <w:rPr>
                <w:rFonts w:hint="eastAsia" w:ascii="宋体" w:hAnsi="宋体" w:eastAsia="宋体"/>
                <w:color w:val="auto"/>
                <w:kern w:val="0"/>
                <w:sz w:val="21"/>
                <w:szCs w:val="21"/>
                <w:highlight w:val="none"/>
                <w:shd w:val="clear" w:color="auto" w:fill="auto"/>
                <w:lang w:eastAsia="zh-CN"/>
              </w:rPr>
              <w:t>、</w:t>
            </w:r>
            <w:r>
              <w:rPr>
                <w:rFonts w:hint="eastAsia" w:ascii="宋体" w:hAnsi="宋体" w:eastAsia="宋体"/>
                <w:color w:val="auto"/>
                <w:kern w:val="0"/>
                <w:sz w:val="21"/>
                <w:szCs w:val="21"/>
                <w:highlight w:val="none"/>
                <w:shd w:val="clear" w:color="auto" w:fill="auto"/>
              </w:rPr>
              <w:t>砷（As）</w:t>
            </w:r>
            <w:r>
              <w:rPr>
                <w:rFonts w:hint="eastAsia" w:ascii="宋体" w:hAnsi="宋体" w:eastAsia="宋体"/>
                <w:color w:val="auto"/>
                <w:kern w:val="0"/>
                <w:sz w:val="21"/>
                <w:szCs w:val="21"/>
                <w:highlight w:val="none"/>
                <w:shd w:val="clear" w:color="auto" w:fill="auto"/>
                <w:lang w:eastAsia="zh-CN"/>
              </w:rPr>
              <w:t>的</w:t>
            </w:r>
            <w:r>
              <w:rPr>
                <w:rFonts w:hint="eastAsia" w:ascii="宋体" w:hAnsi="宋体" w:eastAsia="宋体"/>
                <w:color w:val="auto"/>
                <w:kern w:val="0"/>
                <w:sz w:val="21"/>
                <w:szCs w:val="21"/>
                <w:highlight w:val="none"/>
                <w:shd w:val="clear" w:color="auto" w:fill="auto"/>
                <w:lang w:val="en-US" w:eastAsia="zh-CN"/>
              </w:rPr>
              <w:t>数值进行综合评议：</w:t>
            </w:r>
            <w:r>
              <w:rPr>
                <w:rFonts w:hint="eastAsia" w:ascii="宋体" w:hAnsi="宋体" w:eastAsia="宋体"/>
                <w:color w:val="auto"/>
                <w:sz w:val="21"/>
                <w:szCs w:val="21"/>
                <w:highlight w:val="none"/>
                <w:shd w:val="clear" w:color="auto" w:fill="auto"/>
                <w:lang w:val="en-US" w:eastAsia="zh-CN"/>
              </w:rPr>
              <w:t>检测报告数据明显优于国标要求的得</w:t>
            </w:r>
            <w:r>
              <w:rPr>
                <w:rFonts w:hint="eastAsia" w:ascii="宋体" w:hAnsi="宋体"/>
                <w:color w:val="auto"/>
                <w:sz w:val="21"/>
                <w:szCs w:val="21"/>
                <w:highlight w:val="none"/>
                <w:shd w:val="clear" w:color="auto" w:fill="auto"/>
                <w:lang w:val="en-US" w:eastAsia="zh-CN"/>
              </w:rPr>
              <w:t>2</w:t>
            </w:r>
            <w:r>
              <w:rPr>
                <w:rFonts w:hint="eastAsia" w:ascii="宋体" w:hAnsi="宋体" w:eastAsia="宋体"/>
                <w:color w:val="auto"/>
                <w:sz w:val="21"/>
                <w:szCs w:val="21"/>
                <w:highlight w:val="none"/>
                <w:shd w:val="clear" w:color="auto" w:fill="auto"/>
                <w:lang w:val="en-US" w:eastAsia="zh-CN"/>
              </w:rPr>
              <w:t>分，检测报告数据符合国家标准且各项数据较国标有较大提升的得</w:t>
            </w:r>
            <w:r>
              <w:rPr>
                <w:rFonts w:hint="eastAsia" w:ascii="宋体" w:hAnsi="宋体"/>
                <w:color w:val="auto"/>
                <w:sz w:val="21"/>
                <w:szCs w:val="21"/>
                <w:highlight w:val="none"/>
                <w:shd w:val="clear" w:color="auto" w:fill="auto"/>
                <w:lang w:val="en-US" w:eastAsia="zh-CN"/>
              </w:rPr>
              <w:t>1.5</w:t>
            </w:r>
            <w:r>
              <w:rPr>
                <w:rFonts w:hint="eastAsia" w:ascii="宋体" w:hAnsi="宋体" w:eastAsia="宋体"/>
                <w:color w:val="auto"/>
                <w:sz w:val="21"/>
                <w:szCs w:val="21"/>
                <w:highlight w:val="none"/>
                <w:shd w:val="clear" w:color="auto" w:fill="auto"/>
                <w:lang w:val="en-US" w:eastAsia="zh-CN"/>
              </w:rPr>
              <w:t>分，检测报告数据符合国家标准但各项数据提升不明显的得</w:t>
            </w:r>
            <w:r>
              <w:rPr>
                <w:rFonts w:hint="eastAsia" w:ascii="宋体" w:hAnsi="宋体"/>
                <w:color w:val="auto"/>
                <w:sz w:val="21"/>
                <w:szCs w:val="21"/>
                <w:highlight w:val="none"/>
                <w:shd w:val="clear" w:color="auto" w:fill="auto"/>
                <w:lang w:val="en-US" w:eastAsia="zh-CN"/>
              </w:rPr>
              <w:t>1</w:t>
            </w:r>
            <w:r>
              <w:rPr>
                <w:rFonts w:hint="eastAsia" w:ascii="宋体" w:hAnsi="宋体" w:eastAsia="宋体"/>
                <w:color w:val="auto"/>
                <w:sz w:val="21"/>
                <w:szCs w:val="21"/>
                <w:highlight w:val="none"/>
                <w:shd w:val="clear" w:color="auto" w:fill="auto"/>
                <w:lang w:val="en-US" w:eastAsia="zh-CN"/>
              </w:rPr>
              <w:t>分。</w:t>
            </w:r>
          </w:p>
          <w:p w14:paraId="394211C1">
            <w:pPr>
              <w:keepNext w:val="0"/>
              <w:keepLines w:val="0"/>
              <w:pageBreakBefore w:val="0"/>
              <w:widowControl w:val="0"/>
              <w:suppressLineNumbers w:val="0"/>
              <w:kinsoku/>
              <w:wordWrap/>
              <w:overflowPunct/>
              <w:topLinePunct w:val="0"/>
              <w:bidi w:val="0"/>
              <w:snapToGrid/>
              <w:spacing w:before="0" w:beforeAutospacing="0" w:after="0" w:afterAutospacing="0" w:line="480" w:lineRule="exact"/>
              <w:ind w:left="0" w:right="0"/>
              <w:jc w:val="both"/>
              <w:rPr>
                <w:rFonts w:hint="eastAsia" w:ascii="宋体" w:hAnsi="宋体" w:eastAsia="宋体"/>
                <w:b/>
                <w:bCs/>
                <w:color w:val="auto"/>
                <w:sz w:val="21"/>
                <w:szCs w:val="21"/>
                <w:highlight w:val="none"/>
                <w:shd w:val="clear" w:color="auto" w:fill="auto"/>
              </w:rPr>
            </w:pPr>
            <w:r>
              <w:rPr>
                <w:rFonts w:hint="eastAsia" w:ascii="宋体" w:hAnsi="宋体" w:eastAsia="宋体"/>
                <w:b/>
                <w:bCs/>
                <w:color w:val="auto"/>
                <w:sz w:val="21"/>
                <w:szCs w:val="21"/>
                <w:highlight w:val="none"/>
                <w:shd w:val="clear" w:color="auto" w:fill="auto"/>
              </w:rPr>
              <w:t>注：</w:t>
            </w:r>
            <w:r>
              <w:rPr>
                <w:rFonts w:hint="eastAsia" w:ascii="宋体" w:hAnsi="宋体" w:eastAsia="宋体"/>
                <w:b/>
                <w:bCs/>
                <w:color w:val="auto"/>
                <w:sz w:val="21"/>
                <w:szCs w:val="21"/>
                <w:highlight w:val="none"/>
                <w:shd w:val="clear" w:color="auto" w:fill="auto"/>
                <w:lang w:val="en-US" w:eastAsia="zh-CN"/>
              </w:rPr>
              <w:t>1、检测报告中上述检测项目不全的该项不得分。2、提供检测报告复印件加盖公章，原件中标后备查。3、中标后采购人将按照投标供应商在投标时提供的检测报告中的各项数据进行抽检验收（实际供货中抽检数据与投标所提供的检测报告允许有10%的偏差，但不允许偏离国家标准）。</w:t>
            </w:r>
          </w:p>
        </w:tc>
      </w:tr>
      <w:tr w14:paraId="592D8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87" w:hRule="atLeast"/>
        </w:trPr>
        <w:tc>
          <w:tcPr>
            <w:tcW w:w="446" w:type="dxa"/>
            <w:vMerge w:val="continue"/>
            <w:vAlign w:val="center"/>
          </w:tcPr>
          <w:p w14:paraId="66FFC630">
            <w:pPr>
              <w:keepNext w:val="0"/>
              <w:keepLines w:val="0"/>
              <w:pageBreakBefore w:val="0"/>
              <w:widowControl w:val="0"/>
              <w:kinsoku/>
              <w:wordWrap/>
              <w:overflowPunct/>
              <w:topLinePunct w:val="0"/>
              <w:bidi w:val="0"/>
              <w:snapToGrid/>
              <w:spacing w:line="480" w:lineRule="exact"/>
              <w:ind w:left="113" w:right="113"/>
              <w:contextualSpacing/>
              <w:rPr>
                <w:rFonts w:hint="eastAsia" w:ascii="宋体" w:hAnsi="宋体" w:eastAsia="宋体"/>
                <w:color w:val="auto"/>
                <w:sz w:val="21"/>
                <w:szCs w:val="21"/>
                <w:highlight w:val="none"/>
                <w:shd w:val="clear" w:color="auto" w:fill="auto"/>
              </w:rPr>
            </w:pPr>
          </w:p>
        </w:tc>
        <w:tc>
          <w:tcPr>
            <w:tcW w:w="818" w:type="dxa"/>
            <w:vAlign w:val="center"/>
          </w:tcPr>
          <w:p w14:paraId="28181A72">
            <w:pPr>
              <w:spacing w:line="400" w:lineRule="exact"/>
              <w:ind w:left="105" w:leftChars="50" w:right="113" w:rightChars="0"/>
              <w:contextualSpacing/>
              <w:jc w:val="center"/>
              <w:rPr>
                <w:rFonts w:hint="eastAsia" w:ascii="宋体" w:hAnsi="宋体" w:eastAsia="宋体"/>
                <w:b/>
                <w:bCs/>
                <w:color w:val="auto"/>
                <w:sz w:val="21"/>
                <w:szCs w:val="21"/>
                <w:highlight w:val="none"/>
                <w:shd w:val="clear" w:color="FFFFFF" w:fill="D9D9D9"/>
              </w:rPr>
            </w:pPr>
            <w:r>
              <w:rPr>
                <w:rFonts w:hint="eastAsia" w:ascii="宋体" w:hAnsi="宋体" w:eastAsia="宋体"/>
                <w:b/>
                <w:color w:val="auto"/>
                <w:kern w:val="0"/>
                <w:sz w:val="21"/>
                <w:szCs w:val="21"/>
                <w:highlight w:val="none"/>
                <w:shd w:val="clear" w:color="auto" w:fill="auto"/>
              </w:rPr>
              <w:t>氢氧化钠主要指标评比（</w:t>
            </w:r>
            <w:r>
              <w:rPr>
                <w:rFonts w:hint="eastAsia" w:ascii="宋体" w:hAnsi="宋体"/>
                <w:b/>
                <w:color w:val="auto"/>
                <w:kern w:val="0"/>
                <w:sz w:val="21"/>
                <w:szCs w:val="21"/>
                <w:highlight w:val="none"/>
                <w:shd w:val="clear" w:color="auto" w:fill="auto"/>
                <w:lang w:val="en-US" w:eastAsia="zh-CN"/>
              </w:rPr>
              <w:t>1</w:t>
            </w:r>
            <w:r>
              <w:rPr>
                <w:rFonts w:hint="eastAsia" w:ascii="宋体" w:hAnsi="宋体" w:eastAsia="宋体"/>
                <w:b/>
                <w:color w:val="auto"/>
                <w:kern w:val="0"/>
                <w:sz w:val="21"/>
                <w:szCs w:val="21"/>
                <w:highlight w:val="none"/>
                <w:shd w:val="clear" w:color="auto" w:fill="auto"/>
              </w:rPr>
              <w:t>分）</w:t>
            </w:r>
          </w:p>
        </w:tc>
        <w:tc>
          <w:tcPr>
            <w:tcW w:w="8145" w:type="dxa"/>
            <w:vAlign w:val="center"/>
          </w:tcPr>
          <w:p w14:paraId="1C2CCD47">
            <w:pPr>
              <w:pStyle w:val="18"/>
              <w:keepNext w:val="0"/>
              <w:keepLines w:val="0"/>
              <w:pageBreakBefore w:val="0"/>
              <w:widowControl w:val="0"/>
              <w:numPr>
                <w:ilvl w:val="0"/>
                <w:numId w:val="0"/>
              </w:numPr>
              <w:kinsoku/>
              <w:wordWrap/>
              <w:overflowPunct/>
              <w:topLinePunct w:val="0"/>
              <w:bidi w:val="0"/>
              <w:snapToGrid/>
              <w:spacing w:line="480" w:lineRule="exact"/>
              <w:rPr>
                <w:rFonts w:hint="eastAsia" w:ascii="宋体" w:hAnsi="宋体"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rPr>
              <w:t>评委根据</w:t>
            </w:r>
            <w:r>
              <w:rPr>
                <w:rFonts w:hint="eastAsia" w:ascii="宋体" w:hAnsi="宋体" w:eastAsia="宋体"/>
                <w:color w:val="auto"/>
                <w:sz w:val="21"/>
                <w:szCs w:val="21"/>
                <w:highlight w:val="none"/>
                <w:shd w:val="clear" w:color="auto" w:fill="auto"/>
                <w:lang w:eastAsia="zh-CN"/>
              </w:rPr>
              <w:t>投标供应商</w:t>
            </w:r>
            <w:r>
              <w:rPr>
                <w:rFonts w:hint="eastAsia" w:ascii="宋体" w:hAnsi="宋体" w:eastAsia="宋体"/>
                <w:color w:val="auto"/>
                <w:sz w:val="21"/>
                <w:szCs w:val="21"/>
                <w:highlight w:val="none"/>
                <w:shd w:val="clear" w:color="auto" w:fill="auto"/>
              </w:rPr>
              <w:t>提供的</w:t>
            </w:r>
            <w:r>
              <w:rPr>
                <w:rFonts w:hint="eastAsia" w:ascii="宋体" w:hAnsi="宋体" w:eastAsia="宋体"/>
                <w:color w:val="auto"/>
                <w:sz w:val="21"/>
                <w:szCs w:val="21"/>
                <w:highlight w:val="none"/>
                <w:shd w:val="clear" w:color="auto" w:fill="auto"/>
                <w:lang w:val="en-US" w:eastAsia="zh-CN"/>
              </w:rPr>
              <w:t>氢氧化钠</w:t>
            </w:r>
            <w:r>
              <w:rPr>
                <w:rFonts w:hint="eastAsia" w:ascii="宋体" w:hAnsi="宋体" w:eastAsia="宋体"/>
                <w:color w:val="auto"/>
                <w:sz w:val="21"/>
                <w:szCs w:val="21"/>
                <w:highlight w:val="none"/>
                <w:shd w:val="clear" w:color="auto" w:fill="auto"/>
              </w:rPr>
              <w:t>检测报告数据中</w:t>
            </w:r>
            <w:r>
              <w:rPr>
                <w:rFonts w:hint="eastAsia" w:ascii="宋体" w:hAnsi="宋体" w:eastAsia="宋体"/>
                <w:color w:val="auto"/>
                <w:sz w:val="21"/>
                <w:szCs w:val="21"/>
                <w:highlight w:val="none"/>
                <w:shd w:val="clear" w:color="auto" w:fill="auto"/>
                <w:lang w:val="en-US" w:eastAsia="zh-CN"/>
              </w:rPr>
              <w:t>总碱量（以NaOH计）</w:t>
            </w:r>
            <w:r>
              <w:rPr>
                <w:rFonts w:hint="eastAsia" w:ascii="宋体" w:hAnsi="宋体" w:eastAsia="宋体"/>
                <w:color w:val="auto"/>
                <w:sz w:val="21"/>
                <w:szCs w:val="21"/>
                <w:highlight w:val="none"/>
                <w:shd w:val="clear" w:color="auto" w:fill="auto"/>
              </w:rPr>
              <w:t>ω/％</w:t>
            </w:r>
            <w:r>
              <w:rPr>
                <w:rFonts w:hint="eastAsia" w:ascii="宋体" w:hAnsi="宋体" w:eastAsia="宋体"/>
                <w:color w:val="auto"/>
                <w:sz w:val="21"/>
                <w:szCs w:val="21"/>
                <w:highlight w:val="none"/>
                <w:shd w:val="clear" w:color="auto" w:fill="auto"/>
                <w:lang w:val="en-US" w:eastAsia="zh-CN"/>
              </w:rPr>
              <w:t>、</w:t>
            </w:r>
            <w:r>
              <w:rPr>
                <w:rFonts w:hint="eastAsia" w:ascii="宋体" w:hAnsi="宋体" w:eastAsia="宋体"/>
                <w:color w:val="auto"/>
                <w:sz w:val="21"/>
                <w:szCs w:val="21"/>
                <w:highlight w:val="none"/>
                <w:shd w:val="clear" w:color="auto" w:fill="auto"/>
              </w:rPr>
              <w:t>碳酸钠（以Na2CO3计）含量ω/％</w:t>
            </w:r>
            <w:r>
              <w:rPr>
                <w:rFonts w:hint="eastAsia" w:ascii="宋体" w:hAnsi="宋体" w:eastAsia="宋体"/>
                <w:color w:val="auto"/>
                <w:sz w:val="21"/>
                <w:szCs w:val="21"/>
                <w:highlight w:val="none"/>
                <w:shd w:val="clear" w:color="auto" w:fill="auto"/>
                <w:lang w:eastAsia="zh-CN"/>
              </w:rPr>
              <w:t>、</w:t>
            </w:r>
            <w:r>
              <w:rPr>
                <w:rFonts w:hint="eastAsia" w:ascii="宋体" w:hAnsi="宋体" w:eastAsia="宋体"/>
                <w:color w:val="auto"/>
                <w:kern w:val="0"/>
                <w:sz w:val="21"/>
                <w:szCs w:val="21"/>
                <w:highlight w:val="none"/>
                <w:shd w:val="clear" w:color="auto" w:fill="auto"/>
              </w:rPr>
              <w:t>砷（As）含量（mg/kg）</w:t>
            </w:r>
            <w:r>
              <w:rPr>
                <w:rFonts w:hint="eastAsia" w:ascii="宋体" w:hAnsi="宋体" w:eastAsia="宋体"/>
                <w:color w:val="auto"/>
                <w:kern w:val="0"/>
                <w:sz w:val="21"/>
                <w:szCs w:val="21"/>
                <w:highlight w:val="none"/>
                <w:shd w:val="clear" w:color="auto" w:fill="auto"/>
                <w:lang w:eastAsia="zh-CN"/>
              </w:rPr>
              <w:t>、</w:t>
            </w:r>
            <w:r>
              <w:rPr>
                <w:rFonts w:hint="eastAsia" w:ascii="宋体" w:hAnsi="宋体" w:eastAsia="宋体"/>
                <w:color w:val="auto"/>
                <w:kern w:val="0"/>
                <w:sz w:val="21"/>
                <w:szCs w:val="21"/>
                <w:highlight w:val="none"/>
                <w:shd w:val="clear" w:color="auto" w:fill="auto"/>
              </w:rPr>
              <w:t>重金属（以Pb计）（mg/kg）</w:t>
            </w:r>
            <w:r>
              <w:rPr>
                <w:rFonts w:hint="eastAsia" w:ascii="宋体" w:hAnsi="宋体" w:eastAsia="宋体"/>
                <w:color w:val="auto"/>
                <w:kern w:val="0"/>
                <w:sz w:val="21"/>
                <w:szCs w:val="21"/>
                <w:highlight w:val="none"/>
                <w:shd w:val="clear" w:color="auto" w:fill="auto"/>
                <w:lang w:eastAsia="zh-CN"/>
              </w:rPr>
              <w:t>、</w:t>
            </w:r>
            <w:r>
              <w:rPr>
                <w:rFonts w:hint="eastAsia" w:ascii="宋体" w:hAnsi="宋体" w:eastAsia="宋体"/>
                <w:color w:val="auto"/>
                <w:kern w:val="0"/>
                <w:sz w:val="21"/>
                <w:szCs w:val="21"/>
                <w:highlight w:val="none"/>
                <w:shd w:val="clear" w:color="auto" w:fill="auto"/>
              </w:rPr>
              <w:t>汞(Hg)含量（mg/kg）</w:t>
            </w:r>
            <w:r>
              <w:rPr>
                <w:rFonts w:hint="eastAsia" w:ascii="宋体" w:hAnsi="宋体" w:eastAsia="宋体"/>
                <w:color w:val="auto"/>
                <w:sz w:val="21"/>
                <w:szCs w:val="21"/>
                <w:highlight w:val="none"/>
                <w:shd w:val="clear" w:color="auto" w:fill="auto"/>
                <w:lang w:eastAsia="zh-CN"/>
              </w:rPr>
              <w:t>的</w:t>
            </w:r>
            <w:r>
              <w:rPr>
                <w:rFonts w:hint="eastAsia" w:ascii="宋体" w:hAnsi="宋体" w:eastAsia="宋体"/>
                <w:color w:val="auto"/>
                <w:sz w:val="21"/>
                <w:szCs w:val="21"/>
                <w:highlight w:val="none"/>
                <w:shd w:val="clear" w:color="auto" w:fill="auto"/>
                <w:lang w:val="en-US" w:eastAsia="zh-CN"/>
              </w:rPr>
              <w:t>数值进行综合评议：检测报告数据明显优于国标要求的得1分，检测报告数据符合国家标准且各项数据较国标有较大提升的得0.75分，检测报告数据符合国家标准但各项数据提升不明显的得0.5分。</w:t>
            </w:r>
          </w:p>
          <w:p w14:paraId="24A4086D">
            <w:pPr>
              <w:keepNext w:val="0"/>
              <w:keepLines w:val="0"/>
              <w:pageBreakBefore w:val="0"/>
              <w:widowControl w:val="0"/>
              <w:suppressLineNumbers w:val="0"/>
              <w:kinsoku/>
              <w:wordWrap/>
              <w:overflowPunct/>
              <w:topLinePunct w:val="0"/>
              <w:bidi w:val="0"/>
              <w:snapToGrid/>
              <w:spacing w:before="0" w:beforeAutospacing="0" w:after="0" w:afterAutospacing="0" w:line="480" w:lineRule="exact"/>
              <w:ind w:left="0" w:right="0"/>
              <w:jc w:val="both"/>
              <w:rPr>
                <w:rFonts w:hint="eastAsia" w:ascii="宋体" w:hAnsi="宋体" w:eastAsia="宋体"/>
                <w:b/>
                <w:bCs/>
                <w:color w:val="auto"/>
                <w:sz w:val="21"/>
                <w:szCs w:val="21"/>
                <w:highlight w:val="none"/>
                <w:shd w:val="clear" w:color="auto" w:fill="auto"/>
              </w:rPr>
            </w:pPr>
            <w:r>
              <w:rPr>
                <w:rFonts w:hint="eastAsia" w:ascii="宋体" w:hAnsi="宋体" w:eastAsia="宋体"/>
                <w:b/>
                <w:bCs/>
                <w:color w:val="auto"/>
                <w:sz w:val="21"/>
                <w:szCs w:val="21"/>
                <w:highlight w:val="none"/>
                <w:shd w:val="clear" w:color="auto" w:fill="auto"/>
              </w:rPr>
              <w:t>注：</w:t>
            </w:r>
            <w:r>
              <w:rPr>
                <w:rFonts w:hint="eastAsia" w:ascii="宋体" w:hAnsi="宋体" w:eastAsia="宋体"/>
                <w:b/>
                <w:bCs/>
                <w:color w:val="auto"/>
                <w:sz w:val="21"/>
                <w:szCs w:val="21"/>
                <w:highlight w:val="none"/>
                <w:shd w:val="clear" w:color="auto" w:fill="auto"/>
                <w:lang w:val="en-US" w:eastAsia="zh-CN"/>
              </w:rPr>
              <w:t>1、检测报告中上述检测项目不全的该项不得分。2、</w:t>
            </w:r>
            <w:r>
              <w:rPr>
                <w:rFonts w:hint="eastAsia" w:ascii="宋体" w:hAnsi="宋体" w:eastAsia="宋体"/>
                <w:b/>
                <w:bCs/>
                <w:color w:val="auto"/>
                <w:sz w:val="21"/>
                <w:szCs w:val="21"/>
                <w:highlight w:val="none"/>
                <w:shd w:val="clear" w:color="auto" w:fill="auto"/>
              </w:rPr>
              <w:t>提供检测报告复印件加盖公章，原件</w:t>
            </w:r>
            <w:r>
              <w:rPr>
                <w:rFonts w:hint="eastAsia" w:ascii="宋体" w:hAnsi="宋体" w:eastAsia="宋体"/>
                <w:b/>
                <w:bCs/>
                <w:color w:val="auto"/>
                <w:sz w:val="21"/>
                <w:szCs w:val="21"/>
                <w:highlight w:val="none"/>
                <w:shd w:val="clear" w:color="auto" w:fill="auto"/>
                <w:lang w:val="en-US" w:eastAsia="zh-CN"/>
              </w:rPr>
              <w:t>中标后</w:t>
            </w:r>
            <w:r>
              <w:rPr>
                <w:rFonts w:hint="eastAsia" w:ascii="宋体" w:hAnsi="宋体" w:eastAsia="宋体"/>
                <w:b/>
                <w:bCs/>
                <w:color w:val="auto"/>
                <w:sz w:val="21"/>
                <w:szCs w:val="21"/>
                <w:highlight w:val="none"/>
                <w:shd w:val="clear" w:color="auto" w:fill="auto"/>
              </w:rPr>
              <w:t>备查。</w:t>
            </w:r>
            <w:r>
              <w:rPr>
                <w:rFonts w:hint="eastAsia" w:ascii="宋体" w:hAnsi="宋体" w:eastAsia="宋体"/>
                <w:b/>
                <w:bCs/>
                <w:color w:val="auto"/>
                <w:sz w:val="21"/>
                <w:szCs w:val="21"/>
                <w:highlight w:val="none"/>
                <w:shd w:val="clear" w:color="auto" w:fill="auto"/>
                <w:lang w:val="en-US" w:eastAsia="zh-CN"/>
              </w:rPr>
              <w:t>3、中标后采购供应商将按照投标人在投标时提供的检测报告中的各项数据进行抽检验收（实际供货中抽检数据与投标所提供的检测报告允许有10%的偏差，但不允许偏离国家标准）。</w:t>
            </w:r>
          </w:p>
        </w:tc>
      </w:tr>
      <w:tr w14:paraId="3D6E4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06" w:hRule="atLeast"/>
        </w:trPr>
        <w:tc>
          <w:tcPr>
            <w:tcW w:w="446" w:type="dxa"/>
            <w:vMerge w:val="continue"/>
            <w:vAlign w:val="center"/>
          </w:tcPr>
          <w:p w14:paraId="516B0428">
            <w:pPr>
              <w:keepNext w:val="0"/>
              <w:keepLines w:val="0"/>
              <w:pageBreakBefore w:val="0"/>
              <w:widowControl w:val="0"/>
              <w:kinsoku/>
              <w:wordWrap/>
              <w:overflowPunct/>
              <w:topLinePunct w:val="0"/>
              <w:bidi w:val="0"/>
              <w:snapToGrid/>
              <w:spacing w:line="480" w:lineRule="exact"/>
              <w:ind w:left="113" w:right="113"/>
              <w:contextualSpacing/>
              <w:rPr>
                <w:rFonts w:hint="eastAsia" w:ascii="宋体" w:hAnsi="宋体" w:eastAsia="宋体"/>
                <w:color w:val="auto"/>
                <w:sz w:val="21"/>
                <w:szCs w:val="21"/>
                <w:highlight w:val="none"/>
                <w:shd w:val="clear" w:color="auto" w:fill="auto"/>
              </w:rPr>
            </w:pPr>
          </w:p>
        </w:tc>
        <w:tc>
          <w:tcPr>
            <w:tcW w:w="818" w:type="dxa"/>
            <w:vAlign w:val="center"/>
          </w:tcPr>
          <w:p w14:paraId="5ECCB800">
            <w:pPr>
              <w:spacing w:line="400" w:lineRule="exact"/>
              <w:ind w:left="105" w:leftChars="50" w:right="113" w:rightChars="0"/>
              <w:contextualSpacing/>
              <w:jc w:val="center"/>
              <w:rPr>
                <w:rFonts w:hint="eastAsia" w:ascii="宋体" w:hAnsi="宋体" w:eastAsia="宋体"/>
                <w:b/>
                <w:bCs/>
                <w:color w:val="auto"/>
                <w:sz w:val="21"/>
                <w:szCs w:val="21"/>
                <w:highlight w:val="none"/>
                <w:shd w:val="clear" w:color="auto" w:fill="auto"/>
              </w:rPr>
            </w:pPr>
            <w:r>
              <w:rPr>
                <w:rFonts w:hint="eastAsia" w:ascii="宋体" w:hAnsi="宋体" w:eastAsia="宋体"/>
                <w:color w:val="auto"/>
                <w:sz w:val="21"/>
                <w:szCs w:val="21"/>
                <w:highlight w:val="none"/>
                <w:lang w:val="en-US" w:eastAsia="zh-CN"/>
              </w:rPr>
              <w:t>运输方案（5分）</w:t>
            </w:r>
          </w:p>
        </w:tc>
        <w:tc>
          <w:tcPr>
            <w:tcW w:w="8145" w:type="dxa"/>
            <w:vAlign w:val="center"/>
          </w:tcPr>
          <w:p w14:paraId="7787A93C">
            <w:pPr>
              <w:spacing w:line="400" w:lineRule="exact"/>
              <w:ind w:left="105" w:leftChars="50" w:right="105" w:rightChars="50"/>
              <w:contextualSpacing/>
              <w:rPr>
                <w:rFonts w:hint="eastAsia" w:ascii="宋体" w:hAnsi="宋体" w:eastAsia="宋体"/>
                <w:color w:val="auto"/>
                <w:sz w:val="21"/>
                <w:szCs w:val="21"/>
                <w:highlight w:val="none"/>
                <w:shd w:val="clear" w:color="auto" w:fill="auto"/>
                <w:lang w:val="en-US" w:eastAsia="zh-CN"/>
              </w:rPr>
            </w:pPr>
            <w:r>
              <w:rPr>
                <w:rFonts w:hint="eastAsia" w:ascii="宋体" w:hAnsi="宋体" w:eastAsia="宋体"/>
                <w:color w:val="auto"/>
                <w:sz w:val="21"/>
                <w:szCs w:val="21"/>
                <w:highlight w:val="none"/>
                <w:shd w:val="clear" w:color="auto" w:fill="auto"/>
                <w:lang w:val="en-US" w:eastAsia="zh-CN"/>
              </w:rPr>
              <w:t>根据投标人提供的运输方案包括但不限于是否有成熟的专用运输车队并有相对应的管理、运输车辆配备是否满足采购人的需求、运输人员是否长期稳定、用量高峰如何保证配送及时性、运输时长等进行综合评议（5分）：</w:t>
            </w:r>
          </w:p>
          <w:p w14:paraId="5F1492D0">
            <w:pPr>
              <w:spacing w:line="400" w:lineRule="exact"/>
              <w:ind w:left="105" w:leftChars="50" w:right="105" w:rightChars="50"/>
              <w:contextualSpacing/>
              <w:rPr>
                <w:rFonts w:hint="eastAsia" w:ascii="宋体" w:hAnsi="宋体" w:eastAsia="宋体"/>
                <w:color w:val="auto"/>
                <w:sz w:val="21"/>
                <w:szCs w:val="21"/>
                <w:highlight w:val="none"/>
                <w:shd w:val="clear" w:color="auto" w:fill="auto"/>
                <w:lang w:val="en-US" w:eastAsia="zh-CN"/>
              </w:rPr>
            </w:pPr>
            <w:r>
              <w:rPr>
                <w:rFonts w:hint="eastAsia" w:ascii="宋体" w:hAnsi="宋体" w:eastAsia="宋体"/>
                <w:color w:val="auto"/>
                <w:sz w:val="21"/>
                <w:szCs w:val="21"/>
                <w:highlight w:val="none"/>
                <w:shd w:val="clear" w:color="auto" w:fill="auto"/>
                <w:lang w:val="en-US" w:eastAsia="zh-CN"/>
              </w:rPr>
              <w:t>运输方案有针对性性，包含用量高峰如何保证配送及时性，运输车辆管理有序，针对性路线规划合理，定车定人，运输管理方案完善且可行性强的得5分；</w:t>
            </w:r>
          </w:p>
          <w:p w14:paraId="00142A46">
            <w:pPr>
              <w:spacing w:line="400" w:lineRule="exact"/>
              <w:ind w:left="105" w:leftChars="50" w:right="105" w:rightChars="50"/>
              <w:contextualSpacing/>
              <w:rPr>
                <w:rFonts w:hint="eastAsia" w:ascii="宋体" w:hAnsi="宋体" w:eastAsia="宋体"/>
                <w:color w:val="auto"/>
                <w:sz w:val="21"/>
                <w:szCs w:val="21"/>
                <w:highlight w:val="none"/>
                <w:shd w:val="clear" w:color="auto" w:fill="auto"/>
                <w:lang w:val="en-US" w:eastAsia="zh-CN"/>
              </w:rPr>
            </w:pPr>
            <w:r>
              <w:rPr>
                <w:rFonts w:hint="eastAsia" w:ascii="宋体" w:hAnsi="宋体" w:eastAsia="宋体"/>
                <w:color w:val="auto"/>
                <w:sz w:val="21"/>
                <w:szCs w:val="21"/>
                <w:highlight w:val="none"/>
                <w:shd w:val="clear" w:color="auto" w:fill="auto"/>
                <w:lang w:val="en-US" w:eastAsia="zh-CN"/>
              </w:rPr>
              <w:t>有对应的运输方案，计划安排具有普遍实用性基本满足，运输管理方案待提升，运输路线规划不详细或时效性较弱可行性一般的得3分；</w:t>
            </w:r>
          </w:p>
          <w:p w14:paraId="51BEA3D8">
            <w:pPr>
              <w:spacing w:line="400" w:lineRule="exact"/>
              <w:ind w:left="105" w:leftChars="50" w:right="105" w:rightChars="50"/>
              <w:contextualSpacing/>
              <w:rPr>
                <w:rFonts w:hint="eastAsia" w:ascii="宋体" w:hAnsi="宋体" w:eastAsia="宋体"/>
                <w:color w:val="auto"/>
                <w:sz w:val="21"/>
                <w:szCs w:val="21"/>
                <w:highlight w:val="none"/>
                <w:shd w:val="clear" w:color="auto" w:fill="auto"/>
                <w:lang w:val="en-US" w:eastAsia="zh-CN"/>
              </w:rPr>
            </w:pPr>
            <w:r>
              <w:rPr>
                <w:rFonts w:hint="eastAsia" w:ascii="宋体" w:hAnsi="宋体" w:eastAsia="宋体"/>
                <w:color w:val="auto"/>
                <w:sz w:val="21"/>
                <w:szCs w:val="21"/>
                <w:highlight w:val="none"/>
                <w:shd w:val="clear" w:color="auto" w:fill="auto"/>
                <w:lang w:val="en-US" w:eastAsia="zh-CN"/>
              </w:rPr>
              <w:t>有运输方案但计划模糊笼统或缺乏适用性，运输管理方案一般，无法保证运输的及时性可行性差的得1分；</w:t>
            </w:r>
          </w:p>
          <w:p w14:paraId="400E60CE">
            <w:pPr>
              <w:spacing w:line="400" w:lineRule="exact"/>
              <w:ind w:left="105" w:leftChars="50" w:right="105" w:rightChars="50"/>
              <w:contextualSpacing/>
              <w:rPr>
                <w:rFonts w:hint="default" w:ascii="宋体" w:hAnsi="宋体" w:eastAsia="宋体"/>
                <w:color w:val="auto"/>
                <w:sz w:val="21"/>
                <w:szCs w:val="21"/>
                <w:highlight w:val="none"/>
                <w:shd w:val="clear" w:color="auto" w:fill="auto"/>
                <w:lang w:val="en-US"/>
              </w:rPr>
            </w:pPr>
            <w:r>
              <w:rPr>
                <w:rFonts w:hint="eastAsia" w:ascii="宋体" w:hAnsi="宋体" w:eastAsia="宋体"/>
                <w:color w:val="auto"/>
                <w:sz w:val="21"/>
                <w:szCs w:val="21"/>
                <w:highlight w:val="none"/>
                <w:shd w:val="clear" w:color="auto" w:fill="auto"/>
                <w:lang w:val="en-US" w:eastAsia="zh-CN"/>
              </w:rPr>
              <w:t>未提供任何内容的不得分。</w:t>
            </w:r>
          </w:p>
        </w:tc>
      </w:tr>
      <w:tr w14:paraId="1BD6B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09" w:hRule="atLeast"/>
        </w:trPr>
        <w:tc>
          <w:tcPr>
            <w:tcW w:w="446" w:type="dxa"/>
            <w:vMerge w:val="continue"/>
            <w:vAlign w:val="center"/>
          </w:tcPr>
          <w:p w14:paraId="696A7178">
            <w:pPr>
              <w:keepNext w:val="0"/>
              <w:keepLines w:val="0"/>
              <w:pageBreakBefore w:val="0"/>
              <w:widowControl w:val="0"/>
              <w:kinsoku/>
              <w:wordWrap/>
              <w:overflowPunct/>
              <w:topLinePunct w:val="0"/>
              <w:bidi w:val="0"/>
              <w:snapToGrid/>
              <w:spacing w:line="480" w:lineRule="exact"/>
              <w:ind w:left="113" w:right="113"/>
              <w:contextualSpacing/>
              <w:rPr>
                <w:rFonts w:hint="eastAsia" w:ascii="宋体" w:hAnsi="宋体" w:eastAsia="宋体"/>
                <w:color w:val="auto"/>
                <w:sz w:val="21"/>
                <w:szCs w:val="21"/>
                <w:highlight w:val="none"/>
                <w:shd w:val="clear" w:color="auto" w:fill="auto"/>
              </w:rPr>
            </w:pPr>
          </w:p>
        </w:tc>
        <w:tc>
          <w:tcPr>
            <w:tcW w:w="818" w:type="dxa"/>
            <w:vAlign w:val="center"/>
          </w:tcPr>
          <w:p w14:paraId="10F46715">
            <w:pPr>
              <w:spacing w:line="400" w:lineRule="exact"/>
              <w:ind w:left="105" w:leftChars="50" w:right="113" w:rightChars="0"/>
              <w:contextualSpacing/>
              <w:jc w:val="center"/>
              <w:rPr>
                <w:rFonts w:hint="eastAsia" w:ascii="宋体" w:hAnsi="宋体" w:eastAsia="宋体"/>
                <w:b/>
                <w:bCs/>
                <w:color w:val="auto"/>
                <w:sz w:val="21"/>
                <w:szCs w:val="21"/>
                <w:highlight w:val="none"/>
                <w:shd w:val="clear" w:color="auto" w:fill="auto"/>
              </w:rPr>
            </w:pPr>
            <w:r>
              <w:rPr>
                <w:rFonts w:hint="eastAsia" w:ascii="宋体" w:hAnsi="宋体" w:eastAsia="宋体"/>
                <w:color w:val="auto"/>
                <w:sz w:val="21"/>
                <w:szCs w:val="21"/>
                <w:highlight w:val="none"/>
                <w:lang w:val="en-US" w:eastAsia="zh-CN"/>
              </w:rPr>
              <w:t>生产工艺（4分）</w:t>
            </w:r>
          </w:p>
        </w:tc>
        <w:tc>
          <w:tcPr>
            <w:tcW w:w="8145" w:type="dxa"/>
            <w:vAlign w:val="center"/>
          </w:tcPr>
          <w:p w14:paraId="47416D66">
            <w:pPr>
              <w:spacing w:line="400" w:lineRule="exact"/>
              <w:ind w:left="105" w:leftChars="50" w:right="105" w:rightChars="50"/>
              <w:contextualSpacing/>
              <w:rPr>
                <w:rFonts w:hint="eastAsia" w:ascii="宋体" w:hAnsi="宋体"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rPr>
              <w:t>评委</w:t>
            </w:r>
            <w:r>
              <w:rPr>
                <w:rFonts w:hint="eastAsia" w:ascii="宋体" w:hAnsi="宋体" w:eastAsia="宋体"/>
                <w:color w:val="auto"/>
                <w:sz w:val="21"/>
                <w:szCs w:val="21"/>
                <w:highlight w:val="none"/>
                <w:shd w:val="clear" w:color="auto" w:fill="auto"/>
                <w:lang w:eastAsia="zh-CN"/>
              </w:rPr>
              <w:t>对</w:t>
            </w:r>
            <w:r>
              <w:rPr>
                <w:rFonts w:hint="eastAsia" w:ascii="宋体" w:hAnsi="宋体" w:eastAsia="宋体"/>
                <w:color w:val="auto"/>
                <w:sz w:val="21"/>
                <w:szCs w:val="21"/>
                <w:highlight w:val="none"/>
                <w:shd w:val="clear" w:color="auto" w:fill="auto"/>
              </w:rPr>
              <w:t>投标产品</w:t>
            </w:r>
            <w:r>
              <w:rPr>
                <w:rFonts w:hint="eastAsia" w:ascii="宋体" w:hAnsi="宋体" w:eastAsia="宋体"/>
                <w:color w:val="auto"/>
                <w:sz w:val="21"/>
                <w:szCs w:val="21"/>
                <w:highlight w:val="none"/>
                <w:shd w:val="clear" w:color="auto" w:fill="auto"/>
                <w:lang w:val="en-US" w:eastAsia="zh-CN"/>
              </w:rPr>
              <w:t>制造商</w:t>
            </w:r>
            <w:r>
              <w:rPr>
                <w:rFonts w:hint="eastAsia" w:ascii="宋体" w:hAnsi="宋体" w:eastAsia="宋体"/>
                <w:color w:val="auto"/>
                <w:sz w:val="21"/>
                <w:szCs w:val="21"/>
                <w:highlight w:val="none"/>
                <w:shd w:val="clear" w:color="auto" w:fill="auto"/>
              </w:rPr>
              <w:t>生产工艺流程进行评议，</w:t>
            </w:r>
            <w:r>
              <w:rPr>
                <w:rFonts w:hint="eastAsia" w:ascii="宋体" w:hAnsi="宋体" w:eastAsia="宋体"/>
                <w:color w:val="auto"/>
                <w:sz w:val="21"/>
                <w:szCs w:val="21"/>
                <w:highlight w:val="none"/>
                <w:shd w:val="clear" w:color="auto" w:fill="auto"/>
                <w:lang w:val="en-US" w:eastAsia="zh-CN"/>
              </w:rPr>
              <w:t>投标文件中需</w:t>
            </w:r>
            <w:r>
              <w:rPr>
                <w:rFonts w:hint="eastAsia" w:ascii="宋体" w:hAnsi="宋体" w:eastAsia="宋体"/>
                <w:color w:val="auto"/>
                <w:sz w:val="21"/>
                <w:szCs w:val="21"/>
                <w:highlight w:val="none"/>
                <w:shd w:val="clear" w:color="auto" w:fill="auto"/>
              </w:rPr>
              <w:t>附</w:t>
            </w:r>
            <w:r>
              <w:rPr>
                <w:rFonts w:hint="eastAsia" w:ascii="宋体" w:hAnsi="宋体" w:eastAsia="宋体"/>
                <w:color w:val="auto"/>
                <w:sz w:val="21"/>
                <w:szCs w:val="21"/>
                <w:highlight w:val="none"/>
                <w:shd w:val="clear" w:color="auto" w:fill="auto"/>
                <w:lang w:val="en-US" w:eastAsia="zh-CN"/>
              </w:rPr>
              <w:t>制造商</w:t>
            </w:r>
            <w:r>
              <w:rPr>
                <w:rFonts w:hint="eastAsia" w:ascii="宋体" w:hAnsi="宋体" w:eastAsia="宋体"/>
                <w:color w:val="auto"/>
                <w:sz w:val="21"/>
                <w:szCs w:val="21"/>
                <w:highlight w:val="none"/>
                <w:shd w:val="clear" w:color="auto" w:fill="auto"/>
              </w:rPr>
              <w:t>相关的环评报告、照片、文字等材料</w:t>
            </w:r>
            <w:r>
              <w:rPr>
                <w:rFonts w:hint="eastAsia" w:ascii="宋体" w:hAnsi="宋体" w:eastAsia="宋体"/>
                <w:color w:val="auto"/>
                <w:sz w:val="21"/>
                <w:szCs w:val="21"/>
                <w:highlight w:val="none"/>
                <w:shd w:val="clear" w:color="auto" w:fill="auto"/>
                <w:lang w:eastAsia="zh-CN"/>
              </w:rPr>
              <w:t>：</w:t>
            </w:r>
            <w:r>
              <w:rPr>
                <w:rFonts w:hint="eastAsia" w:ascii="宋体" w:hAnsi="宋体" w:eastAsia="宋体"/>
                <w:color w:val="auto"/>
                <w:sz w:val="21"/>
                <w:szCs w:val="21"/>
                <w:highlight w:val="none"/>
                <w:shd w:val="clear" w:color="auto" w:fill="auto"/>
              </w:rPr>
              <w:t>生产工艺流程合理、科学的得</w:t>
            </w:r>
            <w:r>
              <w:rPr>
                <w:rFonts w:hint="eastAsia" w:ascii="宋体" w:hAnsi="宋体" w:eastAsia="宋体"/>
                <w:color w:val="auto"/>
                <w:sz w:val="21"/>
                <w:szCs w:val="21"/>
                <w:highlight w:val="none"/>
                <w:shd w:val="clear" w:color="auto" w:fill="auto"/>
                <w:lang w:val="en-US" w:eastAsia="zh-CN"/>
              </w:rPr>
              <w:t>4</w:t>
            </w:r>
            <w:r>
              <w:rPr>
                <w:rFonts w:hint="eastAsia" w:ascii="宋体" w:hAnsi="宋体" w:eastAsia="宋体"/>
                <w:color w:val="auto"/>
                <w:sz w:val="21"/>
                <w:szCs w:val="21"/>
                <w:highlight w:val="none"/>
                <w:shd w:val="clear" w:color="auto" w:fill="auto"/>
              </w:rPr>
              <w:t>分</w:t>
            </w:r>
            <w:r>
              <w:rPr>
                <w:rFonts w:hint="eastAsia" w:ascii="宋体" w:hAnsi="宋体" w:eastAsia="宋体"/>
                <w:color w:val="auto"/>
                <w:sz w:val="21"/>
                <w:szCs w:val="21"/>
                <w:highlight w:val="none"/>
                <w:shd w:val="clear" w:color="auto" w:fill="auto"/>
                <w:lang w:eastAsia="zh-CN"/>
              </w:rPr>
              <w:t>；</w:t>
            </w:r>
            <w:r>
              <w:rPr>
                <w:rFonts w:hint="eastAsia" w:ascii="宋体" w:hAnsi="宋体" w:eastAsia="宋体"/>
                <w:color w:val="auto"/>
                <w:sz w:val="21"/>
                <w:szCs w:val="21"/>
                <w:highlight w:val="none"/>
                <w:shd w:val="clear" w:color="auto" w:fill="auto"/>
              </w:rPr>
              <w:t>生产工艺流程基本合理、科学的得</w:t>
            </w:r>
            <w:r>
              <w:rPr>
                <w:rFonts w:hint="eastAsia" w:ascii="宋体" w:hAnsi="宋体" w:eastAsia="宋体"/>
                <w:color w:val="auto"/>
                <w:sz w:val="21"/>
                <w:szCs w:val="21"/>
                <w:highlight w:val="none"/>
                <w:shd w:val="clear" w:color="auto" w:fill="auto"/>
                <w:lang w:val="en-US" w:eastAsia="zh-CN"/>
              </w:rPr>
              <w:t>3</w:t>
            </w:r>
            <w:r>
              <w:rPr>
                <w:rFonts w:hint="eastAsia" w:ascii="宋体" w:hAnsi="宋体" w:eastAsia="宋体"/>
                <w:color w:val="auto"/>
                <w:sz w:val="21"/>
                <w:szCs w:val="21"/>
                <w:highlight w:val="none"/>
                <w:shd w:val="clear" w:color="auto" w:fill="auto"/>
              </w:rPr>
              <w:t>分，生产工艺流程欠科学不合理的得</w:t>
            </w:r>
            <w:r>
              <w:rPr>
                <w:rFonts w:hint="eastAsia" w:ascii="宋体" w:hAnsi="宋体" w:eastAsia="宋体"/>
                <w:color w:val="auto"/>
                <w:sz w:val="21"/>
                <w:szCs w:val="21"/>
                <w:highlight w:val="none"/>
                <w:shd w:val="clear" w:color="auto" w:fill="auto"/>
                <w:lang w:val="en-US" w:eastAsia="zh-CN"/>
              </w:rPr>
              <w:t>2分；</w:t>
            </w:r>
            <w:r>
              <w:rPr>
                <w:rFonts w:hint="eastAsia" w:ascii="宋体" w:hAnsi="宋体" w:eastAsia="宋体"/>
                <w:color w:val="auto"/>
                <w:sz w:val="21"/>
                <w:szCs w:val="21"/>
                <w:highlight w:val="none"/>
                <w:shd w:val="clear" w:color="auto" w:fill="auto"/>
              </w:rPr>
              <w:t>缺项不得分</w:t>
            </w:r>
          </w:p>
        </w:tc>
      </w:tr>
      <w:tr w14:paraId="33018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09" w:hRule="atLeast"/>
        </w:trPr>
        <w:tc>
          <w:tcPr>
            <w:tcW w:w="446" w:type="dxa"/>
            <w:vMerge w:val="continue"/>
            <w:vAlign w:val="center"/>
          </w:tcPr>
          <w:p w14:paraId="3AEDC9FB">
            <w:pPr>
              <w:keepNext w:val="0"/>
              <w:keepLines w:val="0"/>
              <w:pageBreakBefore w:val="0"/>
              <w:widowControl w:val="0"/>
              <w:kinsoku/>
              <w:wordWrap/>
              <w:overflowPunct/>
              <w:topLinePunct w:val="0"/>
              <w:bidi w:val="0"/>
              <w:snapToGrid/>
              <w:spacing w:line="480" w:lineRule="exact"/>
              <w:ind w:left="113" w:right="113"/>
              <w:contextualSpacing/>
              <w:rPr>
                <w:rFonts w:hint="eastAsia" w:ascii="宋体" w:hAnsi="宋体" w:eastAsia="宋体"/>
                <w:color w:val="auto"/>
                <w:sz w:val="21"/>
                <w:szCs w:val="21"/>
                <w:highlight w:val="none"/>
                <w:shd w:val="clear" w:color="auto" w:fill="auto"/>
              </w:rPr>
            </w:pPr>
          </w:p>
        </w:tc>
        <w:tc>
          <w:tcPr>
            <w:tcW w:w="818" w:type="dxa"/>
            <w:vAlign w:val="center"/>
          </w:tcPr>
          <w:p w14:paraId="7181BF40">
            <w:pPr>
              <w:spacing w:line="400" w:lineRule="exact"/>
              <w:ind w:left="105" w:leftChars="50" w:right="113" w:rightChars="0"/>
              <w:contextualSpacing/>
              <w:jc w:val="center"/>
              <w:rPr>
                <w:rFonts w:hint="default" w:ascii="宋体" w:hAnsi="宋体" w:eastAsia="宋体"/>
                <w:b/>
                <w:bCs/>
                <w:color w:val="auto"/>
                <w:sz w:val="21"/>
                <w:szCs w:val="21"/>
                <w:highlight w:val="none"/>
                <w:shd w:val="clear" w:color="auto" w:fill="auto"/>
                <w:lang w:val="en-US" w:eastAsia="zh-CN"/>
              </w:rPr>
            </w:pPr>
            <w:r>
              <w:rPr>
                <w:rFonts w:hint="eastAsia" w:ascii="宋体" w:hAnsi="宋体"/>
                <w:b w:val="0"/>
                <w:bCs w:val="0"/>
                <w:color w:val="auto"/>
                <w:sz w:val="21"/>
                <w:szCs w:val="21"/>
                <w:highlight w:val="none"/>
                <w:shd w:val="clear" w:color="auto" w:fill="auto"/>
                <w:lang w:val="en-US" w:eastAsia="zh-CN"/>
              </w:rPr>
              <w:t>应急情况处理方案（3分）</w:t>
            </w:r>
          </w:p>
        </w:tc>
        <w:tc>
          <w:tcPr>
            <w:tcW w:w="8145" w:type="dxa"/>
            <w:vAlign w:val="center"/>
          </w:tcPr>
          <w:p w14:paraId="5279AFFF">
            <w:pPr>
              <w:spacing w:line="400" w:lineRule="exact"/>
              <w:ind w:left="105" w:leftChars="50" w:right="105" w:rightChars="50"/>
              <w:contextualSpacing/>
              <w:rPr>
                <w:rFonts w:hint="eastAsia" w:ascii="宋体" w:hAnsi="宋体" w:eastAsia="宋体"/>
                <w:color w:val="auto"/>
                <w:sz w:val="21"/>
                <w:szCs w:val="21"/>
                <w:highlight w:val="none"/>
                <w:shd w:val="clear" w:color="auto" w:fill="auto"/>
                <w:lang w:val="en-US" w:eastAsia="zh-CN"/>
              </w:rPr>
            </w:pPr>
            <w:r>
              <w:rPr>
                <w:rFonts w:hint="eastAsia" w:ascii="宋体" w:hAnsi="宋体" w:eastAsia="宋体"/>
                <w:color w:val="auto"/>
                <w:sz w:val="21"/>
                <w:szCs w:val="21"/>
                <w:highlight w:val="none"/>
                <w:shd w:val="clear" w:color="auto" w:fill="auto"/>
                <w:lang w:val="en-US" w:eastAsia="zh-CN"/>
              </w:rPr>
              <w:t>根据投标人提供的针对</w:t>
            </w:r>
            <w:r>
              <w:rPr>
                <w:rFonts w:hint="eastAsia" w:ascii="宋体" w:hAnsi="宋体"/>
                <w:color w:val="auto"/>
                <w:sz w:val="21"/>
                <w:szCs w:val="21"/>
                <w:highlight w:val="none"/>
                <w:shd w:val="clear" w:color="auto" w:fill="auto"/>
                <w:lang w:val="en-US" w:eastAsia="zh-CN"/>
              </w:rPr>
              <w:t>本项目交货过程中危化品泄露等突发事件</w:t>
            </w:r>
            <w:r>
              <w:rPr>
                <w:rFonts w:hint="eastAsia" w:ascii="宋体" w:hAnsi="宋体" w:eastAsia="宋体"/>
                <w:color w:val="auto"/>
                <w:sz w:val="21"/>
                <w:szCs w:val="21"/>
                <w:highlight w:val="none"/>
                <w:shd w:val="clear" w:color="auto" w:fill="auto"/>
                <w:lang w:val="en-US" w:eastAsia="zh-CN"/>
              </w:rPr>
              <w:t>的应急处理方案包括但不限于提供具体的</w:t>
            </w:r>
            <w:r>
              <w:rPr>
                <w:rFonts w:hint="eastAsia" w:ascii="宋体" w:hAnsi="宋体" w:eastAsia="宋体"/>
                <w:color w:val="auto"/>
                <w:sz w:val="21"/>
                <w:szCs w:val="21"/>
                <w:highlight w:val="none"/>
                <w:shd w:val="clear" w:color="auto" w:fill="auto"/>
                <w:lang w:eastAsia="zh-CN"/>
              </w:rPr>
              <w:t>预防方案及应急措施、难点分析、解决措施</w:t>
            </w:r>
            <w:r>
              <w:rPr>
                <w:rFonts w:hint="eastAsia" w:ascii="宋体" w:hAnsi="宋体" w:eastAsia="宋体"/>
                <w:color w:val="auto"/>
                <w:sz w:val="21"/>
                <w:szCs w:val="21"/>
                <w:highlight w:val="none"/>
                <w:shd w:val="clear" w:color="auto" w:fill="auto"/>
                <w:lang w:val="en-US" w:eastAsia="zh-CN"/>
              </w:rPr>
              <w:t>等</w:t>
            </w:r>
            <w:r>
              <w:rPr>
                <w:rFonts w:hint="eastAsia" w:ascii="宋体" w:hAnsi="宋体" w:eastAsia="宋体"/>
                <w:color w:val="auto"/>
                <w:sz w:val="21"/>
                <w:szCs w:val="21"/>
                <w:highlight w:val="none"/>
                <w:shd w:val="clear" w:color="auto" w:fill="auto"/>
                <w:lang w:eastAsia="zh-CN"/>
              </w:rPr>
              <w:t>进行评议</w:t>
            </w:r>
            <w:r>
              <w:rPr>
                <w:rFonts w:hint="eastAsia" w:ascii="宋体" w:hAnsi="宋体" w:eastAsia="宋体"/>
                <w:color w:val="auto"/>
                <w:sz w:val="21"/>
                <w:szCs w:val="21"/>
                <w:highlight w:val="none"/>
                <w:shd w:val="clear" w:color="auto" w:fill="auto"/>
                <w:lang w:val="en-US" w:eastAsia="zh-CN"/>
              </w:rPr>
              <w:t>（</w:t>
            </w:r>
            <w:r>
              <w:rPr>
                <w:rFonts w:hint="eastAsia" w:ascii="宋体" w:hAnsi="宋体"/>
                <w:color w:val="auto"/>
                <w:sz w:val="21"/>
                <w:szCs w:val="21"/>
                <w:highlight w:val="none"/>
                <w:shd w:val="clear" w:color="auto" w:fill="auto"/>
                <w:lang w:val="en-US" w:eastAsia="zh-CN"/>
              </w:rPr>
              <w:t>3</w:t>
            </w:r>
            <w:r>
              <w:rPr>
                <w:rFonts w:hint="eastAsia" w:ascii="宋体" w:hAnsi="宋体" w:eastAsia="宋体"/>
                <w:color w:val="auto"/>
                <w:sz w:val="21"/>
                <w:szCs w:val="21"/>
                <w:highlight w:val="none"/>
                <w:shd w:val="clear" w:color="auto" w:fill="auto"/>
                <w:lang w:val="en-US" w:eastAsia="zh-CN"/>
              </w:rPr>
              <w:t>分）：</w:t>
            </w:r>
          </w:p>
          <w:p w14:paraId="2473A971">
            <w:pPr>
              <w:spacing w:line="400" w:lineRule="exact"/>
              <w:ind w:left="105" w:leftChars="50" w:right="105" w:rightChars="50"/>
              <w:contextualSpacing/>
              <w:rPr>
                <w:rFonts w:hint="eastAsia" w:ascii="宋体" w:hAnsi="宋体" w:eastAsia="宋体"/>
                <w:color w:val="auto"/>
                <w:sz w:val="21"/>
                <w:szCs w:val="21"/>
                <w:highlight w:val="none"/>
                <w:shd w:val="clear" w:color="auto" w:fill="auto"/>
                <w:lang w:eastAsia="zh-CN"/>
              </w:rPr>
            </w:pPr>
            <w:r>
              <w:rPr>
                <w:rFonts w:hint="eastAsia" w:ascii="宋体" w:hAnsi="宋体" w:eastAsia="宋体"/>
                <w:color w:val="auto"/>
                <w:sz w:val="21"/>
                <w:szCs w:val="21"/>
                <w:highlight w:val="none"/>
                <w:shd w:val="clear" w:color="auto" w:fill="auto"/>
                <w:lang w:eastAsia="zh-CN"/>
              </w:rPr>
              <w:t>应急处理方案及应急保障措施方案描述详细完善、能结合自身经验对本项目突发情况进行预判，应对响应措施具体、能有效解决</w:t>
            </w:r>
            <w:r>
              <w:rPr>
                <w:rFonts w:hint="eastAsia" w:ascii="宋体" w:hAnsi="宋体" w:eastAsia="宋体"/>
                <w:color w:val="auto"/>
                <w:sz w:val="21"/>
                <w:szCs w:val="21"/>
                <w:highlight w:val="none"/>
                <w:shd w:val="clear" w:color="auto" w:fill="auto"/>
                <w:lang w:val="en-US" w:eastAsia="zh-CN"/>
              </w:rPr>
              <w:t>突发事件</w:t>
            </w:r>
            <w:r>
              <w:rPr>
                <w:rFonts w:hint="eastAsia" w:ascii="宋体" w:hAnsi="宋体" w:eastAsia="宋体"/>
                <w:color w:val="auto"/>
                <w:sz w:val="21"/>
                <w:szCs w:val="21"/>
                <w:highlight w:val="none"/>
                <w:shd w:val="clear" w:color="auto" w:fill="auto"/>
                <w:lang w:eastAsia="zh-CN"/>
              </w:rPr>
              <w:t>的得</w:t>
            </w:r>
            <w:r>
              <w:rPr>
                <w:rFonts w:hint="eastAsia" w:ascii="宋体" w:hAnsi="宋体"/>
                <w:color w:val="auto"/>
                <w:sz w:val="21"/>
                <w:szCs w:val="21"/>
                <w:highlight w:val="none"/>
                <w:shd w:val="clear" w:color="auto" w:fill="auto"/>
                <w:lang w:val="en-US" w:eastAsia="zh-CN"/>
              </w:rPr>
              <w:t>3</w:t>
            </w:r>
            <w:r>
              <w:rPr>
                <w:rFonts w:hint="eastAsia" w:ascii="宋体" w:hAnsi="宋体" w:eastAsia="宋体"/>
                <w:color w:val="auto"/>
                <w:sz w:val="21"/>
                <w:szCs w:val="21"/>
                <w:highlight w:val="none"/>
                <w:shd w:val="clear" w:color="auto" w:fill="auto"/>
                <w:lang w:eastAsia="zh-CN"/>
              </w:rPr>
              <w:t>分；</w:t>
            </w:r>
          </w:p>
          <w:p w14:paraId="4F83D30C">
            <w:pPr>
              <w:spacing w:line="400" w:lineRule="exact"/>
              <w:ind w:left="105" w:leftChars="50" w:right="105" w:rightChars="50"/>
              <w:contextualSpacing/>
              <w:rPr>
                <w:rFonts w:hint="eastAsia" w:ascii="宋体" w:hAnsi="宋体" w:eastAsia="宋体"/>
                <w:color w:val="auto"/>
                <w:sz w:val="21"/>
                <w:szCs w:val="21"/>
                <w:highlight w:val="none"/>
                <w:shd w:val="clear" w:color="auto" w:fill="auto"/>
                <w:lang w:eastAsia="zh-CN"/>
              </w:rPr>
            </w:pPr>
            <w:r>
              <w:rPr>
                <w:rFonts w:hint="eastAsia" w:ascii="宋体" w:hAnsi="宋体" w:eastAsia="宋体"/>
                <w:color w:val="auto"/>
                <w:sz w:val="21"/>
                <w:szCs w:val="21"/>
                <w:highlight w:val="none"/>
                <w:shd w:val="clear" w:color="auto" w:fill="auto"/>
                <w:lang w:eastAsia="zh-CN"/>
              </w:rPr>
              <w:t>能提供完整的方案应急处理方案及应急保障措施方案，方案设置基本合理可行但</w:t>
            </w:r>
            <w:r>
              <w:rPr>
                <w:rFonts w:hint="eastAsia" w:ascii="宋体" w:hAnsi="宋体" w:eastAsia="宋体"/>
                <w:color w:val="auto"/>
                <w:sz w:val="21"/>
                <w:szCs w:val="21"/>
                <w:highlight w:val="none"/>
                <w:shd w:val="clear" w:color="auto" w:fill="auto"/>
                <w:lang w:val="en-US" w:eastAsia="zh-CN"/>
              </w:rPr>
              <w:t>部分</w:t>
            </w:r>
            <w:r>
              <w:rPr>
                <w:rFonts w:hint="eastAsia" w:ascii="宋体" w:hAnsi="宋体" w:eastAsia="宋体"/>
                <w:color w:val="auto"/>
                <w:sz w:val="21"/>
                <w:szCs w:val="21"/>
                <w:highlight w:val="none"/>
                <w:shd w:val="clear" w:color="auto" w:fill="auto"/>
                <w:lang w:eastAsia="zh-CN"/>
              </w:rPr>
              <w:t>内容</w:t>
            </w:r>
            <w:r>
              <w:rPr>
                <w:rFonts w:hint="eastAsia" w:ascii="宋体" w:hAnsi="宋体" w:eastAsia="宋体"/>
                <w:color w:val="auto"/>
                <w:sz w:val="21"/>
                <w:szCs w:val="21"/>
                <w:highlight w:val="none"/>
                <w:shd w:val="clear" w:color="auto" w:fill="auto"/>
                <w:lang w:val="en-US" w:eastAsia="zh-CN"/>
              </w:rPr>
              <w:t>不够具体可行</w:t>
            </w:r>
            <w:r>
              <w:rPr>
                <w:rFonts w:hint="eastAsia" w:ascii="宋体" w:hAnsi="宋体" w:eastAsia="宋体"/>
                <w:color w:val="auto"/>
                <w:sz w:val="21"/>
                <w:szCs w:val="21"/>
                <w:highlight w:val="none"/>
                <w:shd w:val="clear" w:color="auto" w:fill="auto"/>
                <w:lang w:eastAsia="zh-CN"/>
              </w:rPr>
              <w:t>的得</w:t>
            </w:r>
            <w:r>
              <w:rPr>
                <w:rFonts w:hint="eastAsia" w:ascii="宋体" w:hAnsi="宋体"/>
                <w:color w:val="auto"/>
                <w:sz w:val="21"/>
                <w:szCs w:val="21"/>
                <w:highlight w:val="none"/>
                <w:shd w:val="clear" w:color="auto" w:fill="auto"/>
                <w:lang w:val="en-US" w:eastAsia="zh-CN"/>
              </w:rPr>
              <w:t>2</w:t>
            </w:r>
            <w:r>
              <w:rPr>
                <w:rFonts w:hint="eastAsia" w:ascii="宋体" w:hAnsi="宋体" w:eastAsia="宋体"/>
                <w:color w:val="auto"/>
                <w:sz w:val="21"/>
                <w:szCs w:val="21"/>
                <w:highlight w:val="none"/>
                <w:shd w:val="clear" w:color="auto" w:fill="auto"/>
                <w:lang w:eastAsia="zh-CN"/>
              </w:rPr>
              <w:t>分；</w:t>
            </w:r>
          </w:p>
          <w:p w14:paraId="10E1F0F7">
            <w:pPr>
              <w:spacing w:line="400" w:lineRule="exact"/>
              <w:ind w:left="105" w:leftChars="50" w:right="105" w:rightChars="50"/>
              <w:contextualSpacing/>
              <w:rPr>
                <w:rFonts w:hint="eastAsia" w:ascii="宋体" w:hAnsi="宋体" w:eastAsia="宋体"/>
                <w:color w:val="auto"/>
                <w:sz w:val="21"/>
                <w:szCs w:val="21"/>
                <w:highlight w:val="none"/>
                <w:shd w:val="clear" w:color="auto" w:fill="auto"/>
                <w:lang w:eastAsia="zh-CN"/>
              </w:rPr>
            </w:pPr>
            <w:r>
              <w:rPr>
                <w:rFonts w:hint="eastAsia" w:ascii="宋体" w:hAnsi="宋体" w:eastAsia="宋体"/>
                <w:color w:val="auto"/>
                <w:sz w:val="21"/>
                <w:szCs w:val="21"/>
                <w:highlight w:val="none"/>
                <w:shd w:val="clear" w:color="auto" w:fill="auto"/>
                <w:lang w:eastAsia="zh-CN"/>
              </w:rPr>
              <w:t>方案内容不全或应急措施有</w:t>
            </w:r>
            <w:r>
              <w:rPr>
                <w:rFonts w:hint="eastAsia" w:ascii="宋体" w:hAnsi="宋体" w:eastAsia="宋体"/>
                <w:color w:val="auto"/>
                <w:sz w:val="21"/>
                <w:szCs w:val="21"/>
                <w:highlight w:val="none"/>
                <w:shd w:val="clear" w:color="auto" w:fill="auto"/>
                <w:lang w:val="en-US" w:eastAsia="zh-CN"/>
              </w:rPr>
              <w:t>明显</w:t>
            </w:r>
            <w:r>
              <w:rPr>
                <w:rFonts w:hint="eastAsia" w:ascii="宋体" w:hAnsi="宋体" w:eastAsia="宋体"/>
                <w:color w:val="auto"/>
                <w:sz w:val="21"/>
                <w:szCs w:val="21"/>
                <w:highlight w:val="none"/>
                <w:shd w:val="clear" w:color="auto" w:fill="auto"/>
                <w:lang w:eastAsia="zh-CN"/>
              </w:rPr>
              <w:t>不合理之处的得</w:t>
            </w:r>
            <w:r>
              <w:rPr>
                <w:rFonts w:hint="eastAsia" w:ascii="宋体" w:hAnsi="宋体"/>
                <w:color w:val="auto"/>
                <w:sz w:val="21"/>
                <w:szCs w:val="21"/>
                <w:highlight w:val="none"/>
                <w:shd w:val="clear" w:color="auto" w:fill="auto"/>
                <w:lang w:val="en-US" w:eastAsia="zh-CN"/>
              </w:rPr>
              <w:t>1</w:t>
            </w:r>
            <w:r>
              <w:rPr>
                <w:rFonts w:hint="eastAsia" w:ascii="宋体" w:hAnsi="宋体" w:eastAsia="宋体"/>
                <w:color w:val="auto"/>
                <w:sz w:val="21"/>
                <w:szCs w:val="21"/>
                <w:highlight w:val="none"/>
                <w:shd w:val="clear" w:color="auto" w:fill="auto"/>
                <w:lang w:eastAsia="zh-CN"/>
              </w:rPr>
              <w:t>分；</w:t>
            </w:r>
          </w:p>
          <w:p w14:paraId="25AC8EF7">
            <w:pPr>
              <w:keepNext w:val="0"/>
              <w:keepLines w:val="0"/>
              <w:pageBreakBefore w:val="0"/>
              <w:widowControl w:val="0"/>
              <w:kinsoku/>
              <w:wordWrap/>
              <w:overflowPunct/>
              <w:topLinePunct w:val="0"/>
              <w:bidi w:val="0"/>
              <w:snapToGrid/>
              <w:spacing w:line="480" w:lineRule="exact"/>
              <w:ind w:firstLine="105" w:firstLineChars="50"/>
              <w:contextualSpacing/>
              <w:jc w:val="left"/>
              <w:rPr>
                <w:rFonts w:hint="default" w:ascii="宋体" w:hAnsi="宋体" w:eastAsia="宋体"/>
                <w:color w:val="auto"/>
                <w:sz w:val="21"/>
                <w:szCs w:val="21"/>
                <w:highlight w:val="none"/>
                <w:shd w:val="clear" w:color="auto" w:fill="auto"/>
                <w:lang w:val="en-US" w:eastAsia="zh-CN"/>
              </w:rPr>
            </w:pPr>
            <w:r>
              <w:rPr>
                <w:rFonts w:hint="eastAsia" w:ascii="宋体" w:hAnsi="宋体" w:eastAsia="宋体"/>
                <w:color w:val="auto"/>
                <w:sz w:val="21"/>
                <w:szCs w:val="21"/>
                <w:highlight w:val="none"/>
                <w:shd w:val="clear" w:color="auto" w:fill="auto"/>
                <w:lang w:eastAsia="zh-CN"/>
              </w:rPr>
              <w:t>未提供</w:t>
            </w:r>
            <w:r>
              <w:rPr>
                <w:rFonts w:hint="eastAsia" w:ascii="宋体" w:hAnsi="宋体" w:eastAsia="宋体"/>
                <w:color w:val="auto"/>
                <w:sz w:val="21"/>
                <w:szCs w:val="21"/>
                <w:highlight w:val="none"/>
                <w:shd w:val="clear" w:color="auto" w:fill="auto"/>
                <w:lang w:val="en-US" w:eastAsia="zh-CN"/>
              </w:rPr>
              <w:t>相关</w:t>
            </w:r>
            <w:r>
              <w:rPr>
                <w:rFonts w:hint="eastAsia" w:ascii="宋体" w:hAnsi="宋体" w:eastAsia="宋体"/>
                <w:color w:val="auto"/>
                <w:sz w:val="21"/>
                <w:szCs w:val="21"/>
                <w:highlight w:val="none"/>
                <w:shd w:val="clear" w:color="auto" w:fill="auto"/>
                <w:lang w:eastAsia="zh-CN"/>
              </w:rPr>
              <w:t>内容的不得分。</w:t>
            </w:r>
          </w:p>
        </w:tc>
      </w:tr>
      <w:tr w14:paraId="387B5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86" w:hRule="atLeast"/>
        </w:trPr>
        <w:tc>
          <w:tcPr>
            <w:tcW w:w="446" w:type="dxa"/>
            <w:vMerge w:val="continue"/>
            <w:vAlign w:val="center"/>
          </w:tcPr>
          <w:p w14:paraId="299DC7E9">
            <w:pPr>
              <w:keepNext w:val="0"/>
              <w:keepLines w:val="0"/>
              <w:pageBreakBefore w:val="0"/>
              <w:widowControl w:val="0"/>
              <w:kinsoku/>
              <w:wordWrap/>
              <w:overflowPunct/>
              <w:topLinePunct w:val="0"/>
              <w:bidi w:val="0"/>
              <w:snapToGrid/>
              <w:spacing w:line="480" w:lineRule="exact"/>
              <w:ind w:left="113" w:right="113"/>
              <w:contextualSpacing/>
              <w:rPr>
                <w:rFonts w:hint="eastAsia" w:ascii="宋体" w:hAnsi="宋体" w:eastAsia="宋体"/>
                <w:color w:val="auto"/>
                <w:sz w:val="21"/>
                <w:szCs w:val="21"/>
                <w:highlight w:val="none"/>
                <w:shd w:val="clear" w:color="auto" w:fill="auto"/>
              </w:rPr>
            </w:pPr>
          </w:p>
        </w:tc>
        <w:tc>
          <w:tcPr>
            <w:tcW w:w="818" w:type="dxa"/>
            <w:vAlign w:val="center"/>
          </w:tcPr>
          <w:p w14:paraId="2CC5CD86">
            <w:pPr>
              <w:spacing w:line="400" w:lineRule="exact"/>
              <w:ind w:left="105" w:leftChars="50" w:right="113" w:rightChars="0"/>
              <w:contextualSpacing/>
              <w:jc w:val="center"/>
              <w:rPr>
                <w:rFonts w:hint="eastAsia" w:ascii="宋体" w:hAnsi="宋体" w:eastAsia="宋体"/>
                <w:b/>
                <w:bCs/>
                <w:color w:val="auto"/>
                <w:sz w:val="21"/>
                <w:szCs w:val="21"/>
                <w:highlight w:val="none"/>
                <w:shd w:val="clear" w:color="auto" w:fill="auto"/>
                <w:lang w:eastAsia="zh-CN"/>
              </w:rPr>
            </w:pPr>
            <w:r>
              <w:rPr>
                <w:rFonts w:hint="eastAsia" w:ascii="宋体" w:hAnsi="宋体" w:eastAsia="宋体"/>
                <w:b/>
                <w:bCs/>
                <w:color w:val="auto"/>
                <w:sz w:val="21"/>
                <w:szCs w:val="21"/>
                <w:highlight w:val="none"/>
                <w:shd w:val="clear" w:color="auto" w:fill="auto"/>
                <w:lang w:eastAsia="zh-CN"/>
              </w:rPr>
              <w:t>投标供应商</w:t>
            </w:r>
            <w:r>
              <w:rPr>
                <w:rFonts w:hint="eastAsia" w:ascii="宋体" w:hAnsi="宋体" w:eastAsia="宋体"/>
                <w:b/>
                <w:bCs/>
                <w:color w:val="auto"/>
                <w:sz w:val="21"/>
                <w:szCs w:val="21"/>
                <w:highlight w:val="none"/>
                <w:shd w:val="clear" w:color="auto" w:fill="auto"/>
              </w:rPr>
              <w:t>业绩（</w:t>
            </w:r>
            <w:r>
              <w:rPr>
                <w:rFonts w:hint="eastAsia" w:ascii="宋体" w:hAnsi="宋体" w:eastAsia="宋体"/>
                <w:b/>
                <w:bCs/>
                <w:color w:val="auto"/>
                <w:sz w:val="21"/>
                <w:szCs w:val="21"/>
                <w:highlight w:val="none"/>
                <w:shd w:val="clear" w:color="auto" w:fill="auto"/>
                <w:lang w:val="en-US" w:eastAsia="zh-CN"/>
              </w:rPr>
              <w:t>4</w:t>
            </w:r>
            <w:r>
              <w:rPr>
                <w:rFonts w:hint="eastAsia" w:ascii="宋体" w:hAnsi="宋体" w:eastAsia="宋体"/>
                <w:b/>
                <w:bCs/>
                <w:color w:val="auto"/>
                <w:sz w:val="21"/>
                <w:szCs w:val="21"/>
                <w:highlight w:val="none"/>
                <w:shd w:val="clear" w:color="auto" w:fill="auto"/>
              </w:rPr>
              <w:t>分</w:t>
            </w:r>
            <w:r>
              <w:rPr>
                <w:rFonts w:hint="eastAsia" w:ascii="宋体" w:hAnsi="宋体" w:eastAsia="宋体"/>
                <w:color w:val="auto"/>
                <w:sz w:val="21"/>
                <w:szCs w:val="21"/>
                <w:highlight w:val="none"/>
                <w:shd w:val="clear" w:color="auto" w:fill="auto"/>
              </w:rPr>
              <w:t>）</w:t>
            </w:r>
          </w:p>
        </w:tc>
        <w:tc>
          <w:tcPr>
            <w:tcW w:w="8145" w:type="dxa"/>
            <w:vAlign w:val="center"/>
          </w:tcPr>
          <w:p w14:paraId="7708D34B">
            <w:pPr>
              <w:keepNext w:val="0"/>
              <w:keepLines w:val="0"/>
              <w:pageBreakBefore w:val="0"/>
              <w:widowControl w:val="0"/>
              <w:kinsoku/>
              <w:wordWrap/>
              <w:overflowPunct/>
              <w:topLinePunct w:val="0"/>
              <w:bidi w:val="0"/>
              <w:snapToGrid/>
              <w:spacing w:line="480" w:lineRule="exact"/>
              <w:ind w:firstLine="105" w:firstLineChars="50"/>
              <w:contextualSpacing/>
              <w:jc w:val="left"/>
              <w:rPr>
                <w:rFonts w:hint="eastAsia" w:ascii="宋体" w:hAnsi="宋体" w:eastAsia="宋体"/>
                <w:color w:val="auto"/>
                <w:sz w:val="21"/>
                <w:szCs w:val="21"/>
                <w:highlight w:val="none"/>
                <w:shd w:val="clear" w:color="auto" w:fill="auto"/>
                <w:lang w:eastAsia="zh-CN"/>
              </w:rPr>
            </w:pPr>
            <w:r>
              <w:rPr>
                <w:rFonts w:hint="eastAsia" w:ascii="宋体" w:hAnsi="宋体" w:eastAsia="宋体"/>
                <w:color w:val="auto"/>
                <w:sz w:val="21"/>
                <w:szCs w:val="21"/>
                <w:highlight w:val="none"/>
                <w:shd w:val="clear" w:color="auto" w:fill="auto"/>
                <w:lang w:eastAsia="zh-CN"/>
              </w:rPr>
              <w:t>投标供应商</w:t>
            </w:r>
            <w:r>
              <w:rPr>
                <w:rFonts w:hint="eastAsia" w:ascii="宋体" w:hAnsi="宋体" w:eastAsia="宋体"/>
                <w:color w:val="auto"/>
                <w:sz w:val="21"/>
                <w:szCs w:val="21"/>
                <w:highlight w:val="none"/>
                <w:shd w:val="clear" w:color="auto" w:fill="auto"/>
              </w:rPr>
              <w:t>具有</w:t>
            </w:r>
            <w:r>
              <w:rPr>
                <w:rFonts w:hint="eastAsia" w:ascii="宋体" w:hAnsi="宋体" w:eastAsia="宋体"/>
                <w:color w:val="auto"/>
                <w:sz w:val="21"/>
                <w:szCs w:val="21"/>
                <w:highlight w:val="none"/>
                <w:lang w:val="zh-CN"/>
              </w:rPr>
              <w:t>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val="zh-CN"/>
              </w:rPr>
              <w:t>年</w:t>
            </w:r>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lang w:val="zh-CN"/>
              </w:rPr>
              <w:t>月1日</w:t>
            </w:r>
            <w:r>
              <w:rPr>
                <w:rFonts w:hint="eastAsia" w:ascii="宋体" w:hAnsi="宋体"/>
                <w:color w:val="auto"/>
                <w:sz w:val="21"/>
                <w:szCs w:val="21"/>
                <w:highlight w:val="none"/>
                <w:u w:val="none"/>
                <w:shd w:val="clear" w:color="auto" w:fill="auto"/>
                <w:lang w:val="zh-CN"/>
              </w:rPr>
              <w:t>（</w:t>
            </w:r>
            <w:r>
              <w:rPr>
                <w:rFonts w:hint="eastAsia" w:ascii="宋体" w:hAnsi="宋体"/>
                <w:color w:val="auto"/>
                <w:sz w:val="21"/>
                <w:szCs w:val="21"/>
                <w:highlight w:val="none"/>
                <w:u w:val="none"/>
                <w:shd w:val="clear" w:color="auto" w:fill="auto"/>
                <w:lang w:val="en-US" w:eastAsia="zh-CN"/>
              </w:rPr>
              <w:t>时间以合同签订时间为准</w:t>
            </w:r>
            <w:r>
              <w:rPr>
                <w:rFonts w:hint="eastAsia" w:ascii="宋体" w:hAnsi="宋体"/>
                <w:color w:val="auto"/>
                <w:sz w:val="21"/>
                <w:szCs w:val="21"/>
                <w:highlight w:val="none"/>
                <w:u w:val="none"/>
                <w:shd w:val="clear" w:color="auto" w:fill="auto"/>
                <w:lang w:val="zh-CN"/>
              </w:rPr>
              <w:t>）</w:t>
            </w:r>
            <w:r>
              <w:rPr>
                <w:rFonts w:hint="eastAsia" w:ascii="宋体" w:hAnsi="宋体" w:eastAsia="宋体"/>
                <w:color w:val="auto"/>
                <w:sz w:val="21"/>
                <w:szCs w:val="21"/>
                <w:highlight w:val="none"/>
                <w:lang w:val="zh-CN"/>
              </w:rPr>
              <w:t>起</w:t>
            </w:r>
            <w:r>
              <w:rPr>
                <w:rFonts w:hint="eastAsia" w:ascii="宋体" w:hAnsi="宋体" w:eastAsia="宋体"/>
                <w:color w:val="auto"/>
                <w:sz w:val="21"/>
                <w:szCs w:val="21"/>
                <w:highlight w:val="none"/>
                <w:lang w:val="en-US" w:eastAsia="zh-CN"/>
              </w:rPr>
              <w:t>至今的</w:t>
            </w:r>
            <w:r>
              <w:rPr>
                <w:rFonts w:hint="eastAsia" w:ascii="宋体" w:hAnsi="宋体" w:eastAsia="宋体"/>
                <w:color w:val="auto"/>
                <w:sz w:val="21"/>
                <w:szCs w:val="21"/>
                <w:highlight w:val="none"/>
                <w:shd w:val="clear" w:color="auto" w:fill="auto"/>
              </w:rPr>
              <w:t>次氯酸钠或氢氧化钠年度</w:t>
            </w:r>
            <w:r>
              <w:rPr>
                <w:rFonts w:hint="eastAsia" w:ascii="宋体" w:hAnsi="宋体" w:eastAsia="宋体"/>
                <w:color w:val="auto"/>
                <w:sz w:val="21"/>
                <w:szCs w:val="21"/>
                <w:highlight w:val="none"/>
                <w:shd w:val="clear" w:color="auto" w:fill="auto"/>
                <w:lang w:val="en-US" w:eastAsia="zh-CN"/>
              </w:rPr>
              <w:t>供货</w:t>
            </w:r>
            <w:r>
              <w:rPr>
                <w:rFonts w:hint="eastAsia" w:ascii="宋体" w:hAnsi="宋体" w:eastAsia="宋体"/>
                <w:color w:val="auto"/>
                <w:sz w:val="21"/>
                <w:szCs w:val="21"/>
                <w:highlight w:val="none"/>
                <w:shd w:val="clear" w:color="auto" w:fill="auto"/>
              </w:rPr>
              <w:t>业绩的，每提供1个得1分，最高</w:t>
            </w:r>
            <w:r>
              <w:rPr>
                <w:rFonts w:hint="eastAsia" w:ascii="宋体" w:hAnsi="宋体" w:eastAsia="宋体"/>
                <w:color w:val="auto"/>
                <w:sz w:val="21"/>
                <w:szCs w:val="21"/>
                <w:highlight w:val="none"/>
                <w:shd w:val="clear" w:color="auto" w:fill="auto"/>
                <w:lang w:val="en-US" w:eastAsia="zh-CN"/>
              </w:rPr>
              <w:t>4</w:t>
            </w:r>
            <w:r>
              <w:rPr>
                <w:rFonts w:hint="eastAsia" w:ascii="宋体" w:hAnsi="宋体" w:eastAsia="宋体"/>
                <w:color w:val="auto"/>
                <w:sz w:val="21"/>
                <w:szCs w:val="21"/>
                <w:highlight w:val="none"/>
                <w:shd w:val="clear" w:color="auto" w:fill="auto"/>
              </w:rPr>
              <w:t>分，同一采购人不同年度的，算一份。</w:t>
            </w:r>
            <w:r>
              <w:rPr>
                <w:rFonts w:hint="eastAsia" w:ascii="宋体" w:hAnsi="宋体" w:eastAsia="宋体"/>
                <w:color w:val="auto"/>
                <w:sz w:val="21"/>
                <w:szCs w:val="21"/>
                <w:highlight w:val="none"/>
                <w:shd w:val="clear" w:color="auto" w:fill="auto"/>
                <w:lang w:val="en-US" w:eastAsia="zh-CN"/>
              </w:rPr>
              <w:t>投标文件中须</w:t>
            </w:r>
            <w:r>
              <w:rPr>
                <w:rFonts w:hint="eastAsia" w:ascii="宋体" w:hAnsi="宋体" w:eastAsia="宋体"/>
                <w:color w:val="auto"/>
                <w:sz w:val="21"/>
                <w:szCs w:val="21"/>
                <w:highlight w:val="none"/>
                <w:shd w:val="clear" w:color="auto" w:fill="auto"/>
              </w:rPr>
              <w:t>提供合同复印件加盖公章</w:t>
            </w:r>
            <w:r>
              <w:rPr>
                <w:rFonts w:hint="eastAsia" w:ascii="宋体" w:hAnsi="宋体" w:eastAsia="宋体"/>
                <w:color w:val="auto"/>
                <w:sz w:val="21"/>
                <w:szCs w:val="21"/>
                <w:highlight w:val="none"/>
                <w:shd w:val="clear" w:color="auto" w:fill="auto"/>
                <w:lang w:eastAsia="zh-CN"/>
              </w:rPr>
              <w:t>，</w:t>
            </w:r>
            <w:r>
              <w:rPr>
                <w:rFonts w:hint="eastAsia" w:ascii="宋体" w:hAnsi="宋体" w:eastAsia="宋体"/>
                <w:color w:val="auto"/>
                <w:sz w:val="21"/>
                <w:szCs w:val="21"/>
                <w:highlight w:val="none"/>
                <w:shd w:val="clear" w:color="auto" w:fill="auto"/>
                <w:lang w:val="en-US" w:eastAsia="zh-CN"/>
              </w:rPr>
              <w:t>未提供不得分</w:t>
            </w:r>
            <w:r>
              <w:rPr>
                <w:rFonts w:hint="eastAsia" w:ascii="宋体" w:hAnsi="宋体" w:eastAsia="宋体"/>
                <w:color w:val="auto"/>
                <w:sz w:val="21"/>
                <w:szCs w:val="21"/>
                <w:highlight w:val="none"/>
                <w:shd w:val="clear" w:color="auto" w:fill="auto"/>
                <w:lang w:eastAsia="zh-CN"/>
              </w:rPr>
              <w:t>。</w:t>
            </w:r>
          </w:p>
        </w:tc>
      </w:tr>
      <w:tr w14:paraId="739B4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09" w:hRule="atLeast"/>
        </w:trPr>
        <w:tc>
          <w:tcPr>
            <w:tcW w:w="446" w:type="dxa"/>
            <w:vMerge w:val="continue"/>
            <w:vAlign w:val="center"/>
          </w:tcPr>
          <w:p w14:paraId="522F2776">
            <w:pPr>
              <w:keepNext w:val="0"/>
              <w:keepLines w:val="0"/>
              <w:pageBreakBefore w:val="0"/>
              <w:widowControl w:val="0"/>
              <w:kinsoku/>
              <w:wordWrap/>
              <w:overflowPunct/>
              <w:topLinePunct w:val="0"/>
              <w:bidi w:val="0"/>
              <w:snapToGrid/>
              <w:spacing w:line="480" w:lineRule="exact"/>
              <w:ind w:left="113" w:right="113"/>
              <w:contextualSpacing/>
              <w:rPr>
                <w:rFonts w:hint="eastAsia" w:ascii="宋体" w:hAnsi="宋体" w:eastAsia="宋体"/>
                <w:color w:val="auto"/>
                <w:sz w:val="21"/>
                <w:szCs w:val="21"/>
                <w:highlight w:val="none"/>
                <w:shd w:val="clear" w:color="auto" w:fill="auto"/>
              </w:rPr>
            </w:pPr>
          </w:p>
        </w:tc>
        <w:tc>
          <w:tcPr>
            <w:tcW w:w="818" w:type="dxa"/>
            <w:vAlign w:val="center"/>
          </w:tcPr>
          <w:p w14:paraId="0D405B87">
            <w:pPr>
              <w:spacing w:line="400" w:lineRule="exact"/>
              <w:ind w:left="105" w:leftChars="50" w:right="113" w:rightChars="0"/>
              <w:contextualSpacing/>
              <w:jc w:val="center"/>
              <w:rPr>
                <w:rFonts w:hint="eastAsia" w:ascii="宋体" w:hAnsi="宋体" w:eastAsia="宋体"/>
                <w:b/>
                <w:bCs/>
                <w:color w:val="auto"/>
                <w:sz w:val="21"/>
                <w:szCs w:val="21"/>
                <w:highlight w:val="none"/>
                <w:shd w:val="clear" w:color="auto" w:fill="auto"/>
                <w:lang w:val="en-US" w:eastAsia="zh-CN"/>
              </w:rPr>
            </w:pPr>
            <w:r>
              <w:rPr>
                <w:rFonts w:hint="eastAsia" w:ascii="宋体" w:hAnsi="宋体" w:eastAsia="宋体"/>
                <w:b/>
                <w:bCs/>
                <w:color w:val="auto"/>
                <w:sz w:val="21"/>
                <w:szCs w:val="21"/>
                <w:highlight w:val="none"/>
                <w:shd w:val="clear" w:color="auto" w:fill="auto"/>
                <w:lang w:val="en-US" w:eastAsia="zh-CN"/>
              </w:rPr>
              <w:t>售后服务</w:t>
            </w:r>
            <w:r>
              <w:rPr>
                <w:rFonts w:hint="eastAsia" w:ascii="宋体" w:hAnsi="宋体" w:eastAsia="宋体"/>
                <w:b/>
                <w:bCs/>
                <w:color w:val="auto"/>
                <w:sz w:val="21"/>
                <w:szCs w:val="21"/>
                <w:highlight w:val="none"/>
                <w:shd w:val="clear" w:color="auto" w:fill="auto"/>
              </w:rPr>
              <w:t>（</w:t>
            </w:r>
            <w:r>
              <w:rPr>
                <w:rFonts w:hint="eastAsia" w:ascii="宋体" w:hAnsi="宋体" w:eastAsia="宋体"/>
                <w:b/>
                <w:bCs/>
                <w:color w:val="auto"/>
                <w:sz w:val="21"/>
                <w:szCs w:val="21"/>
                <w:highlight w:val="none"/>
                <w:shd w:val="clear" w:color="auto" w:fill="auto"/>
                <w:lang w:val="en-US" w:eastAsia="zh-CN"/>
              </w:rPr>
              <w:t>3</w:t>
            </w:r>
            <w:r>
              <w:rPr>
                <w:rFonts w:hint="eastAsia" w:ascii="宋体" w:hAnsi="宋体" w:eastAsia="宋体"/>
                <w:b/>
                <w:bCs/>
                <w:color w:val="auto"/>
                <w:sz w:val="21"/>
                <w:szCs w:val="21"/>
                <w:highlight w:val="none"/>
                <w:shd w:val="clear" w:color="auto" w:fill="auto"/>
              </w:rPr>
              <w:t>分）</w:t>
            </w:r>
          </w:p>
        </w:tc>
        <w:tc>
          <w:tcPr>
            <w:tcW w:w="8145" w:type="dxa"/>
            <w:vAlign w:val="center"/>
          </w:tcPr>
          <w:p w14:paraId="5FF1A002">
            <w:pPr>
              <w:keepNext w:val="0"/>
              <w:keepLines w:val="0"/>
              <w:pageBreakBefore w:val="0"/>
              <w:widowControl w:val="0"/>
              <w:kinsoku/>
              <w:wordWrap/>
              <w:overflowPunct/>
              <w:topLinePunct w:val="0"/>
              <w:autoSpaceDE w:val="0"/>
              <w:autoSpaceDN w:val="0"/>
              <w:bidi w:val="0"/>
              <w:snapToGrid/>
              <w:spacing w:line="480" w:lineRule="exact"/>
              <w:rPr>
                <w:rFonts w:hint="eastAsia" w:ascii="宋体" w:hAnsi="宋体"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rPr>
              <w:t>评委</w:t>
            </w:r>
            <w:r>
              <w:rPr>
                <w:rFonts w:hint="eastAsia" w:ascii="宋体" w:hAnsi="宋体" w:eastAsia="宋体"/>
                <w:color w:val="auto"/>
                <w:sz w:val="21"/>
                <w:szCs w:val="21"/>
                <w:highlight w:val="none"/>
                <w:shd w:val="clear" w:color="auto" w:fill="auto"/>
                <w:lang w:val="en-US" w:eastAsia="zh-CN"/>
              </w:rPr>
              <w:t>对</w:t>
            </w:r>
            <w:r>
              <w:rPr>
                <w:rFonts w:hint="eastAsia" w:ascii="宋体" w:hAnsi="宋体" w:eastAsia="宋体"/>
                <w:color w:val="auto"/>
                <w:sz w:val="21"/>
                <w:szCs w:val="21"/>
                <w:highlight w:val="none"/>
                <w:u w:val="none"/>
                <w:shd w:val="clear" w:color="auto" w:fill="auto"/>
                <w:lang w:val="en-US"/>
              </w:rPr>
              <w:t>投标</w:t>
            </w:r>
            <w:r>
              <w:rPr>
                <w:rFonts w:hint="eastAsia" w:ascii="宋体" w:hAnsi="宋体" w:eastAsia="宋体"/>
                <w:color w:val="auto"/>
                <w:sz w:val="21"/>
                <w:szCs w:val="21"/>
                <w:highlight w:val="none"/>
                <w:u w:val="none"/>
                <w:shd w:val="clear" w:color="auto" w:fill="auto"/>
                <w:lang w:val="en-US" w:eastAsia="zh-CN"/>
              </w:rPr>
              <w:t>供应商</w:t>
            </w:r>
            <w:r>
              <w:rPr>
                <w:rFonts w:hint="eastAsia" w:ascii="宋体" w:hAnsi="宋体" w:eastAsia="宋体"/>
                <w:color w:val="auto"/>
                <w:sz w:val="21"/>
                <w:szCs w:val="21"/>
                <w:highlight w:val="none"/>
                <w:u w:val="none"/>
                <w:shd w:val="clear" w:color="auto" w:fill="auto"/>
                <w:lang w:val="en-US"/>
              </w:rPr>
              <w:t>的售后的</w:t>
            </w:r>
            <w:r>
              <w:rPr>
                <w:rFonts w:hint="eastAsia" w:ascii="宋体" w:hAnsi="宋体" w:eastAsia="宋体"/>
                <w:color w:val="auto"/>
                <w:sz w:val="21"/>
                <w:szCs w:val="21"/>
                <w:highlight w:val="none"/>
                <w:u w:val="none"/>
                <w:shd w:val="clear" w:color="auto" w:fill="auto"/>
                <w:lang w:val="en-US" w:eastAsia="zh-CN"/>
              </w:rPr>
              <w:t>服务方案</w:t>
            </w:r>
            <w:r>
              <w:rPr>
                <w:rFonts w:hint="eastAsia" w:ascii="宋体" w:hAnsi="宋体" w:eastAsia="宋体"/>
                <w:color w:val="auto"/>
                <w:sz w:val="21"/>
                <w:szCs w:val="21"/>
                <w:highlight w:val="none"/>
                <w:u w:val="none"/>
                <w:shd w:val="clear" w:color="auto" w:fill="auto"/>
                <w:lang w:val="en-US"/>
              </w:rPr>
              <w:t>、响应</w:t>
            </w:r>
            <w:r>
              <w:rPr>
                <w:rFonts w:hint="eastAsia" w:ascii="宋体" w:hAnsi="宋体" w:eastAsia="宋体"/>
                <w:color w:val="auto"/>
                <w:sz w:val="21"/>
                <w:szCs w:val="21"/>
                <w:highlight w:val="none"/>
                <w:u w:val="none"/>
                <w:shd w:val="clear" w:color="auto" w:fill="auto"/>
                <w:lang w:val="en-US" w:eastAsia="zh-CN"/>
              </w:rPr>
              <w:t>情况、应急方案、优化服务承诺</w:t>
            </w:r>
            <w:r>
              <w:rPr>
                <w:rFonts w:hint="eastAsia" w:ascii="宋体" w:hAnsi="宋体" w:eastAsia="宋体"/>
                <w:color w:val="auto"/>
                <w:sz w:val="21"/>
                <w:szCs w:val="21"/>
                <w:highlight w:val="none"/>
                <w:u w:val="none"/>
                <w:shd w:val="clear" w:color="auto" w:fill="auto"/>
                <w:lang w:val="en-US"/>
              </w:rPr>
              <w:t>等</w:t>
            </w:r>
            <w:r>
              <w:rPr>
                <w:rFonts w:hint="eastAsia" w:ascii="宋体" w:hAnsi="宋体" w:eastAsia="宋体"/>
                <w:color w:val="auto"/>
                <w:sz w:val="21"/>
                <w:szCs w:val="21"/>
                <w:highlight w:val="none"/>
                <w:u w:val="none"/>
                <w:shd w:val="clear" w:color="auto" w:fill="auto"/>
                <w:lang w:val="en-US" w:eastAsia="zh-CN"/>
              </w:rPr>
              <w:t>进行评审：</w:t>
            </w:r>
            <w:r>
              <w:rPr>
                <w:rFonts w:hint="eastAsia" w:ascii="宋体" w:hAnsi="宋体" w:eastAsia="宋体"/>
                <w:color w:val="auto"/>
                <w:sz w:val="21"/>
                <w:szCs w:val="21"/>
                <w:highlight w:val="none"/>
                <w:u w:val="none"/>
                <w:shd w:val="clear" w:color="auto" w:fill="auto"/>
                <w:lang w:val="en-US"/>
              </w:rPr>
              <w:t>方案能满足项目需求的</w:t>
            </w:r>
            <w:r>
              <w:rPr>
                <w:rFonts w:hint="eastAsia" w:ascii="宋体" w:hAnsi="宋体" w:eastAsia="宋体"/>
                <w:color w:val="auto"/>
                <w:sz w:val="21"/>
                <w:szCs w:val="21"/>
                <w:highlight w:val="none"/>
                <w:u w:val="none"/>
                <w:shd w:val="clear" w:color="auto" w:fill="auto"/>
                <w:lang w:val="en-US" w:eastAsia="zh-CN"/>
              </w:rPr>
              <w:t>得3</w:t>
            </w:r>
            <w:r>
              <w:rPr>
                <w:rFonts w:hint="eastAsia" w:ascii="宋体" w:hAnsi="宋体" w:eastAsia="宋体"/>
                <w:color w:val="auto"/>
                <w:sz w:val="21"/>
                <w:szCs w:val="21"/>
                <w:highlight w:val="none"/>
                <w:u w:val="none"/>
                <w:shd w:val="clear" w:color="auto" w:fill="auto"/>
                <w:lang w:val="en-US"/>
              </w:rPr>
              <w:t>分</w:t>
            </w:r>
            <w:r>
              <w:rPr>
                <w:rFonts w:hint="eastAsia" w:ascii="宋体" w:hAnsi="宋体" w:eastAsia="宋体"/>
                <w:color w:val="auto"/>
                <w:sz w:val="21"/>
                <w:szCs w:val="21"/>
                <w:highlight w:val="none"/>
                <w:u w:val="none"/>
                <w:shd w:val="clear" w:color="auto" w:fill="auto"/>
                <w:lang w:val="en-US" w:eastAsia="zh-CN"/>
              </w:rPr>
              <w:t>；</w:t>
            </w:r>
            <w:r>
              <w:rPr>
                <w:rFonts w:hint="eastAsia" w:ascii="宋体" w:hAnsi="宋体" w:eastAsia="宋体"/>
                <w:color w:val="auto"/>
                <w:sz w:val="21"/>
                <w:szCs w:val="21"/>
                <w:highlight w:val="none"/>
                <w:u w:val="none"/>
                <w:shd w:val="clear" w:color="auto" w:fill="auto"/>
                <w:lang w:val="en-US"/>
              </w:rPr>
              <w:t>方案基本能满足项目需求的</w:t>
            </w:r>
            <w:r>
              <w:rPr>
                <w:rFonts w:hint="eastAsia" w:ascii="宋体" w:hAnsi="宋体" w:eastAsia="宋体"/>
                <w:color w:val="auto"/>
                <w:sz w:val="21"/>
                <w:szCs w:val="21"/>
                <w:highlight w:val="none"/>
                <w:u w:val="none"/>
                <w:shd w:val="clear" w:color="auto" w:fill="auto"/>
                <w:lang w:val="en-US" w:eastAsia="zh-CN"/>
              </w:rPr>
              <w:t>得2</w:t>
            </w:r>
            <w:r>
              <w:rPr>
                <w:rFonts w:hint="eastAsia" w:ascii="宋体" w:hAnsi="宋体" w:eastAsia="宋体"/>
                <w:color w:val="auto"/>
                <w:sz w:val="21"/>
                <w:szCs w:val="21"/>
                <w:highlight w:val="none"/>
                <w:u w:val="none"/>
                <w:shd w:val="clear" w:color="auto" w:fill="auto"/>
                <w:lang w:val="en-US"/>
              </w:rPr>
              <w:t>分</w:t>
            </w:r>
            <w:r>
              <w:rPr>
                <w:rFonts w:hint="eastAsia" w:ascii="宋体" w:hAnsi="宋体" w:eastAsia="宋体"/>
                <w:color w:val="auto"/>
                <w:sz w:val="21"/>
                <w:szCs w:val="21"/>
                <w:highlight w:val="none"/>
                <w:u w:val="none"/>
                <w:shd w:val="clear" w:color="auto" w:fill="auto"/>
                <w:lang w:val="en-US" w:eastAsia="zh-CN"/>
              </w:rPr>
              <w:t>；</w:t>
            </w:r>
            <w:r>
              <w:rPr>
                <w:rFonts w:hint="eastAsia" w:ascii="宋体" w:hAnsi="宋体" w:eastAsia="宋体"/>
                <w:color w:val="auto"/>
                <w:sz w:val="21"/>
                <w:szCs w:val="21"/>
                <w:highlight w:val="none"/>
                <w:u w:val="none"/>
                <w:shd w:val="clear" w:color="auto" w:fill="auto"/>
                <w:lang w:val="en-US"/>
              </w:rPr>
              <w:t>方案不能满足项目需求的得</w:t>
            </w:r>
            <w:r>
              <w:rPr>
                <w:rFonts w:hint="eastAsia" w:ascii="宋体" w:hAnsi="宋体" w:eastAsia="宋体"/>
                <w:color w:val="auto"/>
                <w:sz w:val="21"/>
                <w:szCs w:val="21"/>
                <w:highlight w:val="none"/>
                <w:u w:val="none"/>
                <w:shd w:val="clear" w:color="auto" w:fill="auto"/>
                <w:lang w:val="en-US" w:eastAsia="zh-CN"/>
              </w:rPr>
              <w:t>1</w:t>
            </w:r>
            <w:r>
              <w:rPr>
                <w:rFonts w:hint="eastAsia" w:ascii="宋体" w:hAnsi="宋体" w:eastAsia="宋体"/>
                <w:color w:val="auto"/>
                <w:sz w:val="21"/>
                <w:szCs w:val="21"/>
                <w:highlight w:val="none"/>
                <w:u w:val="none"/>
                <w:shd w:val="clear" w:color="auto" w:fill="auto"/>
                <w:lang w:val="en-US"/>
              </w:rPr>
              <w:t>分</w:t>
            </w:r>
            <w:r>
              <w:rPr>
                <w:rFonts w:hint="eastAsia" w:ascii="宋体" w:hAnsi="宋体" w:eastAsia="宋体"/>
                <w:color w:val="auto"/>
                <w:sz w:val="21"/>
                <w:szCs w:val="21"/>
                <w:highlight w:val="none"/>
                <w:u w:val="none"/>
                <w:shd w:val="clear" w:color="auto" w:fill="auto"/>
                <w:lang w:val="en-US" w:eastAsia="zh-CN"/>
              </w:rPr>
              <w:t>；</w:t>
            </w:r>
            <w:r>
              <w:rPr>
                <w:rFonts w:hint="eastAsia" w:ascii="宋体" w:hAnsi="宋体" w:eastAsia="宋体"/>
                <w:color w:val="auto"/>
                <w:sz w:val="21"/>
                <w:szCs w:val="21"/>
                <w:highlight w:val="none"/>
                <w:u w:val="none"/>
                <w:shd w:val="clear" w:color="auto" w:fill="auto"/>
                <w:lang w:val="en-US"/>
              </w:rPr>
              <w:t>未提供方案的得0分。</w:t>
            </w:r>
          </w:p>
        </w:tc>
      </w:tr>
      <w:tr w14:paraId="0E0A4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500" w:hRule="atLeast"/>
        </w:trPr>
        <w:tc>
          <w:tcPr>
            <w:tcW w:w="446" w:type="dxa"/>
            <w:vMerge w:val="restart"/>
            <w:vAlign w:val="center"/>
          </w:tcPr>
          <w:p w14:paraId="1F5B603D">
            <w:pPr>
              <w:spacing w:line="400" w:lineRule="exact"/>
              <w:ind w:left="105" w:leftChars="50" w:right="113" w:rightChars="0"/>
              <w:contextualSpacing/>
              <w:jc w:val="center"/>
              <w:rPr>
                <w:rFonts w:hint="eastAsia" w:ascii="宋体" w:hAnsi="宋体"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rPr>
              <w:t>价格分</w:t>
            </w:r>
          </w:p>
          <w:p w14:paraId="4E2BD65E">
            <w:pPr>
              <w:keepNext w:val="0"/>
              <w:keepLines w:val="0"/>
              <w:pageBreakBefore w:val="0"/>
              <w:widowControl w:val="0"/>
              <w:kinsoku/>
              <w:wordWrap/>
              <w:overflowPunct/>
              <w:topLinePunct w:val="0"/>
              <w:bidi w:val="0"/>
              <w:snapToGrid/>
              <w:spacing w:line="480" w:lineRule="exact"/>
              <w:ind w:left="113" w:right="113"/>
              <w:contextualSpacing/>
              <w:rPr>
                <w:rFonts w:hint="eastAsia" w:ascii="宋体" w:hAnsi="宋体"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rPr>
              <w:t>60分</w:t>
            </w:r>
          </w:p>
        </w:tc>
        <w:tc>
          <w:tcPr>
            <w:tcW w:w="8963" w:type="dxa"/>
            <w:gridSpan w:val="2"/>
            <w:vAlign w:val="center"/>
          </w:tcPr>
          <w:p w14:paraId="76578F90">
            <w:pPr>
              <w:keepNext w:val="0"/>
              <w:keepLines w:val="0"/>
              <w:pageBreakBefore w:val="0"/>
              <w:widowControl w:val="0"/>
              <w:kinsoku/>
              <w:wordWrap/>
              <w:overflowPunct/>
              <w:topLinePunct w:val="0"/>
              <w:autoSpaceDE w:val="0"/>
              <w:autoSpaceDN w:val="0"/>
              <w:bidi w:val="0"/>
              <w:snapToGrid/>
              <w:spacing w:line="480" w:lineRule="exact"/>
              <w:rPr>
                <w:rFonts w:hint="eastAsia" w:ascii="宋体" w:hAnsi="宋体" w:eastAsia="宋体"/>
                <w:color w:val="auto"/>
                <w:sz w:val="21"/>
                <w:szCs w:val="21"/>
                <w:highlight w:val="none"/>
                <w:u w:val="none"/>
                <w:shd w:val="clear" w:color="auto" w:fill="auto"/>
                <w:lang w:val="en-US"/>
              </w:rPr>
            </w:pPr>
            <w:r>
              <w:rPr>
                <w:rFonts w:hint="eastAsia" w:ascii="宋体" w:hAnsi="宋体" w:eastAsia="宋体"/>
                <w:color w:val="auto"/>
                <w:sz w:val="21"/>
                <w:szCs w:val="21"/>
                <w:highlight w:val="none"/>
                <w:u w:val="none"/>
                <w:shd w:val="clear" w:color="auto" w:fill="auto"/>
                <w:lang w:val="en-US"/>
              </w:rPr>
              <w:t>1、次氯酸钠（5</w:t>
            </w:r>
            <w:r>
              <w:rPr>
                <w:rFonts w:hint="eastAsia" w:ascii="宋体" w:hAnsi="宋体"/>
                <w:color w:val="auto"/>
                <w:sz w:val="21"/>
                <w:szCs w:val="21"/>
                <w:highlight w:val="none"/>
                <w:u w:val="none"/>
                <w:shd w:val="clear" w:color="auto" w:fill="auto"/>
                <w:lang w:val="en-US" w:eastAsia="zh-CN"/>
              </w:rPr>
              <w:t>4</w:t>
            </w:r>
            <w:r>
              <w:rPr>
                <w:rFonts w:hint="eastAsia" w:ascii="宋体" w:hAnsi="宋体" w:eastAsia="宋体"/>
                <w:color w:val="auto"/>
                <w:sz w:val="21"/>
                <w:szCs w:val="21"/>
                <w:highlight w:val="none"/>
                <w:u w:val="none"/>
                <w:shd w:val="clear" w:color="auto" w:fill="auto"/>
                <w:lang w:val="en-US"/>
              </w:rPr>
              <w:t>分）</w:t>
            </w:r>
          </w:p>
          <w:p w14:paraId="2564B07F">
            <w:pPr>
              <w:keepNext w:val="0"/>
              <w:keepLines w:val="0"/>
              <w:pageBreakBefore w:val="0"/>
              <w:widowControl w:val="0"/>
              <w:kinsoku/>
              <w:wordWrap/>
              <w:overflowPunct/>
              <w:topLinePunct w:val="0"/>
              <w:autoSpaceDE w:val="0"/>
              <w:autoSpaceDN w:val="0"/>
              <w:bidi w:val="0"/>
              <w:snapToGrid/>
              <w:spacing w:line="480" w:lineRule="exact"/>
              <w:rPr>
                <w:rFonts w:hint="eastAsia" w:ascii="宋体" w:hAnsi="宋体" w:eastAsia="宋体"/>
                <w:color w:val="auto"/>
                <w:sz w:val="21"/>
                <w:szCs w:val="21"/>
                <w:highlight w:val="none"/>
                <w:u w:val="none"/>
                <w:shd w:val="clear" w:color="auto" w:fill="auto"/>
                <w:lang w:val="en-US"/>
              </w:rPr>
            </w:pPr>
            <w:r>
              <w:rPr>
                <w:rFonts w:hint="eastAsia" w:ascii="宋体" w:hAnsi="宋体" w:eastAsia="宋体"/>
                <w:color w:val="auto"/>
                <w:sz w:val="21"/>
                <w:szCs w:val="21"/>
                <w:highlight w:val="none"/>
                <w:u w:val="none"/>
                <w:shd w:val="clear" w:color="auto" w:fill="auto"/>
                <w:lang w:val="en-US"/>
              </w:rPr>
              <w:t>评标基准价=满足招标文件要求且次氯酸钠投标</w:t>
            </w:r>
            <w:r>
              <w:rPr>
                <w:rFonts w:hint="eastAsia" w:ascii="宋体" w:hAnsi="宋体" w:eastAsia="宋体"/>
                <w:color w:val="auto"/>
                <w:sz w:val="21"/>
                <w:szCs w:val="21"/>
                <w:highlight w:val="none"/>
                <w:u w:val="none"/>
                <w:shd w:val="clear" w:color="auto" w:fill="auto"/>
                <w:lang w:val="en-US" w:eastAsia="zh-CN"/>
              </w:rPr>
              <w:t>总价</w:t>
            </w:r>
            <w:r>
              <w:rPr>
                <w:rFonts w:hint="eastAsia" w:ascii="宋体" w:hAnsi="宋体" w:eastAsia="宋体"/>
                <w:color w:val="auto"/>
                <w:sz w:val="21"/>
                <w:szCs w:val="21"/>
                <w:highlight w:val="none"/>
                <w:u w:val="none"/>
                <w:shd w:val="clear" w:color="auto" w:fill="auto"/>
                <w:lang w:val="en-US"/>
              </w:rPr>
              <w:t>价格最低的投标报价</w:t>
            </w:r>
          </w:p>
          <w:p w14:paraId="5C24C0F4">
            <w:pPr>
              <w:keepNext w:val="0"/>
              <w:keepLines w:val="0"/>
              <w:pageBreakBefore w:val="0"/>
              <w:widowControl w:val="0"/>
              <w:kinsoku/>
              <w:wordWrap/>
              <w:overflowPunct/>
              <w:topLinePunct w:val="0"/>
              <w:autoSpaceDE w:val="0"/>
              <w:autoSpaceDN w:val="0"/>
              <w:bidi w:val="0"/>
              <w:snapToGrid/>
              <w:spacing w:line="480" w:lineRule="exact"/>
              <w:rPr>
                <w:rFonts w:hint="eastAsia" w:ascii="宋体" w:hAnsi="宋体" w:eastAsia="宋体"/>
                <w:color w:val="auto"/>
                <w:sz w:val="21"/>
                <w:szCs w:val="21"/>
                <w:highlight w:val="none"/>
                <w:u w:val="none"/>
                <w:shd w:val="clear" w:color="auto" w:fill="auto"/>
                <w:lang w:val="en-US"/>
              </w:rPr>
            </w:pPr>
            <w:r>
              <w:rPr>
                <w:rFonts w:hint="eastAsia" w:ascii="宋体" w:hAnsi="宋体" w:eastAsia="宋体"/>
                <w:color w:val="auto"/>
                <w:sz w:val="21"/>
                <w:szCs w:val="21"/>
                <w:highlight w:val="none"/>
                <w:u w:val="none"/>
                <w:shd w:val="clear" w:color="auto" w:fill="auto"/>
                <w:lang w:val="en-US"/>
              </w:rPr>
              <w:t>参与评审的价格=次氯酸钠投标</w:t>
            </w:r>
            <w:r>
              <w:rPr>
                <w:rFonts w:hint="eastAsia" w:ascii="宋体" w:hAnsi="宋体" w:eastAsia="宋体"/>
                <w:color w:val="auto"/>
                <w:sz w:val="21"/>
                <w:szCs w:val="21"/>
                <w:highlight w:val="none"/>
                <w:u w:val="none"/>
                <w:shd w:val="clear" w:color="auto" w:fill="auto"/>
                <w:lang w:val="en-US" w:eastAsia="zh-CN"/>
              </w:rPr>
              <w:t>总价</w:t>
            </w:r>
            <w:r>
              <w:rPr>
                <w:rFonts w:hint="eastAsia" w:ascii="宋体" w:hAnsi="宋体" w:eastAsia="宋体"/>
                <w:color w:val="auto"/>
                <w:sz w:val="21"/>
                <w:szCs w:val="21"/>
                <w:highlight w:val="none"/>
                <w:u w:val="none"/>
                <w:shd w:val="clear" w:color="auto" w:fill="auto"/>
                <w:lang w:val="en-US"/>
              </w:rPr>
              <w:t>报价</w:t>
            </w:r>
          </w:p>
          <w:p w14:paraId="4F21EEAA">
            <w:pPr>
              <w:keepNext w:val="0"/>
              <w:keepLines w:val="0"/>
              <w:pageBreakBefore w:val="0"/>
              <w:widowControl w:val="0"/>
              <w:kinsoku/>
              <w:wordWrap/>
              <w:overflowPunct/>
              <w:topLinePunct w:val="0"/>
              <w:autoSpaceDE w:val="0"/>
              <w:autoSpaceDN w:val="0"/>
              <w:bidi w:val="0"/>
              <w:snapToGrid/>
              <w:spacing w:line="480" w:lineRule="exact"/>
              <w:rPr>
                <w:rFonts w:hint="eastAsia" w:ascii="宋体" w:hAnsi="宋体" w:eastAsia="宋体"/>
                <w:color w:val="auto"/>
                <w:sz w:val="21"/>
                <w:szCs w:val="21"/>
                <w:highlight w:val="none"/>
                <w:u w:val="none"/>
                <w:shd w:val="clear" w:color="auto" w:fill="auto"/>
                <w:lang w:val="en-US"/>
              </w:rPr>
            </w:pPr>
            <w:r>
              <w:rPr>
                <w:rFonts w:hint="eastAsia" w:ascii="宋体" w:hAnsi="宋体" w:eastAsia="宋体"/>
                <w:color w:val="auto"/>
                <w:sz w:val="21"/>
                <w:szCs w:val="21"/>
                <w:highlight w:val="none"/>
                <w:u w:val="none"/>
                <w:shd w:val="clear" w:color="auto" w:fill="auto"/>
                <w:lang w:val="en-US"/>
              </w:rPr>
              <w:t>基准价得分为满分。</w:t>
            </w:r>
          </w:p>
          <w:p w14:paraId="2CE0D359">
            <w:pPr>
              <w:keepNext w:val="0"/>
              <w:keepLines w:val="0"/>
              <w:pageBreakBefore w:val="0"/>
              <w:widowControl w:val="0"/>
              <w:kinsoku/>
              <w:wordWrap/>
              <w:overflowPunct/>
              <w:topLinePunct w:val="0"/>
              <w:autoSpaceDE w:val="0"/>
              <w:autoSpaceDN w:val="0"/>
              <w:bidi w:val="0"/>
              <w:snapToGrid/>
              <w:spacing w:line="480" w:lineRule="exact"/>
              <w:rPr>
                <w:rFonts w:hint="eastAsia" w:ascii="宋体" w:hAnsi="宋体" w:eastAsia="宋体"/>
                <w:color w:val="auto"/>
                <w:sz w:val="21"/>
                <w:szCs w:val="21"/>
                <w:highlight w:val="none"/>
                <w:u w:val="none"/>
                <w:shd w:val="clear" w:color="auto" w:fill="auto"/>
                <w:lang w:val="en-US"/>
              </w:rPr>
            </w:pPr>
            <w:r>
              <w:rPr>
                <w:rFonts w:hint="eastAsia" w:ascii="宋体" w:hAnsi="宋体" w:eastAsia="宋体"/>
                <w:color w:val="auto"/>
                <w:sz w:val="21"/>
                <w:szCs w:val="21"/>
                <w:highlight w:val="none"/>
                <w:u w:val="none"/>
                <w:shd w:val="clear" w:color="auto" w:fill="auto"/>
                <w:lang w:val="en-US"/>
              </w:rPr>
              <w:t>投标报价得分=(评标基准价/参与评审的价格价)×价格权重（</w:t>
            </w:r>
            <w:r>
              <w:rPr>
                <w:rFonts w:hint="eastAsia" w:ascii="宋体" w:hAnsi="宋体" w:eastAsia="宋体"/>
                <w:color w:val="auto"/>
                <w:sz w:val="21"/>
                <w:szCs w:val="21"/>
                <w:highlight w:val="none"/>
                <w:u w:val="none"/>
                <w:shd w:val="clear" w:color="auto" w:fill="auto"/>
                <w:lang w:val="en-US" w:eastAsia="zh-CN"/>
              </w:rPr>
              <w:t>5</w:t>
            </w:r>
            <w:r>
              <w:rPr>
                <w:rFonts w:hint="eastAsia" w:ascii="宋体" w:hAnsi="宋体"/>
                <w:color w:val="auto"/>
                <w:sz w:val="21"/>
                <w:szCs w:val="21"/>
                <w:highlight w:val="none"/>
                <w:u w:val="none"/>
                <w:shd w:val="clear" w:color="auto" w:fill="auto"/>
                <w:lang w:val="en-US" w:eastAsia="zh-CN"/>
              </w:rPr>
              <w:t>4</w:t>
            </w:r>
            <w:r>
              <w:rPr>
                <w:rFonts w:hint="eastAsia" w:ascii="宋体" w:hAnsi="宋体" w:eastAsia="宋体"/>
                <w:color w:val="auto"/>
                <w:sz w:val="21"/>
                <w:szCs w:val="21"/>
                <w:highlight w:val="none"/>
                <w:u w:val="none"/>
                <w:shd w:val="clear" w:color="auto" w:fill="auto"/>
                <w:lang w:val="en-US"/>
              </w:rPr>
              <w:t>分）</w:t>
            </w:r>
          </w:p>
          <w:p w14:paraId="07FD8D15">
            <w:pPr>
              <w:keepNext w:val="0"/>
              <w:keepLines w:val="0"/>
              <w:pageBreakBefore w:val="0"/>
              <w:widowControl w:val="0"/>
              <w:kinsoku/>
              <w:wordWrap/>
              <w:overflowPunct/>
              <w:topLinePunct w:val="0"/>
              <w:autoSpaceDE w:val="0"/>
              <w:autoSpaceDN w:val="0"/>
              <w:bidi w:val="0"/>
              <w:snapToGrid/>
              <w:spacing w:line="480" w:lineRule="exact"/>
              <w:rPr>
                <w:rFonts w:hint="eastAsia" w:ascii="宋体" w:hAnsi="宋体" w:eastAsia="宋体"/>
                <w:color w:val="auto"/>
                <w:sz w:val="21"/>
                <w:szCs w:val="21"/>
                <w:highlight w:val="none"/>
                <w:u w:val="none"/>
                <w:shd w:val="clear" w:color="auto" w:fill="auto"/>
                <w:lang w:val="en-US"/>
              </w:rPr>
            </w:pPr>
            <w:r>
              <w:rPr>
                <w:rFonts w:hint="eastAsia" w:ascii="宋体" w:hAnsi="宋体" w:eastAsia="宋体"/>
                <w:color w:val="auto"/>
                <w:sz w:val="21"/>
                <w:szCs w:val="21"/>
                <w:highlight w:val="none"/>
                <w:u w:val="none"/>
                <w:shd w:val="clear" w:color="auto" w:fill="auto"/>
                <w:lang w:val="en-US"/>
              </w:rPr>
              <w:t>投标报价得分以四舍五入保留小数点后两位。</w:t>
            </w:r>
          </w:p>
        </w:tc>
      </w:tr>
      <w:tr w14:paraId="0DABA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500" w:hRule="atLeast"/>
        </w:trPr>
        <w:tc>
          <w:tcPr>
            <w:tcW w:w="446" w:type="dxa"/>
            <w:vMerge w:val="continue"/>
            <w:vAlign w:val="center"/>
          </w:tcPr>
          <w:p w14:paraId="09589328">
            <w:pPr>
              <w:keepNext w:val="0"/>
              <w:keepLines w:val="0"/>
              <w:pageBreakBefore w:val="0"/>
              <w:widowControl w:val="0"/>
              <w:kinsoku/>
              <w:wordWrap/>
              <w:overflowPunct/>
              <w:topLinePunct w:val="0"/>
              <w:bidi w:val="0"/>
              <w:snapToGrid/>
              <w:spacing w:line="480" w:lineRule="exact"/>
              <w:ind w:left="113" w:right="113"/>
              <w:contextualSpacing/>
              <w:rPr>
                <w:rFonts w:hint="eastAsia" w:ascii="宋体" w:hAnsi="宋体" w:eastAsia="宋体"/>
                <w:color w:val="auto"/>
                <w:sz w:val="21"/>
                <w:szCs w:val="21"/>
                <w:highlight w:val="none"/>
                <w:shd w:val="clear" w:color="auto" w:fill="auto"/>
              </w:rPr>
            </w:pPr>
          </w:p>
        </w:tc>
        <w:tc>
          <w:tcPr>
            <w:tcW w:w="8963" w:type="dxa"/>
            <w:gridSpan w:val="2"/>
            <w:vAlign w:val="center"/>
          </w:tcPr>
          <w:p w14:paraId="7D670399">
            <w:pPr>
              <w:keepNext w:val="0"/>
              <w:keepLines w:val="0"/>
              <w:pageBreakBefore w:val="0"/>
              <w:widowControl w:val="0"/>
              <w:kinsoku/>
              <w:wordWrap/>
              <w:overflowPunct/>
              <w:topLinePunct w:val="0"/>
              <w:autoSpaceDE w:val="0"/>
              <w:autoSpaceDN w:val="0"/>
              <w:bidi w:val="0"/>
              <w:snapToGrid/>
              <w:spacing w:line="480" w:lineRule="exact"/>
              <w:rPr>
                <w:rFonts w:hint="eastAsia" w:ascii="宋体" w:hAnsi="宋体" w:eastAsia="宋体"/>
                <w:color w:val="auto"/>
                <w:sz w:val="21"/>
                <w:szCs w:val="21"/>
                <w:highlight w:val="none"/>
                <w:u w:val="none"/>
                <w:shd w:val="clear" w:color="auto" w:fill="auto"/>
                <w:lang w:val="en-US"/>
              </w:rPr>
            </w:pPr>
            <w:r>
              <w:rPr>
                <w:rFonts w:hint="eastAsia" w:ascii="宋体" w:hAnsi="宋体" w:eastAsia="宋体"/>
                <w:color w:val="auto"/>
                <w:sz w:val="21"/>
                <w:szCs w:val="21"/>
                <w:highlight w:val="none"/>
                <w:u w:val="none"/>
                <w:shd w:val="clear" w:color="auto" w:fill="auto"/>
                <w:lang w:val="en-US"/>
              </w:rPr>
              <w:t>2、氢氧化钠（</w:t>
            </w:r>
            <w:r>
              <w:rPr>
                <w:rFonts w:hint="eastAsia" w:ascii="宋体" w:hAnsi="宋体"/>
                <w:color w:val="auto"/>
                <w:sz w:val="21"/>
                <w:szCs w:val="21"/>
                <w:highlight w:val="none"/>
                <w:u w:val="none"/>
                <w:shd w:val="clear" w:color="auto" w:fill="auto"/>
                <w:lang w:val="en-US" w:eastAsia="zh-CN"/>
              </w:rPr>
              <w:t>6</w:t>
            </w:r>
            <w:r>
              <w:rPr>
                <w:rFonts w:hint="eastAsia" w:ascii="宋体" w:hAnsi="宋体" w:eastAsia="宋体"/>
                <w:color w:val="auto"/>
                <w:sz w:val="21"/>
                <w:szCs w:val="21"/>
                <w:highlight w:val="none"/>
                <w:u w:val="none"/>
                <w:shd w:val="clear" w:color="auto" w:fill="auto"/>
                <w:lang w:val="en-US"/>
              </w:rPr>
              <w:t>分）</w:t>
            </w:r>
          </w:p>
          <w:p w14:paraId="5D6E1CF7">
            <w:pPr>
              <w:keepNext w:val="0"/>
              <w:keepLines w:val="0"/>
              <w:pageBreakBefore w:val="0"/>
              <w:widowControl w:val="0"/>
              <w:kinsoku/>
              <w:wordWrap/>
              <w:overflowPunct/>
              <w:topLinePunct w:val="0"/>
              <w:autoSpaceDE w:val="0"/>
              <w:autoSpaceDN w:val="0"/>
              <w:bidi w:val="0"/>
              <w:snapToGrid/>
              <w:spacing w:line="480" w:lineRule="exact"/>
              <w:rPr>
                <w:rFonts w:hint="eastAsia" w:ascii="宋体" w:hAnsi="宋体" w:eastAsia="宋体"/>
                <w:color w:val="auto"/>
                <w:sz w:val="21"/>
                <w:szCs w:val="21"/>
                <w:highlight w:val="none"/>
                <w:u w:val="none"/>
                <w:shd w:val="clear" w:color="auto" w:fill="auto"/>
                <w:lang w:val="en-US"/>
              </w:rPr>
            </w:pPr>
            <w:r>
              <w:rPr>
                <w:rFonts w:hint="eastAsia" w:ascii="宋体" w:hAnsi="宋体" w:eastAsia="宋体"/>
                <w:color w:val="auto"/>
                <w:sz w:val="21"/>
                <w:szCs w:val="21"/>
                <w:highlight w:val="none"/>
                <w:u w:val="none"/>
                <w:shd w:val="clear" w:color="auto" w:fill="auto"/>
                <w:lang w:val="en-US"/>
              </w:rPr>
              <w:t>评标基准价=满足招标文件要求且氢氧化钠投标</w:t>
            </w:r>
            <w:r>
              <w:rPr>
                <w:rFonts w:hint="eastAsia" w:ascii="宋体" w:hAnsi="宋体" w:eastAsia="宋体"/>
                <w:color w:val="auto"/>
                <w:sz w:val="21"/>
                <w:szCs w:val="21"/>
                <w:highlight w:val="none"/>
                <w:u w:val="none"/>
                <w:shd w:val="clear" w:color="auto" w:fill="auto"/>
                <w:lang w:val="en-US" w:eastAsia="zh-CN"/>
              </w:rPr>
              <w:t>总价</w:t>
            </w:r>
            <w:r>
              <w:rPr>
                <w:rFonts w:hint="eastAsia" w:ascii="宋体" w:hAnsi="宋体" w:eastAsia="宋体"/>
                <w:color w:val="auto"/>
                <w:sz w:val="21"/>
                <w:szCs w:val="21"/>
                <w:highlight w:val="none"/>
                <w:u w:val="none"/>
                <w:shd w:val="clear" w:color="auto" w:fill="auto"/>
                <w:lang w:val="en-US"/>
              </w:rPr>
              <w:t>价格最低的投标报价</w:t>
            </w:r>
          </w:p>
          <w:p w14:paraId="27B2908D">
            <w:pPr>
              <w:keepNext w:val="0"/>
              <w:keepLines w:val="0"/>
              <w:pageBreakBefore w:val="0"/>
              <w:widowControl w:val="0"/>
              <w:kinsoku/>
              <w:wordWrap/>
              <w:overflowPunct/>
              <w:topLinePunct w:val="0"/>
              <w:autoSpaceDE w:val="0"/>
              <w:autoSpaceDN w:val="0"/>
              <w:bidi w:val="0"/>
              <w:snapToGrid/>
              <w:spacing w:line="480" w:lineRule="exact"/>
              <w:rPr>
                <w:rFonts w:hint="eastAsia" w:ascii="宋体" w:hAnsi="宋体" w:eastAsia="宋体"/>
                <w:color w:val="auto"/>
                <w:sz w:val="21"/>
                <w:szCs w:val="21"/>
                <w:highlight w:val="none"/>
                <w:u w:val="none"/>
                <w:shd w:val="clear" w:color="auto" w:fill="auto"/>
                <w:lang w:val="en-US"/>
              </w:rPr>
            </w:pPr>
            <w:r>
              <w:rPr>
                <w:rFonts w:hint="eastAsia" w:ascii="宋体" w:hAnsi="宋体" w:eastAsia="宋体"/>
                <w:color w:val="auto"/>
                <w:sz w:val="21"/>
                <w:szCs w:val="21"/>
                <w:highlight w:val="none"/>
                <w:u w:val="none"/>
                <w:shd w:val="clear" w:color="auto" w:fill="auto"/>
                <w:lang w:val="en-US"/>
              </w:rPr>
              <w:t>参与评审的价格=氢氧化钠投标</w:t>
            </w:r>
            <w:r>
              <w:rPr>
                <w:rFonts w:hint="eastAsia" w:ascii="宋体" w:hAnsi="宋体" w:eastAsia="宋体"/>
                <w:color w:val="auto"/>
                <w:sz w:val="21"/>
                <w:szCs w:val="21"/>
                <w:highlight w:val="none"/>
                <w:u w:val="none"/>
                <w:shd w:val="clear" w:color="auto" w:fill="auto"/>
                <w:lang w:val="en-US" w:eastAsia="zh-CN"/>
              </w:rPr>
              <w:t>总价</w:t>
            </w:r>
            <w:r>
              <w:rPr>
                <w:rFonts w:hint="eastAsia" w:ascii="宋体" w:hAnsi="宋体" w:eastAsia="宋体"/>
                <w:color w:val="auto"/>
                <w:sz w:val="21"/>
                <w:szCs w:val="21"/>
                <w:highlight w:val="none"/>
                <w:u w:val="none"/>
                <w:shd w:val="clear" w:color="auto" w:fill="auto"/>
                <w:lang w:val="en-US"/>
              </w:rPr>
              <w:t>报价</w:t>
            </w:r>
          </w:p>
          <w:p w14:paraId="703049E2">
            <w:pPr>
              <w:keepNext w:val="0"/>
              <w:keepLines w:val="0"/>
              <w:pageBreakBefore w:val="0"/>
              <w:widowControl w:val="0"/>
              <w:kinsoku/>
              <w:wordWrap/>
              <w:overflowPunct/>
              <w:topLinePunct w:val="0"/>
              <w:autoSpaceDE w:val="0"/>
              <w:autoSpaceDN w:val="0"/>
              <w:bidi w:val="0"/>
              <w:snapToGrid/>
              <w:spacing w:line="480" w:lineRule="exact"/>
              <w:rPr>
                <w:rFonts w:hint="eastAsia" w:ascii="宋体" w:hAnsi="宋体" w:eastAsia="宋体"/>
                <w:color w:val="auto"/>
                <w:sz w:val="21"/>
                <w:szCs w:val="21"/>
                <w:highlight w:val="none"/>
                <w:u w:val="none"/>
                <w:shd w:val="clear" w:color="auto" w:fill="auto"/>
                <w:lang w:val="en-US"/>
              </w:rPr>
            </w:pPr>
            <w:r>
              <w:rPr>
                <w:rFonts w:hint="eastAsia" w:ascii="宋体" w:hAnsi="宋体" w:eastAsia="宋体"/>
                <w:color w:val="auto"/>
                <w:sz w:val="21"/>
                <w:szCs w:val="21"/>
                <w:highlight w:val="none"/>
                <w:u w:val="none"/>
                <w:shd w:val="clear" w:color="auto" w:fill="auto"/>
                <w:lang w:val="en-US"/>
              </w:rPr>
              <w:t>基准价得分为满分。</w:t>
            </w:r>
          </w:p>
          <w:p w14:paraId="180B917C">
            <w:pPr>
              <w:keepNext w:val="0"/>
              <w:keepLines w:val="0"/>
              <w:pageBreakBefore w:val="0"/>
              <w:widowControl w:val="0"/>
              <w:kinsoku/>
              <w:wordWrap/>
              <w:overflowPunct/>
              <w:topLinePunct w:val="0"/>
              <w:autoSpaceDE w:val="0"/>
              <w:autoSpaceDN w:val="0"/>
              <w:bidi w:val="0"/>
              <w:snapToGrid/>
              <w:spacing w:line="480" w:lineRule="exact"/>
              <w:rPr>
                <w:rFonts w:hint="eastAsia" w:ascii="宋体" w:hAnsi="宋体" w:eastAsia="宋体"/>
                <w:color w:val="auto"/>
                <w:sz w:val="21"/>
                <w:szCs w:val="21"/>
                <w:highlight w:val="none"/>
                <w:u w:val="none"/>
                <w:shd w:val="clear" w:color="auto" w:fill="auto"/>
                <w:lang w:val="en-US"/>
              </w:rPr>
            </w:pPr>
            <w:r>
              <w:rPr>
                <w:rFonts w:hint="eastAsia" w:ascii="宋体" w:hAnsi="宋体" w:eastAsia="宋体"/>
                <w:color w:val="auto"/>
                <w:sz w:val="21"/>
                <w:szCs w:val="21"/>
                <w:highlight w:val="none"/>
                <w:u w:val="none"/>
                <w:shd w:val="clear" w:color="auto" w:fill="auto"/>
                <w:lang w:val="en-US"/>
              </w:rPr>
              <w:t>投标报价得分=(评标基准价/参与评审的价格价)×价格权重（</w:t>
            </w:r>
            <w:r>
              <w:rPr>
                <w:rFonts w:hint="eastAsia" w:ascii="宋体" w:hAnsi="宋体"/>
                <w:color w:val="auto"/>
                <w:sz w:val="21"/>
                <w:szCs w:val="21"/>
                <w:highlight w:val="none"/>
                <w:u w:val="none"/>
                <w:shd w:val="clear" w:color="auto" w:fill="auto"/>
                <w:lang w:val="en-US" w:eastAsia="zh-CN"/>
              </w:rPr>
              <w:t>6</w:t>
            </w:r>
            <w:r>
              <w:rPr>
                <w:rFonts w:hint="eastAsia" w:ascii="宋体" w:hAnsi="宋体" w:eastAsia="宋体"/>
                <w:color w:val="auto"/>
                <w:sz w:val="21"/>
                <w:szCs w:val="21"/>
                <w:highlight w:val="none"/>
                <w:u w:val="none"/>
                <w:shd w:val="clear" w:color="auto" w:fill="auto"/>
                <w:lang w:val="en-US"/>
              </w:rPr>
              <w:t>分）</w:t>
            </w:r>
          </w:p>
          <w:p w14:paraId="256287B1">
            <w:pPr>
              <w:keepNext w:val="0"/>
              <w:keepLines w:val="0"/>
              <w:pageBreakBefore w:val="0"/>
              <w:widowControl w:val="0"/>
              <w:kinsoku/>
              <w:wordWrap/>
              <w:overflowPunct/>
              <w:topLinePunct w:val="0"/>
              <w:autoSpaceDE w:val="0"/>
              <w:autoSpaceDN w:val="0"/>
              <w:bidi w:val="0"/>
              <w:snapToGrid/>
              <w:spacing w:line="480" w:lineRule="exact"/>
              <w:rPr>
                <w:rFonts w:hint="eastAsia" w:ascii="宋体" w:hAnsi="宋体" w:eastAsia="宋体"/>
                <w:color w:val="auto"/>
                <w:sz w:val="21"/>
                <w:szCs w:val="21"/>
                <w:highlight w:val="none"/>
                <w:u w:val="none"/>
                <w:shd w:val="clear" w:color="auto" w:fill="auto"/>
                <w:lang w:val="en-US"/>
              </w:rPr>
            </w:pPr>
            <w:r>
              <w:rPr>
                <w:rFonts w:hint="eastAsia" w:ascii="宋体" w:hAnsi="宋体" w:eastAsia="宋体"/>
                <w:color w:val="auto"/>
                <w:sz w:val="21"/>
                <w:szCs w:val="21"/>
                <w:highlight w:val="none"/>
                <w:u w:val="none"/>
                <w:shd w:val="clear" w:color="auto" w:fill="auto"/>
                <w:lang w:val="en-US"/>
              </w:rPr>
              <w:t>投标报价得分以四舍五入保留小数点后两位。</w:t>
            </w:r>
          </w:p>
        </w:tc>
      </w:tr>
      <w:tr w14:paraId="78A79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7" w:hRule="atLeast"/>
        </w:trPr>
        <w:tc>
          <w:tcPr>
            <w:tcW w:w="446" w:type="dxa"/>
            <w:vMerge w:val="continue"/>
            <w:vAlign w:val="center"/>
          </w:tcPr>
          <w:p w14:paraId="388CE1BC">
            <w:pPr>
              <w:keepNext w:val="0"/>
              <w:keepLines w:val="0"/>
              <w:pageBreakBefore w:val="0"/>
              <w:widowControl w:val="0"/>
              <w:kinsoku/>
              <w:wordWrap/>
              <w:overflowPunct/>
              <w:topLinePunct w:val="0"/>
              <w:bidi w:val="0"/>
              <w:snapToGrid/>
              <w:spacing w:line="480" w:lineRule="exact"/>
              <w:contextualSpacing/>
              <w:jc w:val="center"/>
              <w:rPr>
                <w:rFonts w:hint="eastAsia" w:ascii="宋体" w:hAnsi="宋体" w:eastAsia="宋体"/>
                <w:color w:val="auto"/>
                <w:sz w:val="21"/>
                <w:szCs w:val="21"/>
                <w:highlight w:val="none"/>
                <w:shd w:val="clear" w:color="auto" w:fill="auto"/>
              </w:rPr>
            </w:pPr>
          </w:p>
        </w:tc>
        <w:tc>
          <w:tcPr>
            <w:tcW w:w="8963" w:type="dxa"/>
            <w:gridSpan w:val="2"/>
            <w:vAlign w:val="center"/>
          </w:tcPr>
          <w:p w14:paraId="774FB680">
            <w:pPr>
              <w:keepNext w:val="0"/>
              <w:keepLines w:val="0"/>
              <w:pageBreakBefore w:val="0"/>
              <w:widowControl w:val="0"/>
              <w:kinsoku/>
              <w:wordWrap/>
              <w:overflowPunct/>
              <w:topLinePunct w:val="0"/>
              <w:bidi w:val="0"/>
              <w:snapToGrid/>
              <w:spacing w:line="480" w:lineRule="exact"/>
              <w:contextualSpacing/>
              <w:rPr>
                <w:rFonts w:hint="eastAsia" w:ascii="宋体" w:hAnsi="宋体" w:eastAsia="宋体"/>
                <w:bCs/>
                <w:color w:val="auto"/>
                <w:sz w:val="21"/>
                <w:szCs w:val="21"/>
                <w:highlight w:val="none"/>
                <w:shd w:val="clear" w:color="auto" w:fill="auto"/>
                <w:lang w:val="en-US" w:eastAsia="zh-CN"/>
              </w:rPr>
            </w:pPr>
            <w:r>
              <w:rPr>
                <w:rFonts w:hint="eastAsia" w:ascii="宋体" w:hAnsi="宋体" w:eastAsia="宋体"/>
                <w:bCs/>
                <w:color w:val="auto"/>
                <w:sz w:val="21"/>
                <w:szCs w:val="21"/>
                <w:highlight w:val="none"/>
                <w:shd w:val="clear" w:color="auto" w:fill="auto"/>
                <w:lang w:val="en-US" w:eastAsia="zh-CN"/>
              </w:rPr>
              <w:t>注：上述参与评审的单位，如是小微企业的，其参与评审的价格按相关规定给于</w:t>
            </w:r>
            <w:r>
              <w:rPr>
                <w:rFonts w:hint="eastAsia" w:ascii="宋体" w:hAnsi="宋体" w:eastAsia="宋体"/>
                <w:color w:val="auto"/>
                <w:sz w:val="21"/>
                <w:szCs w:val="21"/>
                <w:highlight w:val="none"/>
                <w:shd w:val="clear" w:color="auto" w:fill="auto"/>
              </w:rPr>
              <w:t>10%的扣除，用扣除后的价格参与评审</w:t>
            </w:r>
            <w:r>
              <w:rPr>
                <w:rFonts w:hint="eastAsia" w:ascii="宋体" w:hAnsi="宋体" w:eastAsia="宋体"/>
                <w:color w:val="auto"/>
                <w:sz w:val="21"/>
                <w:szCs w:val="21"/>
                <w:highlight w:val="none"/>
                <w:shd w:val="clear" w:color="auto" w:fill="auto"/>
                <w:lang w:eastAsia="zh-CN"/>
              </w:rPr>
              <w:t>。</w:t>
            </w:r>
          </w:p>
        </w:tc>
      </w:tr>
      <w:tr w14:paraId="38802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7" w:hRule="atLeast"/>
        </w:trPr>
        <w:tc>
          <w:tcPr>
            <w:tcW w:w="9409" w:type="dxa"/>
            <w:gridSpan w:val="3"/>
            <w:vAlign w:val="center"/>
          </w:tcPr>
          <w:p w14:paraId="40F0EA64">
            <w:pPr>
              <w:keepNext w:val="0"/>
              <w:keepLines w:val="0"/>
              <w:pageBreakBefore w:val="0"/>
              <w:widowControl w:val="0"/>
              <w:kinsoku/>
              <w:wordWrap/>
              <w:overflowPunct/>
              <w:topLinePunct w:val="0"/>
              <w:bidi w:val="0"/>
              <w:snapToGrid/>
              <w:spacing w:line="480" w:lineRule="exact"/>
              <w:contextualSpacing/>
              <w:jc w:val="center"/>
              <w:rPr>
                <w:rFonts w:hint="eastAsia" w:ascii="宋体" w:hAnsi="宋体" w:eastAsia="宋体"/>
                <w:bCs/>
                <w:color w:val="auto"/>
                <w:sz w:val="21"/>
                <w:szCs w:val="21"/>
                <w:highlight w:val="none"/>
                <w:shd w:val="clear" w:color="auto" w:fill="auto"/>
              </w:rPr>
            </w:pPr>
            <w:r>
              <w:rPr>
                <w:rFonts w:hint="eastAsia" w:ascii="宋体" w:hAnsi="宋体" w:eastAsia="宋体"/>
                <w:bCs/>
                <w:color w:val="auto"/>
                <w:sz w:val="21"/>
                <w:szCs w:val="21"/>
                <w:highlight w:val="none"/>
                <w:shd w:val="clear" w:color="auto" w:fill="auto"/>
              </w:rPr>
              <w:t>总分（100分）</w:t>
            </w:r>
          </w:p>
        </w:tc>
      </w:tr>
    </w:tbl>
    <w:p w14:paraId="260D84A2">
      <w:pPr>
        <w:snapToGrid w:val="0"/>
        <w:spacing w:line="360" w:lineRule="auto"/>
        <w:outlineLvl w:val="0"/>
        <w:rPr>
          <w:rFonts w:hint="eastAsia" w:ascii="宋体" w:hAnsi="宋体" w:eastAsia="宋体"/>
          <w:b/>
          <w:color w:val="auto"/>
          <w:szCs w:val="21"/>
          <w:highlight w:val="none"/>
        </w:rPr>
      </w:pPr>
    </w:p>
    <w:p w14:paraId="61D6C72E">
      <w:pPr>
        <w:snapToGrid w:val="0"/>
        <w:spacing w:line="360" w:lineRule="auto"/>
        <w:outlineLvl w:val="0"/>
        <w:rPr>
          <w:rFonts w:hint="eastAsia" w:ascii="宋体" w:hAnsi="宋体" w:eastAsia="宋体"/>
          <w:b/>
          <w:color w:val="auto"/>
          <w:szCs w:val="21"/>
          <w:highlight w:val="none"/>
        </w:rPr>
      </w:pPr>
    </w:p>
    <w:p w14:paraId="20B426D5">
      <w:pPr>
        <w:snapToGrid w:val="0"/>
        <w:spacing w:before="120" w:line="360" w:lineRule="auto"/>
        <w:rPr>
          <w:rFonts w:hint="eastAsia" w:ascii="宋体" w:hAnsi="宋体" w:eastAsia="宋体"/>
          <w:b/>
          <w:color w:val="auto"/>
          <w:szCs w:val="21"/>
          <w:highlight w:val="none"/>
        </w:rPr>
      </w:pPr>
      <w:r>
        <w:rPr>
          <w:rFonts w:hint="eastAsia" w:ascii="宋体" w:hAnsi="宋体" w:eastAsia="宋体"/>
          <w:b/>
          <w:color w:val="auto"/>
          <w:szCs w:val="21"/>
          <w:highlight w:val="none"/>
        </w:rPr>
        <w:t>所有标项均适用：备注：</w:t>
      </w:r>
      <w:r>
        <w:rPr>
          <w:rFonts w:hint="eastAsia" w:ascii="宋体" w:hAnsi="宋体" w:eastAsia="宋体"/>
          <w:bCs/>
          <w:color w:val="auto"/>
          <w:szCs w:val="21"/>
          <w:highlight w:val="none"/>
        </w:rPr>
        <w:t>1、</w:t>
      </w:r>
      <w:r>
        <w:rPr>
          <w:rFonts w:hint="eastAsia" w:ascii="宋体" w:hAnsi="宋体" w:eastAsia="宋体"/>
          <w:color w:val="auto"/>
          <w:szCs w:val="21"/>
          <w:highlight w:val="none"/>
        </w:rPr>
        <w:t>供应商编制投标文件（商务技术文件部分）时，建议按此目录（序号和内容）提供评标标准相应的商务技术资料。 2、评委在上表设定的分值范围内进行评分（四舍五入保留两位小数），平均分值计算四舍五入保留两位小数。</w:t>
      </w:r>
    </w:p>
    <w:p w14:paraId="0681CCCD">
      <w:pPr>
        <w:numPr>
          <w:ilvl w:val="0"/>
          <w:numId w:val="35"/>
        </w:numPr>
        <w:snapToGrid w:val="0"/>
        <w:spacing w:before="120" w:line="360" w:lineRule="auto"/>
        <w:ind w:firstLine="0"/>
        <w:rPr>
          <w:rFonts w:hint="eastAsia" w:ascii="宋体" w:hAnsi="宋体" w:eastAsia="宋体"/>
          <w:b/>
          <w:color w:val="auto"/>
          <w:highlight w:val="none"/>
        </w:rPr>
      </w:pPr>
      <w:r>
        <w:rPr>
          <w:rFonts w:hint="eastAsia" w:ascii="宋体" w:hAnsi="宋体" w:eastAsia="宋体"/>
          <w:b/>
          <w:color w:val="auto"/>
          <w:highlight w:val="none"/>
        </w:rPr>
        <w:t>评标方法</w:t>
      </w:r>
    </w:p>
    <w:p w14:paraId="6CF4C81C">
      <w:pPr>
        <w:snapToGrid w:val="0"/>
        <w:spacing w:line="360" w:lineRule="auto"/>
        <w:ind w:firstLine="413" w:firstLineChars="196"/>
        <w:rPr>
          <w:rFonts w:hint="eastAsia" w:ascii="宋体" w:hAnsi="宋体" w:eastAsia="宋体"/>
          <w:b/>
          <w:color w:val="auto"/>
          <w:kern w:val="0"/>
          <w:highlight w:val="none"/>
        </w:rPr>
      </w:pPr>
      <w:r>
        <w:rPr>
          <w:rFonts w:hint="eastAsia" w:ascii="宋体" w:hAnsi="宋体" w:eastAsia="宋体"/>
          <w:b/>
          <w:color w:val="auto"/>
          <w:kern w:val="0"/>
          <w:highlight w:val="none"/>
        </w:rPr>
        <w:t>1、本项目采用综合评分法。</w:t>
      </w:r>
      <w:r>
        <w:rPr>
          <w:rFonts w:hint="eastAsia" w:ascii="宋体" w:hAnsi="宋体" w:eastAsia="宋体"/>
          <w:color w:val="auto"/>
          <w:kern w:val="0"/>
          <w:highlight w:val="none"/>
        </w:rPr>
        <w:t>综合评分法，是指投标文件满足采购文件全部实质性要求，且按照评审因素的量化指标评审得分最高的供应商为中标候选人的评标方法。</w:t>
      </w:r>
    </w:p>
    <w:p w14:paraId="58F58713">
      <w:pPr>
        <w:snapToGrid w:val="0"/>
        <w:spacing w:line="360" w:lineRule="auto"/>
        <w:rPr>
          <w:rFonts w:hint="eastAsia" w:ascii="宋体" w:hAnsi="宋体" w:eastAsia="宋体"/>
          <w:b/>
          <w:color w:val="auto"/>
          <w:highlight w:val="none"/>
        </w:rPr>
      </w:pPr>
    </w:p>
    <w:p w14:paraId="43F33208">
      <w:pPr>
        <w:numPr>
          <w:ilvl w:val="0"/>
          <w:numId w:val="35"/>
        </w:numPr>
        <w:snapToGrid w:val="0"/>
        <w:spacing w:before="120" w:line="360" w:lineRule="auto"/>
        <w:ind w:firstLine="0"/>
        <w:rPr>
          <w:rFonts w:hint="eastAsia" w:ascii="宋体" w:hAnsi="宋体" w:eastAsia="宋体"/>
          <w:b/>
          <w:color w:val="auto"/>
          <w:highlight w:val="none"/>
        </w:rPr>
      </w:pPr>
      <w:r>
        <w:rPr>
          <w:rFonts w:hint="eastAsia" w:ascii="宋体" w:hAnsi="宋体" w:eastAsia="宋体"/>
          <w:b/>
          <w:color w:val="auto"/>
          <w:highlight w:val="none"/>
        </w:rPr>
        <w:t>评标标准</w:t>
      </w:r>
    </w:p>
    <w:p w14:paraId="0E8B57F3">
      <w:pPr>
        <w:snapToGrid w:val="0"/>
        <w:spacing w:line="360" w:lineRule="auto"/>
        <w:ind w:firstLine="413" w:firstLineChars="196"/>
        <w:rPr>
          <w:rFonts w:hint="eastAsia" w:ascii="宋体" w:hAnsi="宋体" w:eastAsia="宋体"/>
          <w:b/>
          <w:color w:val="auto"/>
          <w:highlight w:val="none"/>
        </w:rPr>
      </w:pPr>
      <w:r>
        <w:rPr>
          <w:rFonts w:hint="eastAsia" w:ascii="宋体" w:hAnsi="宋体" w:eastAsia="宋体"/>
          <w:b/>
          <w:color w:val="auto"/>
          <w:highlight w:val="none"/>
        </w:rPr>
        <w:t>2、评标标准：</w:t>
      </w:r>
      <w:r>
        <w:rPr>
          <w:rFonts w:hint="eastAsia" w:ascii="宋体" w:hAnsi="宋体" w:eastAsia="宋体"/>
          <w:color w:val="auto"/>
          <w:kern w:val="0"/>
          <w:highlight w:val="none"/>
        </w:rPr>
        <w:t>见评标办法前附表。</w:t>
      </w:r>
    </w:p>
    <w:p w14:paraId="3A3D19EF">
      <w:pPr>
        <w:snapToGrid w:val="0"/>
        <w:spacing w:line="360" w:lineRule="auto"/>
        <w:rPr>
          <w:rFonts w:hint="eastAsia" w:ascii="宋体" w:hAnsi="宋体" w:eastAsia="宋体"/>
          <w:b/>
          <w:color w:val="auto"/>
          <w:highlight w:val="none"/>
        </w:rPr>
      </w:pPr>
      <w:bookmarkStart w:id="483" w:name="_Toc7008"/>
    </w:p>
    <w:bookmarkEnd w:id="483"/>
    <w:p w14:paraId="43C91645">
      <w:pPr>
        <w:numPr>
          <w:ilvl w:val="0"/>
          <w:numId w:val="35"/>
        </w:numPr>
        <w:snapToGrid w:val="0"/>
        <w:spacing w:before="120" w:line="360" w:lineRule="auto"/>
        <w:ind w:firstLine="0"/>
        <w:rPr>
          <w:rFonts w:hint="eastAsia" w:ascii="宋体" w:hAnsi="宋体" w:eastAsia="宋体"/>
          <w:b/>
          <w:color w:val="auto"/>
          <w:highlight w:val="none"/>
        </w:rPr>
      </w:pPr>
      <w:r>
        <w:rPr>
          <w:rFonts w:hint="eastAsia" w:ascii="宋体" w:hAnsi="宋体" w:eastAsia="宋体"/>
          <w:b/>
          <w:color w:val="auto"/>
          <w:highlight w:val="none"/>
        </w:rPr>
        <w:t>评标程序</w:t>
      </w:r>
    </w:p>
    <w:p w14:paraId="3B559402">
      <w:pPr>
        <w:numPr>
          <w:ilvl w:val="0"/>
          <w:numId w:val="36"/>
        </w:numPr>
        <w:snapToGrid w:val="0"/>
        <w:spacing w:line="360" w:lineRule="auto"/>
        <w:rPr>
          <w:rFonts w:hint="eastAsia" w:ascii="宋体" w:hAnsi="宋体" w:eastAsia="宋体"/>
          <w:b/>
          <w:color w:val="auto"/>
          <w:kern w:val="0"/>
          <w:highlight w:val="none"/>
        </w:rPr>
      </w:pPr>
      <w:r>
        <w:rPr>
          <w:rFonts w:hint="eastAsia" w:ascii="宋体" w:hAnsi="宋体" w:eastAsia="宋体"/>
          <w:b/>
          <w:color w:val="auto"/>
          <w:kern w:val="0"/>
          <w:highlight w:val="none"/>
        </w:rPr>
        <w:t>符合性审查。</w:t>
      </w:r>
      <w:r>
        <w:rPr>
          <w:rFonts w:hint="eastAsia" w:ascii="宋体" w:hAnsi="宋体" w:eastAsia="宋体"/>
          <w:bCs/>
          <w:color w:val="auto"/>
          <w:kern w:val="0"/>
          <w:highlight w:val="none"/>
        </w:rPr>
        <w:t>评标委员会应当对符合资格的供应商的投标文件进行符合性审查，以确定其是否满足采购文件的实质性要求。不满足采购文件的实质性要求的，投标无效。</w:t>
      </w:r>
    </w:p>
    <w:p w14:paraId="62FDBA81">
      <w:pPr>
        <w:numPr>
          <w:ilvl w:val="0"/>
          <w:numId w:val="36"/>
        </w:numPr>
        <w:snapToGrid w:val="0"/>
        <w:spacing w:line="360" w:lineRule="auto"/>
        <w:rPr>
          <w:rFonts w:hint="eastAsia" w:ascii="宋体" w:hAnsi="宋体" w:eastAsia="宋体"/>
          <w:b/>
          <w:color w:val="auto"/>
          <w:kern w:val="0"/>
          <w:highlight w:val="none"/>
        </w:rPr>
      </w:pPr>
      <w:r>
        <w:rPr>
          <w:rFonts w:hint="eastAsia" w:ascii="宋体" w:hAnsi="宋体" w:eastAsia="宋体"/>
          <w:b/>
          <w:color w:val="auto"/>
          <w:kern w:val="0"/>
          <w:highlight w:val="none"/>
        </w:rPr>
        <w:t>比较与评价。</w:t>
      </w:r>
      <w:r>
        <w:rPr>
          <w:rFonts w:hint="eastAsia" w:ascii="宋体" w:hAnsi="宋体" w:eastAsia="宋体"/>
          <w:bCs/>
          <w:color w:val="auto"/>
          <w:kern w:val="0"/>
          <w:highlight w:val="none"/>
        </w:rPr>
        <w:t>评标委员会应当按照采购文件中规定的评标方法和标准，对符合性审查合格的投标文件进行商务和技术评估，综合比较与评价。</w:t>
      </w:r>
    </w:p>
    <w:p w14:paraId="78B8C04E">
      <w:pPr>
        <w:numPr>
          <w:ilvl w:val="0"/>
          <w:numId w:val="36"/>
        </w:numPr>
        <w:snapToGrid w:val="0"/>
        <w:spacing w:line="360" w:lineRule="auto"/>
        <w:rPr>
          <w:rFonts w:hint="eastAsia" w:ascii="宋体" w:hAnsi="宋体" w:eastAsia="宋体"/>
          <w:b/>
          <w:color w:val="auto"/>
          <w:kern w:val="0"/>
          <w:highlight w:val="none"/>
        </w:rPr>
      </w:pPr>
      <w:r>
        <w:rPr>
          <w:rFonts w:hint="eastAsia" w:ascii="宋体" w:hAnsi="宋体" w:eastAsia="宋体"/>
          <w:b/>
          <w:color w:val="auto"/>
          <w:kern w:val="0"/>
          <w:highlight w:val="none"/>
        </w:rPr>
        <w:t>汇总商务技术得分。</w:t>
      </w:r>
      <w:r>
        <w:rPr>
          <w:rFonts w:hint="eastAsia" w:ascii="宋体" w:hAnsi="宋体" w:eastAsia="宋体"/>
          <w:bCs/>
          <w:color w:val="auto"/>
          <w:kern w:val="0"/>
          <w:highlight w:val="none"/>
        </w:rPr>
        <w:t>评标委员会各成员应当独立对每个供应商的商务和技术文件进行评价，并汇总商务技术得分情况。</w:t>
      </w:r>
      <w:r>
        <w:rPr>
          <w:rFonts w:hint="eastAsia" w:ascii="宋体" w:hAnsi="宋体" w:eastAsia="宋体"/>
          <w:color w:val="auto"/>
          <w:szCs w:val="21"/>
          <w:highlight w:val="none"/>
        </w:rPr>
        <w:t>对明显畸高、畸低的评分（评审小组成员个人主观总评分偏离所有评审小组成员主观总评分平均分30%以上的），评标委员会主任评委应提醒相关评标委员会成员进行复核或书面说明理由，评标委员会成员拒绝说明的，由现场监督员据实记录；评标委员会成员的评审、修改记录应保留原件，随项目其他资料一并存档。评标委员会对需要共同认定的事项存在争议的，按照少数服从多数的原则做出结论。持不同意见的评标委员会成员应当在评审报告上签署不同意见并说明理由，否则视为同意。</w:t>
      </w:r>
    </w:p>
    <w:p w14:paraId="56E60B13">
      <w:pPr>
        <w:numPr>
          <w:ilvl w:val="0"/>
          <w:numId w:val="36"/>
        </w:numPr>
        <w:snapToGrid w:val="0"/>
        <w:spacing w:line="360" w:lineRule="auto"/>
        <w:rPr>
          <w:rFonts w:hint="eastAsia" w:ascii="宋体" w:hAnsi="宋体" w:eastAsia="宋体"/>
          <w:b/>
          <w:color w:val="auto"/>
          <w:kern w:val="0"/>
          <w:highlight w:val="none"/>
        </w:rPr>
      </w:pPr>
      <w:r>
        <w:rPr>
          <w:rFonts w:hint="eastAsia" w:ascii="宋体" w:hAnsi="宋体" w:eastAsia="宋体"/>
          <w:b/>
          <w:color w:val="auto"/>
          <w:kern w:val="0"/>
          <w:highlight w:val="none"/>
        </w:rPr>
        <w:t>报价评审。</w:t>
      </w:r>
    </w:p>
    <w:p w14:paraId="5969DDB5">
      <w:pPr>
        <w:pStyle w:val="89"/>
        <w:numPr>
          <w:ilvl w:val="0"/>
          <w:numId w:val="37"/>
        </w:numPr>
        <w:snapToGrid w:val="0"/>
        <w:spacing w:before="0"/>
        <w:ind w:firstLineChars="0"/>
        <w:rPr>
          <w:rFonts w:hint="eastAsia" w:ascii="宋体" w:hAnsi="宋体" w:eastAsia="宋体"/>
          <w:color w:val="auto"/>
          <w:kern w:val="0"/>
          <w:sz w:val="21"/>
          <w:highlight w:val="none"/>
        </w:rPr>
      </w:pPr>
      <w:r>
        <w:rPr>
          <w:rFonts w:hint="eastAsia" w:ascii="宋体" w:hAnsi="宋体" w:eastAsia="宋体"/>
          <w:color w:val="auto"/>
          <w:kern w:val="0"/>
          <w:sz w:val="21"/>
          <w:highlight w:val="none"/>
        </w:rPr>
        <w:t>投标文件报价出现前后不一致的，按照下列规定修正：</w:t>
      </w:r>
    </w:p>
    <w:p w14:paraId="712A2793">
      <w:pPr>
        <w:pStyle w:val="89"/>
        <w:numPr>
          <w:ilvl w:val="0"/>
          <w:numId w:val="38"/>
        </w:numPr>
        <w:snapToGrid w:val="0"/>
        <w:spacing w:before="0"/>
        <w:ind w:firstLineChars="0"/>
        <w:rPr>
          <w:rFonts w:hint="eastAsia" w:ascii="宋体" w:hAnsi="宋体" w:eastAsia="宋体"/>
          <w:color w:val="auto"/>
          <w:kern w:val="0"/>
          <w:sz w:val="21"/>
          <w:szCs w:val="24"/>
          <w:highlight w:val="none"/>
        </w:rPr>
      </w:pPr>
      <w:r>
        <w:rPr>
          <w:rFonts w:hint="eastAsia" w:ascii="宋体" w:hAnsi="宋体" w:eastAsia="宋体"/>
          <w:color w:val="auto"/>
          <w:kern w:val="0"/>
          <w:sz w:val="21"/>
          <w:szCs w:val="24"/>
          <w:highlight w:val="none"/>
        </w:rPr>
        <w:t>投标文件中开标一览表（报价表）内容与投标文件中相应内容不一致的，以开标一览表（报价表）为准；</w:t>
      </w:r>
    </w:p>
    <w:p w14:paraId="3C83F7A0">
      <w:pPr>
        <w:pStyle w:val="89"/>
        <w:numPr>
          <w:ilvl w:val="0"/>
          <w:numId w:val="38"/>
        </w:numPr>
        <w:snapToGrid w:val="0"/>
        <w:spacing w:before="0"/>
        <w:ind w:firstLineChars="0"/>
        <w:rPr>
          <w:rFonts w:hint="eastAsia" w:ascii="宋体" w:hAnsi="宋体" w:eastAsia="宋体"/>
          <w:color w:val="auto"/>
          <w:kern w:val="0"/>
          <w:sz w:val="21"/>
          <w:szCs w:val="24"/>
          <w:highlight w:val="none"/>
        </w:rPr>
      </w:pPr>
      <w:r>
        <w:rPr>
          <w:rFonts w:hint="eastAsia" w:ascii="宋体" w:hAnsi="宋体" w:eastAsia="宋体"/>
          <w:color w:val="auto"/>
          <w:kern w:val="0"/>
          <w:sz w:val="21"/>
          <w:szCs w:val="24"/>
          <w:highlight w:val="none"/>
        </w:rPr>
        <w:t>大写金额和小写金额不一致的，以大写金额为准；</w:t>
      </w:r>
    </w:p>
    <w:p w14:paraId="04CB151B">
      <w:pPr>
        <w:pStyle w:val="89"/>
        <w:numPr>
          <w:ilvl w:val="0"/>
          <w:numId w:val="38"/>
        </w:numPr>
        <w:snapToGrid w:val="0"/>
        <w:spacing w:before="0"/>
        <w:ind w:firstLineChars="0"/>
        <w:rPr>
          <w:rFonts w:hint="eastAsia" w:ascii="宋体" w:hAnsi="宋体" w:eastAsia="宋体"/>
          <w:color w:val="auto"/>
          <w:kern w:val="0"/>
          <w:sz w:val="21"/>
          <w:szCs w:val="24"/>
          <w:highlight w:val="none"/>
        </w:rPr>
      </w:pPr>
      <w:r>
        <w:rPr>
          <w:rFonts w:hint="eastAsia" w:ascii="宋体" w:hAnsi="宋体" w:eastAsia="宋体"/>
          <w:color w:val="auto"/>
          <w:kern w:val="0"/>
          <w:sz w:val="21"/>
          <w:szCs w:val="24"/>
          <w:highlight w:val="none"/>
        </w:rPr>
        <w:t>单价金额小数点或者百分比有明显错位的，以开标一览表的总价为准，并修改单价；</w:t>
      </w:r>
    </w:p>
    <w:p w14:paraId="34B70A00">
      <w:pPr>
        <w:pStyle w:val="89"/>
        <w:numPr>
          <w:ilvl w:val="0"/>
          <w:numId w:val="38"/>
        </w:numPr>
        <w:snapToGrid w:val="0"/>
        <w:spacing w:before="0"/>
        <w:ind w:firstLineChars="0"/>
        <w:rPr>
          <w:rFonts w:hint="eastAsia" w:ascii="宋体" w:hAnsi="宋体" w:eastAsia="宋体"/>
          <w:color w:val="auto"/>
          <w:kern w:val="0"/>
          <w:sz w:val="21"/>
          <w:szCs w:val="24"/>
          <w:highlight w:val="none"/>
        </w:rPr>
      </w:pPr>
      <w:r>
        <w:rPr>
          <w:rFonts w:hint="eastAsia" w:ascii="宋体" w:hAnsi="宋体" w:eastAsia="宋体"/>
          <w:color w:val="auto"/>
          <w:kern w:val="0"/>
          <w:sz w:val="21"/>
          <w:szCs w:val="24"/>
          <w:highlight w:val="none"/>
        </w:rPr>
        <w:t>总价金额与按单价汇总金额不一致的，以单价金额计算结果为准。</w:t>
      </w:r>
    </w:p>
    <w:p w14:paraId="5B210AA9">
      <w:pPr>
        <w:pStyle w:val="89"/>
        <w:numPr>
          <w:ilvl w:val="0"/>
          <w:numId w:val="38"/>
        </w:numPr>
        <w:snapToGrid w:val="0"/>
        <w:spacing w:before="0"/>
        <w:ind w:firstLineChars="0"/>
        <w:rPr>
          <w:rFonts w:hint="eastAsia" w:ascii="宋体" w:hAnsi="宋体" w:eastAsia="宋体"/>
          <w:color w:val="auto"/>
          <w:kern w:val="0"/>
          <w:sz w:val="21"/>
          <w:szCs w:val="24"/>
          <w:highlight w:val="none"/>
        </w:rPr>
      </w:pPr>
      <w:r>
        <w:rPr>
          <w:rFonts w:hint="eastAsia" w:ascii="宋体" w:hAnsi="宋体" w:eastAsia="宋体"/>
          <w:color w:val="auto"/>
          <w:kern w:val="0"/>
          <w:sz w:val="21"/>
          <w:szCs w:val="24"/>
          <w:highlight w:val="none"/>
        </w:rPr>
        <w:t>同时出现两种以上不一致的，按照3.4.1规定的顺序修正。修正后的报价按照财政部第87号令《政府采购货物和服务招标投标管理办法》第五十一条第二款的规定经供应商确认后产生约束力。</w:t>
      </w:r>
    </w:p>
    <w:p w14:paraId="73E542E6">
      <w:pPr>
        <w:pStyle w:val="89"/>
        <w:numPr>
          <w:ilvl w:val="0"/>
          <w:numId w:val="38"/>
        </w:numPr>
        <w:snapToGrid w:val="0"/>
        <w:spacing w:before="0"/>
        <w:ind w:firstLineChars="0"/>
        <w:rPr>
          <w:rFonts w:hint="eastAsia" w:ascii="宋体" w:hAnsi="宋体" w:eastAsia="宋体"/>
          <w:b/>
          <w:bCs/>
          <w:color w:val="auto"/>
          <w:sz w:val="21"/>
          <w:szCs w:val="21"/>
          <w:highlight w:val="none"/>
        </w:rPr>
      </w:pPr>
      <w:r>
        <w:rPr>
          <w:rFonts w:hint="eastAsia" w:ascii="宋体" w:hAnsi="宋体"/>
          <w:b/>
          <w:bCs/>
          <w:color w:val="auto"/>
          <w:sz w:val="21"/>
          <w:szCs w:val="21"/>
          <w:highlight w:val="none"/>
          <w:lang w:eastAsia="zh-CN"/>
        </w:rPr>
        <w:t>乐采云平台</w:t>
      </w:r>
      <w:r>
        <w:rPr>
          <w:rFonts w:hint="eastAsia" w:ascii="宋体" w:hAnsi="宋体" w:eastAsia="宋体"/>
          <w:b/>
          <w:bCs/>
          <w:color w:val="auto"/>
          <w:sz w:val="21"/>
          <w:szCs w:val="21"/>
          <w:highlight w:val="none"/>
        </w:rPr>
        <w:t>填写的投标报价与</w:t>
      </w:r>
      <w:r>
        <w:rPr>
          <w:rFonts w:hint="eastAsia" w:ascii="宋体" w:hAnsi="宋体"/>
          <w:b/>
          <w:bCs/>
          <w:color w:val="auto"/>
          <w:sz w:val="21"/>
          <w:szCs w:val="21"/>
          <w:highlight w:val="none"/>
          <w:lang w:eastAsia="zh-CN"/>
        </w:rPr>
        <w:t>乐采云平台</w:t>
      </w:r>
      <w:r>
        <w:rPr>
          <w:rFonts w:hint="eastAsia" w:ascii="宋体" w:hAnsi="宋体" w:eastAsia="宋体"/>
          <w:b/>
          <w:bCs/>
          <w:color w:val="auto"/>
          <w:sz w:val="21"/>
          <w:szCs w:val="21"/>
          <w:highlight w:val="none"/>
        </w:rPr>
        <w:t>上传的电子投标文件中的投标报价不一致的，以上传的电子投标文件中的投标报价为准</w:t>
      </w:r>
      <w:r>
        <w:rPr>
          <w:rFonts w:hint="eastAsia" w:ascii="宋体" w:hAnsi="宋体" w:eastAsia="宋体"/>
          <w:color w:val="auto"/>
          <w:sz w:val="21"/>
          <w:szCs w:val="21"/>
          <w:highlight w:val="none"/>
        </w:rPr>
        <w:t>。</w:t>
      </w:r>
    </w:p>
    <w:p w14:paraId="70A3298C">
      <w:pPr>
        <w:numPr>
          <w:ilvl w:val="0"/>
          <w:numId w:val="36"/>
        </w:numPr>
        <w:snapToGrid w:val="0"/>
        <w:spacing w:line="360" w:lineRule="auto"/>
        <w:rPr>
          <w:rFonts w:hint="eastAsia" w:ascii="宋体" w:hAnsi="宋体" w:eastAsia="宋体"/>
          <w:b/>
          <w:color w:val="auto"/>
          <w:kern w:val="0"/>
          <w:highlight w:val="none"/>
        </w:rPr>
      </w:pPr>
      <w:r>
        <w:rPr>
          <w:rFonts w:hint="eastAsia" w:ascii="宋体" w:hAnsi="宋体" w:eastAsia="宋体"/>
          <w:b/>
          <w:color w:val="auto"/>
          <w:kern w:val="0"/>
          <w:highlight w:val="none"/>
        </w:rPr>
        <w:t>排序与推荐。</w:t>
      </w:r>
      <w:r>
        <w:rPr>
          <w:rFonts w:hint="eastAsia" w:ascii="宋体" w:hAnsi="宋体" w:eastAsia="宋体"/>
          <w:bCs/>
          <w:color w:val="auto"/>
          <w:kern w:val="0"/>
          <w:highlight w:val="none"/>
        </w:rPr>
        <w:t>采用综合评分法的。</w:t>
      </w:r>
      <w:r>
        <w:rPr>
          <w:rFonts w:hint="eastAsia" w:ascii="宋体" w:hAnsi="宋体" w:eastAsia="宋体"/>
          <w:color w:val="auto"/>
          <w:szCs w:val="21"/>
          <w:highlight w:val="none"/>
        </w:rPr>
        <w:t>本项目按照标项号的前后顺序（即从标项一起评）进行评审。评标委员会根据各标项供应商的综合得分高低排定各标项顺序，推荐该标项综合得分排名第一的供应商为本项目该标项的中标候选人。如该标项供应商综合得分相同的，按投标报价由低到高顺序排列。综合得分相同且投标报价相同的</w:t>
      </w:r>
      <w:r>
        <w:rPr>
          <w:rFonts w:hint="eastAsia" w:ascii="宋体" w:hAnsi="宋体"/>
          <w:color w:val="auto"/>
          <w:szCs w:val="21"/>
          <w:highlight w:val="none"/>
          <w:lang w:val="en-US" w:eastAsia="zh-CN"/>
        </w:rPr>
        <w:t>抽签确定中标候选人，先抽中者排序在前</w:t>
      </w:r>
      <w:r>
        <w:rPr>
          <w:rFonts w:hint="eastAsia" w:ascii="宋体" w:hAnsi="宋体" w:eastAsia="宋体"/>
          <w:color w:val="auto"/>
          <w:szCs w:val="21"/>
          <w:highlight w:val="none"/>
        </w:rPr>
        <w:t>。如评标过程中出现本招标文件未尽事宜，则由评标委员会讨论决定</w:t>
      </w:r>
    </w:p>
    <w:p w14:paraId="4ED3E979">
      <w:pPr>
        <w:snapToGrid w:val="0"/>
        <w:spacing w:line="360" w:lineRule="auto"/>
        <w:ind w:firstLine="420" w:firstLineChars="200"/>
        <w:rPr>
          <w:rFonts w:hint="eastAsia" w:ascii="宋体" w:hAnsi="宋体" w:eastAsia="宋体"/>
          <w:bCs/>
          <w:color w:val="auto"/>
          <w:kern w:val="0"/>
          <w:highlight w:val="none"/>
        </w:rPr>
      </w:pPr>
      <w:r>
        <w:rPr>
          <w:rFonts w:hint="eastAsia" w:ascii="宋体" w:hAnsi="宋体" w:eastAsia="宋体"/>
          <w:bCs/>
          <w:color w:val="auto"/>
          <w:kern w:val="0"/>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w:t>
      </w:r>
      <w:r>
        <w:rPr>
          <w:rFonts w:hint="eastAsia" w:ascii="宋体" w:hAnsi="宋体" w:eastAsia="宋体"/>
          <w:bCs/>
          <w:color w:val="auto"/>
          <w:kern w:val="0"/>
          <w:highlight w:val="none"/>
          <w:lang w:eastAsia="zh-CN"/>
        </w:rPr>
        <w:t>中标供应商</w:t>
      </w:r>
      <w:r>
        <w:rPr>
          <w:rFonts w:hint="eastAsia" w:ascii="宋体" w:hAnsi="宋体" w:eastAsia="宋体"/>
          <w:bCs/>
          <w:color w:val="auto"/>
          <w:kern w:val="0"/>
          <w:highlight w:val="none"/>
        </w:rPr>
        <w:t>推荐资格；评审得</w:t>
      </w:r>
      <w:r>
        <w:rPr>
          <w:rFonts w:hint="eastAsia" w:ascii="宋体" w:hAnsi="宋体" w:eastAsia="宋体"/>
          <w:color w:val="auto"/>
          <w:kern w:val="0"/>
          <w:highlight w:val="none"/>
        </w:rPr>
        <w:t>分相同的，采取随机抽取方式确定，其他同品牌供应商不作为中标候选人。</w:t>
      </w:r>
    </w:p>
    <w:p w14:paraId="78A1587F">
      <w:pPr>
        <w:numPr>
          <w:ilvl w:val="0"/>
          <w:numId w:val="36"/>
        </w:numPr>
        <w:snapToGrid w:val="0"/>
        <w:spacing w:line="360" w:lineRule="auto"/>
        <w:rPr>
          <w:rFonts w:hint="eastAsia" w:ascii="宋体" w:hAnsi="宋体" w:eastAsia="宋体"/>
          <w:b/>
          <w:color w:val="auto"/>
          <w:kern w:val="0"/>
          <w:highlight w:val="none"/>
        </w:rPr>
      </w:pPr>
      <w:r>
        <w:rPr>
          <w:rFonts w:hint="eastAsia" w:ascii="宋体" w:hAnsi="宋体" w:eastAsia="宋体"/>
          <w:b/>
          <w:color w:val="auto"/>
          <w:kern w:val="0"/>
          <w:highlight w:val="none"/>
        </w:rPr>
        <w:t>编写评标报告。</w:t>
      </w:r>
      <w:r>
        <w:rPr>
          <w:rFonts w:hint="eastAsia" w:ascii="宋体" w:hAnsi="宋体" w:eastAsia="宋体"/>
          <w:bCs/>
          <w:color w:val="auto"/>
          <w:kern w:val="0"/>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727E4D7">
      <w:pPr>
        <w:snapToGrid w:val="0"/>
        <w:spacing w:line="360" w:lineRule="auto"/>
        <w:rPr>
          <w:rFonts w:hint="eastAsia" w:ascii="宋体" w:hAnsi="宋体" w:eastAsia="宋体"/>
          <w:b/>
          <w:color w:val="auto"/>
          <w:highlight w:val="none"/>
        </w:rPr>
      </w:pPr>
    </w:p>
    <w:p w14:paraId="79AC2EB1">
      <w:pPr>
        <w:numPr>
          <w:ilvl w:val="0"/>
          <w:numId w:val="35"/>
        </w:numPr>
        <w:snapToGrid w:val="0"/>
        <w:spacing w:before="120" w:line="360" w:lineRule="auto"/>
        <w:ind w:firstLine="0"/>
        <w:rPr>
          <w:rFonts w:hint="eastAsia" w:ascii="宋体" w:hAnsi="宋体" w:eastAsia="宋体"/>
          <w:b/>
          <w:color w:val="auto"/>
          <w:highlight w:val="none"/>
        </w:rPr>
      </w:pPr>
      <w:r>
        <w:rPr>
          <w:rFonts w:hint="eastAsia" w:ascii="宋体" w:hAnsi="宋体" w:eastAsia="宋体"/>
          <w:b/>
          <w:color w:val="auto"/>
          <w:highlight w:val="none"/>
        </w:rPr>
        <w:t>评标中的其他事项</w:t>
      </w:r>
    </w:p>
    <w:p w14:paraId="1F7B7FB5">
      <w:pPr>
        <w:pStyle w:val="89"/>
        <w:numPr>
          <w:ilvl w:val="0"/>
          <w:numId w:val="39"/>
        </w:numPr>
        <w:snapToGrid w:val="0"/>
        <w:spacing w:before="0"/>
        <w:ind w:firstLineChars="0"/>
        <w:rPr>
          <w:rFonts w:hint="eastAsia" w:ascii="宋体" w:hAnsi="宋体" w:eastAsia="宋体"/>
          <w:b/>
          <w:color w:val="auto"/>
          <w:kern w:val="0"/>
          <w:sz w:val="21"/>
          <w:szCs w:val="24"/>
          <w:highlight w:val="none"/>
        </w:rPr>
      </w:pPr>
      <w:r>
        <w:rPr>
          <w:rFonts w:hint="eastAsia" w:ascii="宋体" w:hAnsi="宋体" w:eastAsia="宋体"/>
          <w:b/>
          <w:color w:val="auto"/>
          <w:kern w:val="0"/>
          <w:sz w:val="21"/>
          <w:szCs w:val="24"/>
          <w:highlight w:val="none"/>
        </w:rPr>
        <w:t>供应商澄清、说明或者补正。</w:t>
      </w:r>
      <w:r>
        <w:rPr>
          <w:rFonts w:hint="eastAsia" w:ascii="宋体" w:hAnsi="宋体" w:eastAsia="宋体"/>
          <w:bCs/>
          <w:color w:val="auto"/>
          <w:kern w:val="0"/>
          <w:sz w:val="21"/>
          <w:szCs w:val="24"/>
          <w:highlight w:val="none"/>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195CCE4A">
      <w:pPr>
        <w:pStyle w:val="89"/>
        <w:numPr>
          <w:ilvl w:val="0"/>
          <w:numId w:val="39"/>
        </w:numPr>
        <w:snapToGrid w:val="0"/>
        <w:spacing w:before="0"/>
        <w:ind w:firstLineChars="0"/>
        <w:rPr>
          <w:rFonts w:hint="eastAsia" w:ascii="宋体" w:hAnsi="宋体" w:eastAsia="宋体"/>
          <w:b/>
          <w:color w:val="auto"/>
          <w:kern w:val="0"/>
          <w:sz w:val="21"/>
          <w:szCs w:val="24"/>
          <w:highlight w:val="none"/>
        </w:rPr>
      </w:pPr>
      <w:r>
        <w:rPr>
          <w:rFonts w:hint="eastAsia" w:ascii="宋体" w:hAnsi="宋体" w:eastAsia="宋体"/>
          <w:b/>
          <w:color w:val="auto"/>
          <w:kern w:val="0"/>
          <w:sz w:val="21"/>
          <w:szCs w:val="24"/>
          <w:highlight w:val="none"/>
        </w:rPr>
        <w:t>投标无效。有下列情形之一的，投标无效：</w:t>
      </w:r>
    </w:p>
    <w:p w14:paraId="31BE7619">
      <w:pPr>
        <w:numPr>
          <w:ilvl w:val="0"/>
          <w:numId w:val="40"/>
        </w:numPr>
        <w:snapToGrid w:val="0"/>
        <w:spacing w:line="360" w:lineRule="auto"/>
        <w:rPr>
          <w:rFonts w:hint="eastAsia" w:ascii="宋体" w:hAnsi="宋体" w:eastAsia="宋体"/>
          <w:b/>
          <w:bCs/>
          <w:color w:val="auto"/>
          <w:kern w:val="0"/>
          <w:highlight w:val="none"/>
        </w:rPr>
      </w:pPr>
      <w:r>
        <w:rPr>
          <w:rFonts w:hint="eastAsia" w:ascii="宋体" w:hAnsi="宋体" w:eastAsia="宋体"/>
          <w:b/>
          <w:bCs/>
          <w:color w:val="auto"/>
          <w:kern w:val="0"/>
          <w:highlight w:val="none"/>
        </w:rPr>
        <w:t>供应商不具备采购文件中规定的资格要求的（供应商未提供有效的资格证明文件的，视为供应商不具备采购文件中规定的资格要求）；</w:t>
      </w:r>
    </w:p>
    <w:p w14:paraId="37BDAC30">
      <w:pPr>
        <w:numPr>
          <w:ilvl w:val="0"/>
          <w:numId w:val="40"/>
        </w:numPr>
        <w:snapToGrid w:val="0"/>
        <w:spacing w:line="360" w:lineRule="auto"/>
        <w:rPr>
          <w:rFonts w:hint="eastAsia" w:ascii="宋体" w:hAnsi="宋体" w:eastAsia="宋体"/>
          <w:b/>
          <w:bCs/>
          <w:color w:val="auto"/>
          <w:kern w:val="0"/>
          <w:highlight w:val="none"/>
        </w:rPr>
      </w:pPr>
      <w:r>
        <w:rPr>
          <w:rFonts w:hint="eastAsia" w:ascii="宋体" w:hAnsi="宋体" w:eastAsia="宋体"/>
          <w:b/>
          <w:bCs/>
          <w:color w:val="auto"/>
          <w:kern w:val="0"/>
          <w:highlight w:val="none"/>
        </w:rPr>
        <w:t>投标文件未按照采购文件要求签署、盖章的；</w:t>
      </w:r>
    </w:p>
    <w:p w14:paraId="22B2E482">
      <w:pPr>
        <w:numPr>
          <w:ilvl w:val="0"/>
          <w:numId w:val="40"/>
        </w:numPr>
        <w:snapToGrid w:val="0"/>
        <w:spacing w:line="360" w:lineRule="auto"/>
        <w:rPr>
          <w:rFonts w:hint="eastAsia" w:ascii="宋体" w:hAnsi="宋体" w:eastAsia="宋体"/>
          <w:b/>
          <w:bCs/>
          <w:color w:val="auto"/>
          <w:kern w:val="0"/>
          <w:highlight w:val="none"/>
        </w:rPr>
      </w:pPr>
      <w:r>
        <w:rPr>
          <w:rFonts w:hint="eastAsia" w:ascii="宋体" w:hAnsi="宋体" w:eastAsia="宋体"/>
          <w:b/>
          <w:bCs/>
          <w:color w:val="auto"/>
          <w:kern w:val="0"/>
          <w:highlight w:val="none"/>
        </w:rPr>
        <w:t>采购人拟采购的产品属于政府强制采购的节能产品品目清单范围的，供应商相应的投标产品未获得国家确定的认证机构出具的、处于有效期之内的节能产品认证证书的；</w:t>
      </w:r>
    </w:p>
    <w:p w14:paraId="735E3E34">
      <w:pPr>
        <w:numPr>
          <w:ilvl w:val="0"/>
          <w:numId w:val="40"/>
        </w:numPr>
        <w:snapToGrid w:val="0"/>
        <w:spacing w:line="360" w:lineRule="auto"/>
        <w:rPr>
          <w:rFonts w:hint="eastAsia" w:ascii="宋体" w:hAnsi="宋体" w:eastAsia="宋体"/>
          <w:b/>
          <w:bCs/>
          <w:color w:val="auto"/>
          <w:szCs w:val="21"/>
          <w:highlight w:val="none"/>
        </w:rPr>
      </w:pPr>
      <w:r>
        <w:rPr>
          <w:rFonts w:hint="eastAsia" w:ascii="宋体" w:hAnsi="宋体" w:eastAsia="宋体"/>
          <w:b/>
          <w:bCs/>
          <w:color w:val="auto"/>
          <w:szCs w:val="21"/>
          <w:highlight w:val="none"/>
        </w:rPr>
        <w:t>未提供或未如实提供投标货物或服务的技术参数或要求，或者投标文件标明的响应或偏离与事实不符的；</w:t>
      </w:r>
    </w:p>
    <w:p w14:paraId="417A4846">
      <w:pPr>
        <w:numPr>
          <w:ilvl w:val="0"/>
          <w:numId w:val="40"/>
        </w:numPr>
        <w:snapToGrid w:val="0"/>
        <w:spacing w:line="360" w:lineRule="auto"/>
        <w:rPr>
          <w:rFonts w:hint="eastAsia" w:ascii="宋体" w:hAnsi="宋体" w:eastAsia="宋体"/>
          <w:b/>
          <w:bCs/>
          <w:color w:val="auto"/>
          <w:szCs w:val="21"/>
          <w:highlight w:val="none"/>
        </w:rPr>
      </w:pPr>
      <w:r>
        <w:rPr>
          <w:rFonts w:hint="eastAsia" w:ascii="宋体" w:hAnsi="宋体" w:eastAsia="宋体"/>
          <w:b/>
          <w:bCs/>
          <w:color w:val="auto"/>
          <w:szCs w:val="21"/>
          <w:highlight w:val="none"/>
        </w:rPr>
        <w:t>投标方案不明确，存在一个或一个以上备选（替代）投标方案的；</w:t>
      </w:r>
    </w:p>
    <w:p w14:paraId="66F2888C">
      <w:pPr>
        <w:numPr>
          <w:ilvl w:val="0"/>
          <w:numId w:val="40"/>
        </w:numPr>
        <w:snapToGrid w:val="0"/>
        <w:spacing w:line="360" w:lineRule="auto"/>
        <w:rPr>
          <w:rFonts w:hint="eastAsia" w:ascii="宋体" w:hAnsi="宋体" w:eastAsia="宋体"/>
          <w:b/>
          <w:bCs/>
          <w:color w:val="auto"/>
          <w:szCs w:val="21"/>
          <w:highlight w:val="none"/>
        </w:rPr>
      </w:pPr>
      <w:r>
        <w:rPr>
          <w:rFonts w:hint="eastAsia" w:ascii="宋体" w:hAnsi="宋体" w:eastAsia="宋体"/>
          <w:b/>
          <w:bCs/>
          <w:color w:val="auto"/>
          <w:szCs w:val="21"/>
          <w:highlight w:val="none"/>
        </w:rPr>
        <w:t>明显不符合采购文件要求或者与采购文件中标注“★”的条款发生实质性负偏离的；</w:t>
      </w:r>
    </w:p>
    <w:p w14:paraId="7F54ECAE">
      <w:pPr>
        <w:numPr>
          <w:ilvl w:val="0"/>
          <w:numId w:val="40"/>
        </w:numPr>
        <w:snapToGrid w:val="0"/>
        <w:spacing w:line="360" w:lineRule="auto"/>
        <w:rPr>
          <w:rFonts w:hint="eastAsia" w:ascii="宋体" w:hAnsi="宋体" w:eastAsia="宋体"/>
          <w:b/>
          <w:bCs/>
          <w:color w:val="auto"/>
          <w:szCs w:val="21"/>
          <w:highlight w:val="none"/>
        </w:rPr>
      </w:pPr>
      <w:r>
        <w:rPr>
          <w:rFonts w:hint="eastAsia" w:ascii="宋体" w:hAnsi="宋体" w:eastAsia="宋体"/>
          <w:b/>
          <w:bCs/>
          <w:color w:val="auto"/>
          <w:szCs w:val="21"/>
          <w:highlight w:val="none"/>
        </w:rPr>
        <w:t>投标文件中存在采购人不能接受的附加条件的；</w:t>
      </w:r>
    </w:p>
    <w:p w14:paraId="6193D85D">
      <w:pPr>
        <w:numPr>
          <w:ilvl w:val="0"/>
          <w:numId w:val="40"/>
        </w:numPr>
        <w:snapToGrid w:val="0"/>
        <w:spacing w:line="360" w:lineRule="auto"/>
        <w:rPr>
          <w:rFonts w:hint="eastAsia" w:ascii="宋体" w:hAnsi="宋体" w:eastAsia="宋体"/>
          <w:b/>
          <w:bCs/>
          <w:color w:val="auto"/>
          <w:szCs w:val="21"/>
          <w:highlight w:val="none"/>
        </w:rPr>
      </w:pPr>
      <w:r>
        <w:rPr>
          <w:rFonts w:hint="eastAsia" w:ascii="宋体" w:hAnsi="宋体" w:eastAsia="宋体"/>
          <w:b/>
          <w:bCs/>
          <w:color w:val="auto"/>
          <w:szCs w:val="21"/>
          <w:highlight w:val="none"/>
        </w:rPr>
        <w:t>未按照采购文件规定在投标文件中提供法定代表人签署本人姓名（或印盖本人姓名章）或签署人未提供有效的法定代表人授权委托书且授权委托书填写项目齐全的；</w:t>
      </w:r>
    </w:p>
    <w:p w14:paraId="2E27A043">
      <w:pPr>
        <w:numPr>
          <w:ilvl w:val="0"/>
          <w:numId w:val="40"/>
        </w:numPr>
        <w:snapToGrid w:val="0"/>
        <w:spacing w:line="360" w:lineRule="auto"/>
        <w:rPr>
          <w:rFonts w:hint="eastAsia" w:ascii="宋体" w:hAnsi="宋体" w:eastAsia="宋体"/>
          <w:b/>
          <w:bCs/>
          <w:color w:val="auto"/>
          <w:szCs w:val="21"/>
          <w:highlight w:val="none"/>
        </w:rPr>
      </w:pPr>
      <w:r>
        <w:rPr>
          <w:rFonts w:hint="eastAsia" w:ascii="宋体" w:hAnsi="宋体" w:eastAsia="宋体"/>
          <w:b/>
          <w:bCs/>
          <w:color w:val="auto"/>
          <w:szCs w:val="21"/>
          <w:highlight w:val="none"/>
        </w:rPr>
        <w:t>投标文件的实质性内容未使用中文表述、表述不明确、存在前后矛盾、使用计量单位不符合采购文件要求（经评标委员会认定并允许其当场更正的笔误除外）的；</w:t>
      </w:r>
    </w:p>
    <w:p w14:paraId="2C0031AD">
      <w:pPr>
        <w:numPr>
          <w:ilvl w:val="0"/>
          <w:numId w:val="40"/>
        </w:numPr>
        <w:snapToGrid w:val="0"/>
        <w:spacing w:line="360" w:lineRule="auto"/>
        <w:rPr>
          <w:rFonts w:hint="eastAsia" w:ascii="宋体" w:hAnsi="宋体" w:eastAsia="宋体"/>
          <w:b/>
          <w:bCs/>
          <w:color w:val="auto"/>
          <w:kern w:val="0"/>
          <w:highlight w:val="none"/>
        </w:rPr>
      </w:pPr>
      <w:r>
        <w:rPr>
          <w:rFonts w:hint="eastAsia" w:ascii="宋体" w:hAnsi="宋体" w:eastAsia="宋体"/>
          <w:b/>
          <w:bCs/>
          <w:color w:val="auto"/>
          <w:kern w:val="0"/>
          <w:highlight w:val="none"/>
        </w:rPr>
        <w:t>投标文件中承诺的投标有效期少于采购文件中载明的投标有效期的；</w:t>
      </w:r>
    </w:p>
    <w:p w14:paraId="18862A54">
      <w:pPr>
        <w:numPr>
          <w:ilvl w:val="0"/>
          <w:numId w:val="40"/>
        </w:numPr>
        <w:snapToGrid w:val="0"/>
        <w:spacing w:line="360" w:lineRule="auto"/>
        <w:rPr>
          <w:rFonts w:hint="eastAsia" w:ascii="宋体" w:hAnsi="宋体" w:eastAsia="宋体"/>
          <w:b/>
          <w:bCs/>
          <w:color w:val="auto"/>
          <w:kern w:val="0"/>
          <w:highlight w:val="none"/>
        </w:rPr>
      </w:pPr>
      <w:r>
        <w:rPr>
          <w:rFonts w:hint="eastAsia" w:ascii="宋体" w:hAnsi="宋体" w:eastAsia="宋体"/>
          <w:b/>
          <w:bCs/>
          <w:color w:val="auto"/>
          <w:kern w:val="0"/>
          <w:highlight w:val="none"/>
        </w:rPr>
        <w:t>投标报价超过采购文件中规定的预算金额或者最高限价的；</w:t>
      </w:r>
    </w:p>
    <w:p w14:paraId="623404D8">
      <w:pPr>
        <w:numPr>
          <w:ilvl w:val="0"/>
          <w:numId w:val="40"/>
        </w:numPr>
        <w:snapToGrid w:val="0"/>
        <w:spacing w:line="360" w:lineRule="auto"/>
        <w:rPr>
          <w:rFonts w:hint="eastAsia" w:ascii="宋体" w:hAnsi="宋体" w:eastAsia="宋体"/>
          <w:b/>
          <w:bCs/>
          <w:color w:val="auto"/>
          <w:szCs w:val="21"/>
          <w:highlight w:val="none"/>
        </w:rPr>
      </w:pPr>
      <w:r>
        <w:rPr>
          <w:rFonts w:hint="eastAsia" w:ascii="宋体" w:hAnsi="宋体" w:eastAsia="宋体"/>
          <w:b/>
          <w:bCs/>
          <w:color w:val="auto"/>
          <w:szCs w:val="21"/>
          <w:highlight w:val="none"/>
        </w:rPr>
        <w:t>投标报价具有选择性的；</w:t>
      </w:r>
    </w:p>
    <w:p w14:paraId="43286EE8">
      <w:pPr>
        <w:numPr>
          <w:ilvl w:val="0"/>
          <w:numId w:val="40"/>
        </w:numPr>
        <w:snapToGrid w:val="0"/>
        <w:spacing w:line="360" w:lineRule="auto"/>
        <w:rPr>
          <w:rFonts w:hint="eastAsia" w:ascii="宋体" w:hAnsi="宋体" w:eastAsia="宋体"/>
          <w:b/>
          <w:bCs/>
          <w:color w:val="auto"/>
          <w:szCs w:val="21"/>
          <w:highlight w:val="none"/>
        </w:rPr>
      </w:pPr>
      <w:r>
        <w:rPr>
          <w:rFonts w:hint="eastAsia" w:ascii="宋体" w:hAnsi="宋体" w:eastAsia="宋体"/>
          <w:b/>
          <w:bCs/>
          <w:color w:val="auto"/>
          <w:szCs w:val="21"/>
          <w:highlight w:val="none"/>
        </w:rPr>
        <w:t>经评标委员会评审，投标分项报价表中所列内容与技术方案存在重大偏离的或投标报价中出现重大缺项、漏项的；</w:t>
      </w:r>
    </w:p>
    <w:p w14:paraId="7DEC5CBB">
      <w:pPr>
        <w:numPr>
          <w:ilvl w:val="0"/>
          <w:numId w:val="40"/>
        </w:numPr>
        <w:snapToGrid w:val="0"/>
        <w:spacing w:line="360" w:lineRule="auto"/>
        <w:rPr>
          <w:rFonts w:hint="eastAsia" w:ascii="宋体" w:hAnsi="宋体" w:eastAsia="宋体"/>
          <w:b/>
          <w:bCs/>
          <w:color w:val="auto"/>
          <w:kern w:val="0"/>
          <w:highlight w:val="none"/>
        </w:rPr>
      </w:pPr>
      <w:r>
        <w:rPr>
          <w:rFonts w:hint="eastAsia" w:ascii="宋体" w:hAnsi="宋体" w:eastAsia="宋体"/>
          <w:b/>
          <w:bCs/>
          <w:color w:val="auto"/>
          <w:kern w:val="0"/>
          <w:highlight w:val="none"/>
        </w:rPr>
        <w:t>投标报价明显低于其他通过符合性审查供应商的投标报价，有可能影响产品质量或者不能诚信履约的，未能按要求提供书面说明或者提交相关证明材料，不能证明其报价合理性的；</w:t>
      </w:r>
    </w:p>
    <w:p w14:paraId="683645EC">
      <w:pPr>
        <w:numPr>
          <w:ilvl w:val="0"/>
          <w:numId w:val="40"/>
        </w:numPr>
        <w:snapToGrid w:val="0"/>
        <w:spacing w:line="360" w:lineRule="auto"/>
        <w:rPr>
          <w:rFonts w:hint="eastAsia" w:ascii="宋体" w:hAnsi="宋体" w:eastAsia="宋体"/>
          <w:b/>
          <w:bCs/>
          <w:color w:val="auto"/>
          <w:kern w:val="0"/>
          <w:highlight w:val="none"/>
        </w:rPr>
      </w:pPr>
      <w:r>
        <w:rPr>
          <w:rFonts w:hint="eastAsia" w:ascii="宋体" w:hAnsi="宋体" w:eastAsia="宋体"/>
          <w:b/>
          <w:bCs/>
          <w:color w:val="auto"/>
          <w:kern w:val="0"/>
          <w:highlight w:val="none"/>
        </w:rPr>
        <w:t>供应商对根据修正原则修正后的投标报价不确认的；</w:t>
      </w:r>
    </w:p>
    <w:p w14:paraId="1DA1D5A3">
      <w:pPr>
        <w:numPr>
          <w:ilvl w:val="0"/>
          <w:numId w:val="40"/>
        </w:numPr>
        <w:snapToGrid w:val="0"/>
        <w:spacing w:line="360" w:lineRule="auto"/>
        <w:rPr>
          <w:rFonts w:hint="eastAsia" w:ascii="宋体" w:hAnsi="宋体" w:eastAsia="宋体"/>
          <w:b/>
          <w:bCs/>
          <w:color w:val="auto"/>
          <w:kern w:val="0"/>
          <w:highlight w:val="none"/>
        </w:rPr>
      </w:pPr>
      <w:r>
        <w:rPr>
          <w:rFonts w:hint="eastAsia" w:ascii="宋体" w:hAnsi="宋体" w:eastAsia="宋体"/>
          <w:b/>
          <w:bCs/>
          <w:color w:val="auto"/>
          <w:kern w:val="0"/>
          <w:highlight w:val="none"/>
        </w:rPr>
        <w:t>供应商提供虚假材料投标的；</w:t>
      </w:r>
    </w:p>
    <w:p w14:paraId="38E7CDF5">
      <w:pPr>
        <w:numPr>
          <w:ilvl w:val="0"/>
          <w:numId w:val="40"/>
        </w:numPr>
        <w:snapToGrid w:val="0"/>
        <w:spacing w:line="360" w:lineRule="auto"/>
        <w:rPr>
          <w:rFonts w:hint="eastAsia" w:ascii="宋体" w:hAnsi="宋体" w:eastAsia="宋体"/>
          <w:b/>
          <w:bCs/>
          <w:color w:val="auto"/>
          <w:kern w:val="0"/>
          <w:highlight w:val="none"/>
        </w:rPr>
      </w:pPr>
      <w:r>
        <w:rPr>
          <w:rFonts w:hint="eastAsia" w:ascii="宋体" w:hAnsi="宋体" w:eastAsia="宋体"/>
          <w:b/>
          <w:bCs/>
          <w:color w:val="auto"/>
          <w:kern w:val="0"/>
          <w:highlight w:val="none"/>
        </w:rPr>
        <w:t>供应商有恶意串通、妨碍其他供应商的竞争行为、损害采购人或者其他供应商的合法权益情形的；</w:t>
      </w:r>
    </w:p>
    <w:p w14:paraId="413C3DB5">
      <w:pPr>
        <w:numPr>
          <w:ilvl w:val="0"/>
          <w:numId w:val="40"/>
        </w:numPr>
        <w:snapToGrid w:val="0"/>
        <w:spacing w:line="360" w:lineRule="auto"/>
        <w:rPr>
          <w:rFonts w:hint="eastAsia" w:ascii="宋体" w:hAnsi="宋体" w:eastAsia="宋体"/>
          <w:b/>
          <w:bCs/>
          <w:color w:val="auto"/>
          <w:kern w:val="0"/>
          <w:highlight w:val="none"/>
        </w:rPr>
      </w:pPr>
      <w:r>
        <w:rPr>
          <w:rFonts w:hint="eastAsia" w:ascii="宋体" w:hAnsi="宋体" w:eastAsia="宋体"/>
          <w:b/>
          <w:bCs/>
          <w:color w:val="auto"/>
          <w:kern w:val="0"/>
          <w:highlight w:val="none"/>
        </w:rPr>
        <w:t>供应商仅提交</w:t>
      </w:r>
      <w:r>
        <w:rPr>
          <w:rFonts w:hint="eastAsia" w:ascii="宋体" w:hAnsi="宋体" w:eastAsia="宋体"/>
          <w:b/>
          <w:bCs/>
          <w:color w:val="auto"/>
          <w:szCs w:val="21"/>
          <w:highlight w:val="none"/>
        </w:rPr>
        <w:t>电子</w:t>
      </w:r>
      <w:r>
        <w:rPr>
          <w:rFonts w:hint="eastAsia" w:ascii="宋体" w:hAnsi="宋体" w:eastAsia="宋体"/>
          <w:b/>
          <w:bCs/>
          <w:color w:val="auto"/>
          <w:kern w:val="0"/>
          <w:highlight w:val="none"/>
        </w:rPr>
        <w:t>备份投标文件，未在电子交易平台传输递交投标文件的；</w:t>
      </w:r>
    </w:p>
    <w:p w14:paraId="45F9E389">
      <w:pPr>
        <w:numPr>
          <w:ilvl w:val="0"/>
          <w:numId w:val="40"/>
        </w:numPr>
        <w:snapToGrid w:val="0"/>
        <w:spacing w:line="360" w:lineRule="auto"/>
        <w:rPr>
          <w:rFonts w:hint="eastAsia" w:ascii="宋体" w:hAnsi="宋体" w:eastAsia="宋体"/>
          <w:b/>
          <w:bCs/>
          <w:color w:val="auto"/>
          <w:szCs w:val="21"/>
          <w:highlight w:val="none"/>
        </w:rPr>
      </w:pPr>
      <w:r>
        <w:rPr>
          <w:rFonts w:hint="eastAsia" w:ascii="宋体" w:hAnsi="宋体" w:eastAsia="宋体"/>
          <w:b/>
          <w:bCs/>
          <w:color w:val="auto"/>
          <w:szCs w:val="21"/>
          <w:highlight w:val="none"/>
        </w:rPr>
        <w:t>投标文件的关键内容字迹模糊、无法辨认的，或者投标文件中经修正的内容字迹模糊难以辩认或者修改处未按规定签署、盖章的；</w:t>
      </w:r>
      <w:r>
        <w:rPr>
          <w:rFonts w:hint="eastAsia" w:ascii="宋体" w:hAnsi="宋体" w:eastAsia="宋体"/>
          <w:b/>
          <w:bCs/>
          <w:color w:val="auto"/>
          <w:kern w:val="0"/>
          <w:highlight w:val="none"/>
        </w:rPr>
        <w:t>；</w:t>
      </w:r>
    </w:p>
    <w:p w14:paraId="118DD7E2">
      <w:pPr>
        <w:numPr>
          <w:ilvl w:val="0"/>
          <w:numId w:val="40"/>
        </w:numPr>
        <w:snapToGrid w:val="0"/>
        <w:spacing w:line="360" w:lineRule="auto"/>
        <w:rPr>
          <w:rFonts w:hint="eastAsia" w:ascii="宋体" w:hAnsi="宋体" w:eastAsia="宋体"/>
          <w:b/>
          <w:bCs/>
          <w:color w:val="auto"/>
          <w:kern w:val="0"/>
          <w:highlight w:val="none"/>
        </w:rPr>
      </w:pPr>
      <w:r>
        <w:rPr>
          <w:rFonts w:hint="eastAsia" w:ascii="宋体" w:hAnsi="宋体" w:eastAsia="宋体"/>
          <w:b/>
          <w:bCs/>
          <w:color w:val="auto"/>
          <w:kern w:val="0"/>
          <w:highlight w:val="none"/>
        </w:rPr>
        <w:t>法律、法规、规章（适用本市的）及省级以上规范性文件（适用本市的）规定的其他无效情形。</w:t>
      </w:r>
    </w:p>
    <w:p w14:paraId="73D3031D">
      <w:pPr>
        <w:pStyle w:val="39"/>
        <w:numPr>
          <w:ilvl w:val="0"/>
          <w:numId w:val="41"/>
        </w:numPr>
        <w:snapToGrid w:val="0"/>
        <w:spacing w:line="360" w:lineRule="auto"/>
        <w:ind w:firstLine="413" w:firstLineChars="196"/>
        <w:rPr>
          <w:rFonts w:hint="eastAsia" w:ascii="宋体" w:hAnsi="宋体" w:eastAsia="宋体"/>
          <w:b/>
          <w:color w:val="auto"/>
          <w:sz w:val="21"/>
          <w:highlight w:val="none"/>
        </w:rPr>
      </w:pPr>
      <w:r>
        <w:rPr>
          <w:rFonts w:hint="eastAsia" w:ascii="宋体" w:hAnsi="宋体" w:eastAsia="宋体"/>
          <w:b/>
          <w:color w:val="auto"/>
          <w:sz w:val="21"/>
          <w:highlight w:val="none"/>
        </w:rPr>
        <w:t>废标。</w:t>
      </w:r>
    </w:p>
    <w:p w14:paraId="0434A6E9">
      <w:pPr>
        <w:pStyle w:val="39"/>
        <w:snapToGrid w:val="0"/>
        <w:spacing w:line="360" w:lineRule="auto"/>
        <w:ind w:firstLine="0" w:firstLineChars="0"/>
        <w:rPr>
          <w:rFonts w:hint="eastAsia" w:ascii="宋体" w:hAnsi="宋体" w:eastAsia="宋体"/>
          <w:color w:val="auto"/>
          <w:sz w:val="21"/>
          <w:highlight w:val="none"/>
        </w:rPr>
      </w:pPr>
      <w:r>
        <w:rPr>
          <w:rFonts w:hint="eastAsia" w:ascii="宋体" w:hAnsi="宋体" w:eastAsia="宋体"/>
          <w:color w:val="auto"/>
          <w:sz w:val="21"/>
          <w:highlight w:val="none"/>
        </w:rPr>
        <w:t>根据《中华人民共和国政府采购法》第三十六条之规定，在采购中，出现下列情形之一的，应予废标：</w:t>
      </w:r>
    </w:p>
    <w:p w14:paraId="4EE871AE">
      <w:pPr>
        <w:pStyle w:val="39"/>
        <w:numPr>
          <w:ilvl w:val="0"/>
          <w:numId w:val="42"/>
        </w:numPr>
        <w:snapToGrid w:val="0"/>
        <w:spacing w:line="360" w:lineRule="auto"/>
        <w:ind w:firstLineChars="0"/>
        <w:rPr>
          <w:rFonts w:hint="eastAsia" w:ascii="宋体" w:hAnsi="宋体" w:eastAsia="宋体"/>
          <w:color w:val="auto"/>
          <w:sz w:val="21"/>
          <w:highlight w:val="none"/>
        </w:rPr>
      </w:pPr>
      <w:r>
        <w:rPr>
          <w:rFonts w:hint="eastAsia" w:ascii="宋体" w:hAnsi="宋体" w:eastAsia="宋体"/>
          <w:color w:val="auto"/>
          <w:sz w:val="21"/>
          <w:highlight w:val="none"/>
        </w:rPr>
        <w:t>符合专业条件的供应商或者对采购文件作实质响应的供应商不足3家的；</w:t>
      </w:r>
    </w:p>
    <w:p w14:paraId="2191A988">
      <w:pPr>
        <w:pStyle w:val="39"/>
        <w:numPr>
          <w:ilvl w:val="0"/>
          <w:numId w:val="42"/>
        </w:numPr>
        <w:snapToGrid w:val="0"/>
        <w:spacing w:line="360" w:lineRule="auto"/>
        <w:ind w:firstLineChars="0"/>
        <w:rPr>
          <w:rFonts w:hint="eastAsia" w:ascii="宋体" w:hAnsi="宋体" w:eastAsia="宋体"/>
          <w:color w:val="auto"/>
          <w:sz w:val="21"/>
          <w:highlight w:val="none"/>
        </w:rPr>
      </w:pPr>
      <w:r>
        <w:rPr>
          <w:rFonts w:hint="eastAsia" w:ascii="宋体" w:hAnsi="宋体" w:eastAsia="宋体"/>
          <w:color w:val="auto"/>
          <w:sz w:val="21"/>
          <w:highlight w:val="none"/>
        </w:rPr>
        <w:t>出现影响采购公正的违法、违规行为的；</w:t>
      </w:r>
    </w:p>
    <w:p w14:paraId="72CFD6D5">
      <w:pPr>
        <w:pStyle w:val="39"/>
        <w:numPr>
          <w:ilvl w:val="0"/>
          <w:numId w:val="42"/>
        </w:numPr>
        <w:snapToGrid w:val="0"/>
        <w:spacing w:line="360" w:lineRule="auto"/>
        <w:ind w:firstLineChars="0"/>
        <w:rPr>
          <w:rFonts w:hint="eastAsia" w:ascii="宋体" w:hAnsi="宋体" w:eastAsia="宋体"/>
          <w:color w:val="auto"/>
          <w:sz w:val="21"/>
          <w:highlight w:val="none"/>
        </w:rPr>
      </w:pPr>
      <w:r>
        <w:rPr>
          <w:rFonts w:hint="eastAsia" w:ascii="宋体" w:hAnsi="宋体" w:eastAsia="宋体"/>
          <w:color w:val="auto"/>
          <w:sz w:val="21"/>
          <w:highlight w:val="none"/>
        </w:rPr>
        <w:t>供应商的报价均超过了采购预算，采购人不能支付的；</w:t>
      </w:r>
    </w:p>
    <w:p w14:paraId="61CFA739">
      <w:pPr>
        <w:pStyle w:val="39"/>
        <w:numPr>
          <w:ilvl w:val="0"/>
          <w:numId w:val="42"/>
        </w:numPr>
        <w:snapToGrid w:val="0"/>
        <w:spacing w:line="360" w:lineRule="auto"/>
        <w:ind w:firstLineChars="0"/>
        <w:rPr>
          <w:rFonts w:hint="eastAsia" w:ascii="宋体" w:hAnsi="宋体" w:eastAsia="宋体"/>
          <w:color w:val="auto"/>
          <w:sz w:val="21"/>
          <w:highlight w:val="none"/>
        </w:rPr>
      </w:pPr>
      <w:r>
        <w:rPr>
          <w:rFonts w:hint="eastAsia" w:ascii="宋体" w:hAnsi="宋体" w:eastAsia="宋体"/>
          <w:color w:val="auto"/>
          <w:sz w:val="21"/>
          <w:highlight w:val="none"/>
        </w:rPr>
        <w:t>因重大变故，采购任务取消的。</w:t>
      </w:r>
    </w:p>
    <w:p w14:paraId="5C4CF5AB">
      <w:pPr>
        <w:pStyle w:val="39"/>
        <w:snapToGrid w:val="0"/>
        <w:spacing w:line="360" w:lineRule="auto"/>
        <w:ind w:firstLine="420"/>
        <w:rPr>
          <w:rFonts w:hint="eastAsia" w:ascii="宋体" w:hAnsi="宋体" w:eastAsia="宋体"/>
          <w:color w:val="auto"/>
          <w:sz w:val="21"/>
          <w:highlight w:val="none"/>
        </w:rPr>
      </w:pPr>
      <w:r>
        <w:rPr>
          <w:rFonts w:hint="eastAsia" w:ascii="宋体" w:hAnsi="宋体" w:eastAsia="宋体"/>
          <w:color w:val="auto"/>
          <w:sz w:val="21"/>
          <w:highlight w:val="none"/>
        </w:rPr>
        <w:t>废标后，采购代理机构应当将废标理由通知所有供应商。</w:t>
      </w:r>
    </w:p>
    <w:p w14:paraId="1386CCD6">
      <w:pPr>
        <w:pStyle w:val="39"/>
        <w:numPr>
          <w:ilvl w:val="0"/>
          <w:numId w:val="41"/>
        </w:numPr>
        <w:snapToGrid w:val="0"/>
        <w:spacing w:line="360" w:lineRule="auto"/>
        <w:ind w:firstLine="413" w:firstLineChars="196"/>
        <w:rPr>
          <w:rFonts w:hint="eastAsia" w:ascii="宋体" w:hAnsi="宋体" w:eastAsia="宋体"/>
          <w:b/>
          <w:color w:val="auto"/>
          <w:sz w:val="21"/>
          <w:highlight w:val="none"/>
        </w:rPr>
      </w:pPr>
      <w:r>
        <w:rPr>
          <w:rFonts w:hint="eastAsia" w:ascii="宋体" w:hAnsi="宋体" w:eastAsia="宋体"/>
          <w:b/>
          <w:color w:val="auto"/>
          <w:sz w:val="21"/>
          <w:highlight w:val="none"/>
        </w:rPr>
        <w:t>修改采购文件，重新组织采购活动。</w:t>
      </w:r>
      <w:r>
        <w:rPr>
          <w:rFonts w:hint="eastAsia" w:ascii="宋体" w:hAnsi="宋体" w:eastAsia="宋体"/>
          <w:bCs/>
          <w:color w:val="auto"/>
          <w:sz w:val="21"/>
          <w:highlight w:val="none"/>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14:paraId="5CC4CA7F">
      <w:pPr>
        <w:pStyle w:val="39"/>
        <w:numPr>
          <w:ilvl w:val="0"/>
          <w:numId w:val="41"/>
        </w:numPr>
        <w:snapToGrid w:val="0"/>
        <w:spacing w:line="360" w:lineRule="auto"/>
        <w:ind w:firstLine="413" w:firstLineChars="196"/>
        <w:rPr>
          <w:rFonts w:hint="eastAsia" w:ascii="宋体" w:hAnsi="宋体" w:eastAsia="宋体"/>
          <w:b/>
          <w:color w:val="auto"/>
          <w:sz w:val="21"/>
          <w:highlight w:val="none"/>
        </w:rPr>
      </w:pPr>
      <w:r>
        <w:rPr>
          <w:rFonts w:hint="eastAsia" w:ascii="宋体" w:hAnsi="宋体" w:eastAsia="宋体"/>
          <w:b/>
          <w:color w:val="auto"/>
          <w:sz w:val="21"/>
          <w:highlight w:val="none"/>
        </w:rPr>
        <w:t>重新开展采购。</w:t>
      </w:r>
      <w:r>
        <w:rPr>
          <w:rFonts w:hint="eastAsia" w:ascii="宋体" w:hAnsi="宋体" w:eastAsia="宋体"/>
          <w:bCs/>
          <w:color w:val="auto"/>
          <w:sz w:val="21"/>
          <w:highlight w:val="none"/>
        </w:rPr>
        <w:t>有政府采购法第七十一条、第七十二条规定的违法行为之一，影响或者可能影响中标结果的，依照下列规定处理：</w:t>
      </w:r>
    </w:p>
    <w:p w14:paraId="39604E54">
      <w:pPr>
        <w:pStyle w:val="39"/>
        <w:numPr>
          <w:ilvl w:val="0"/>
          <w:numId w:val="43"/>
        </w:numPr>
        <w:snapToGrid w:val="0"/>
        <w:spacing w:line="360" w:lineRule="auto"/>
        <w:ind w:firstLineChars="0"/>
        <w:rPr>
          <w:rFonts w:hint="eastAsia" w:ascii="宋体" w:hAnsi="宋体" w:eastAsia="宋体"/>
          <w:color w:val="auto"/>
          <w:sz w:val="21"/>
          <w:highlight w:val="none"/>
        </w:rPr>
      </w:pPr>
      <w:r>
        <w:rPr>
          <w:rFonts w:hint="eastAsia" w:ascii="宋体" w:hAnsi="宋体" w:eastAsia="宋体"/>
          <w:color w:val="auto"/>
          <w:sz w:val="21"/>
          <w:highlight w:val="none"/>
        </w:rPr>
        <w:t>未确定</w:t>
      </w:r>
      <w:r>
        <w:rPr>
          <w:rFonts w:hint="eastAsia" w:ascii="宋体" w:hAnsi="宋体" w:eastAsia="宋体"/>
          <w:color w:val="auto"/>
          <w:sz w:val="21"/>
          <w:highlight w:val="none"/>
          <w:lang w:eastAsia="zh-CN"/>
        </w:rPr>
        <w:t>中标供应商</w:t>
      </w:r>
      <w:r>
        <w:rPr>
          <w:rFonts w:hint="eastAsia" w:ascii="宋体" w:hAnsi="宋体" w:eastAsia="宋体"/>
          <w:color w:val="auto"/>
          <w:sz w:val="21"/>
          <w:highlight w:val="none"/>
        </w:rPr>
        <w:t>的，终止本次政府采购活动，重新开展政府采购活动。</w:t>
      </w:r>
    </w:p>
    <w:p w14:paraId="68E56F69">
      <w:pPr>
        <w:pStyle w:val="39"/>
        <w:numPr>
          <w:ilvl w:val="0"/>
          <w:numId w:val="43"/>
        </w:numPr>
        <w:snapToGrid w:val="0"/>
        <w:spacing w:line="360" w:lineRule="auto"/>
        <w:ind w:firstLineChars="0"/>
        <w:rPr>
          <w:rFonts w:hint="eastAsia" w:ascii="宋体" w:hAnsi="宋体" w:eastAsia="宋体"/>
          <w:color w:val="auto"/>
          <w:sz w:val="21"/>
          <w:highlight w:val="none"/>
        </w:rPr>
      </w:pPr>
      <w:r>
        <w:rPr>
          <w:rFonts w:hint="eastAsia" w:ascii="宋体" w:hAnsi="宋体" w:eastAsia="宋体"/>
          <w:color w:val="auto"/>
          <w:sz w:val="21"/>
          <w:highlight w:val="none"/>
        </w:rPr>
        <w:t>已确定</w:t>
      </w:r>
      <w:r>
        <w:rPr>
          <w:rFonts w:hint="eastAsia" w:ascii="宋体" w:hAnsi="宋体" w:eastAsia="宋体"/>
          <w:color w:val="auto"/>
          <w:sz w:val="21"/>
          <w:highlight w:val="none"/>
          <w:lang w:eastAsia="zh-CN"/>
        </w:rPr>
        <w:t>中标供应商</w:t>
      </w:r>
      <w:r>
        <w:rPr>
          <w:rFonts w:hint="eastAsia" w:ascii="宋体" w:hAnsi="宋体" w:eastAsia="宋体"/>
          <w:color w:val="auto"/>
          <w:sz w:val="21"/>
          <w:highlight w:val="none"/>
        </w:rPr>
        <w:t>但尚未签订政府采购合同的，中标结果无效，从合格的中标候选人中另行确定</w:t>
      </w:r>
      <w:r>
        <w:rPr>
          <w:rFonts w:hint="eastAsia" w:ascii="宋体" w:hAnsi="宋体" w:eastAsia="宋体"/>
          <w:color w:val="auto"/>
          <w:sz w:val="21"/>
          <w:highlight w:val="none"/>
          <w:lang w:eastAsia="zh-CN"/>
        </w:rPr>
        <w:t>中标供应商</w:t>
      </w:r>
      <w:r>
        <w:rPr>
          <w:rFonts w:hint="eastAsia" w:ascii="宋体" w:hAnsi="宋体" w:eastAsia="宋体"/>
          <w:color w:val="auto"/>
          <w:sz w:val="21"/>
          <w:highlight w:val="none"/>
        </w:rPr>
        <w:t>；没有合格的中标候选人的，重新开展政府采购活动。</w:t>
      </w:r>
    </w:p>
    <w:p w14:paraId="37940BC4">
      <w:pPr>
        <w:pStyle w:val="39"/>
        <w:numPr>
          <w:ilvl w:val="0"/>
          <w:numId w:val="43"/>
        </w:numPr>
        <w:snapToGrid w:val="0"/>
        <w:spacing w:line="360" w:lineRule="auto"/>
        <w:ind w:firstLineChars="0"/>
        <w:rPr>
          <w:rFonts w:hint="eastAsia" w:ascii="宋体" w:hAnsi="宋体" w:eastAsia="宋体"/>
          <w:color w:val="auto"/>
          <w:sz w:val="21"/>
          <w:highlight w:val="none"/>
        </w:rPr>
      </w:pPr>
      <w:r>
        <w:rPr>
          <w:rFonts w:hint="eastAsia" w:ascii="宋体" w:hAnsi="宋体" w:eastAsia="宋体"/>
          <w:color w:val="auto"/>
          <w:sz w:val="21"/>
          <w:highlight w:val="none"/>
        </w:rPr>
        <w:t>政府采购合同已签订但尚未履行的，撤销合同，从合格的中标候选人中另行确定</w:t>
      </w:r>
      <w:r>
        <w:rPr>
          <w:rFonts w:hint="eastAsia" w:ascii="宋体" w:hAnsi="宋体" w:eastAsia="宋体"/>
          <w:color w:val="auto"/>
          <w:sz w:val="21"/>
          <w:highlight w:val="none"/>
          <w:lang w:eastAsia="zh-CN"/>
        </w:rPr>
        <w:t>中标供应商</w:t>
      </w:r>
      <w:r>
        <w:rPr>
          <w:rFonts w:hint="eastAsia" w:ascii="宋体" w:hAnsi="宋体" w:eastAsia="宋体"/>
          <w:color w:val="auto"/>
          <w:sz w:val="21"/>
          <w:highlight w:val="none"/>
        </w:rPr>
        <w:t>；没有合格的中标候选人的，重新开展政府采购活动。</w:t>
      </w:r>
    </w:p>
    <w:p w14:paraId="554932BC">
      <w:pPr>
        <w:pStyle w:val="39"/>
        <w:numPr>
          <w:ilvl w:val="0"/>
          <w:numId w:val="43"/>
        </w:numPr>
        <w:snapToGrid w:val="0"/>
        <w:spacing w:line="360" w:lineRule="auto"/>
        <w:ind w:firstLineChars="0"/>
        <w:rPr>
          <w:rFonts w:hint="eastAsia" w:ascii="宋体" w:hAnsi="宋体" w:eastAsia="宋体"/>
          <w:color w:val="auto"/>
          <w:sz w:val="21"/>
          <w:highlight w:val="none"/>
        </w:rPr>
      </w:pPr>
      <w:r>
        <w:rPr>
          <w:rFonts w:hint="eastAsia" w:ascii="宋体" w:hAnsi="宋体" w:eastAsia="宋体"/>
          <w:color w:val="auto"/>
          <w:sz w:val="21"/>
          <w:highlight w:val="none"/>
        </w:rPr>
        <w:t>政府采购合同已经履行，给采购人、供应商造成损失的，由责任人承担赔偿责任。</w:t>
      </w:r>
    </w:p>
    <w:p w14:paraId="362792CD">
      <w:pPr>
        <w:pStyle w:val="39"/>
        <w:numPr>
          <w:ilvl w:val="0"/>
          <w:numId w:val="43"/>
        </w:numPr>
        <w:snapToGrid w:val="0"/>
        <w:spacing w:line="360" w:lineRule="auto"/>
        <w:ind w:firstLineChars="0"/>
        <w:rPr>
          <w:rFonts w:hint="eastAsia" w:ascii="宋体" w:hAnsi="宋体" w:eastAsia="宋体"/>
          <w:color w:val="auto"/>
          <w:sz w:val="21"/>
          <w:highlight w:val="none"/>
        </w:rPr>
      </w:pPr>
      <w:r>
        <w:rPr>
          <w:rFonts w:hint="eastAsia" w:ascii="宋体" w:hAnsi="宋体" w:eastAsia="宋体"/>
          <w:color w:val="auto"/>
          <w:sz w:val="21"/>
          <w:highlight w:val="none"/>
        </w:rPr>
        <w:t>政府采购当事人有其他违反政府采购法或者政府采购法实施条例等法律法规规定的行为，经改正后仍然影响或者可能影响中标结果或者依法被认定为中标无效的，依照7.1-7.4规定处理。</w:t>
      </w:r>
    </w:p>
    <w:p w14:paraId="67B28309">
      <w:pPr>
        <w:pStyle w:val="39"/>
        <w:snapToGrid w:val="0"/>
        <w:spacing w:line="360" w:lineRule="auto"/>
        <w:ind w:firstLine="0" w:firstLineChars="0"/>
        <w:rPr>
          <w:rFonts w:hint="eastAsia" w:ascii="宋体" w:hAnsi="宋体" w:eastAsia="宋体"/>
          <w:color w:val="auto"/>
          <w:highlight w:val="none"/>
        </w:rPr>
      </w:pPr>
    </w:p>
    <w:bookmarkEnd w:id="66"/>
    <w:p w14:paraId="12D7AFB7">
      <w:pPr>
        <w:spacing w:line="360" w:lineRule="auto"/>
        <w:jc w:val="center"/>
        <w:outlineLvl w:val="0"/>
        <w:rPr>
          <w:rFonts w:hint="eastAsia" w:ascii="宋体" w:hAnsi="宋体" w:eastAsia="宋体"/>
          <w:b/>
          <w:color w:val="auto"/>
          <w:sz w:val="36"/>
          <w:szCs w:val="36"/>
          <w:highlight w:val="none"/>
        </w:rPr>
      </w:pPr>
      <w:bookmarkStart w:id="484" w:name="_Toc23871"/>
      <w:bookmarkEnd w:id="484"/>
      <w:bookmarkStart w:id="485" w:name="第五部分"/>
      <w:bookmarkStart w:id="486" w:name="_Toc86217003"/>
      <w:r>
        <w:rPr>
          <w:rFonts w:hint="eastAsia" w:ascii="宋体" w:hAnsi="宋体" w:eastAsia="宋体"/>
          <w:b/>
          <w:color w:val="auto"/>
          <w:sz w:val="36"/>
          <w:szCs w:val="36"/>
          <w:highlight w:val="none"/>
        </w:rPr>
        <w:br w:type="page"/>
      </w:r>
      <w:bookmarkStart w:id="487" w:name="_Toc1458"/>
      <w:r>
        <w:rPr>
          <w:rFonts w:hint="eastAsia" w:ascii="宋体" w:hAnsi="宋体" w:eastAsia="宋体"/>
          <w:b/>
          <w:color w:val="auto"/>
          <w:sz w:val="36"/>
          <w:szCs w:val="36"/>
          <w:highlight w:val="none"/>
        </w:rPr>
        <w:t>第五部分 拟签订的合同文本</w:t>
      </w:r>
      <w:bookmarkEnd w:id="487"/>
    </w:p>
    <w:p w14:paraId="22816A55">
      <w:pPr>
        <w:rPr>
          <w:rFonts w:hint="eastAsia" w:ascii="宋体" w:hAnsi="宋体" w:eastAsia="宋体"/>
          <w:color w:val="auto"/>
          <w:sz w:val="24"/>
          <w:highlight w:val="none"/>
        </w:rPr>
      </w:pPr>
    </w:p>
    <w:p w14:paraId="022162BF">
      <w:pPr>
        <w:pStyle w:val="43"/>
        <w:keepNext w:val="0"/>
        <w:keepLines w:val="0"/>
        <w:pageBreakBefore w:val="0"/>
        <w:widowControl w:val="0"/>
        <w:kinsoku/>
        <w:wordWrap/>
        <w:overflowPunct/>
        <w:topLinePunct w:val="0"/>
        <w:autoSpaceDE/>
        <w:autoSpaceDN/>
        <w:bidi w:val="0"/>
        <w:snapToGrid/>
        <w:spacing w:line="52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项目名称：</w:t>
      </w:r>
    </w:p>
    <w:p w14:paraId="291B323A">
      <w:pPr>
        <w:pStyle w:val="43"/>
        <w:keepNext w:val="0"/>
        <w:keepLines w:val="0"/>
        <w:pageBreakBefore w:val="0"/>
        <w:widowControl w:val="0"/>
        <w:kinsoku/>
        <w:wordWrap/>
        <w:overflowPunct/>
        <w:topLinePunct w:val="0"/>
        <w:autoSpaceDE/>
        <w:autoSpaceDN/>
        <w:bidi w:val="0"/>
        <w:snapToGrid/>
        <w:spacing w:line="52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项目编号：</w:t>
      </w:r>
    </w:p>
    <w:p w14:paraId="06006EB3">
      <w:pPr>
        <w:pStyle w:val="43"/>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甲方：（买方）</w:t>
      </w:r>
    </w:p>
    <w:p w14:paraId="70D6456F">
      <w:pPr>
        <w:pStyle w:val="43"/>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乙方：（卖方）</w:t>
      </w:r>
    </w:p>
    <w:p w14:paraId="31A5919A">
      <w:pPr>
        <w:pStyle w:val="43"/>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甲、乙双方根据</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招标的结果，签署本合同。</w:t>
      </w:r>
    </w:p>
    <w:p w14:paraId="09975A4C">
      <w:pPr>
        <w:pStyle w:val="43"/>
        <w:keepNext w:val="0"/>
        <w:keepLines w:val="0"/>
        <w:pageBreakBefore w:val="0"/>
        <w:widowControl w:val="0"/>
        <w:kinsoku/>
        <w:wordWrap/>
        <w:overflowPunct/>
        <w:topLinePunct w:val="0"/>
        <w:autoSpaceDE/>
        <w:autoSpaceDN/>
        <w:bidi w:val="0"/>
        <w:snapToGrid/>
        <w:spacing w:line="520" w:lineRule="exact"/>
        <w:ind w:firstLine="422" w:firstLineChars="200"/>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一、货物内容</w:t>
      </w:r>
    </w:p>
    <w:p w14:paraId="58FC823D">
      <w:pPr>
        <w:pStyle w:val="43"/>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1.1 货物名称：</w:t>
      </w:r>
    </w:p>
    <w:p w14:paraId="0C166464">
      <w:pPr>
        <w:pStyle w:val="43"/>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 xml:space="preserve"> </w:t>
      </w:r>
      <w:r>
        <w:rPr>
          <w:rFonts w:hint="eastAsia" w:ascii="宋体" w:hAnsi="宋体" w:eastAsia="宋体"/>
          <w:color w:val="auto"/>
          <w:sz w:val="21"/>
          <w:szCs w:val="21"/>
          <w:highlight w:val="none"/>
          <w:lang w:val="en-US" w:eastAsia="zh-CN"/>
        </w:rPr>
        <w:t>次氯酸钠主要指标</w:t>
      </w:r>
      <w:r>
        <w:rPr>
          <w:rFonts w:hint="eastAsia" w:ascii="宋体" w:hAnsi="宋体" w:eastAsia="宋体"/>
          <w:color w:val="auto"/>
          <w:sz w:val="21"/>
          <w:szCs w:val="21"/>
          <w:highlight w:val="none"/>
        </w:rPr>
        <w:t>：</w:t>
      </w:r>
    </w:p>
    <w:tbl>
      <w:tblPr>
        <w:tblStyle w:val="5"/>
        <w:tblW w:w="4466" w:type="pct"/>
        <w:jc w:val="center"/>
        <w:shd w:val="clear" w:color="auto" w:fill="FFFFFF" w:themeFill="background1"/>
        <w:tblLayout w:type="autofit"/>
        <w:tblCellMar>
          <w:top w:w="0" w:type="dxa"/>
          <w:left w:w="108" w:type="dxa"/>
          <w:bottom w:w="0" w:type="dxa"/>
          <w:right w:w="108" w:type="dxa"/>
        </w:tblCellMar>
      </w:tblPr>
      <w:tblGrid>
        <w:gridCol w:w="1055"/>
        <w:gridCol w:w="3927"/>
        <w:gridCol w:w="3820"/>
      </w:tblGrid>
      <w:tr w14:paraId="24A89D7C">
        <w:tblPrEx>
          <w:tblCellMar>
            <w:top w:w="0" w:type="dxa"/>
            <w:left w:w="108" w:type="dxa"/>
            <w:bottom w:w="0" w:type="dxa"/>
            <w:right w:w="108" w:type="dxa"/>
          </w:tblCellMar>
        </w:tblPrEx>
        <w:trPr>
          <w:trHeight w:val="510" w:hRule="atLeast"/>
          <w:jc w:val="center"/>
        </w:trPr>
        <w:tc>
          <w:tcPr>
            <w:tcW w:w="599" w:type="dxa"/>
            <w:vMerge w:val="restart"/>
            <w:tcBorders>
              <w:top w:val="single" w:color="000000" w:sz="4" w:space="0"/>
              <w:left w:val="single" w:color="000000" w:sz="4" w:space="0"/>
              <w:right w:val="single" w:color="000000" w:sz="4" w:space="0"/>
            </w:tcBorders>
            <w:shd w:val="clear" w:color="auto" w:fill="FFFFFF" w:themeFill="background1"/>
            <w:vAlign w:val="center"/>
          </w:tcPr>
          <w:p w14:paraId="6A7E5604">
            <w:pPr>
              <w:widowControl/>
              <w:spacing w:line="360" w:lineRule="auto"/>
              <w:contextualSpacing/>
              <w:jc w:val="center"/>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序号</w:t>
            </w:r>
          </w:p>
        </w:tc>
        <w:tc>
          <w:tcPr>
            <w:tcW w:w="2230" w:type="dxa"/>
            <w:vMerge w:val="restart"/>
            <w:tcBorders>
              <w:top w:val="single" w:color="000000" w:sz="4" w:space="0"/>
              <w:left w:val="single" w:color="000000" w:sz="4" w:space="0"/>
              <w:right w:val="single" w:color="000000" w:sz="4" w:space="0"/>
            </w:tcBorders>
            <w:shd w:val="clear" w:color="auto" w:fill="FFFFFF" w:themeFill="background1"/>
            <w:vAlign w:val="center"/>
          </w:tcPr>
          <w:p w14:paraId="71F32056">
            <w:pPr>
              <w:widowControl/>
              <w:spacing w:line="360" w:lineRule="auto"/>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项目</w:t>
            </w:r>
          </w:p>
        </w:tc>
        <w:tc>
          <w:tcPr>
            <w:tcW w:w="2169" w:type="dxa"/>
            <w:tcBorders>
              <w:top w:val="single" w:color="000000" w:sz="4" w:space="0"/>
              <w:left w:val="nil"/>
              <w:bottom w:val="single" w:color="000000" w:sz="4" w:space="0"/>
              <w:right w:val="single" w:color="000000" w:sz="4" w:space="0"/>
            </w:tcBorders>
            <w:shd w:val="clear" w:color="auto" w:fill="FFFFFF" w:themeFill="background1"/>
            <w:vAlign w:val="center"/>
          </w:tcPr>
          <w:p w14:paraId="5CAE4016">
            <w:pPr>
              <w:widowControl/>
              <w:spacing w:line="360" w:lineRule="auto"/>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A</w:t>
            </w:r>
            <w:r>
              <w:rPr>
                <w:rFonts w:hint="eastAsia" w:ascii="宋体" w:hAnsi="宋体" w:eastAsia="宋体"/>
                <w:color w:val="auto"/>
                <w:kern w:val="0"/>
                <w:sz w:val="28"/>
                <w:szCs w:val="28"/>
                <w:highlight w:val="none"/>
                <w:vertAlign w:val="superscript"/>
              </w:rPr>
              <w:t>b</w:t>
            </w:r>
          </w:p>
        </w:tc>
      </w:tr>
      <w:tr w14:paraId="629FA1B9">
        <w:tblPrEx>
          <w:shd w:val="clear" w:color="auto" w:fill="FFFFFF" w:themeFill="background1"/>
          <w:tblCellMar>
            <w:top w:w="0" w:type="dxa"/>
            <w:left w:w="108" w:type="dxa"/>
            <w:bottom w:w="0" w:type="dxa"/>
            <w:right w:w="108" w:type="dxa"/>
          </w:tblCellMar>
        </w:tblPrEx>
        <w:trPr>
          <w:trHeight w:val="496" w:hRule="atLeast"/>
          <w:jc w:val="center"/>
        </w:trPr>
        <w:tc>
          <w:tcPr>
            <w:tcW w:w="599" w:type="dxa"/>
            <w:vMerge w:val="continue"/>
            <w:tcBorders>
              <w:left w:val="single" w:color="000000" w:sz="4" w:space="0"/>
              <w:right w:val="single" w:color="000000" w:sz="4" w:space="0"/>
            </w:tcBorders>
            <w:shd w:val="clear" w:color="auto" w:fill="FFFFFF" w:themeFill="background1"/>
            <w:vAlign w:val="center"/>
          </w:tcPr>
          <w:p w14:paraId="13F10C8B">
            <w:pPr>
              <w:widowControl/>
              <w:spacing w:line="360" w:lineRule="auto"/>
              <w:contextualSpacing/>
              <w:jc w:val="center"/>
              <w:rPr>
                <w:rFonts w:hint="eastAsia" w:ascii="宋体" w:hAnsi="宋体" w:eastAsia="宋体"/>
                <w:color w:val="auto"/>
                <w:kern w:val="0"/>
                <w:szCs w:val="21"/>
                <w:highlight w:val="none"/>
              </w:rPr>
            </w:pPr>
          </w:p>
        </w:tc>
        <w:tc>
          <w:tcPr>
            <w:tcW w:w="2230" w:type="dxa"/>
            <w:vMerge w:val="continue"/>
            <w:tcBorders>
              <w:top w:val="single" w:color="000000" w:sz="4" w:space="0"/>
              <w:left w:val="single" w:color="000000" w:sz="4" w:space="0"/>
              <w:right w:val="single" w:color="000000" w:sz="4" w:space="0"/>
            </w:tcBorders>
            <w:shd w:val="clear" w:color="auto" w:fill="FFFFFF" w:themeFill="background1"/>
            <w:vAlign w:val="center"/>
          </w:tcPr>
          <w:p w14:paraId="4AD2D300">
            <w:pPr>
              <w:widowControl/>
              <w:spacing w:line="360" w:lineRule="auto"/>
              <w:contextualSpacing/>
              <w:jc w:val="center"/>
              <w:rPr>
                <w:rFonts w:hint="eastAsia" w:ascii="宋体" w:hAnsi="宋体" w:eastAsia="宋体"/>
                <w:color w:val="auto"/>
                <w:kern w:val="0"/>
                <w:szCs w:val="21"/>
                <w:highlight w:val="none"/>
              </w:rPr>
            </w:pPr>
          </w:p>
        </w:tc>
        <w:tc>
          <w:tcPr>
            <w:tcW w:w="2169" w:type="dxa"/>
            <w:tcBorders>
              <w:top w:val="single" w:color="000000" w:sz="4" w:space="0"/>
              <w:left w:val="nil"/>
              <w:bottom w:val="single" w:color="000000" w:sz="4" w:space="0"/>
              <w:right w:val="single" w:color="000000" w:sz="4" w:space="0"/>
            </w:tcBorders>
            <w:shd w:val="clear" w:color="auto" w:fill="FFFFFF" w:themeFill="background1"/>
            <w:vAlign w:val="center"/>
          </w:tcPr>
          <w:p w14:paraId="62A7307F">
            <w:pPr>
              <w:widowControl/>
              <w:spacing w:line="360" w:lineRule="auto"/>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Ⅱ</w:t>
            </w:r>
          </w:p>
        </w:tc>
      </w:tr>
      <w:tr w14:paraId="4C394B81">
        <w:tblPrEx>
          <w:shd w:val="clear" w:color="auto" w:fill="FFFFFF" w:themeFill="background1"/>
          <w:tblCellMar>
            <w:top w:w="0" w:type="dxa"/>
            <w:left w:w="108" w:type="dxa"/>
            <w:bottom w:w="0" w:type="dxa"/>
            <w:right w:w="108" w:type="dxa"/>
          </w:tblCellMar>
        </w:tblPrEx>
        <w:trPr>
          <w:trHeight w:val="540" w:hRule="atLeast"/>
          <w:jc w:val="center"/>
        </w:trPr>
        <w:tc>
          <w:tcPr>
            <w:tcW w:w="599"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200D760F">
            <w:pPr>
              <w:widowControl/>
              <w:spacing w:line="360" w:lineRule="auto"/>
              <w:contextualSpacing/>
              <w:jc w:val="center"/>
              <w:rPr>
                <w:rFonts w:hint="eastAsia" w:ascii="宋体" w:hAnsi="宋体" w:eastAsia="宋体"/>
                <w:color w:val="auto"/>
                <w:kern w:val="0"/>
                <w:szCs w:val="21"/>
                <w:highlight w:val="none"/>
              </w:rPr>
            </w:pPr>
          </w:p>
        </w:tc>
        <w:tc>
          <w:tcPr>
            <w:tcW w:w="2230"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7540DDF7">
            <w:pPr>
              <w:widowControl/>
              <w:spacing w:line="360" w:lineRule="auto"/>
              <w:contextualSpacing/>
              <w:jc w:val="center"/>
              <w:rPr>
                <w:rFonts w:hint="eastAsia" w:ascii="宋体" w:hAnsi="宋体" w:eastAsia="宋体"/>
                <w:color w:val="auto"/>
                <w:kern w:val="0"/>
                <w:szCs w:val="21"/>
                <w:highlight w:val="none"/>
              </w:rPr>
            </w:pPr>
          </w:p>
        </w:tc>
        <w:tc>
          <w:tcPr>
            <w:tcW w:w="2169" w:type="dxa"/>
            <w:tcBorders>
              <w:top w:val="single" w:color="000000" w:sz="4" w:space="0"/>
              <w:left w:val="nil"/>
              <w:bottom w:val="single" w:color="000000" w:sz="4" w:space="0"/>
              <w:right w:val="single" w:color="000000" w:sz="4" w:space="0"/>
            </w:tcBorders>
            <w:shd w:val="clear" w:color="auto" w:fill="FFFFFF" w:themeFill="background1"/>
            <w:vAlign w:val="center"/>
          </w:tcPr>
          <w:p w14:paraId="41002DE0">
            <w:pPr>
              <w:widowControl/>
              <w:spacing w:line="360" w:lineRule="auto"/>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指     标</w:t>
            </w:r>
          </w:p>
        </w:tc>
      </w:tr>
      <w:tr w14:paraId="14E98956">
        <w:tblPrEx>
          <w:shd w:val="clear" w:color="auto" w:fill="FFFFFF" w:themeFill="background1"/>
          <w:tblCellMar>
            <w:top w:w="0" w:type="dxa"/>
            <w:left w:w="108" w:type="dxa"/>
            <w:bottom w:w="0" w:type="dxa"/>
            <w:right w:w="108" w:type="dxa"/>
          </w:tblCellMar>
        </w:tblPrEx>
        <w:trPr>
          <w:trHeight w:val="51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A9E716">
            <w:pPr>
              <w:widowControl/>
              <w:spacing w:line="360" w:lineRule="auto"/>
              <w:contextualSpacing/>
              <w:jc w:val="center"/>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CF6969">
            <w:pPr>
              <w:widowControl/>
              <w:spacing w:line="360" w:lineRule="auto"/>
              <w:contextualSpacing/>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有效氯（以C1计）</w:t>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 w:val="18"/>
                <w:szCs w:val="18"/>
                <w:highlight w:val="none"/>
              </w:rPr>
              <w:t>ω</w:t>
            </w:r>
            <w:r>
              <w:rPr>
                <w:rFonts w:hint="eastAsia" w:ascii="宋体" w:hAnsi="宋体" w:eastAsia="宋体"/>
                <w:color w:val="auto"/>
                <w:kern w:val="0"/>
                <w:szCs w:val="21"/>
                <w:highlight w:val="none"/>
              </w:rPr>
              <w:t xml:space="preserve">/％ </w:t>
            </w:r>
          </w:p>
        </w:tc>
        <w:tc>
          <w:tcPr>
            <w:tcW w:w="2169" w:type="dxa"/>
            <w:tcBorders>
              <w:top w:val="single" w:color="000000" w:sz="4" w:space="0"/>
              <w:left w:val="nil"/>
              <w:bottom w:val="single" w:color="000000" w:sz="4" w:space="0"/>
              <w:right w:val="single" w:color="000000" w:sz="4" w:space="0"/>
            </w:tcBorders>
            <w:shd w:val="clear" w:color="auto" w:fill="FFFFFF" w:themeFill="background1"/>
            <w:vAlign w:val="center"/>
          </w:tcPr>
          <w:p w14:paraId="6F0F3607">
            <w:pPr>
              <w:widowControl/>
              <w:spacing w:line="360" w:lineRule="auto"/>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w:t>
            </w:r>
          </w:p>
        </w:tc>
      </w:tr>
      <w:tr w14:paraId="5F612A77">
        <w:tblPrEx>
          <w:tblCellMar>
            <w:top w:w="0" w:type="dxa"/>
            <w:left w:w="108" w:type="dxa"/>
            <w:bottom w:w="0" w:type="dxa"/>
            <w:right w:w="108" w:type="dxa"/>
          </w:tblCellMar>
        </w:tblPrEx>
        <w:trPr>
          <w:trHeight w:val="51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11966A">
            <w:pPr>
              <w:widowControl/>
              <w:spacing w:line="360" w:lineRule="auto"/>
              <w:contextualSpacing/>
              <w:jc w:val="center"/>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B72973">
            <w:pPr>
              <w:widowControl/>
              <w:spacing w:line="360" w:lineRule="auto"/>
              <w:contextualSpacing/>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游离碱（以NaOH计）</w:t>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 w:val="18"/>
                <w:szCs w:val="18"/>
                <w:highlight w:val="none"/>
              </w:rPr>
              <w:t>ω</w:t>
            </w:r>
            <w:r>
              <w:rPr>
                <w:rFonts w:hint="eastAsia" w:ascii="宋体" w:hAnsi="宋体" w:eastAsia="宋体"/>
                <w:color w:val="auto"/>
                <w:kern w:val="0"/>
                <w:szCs w:val="21"/>
                <w:highlight w:val="none"/>
              </w:rPr>
              <w:t xml:space="preserve">/％ </w:t>
            </w:r>
          </w:p>
        </w:tc>
        <w:tc>
          <w:tcPr>
            <w:tcW w:w="2169" w:type="dxa"/>
            <w:tcBorders>
              <w:top w:val="single" w:color="000000" w:sz="4" w:space="0"/>
              <w:left w:val="nil"/>
              <w:bottom w:val="single" w:color="000000" w:sz="4" w:space="0"/>
              <w:right w:val="single" w:color="000000" w:sz="4" w:space="0"/>
            </w:tcBorders>
            <w:shd w:val="clear" w:color="auto" w:fill="FFFFFF" w:themeFill="background1"/>
            <w:vAlign w:val="center"/>
          </w:tcPr>
          <w:p w14:paraId="034AF049">
            <w:pPr>
              <w:widowControl/>
              <w:spacing w:line="360" w:lineRule="auto"/>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0.1～1.0</w:t>
            </w:r>
          </w:p>
        </w:tc>
      </w:tr>
      <w:tr w14:paraId="72809BDB">
        <w:tblPrEx>
          <w:tblCellMar>
            <w:top w:w="0" w:type="dxa"/>
            <w:left w:w="108" w:type="dxa"/>
            <w:bottom w:w="0" w:type="dxa"/>
            <w:right w:w="108" w:type="dxa"/>
          </w:tblCellMar>
        </w:tblPrEx>
        <w:trPr>
          <w:trHeight w:val="51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1B194D">
            <w:pPr>
              <w:widowControl/>
              <w:spacing w:line="360" w:lineRule="auto"/>
              <w:contextualSpacing/>
              <w:jc w:val="center"/>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DCBEE5">
            <w:pPr>
              <w:widowControl/>
              <w:spacing w:line="360" w:lineRule="auto"/>
              <w:contextualSpacing/>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铁（Fe）</w:t>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 w:val="18"/>
                <w:szCs w:val="18"/>
                <w:highlight w:val="none"/>
              </w:rPr>
              <w:t>ω</w:t>
            </w:r>
            <w:r>
              <w:rPr>
                <w:rFonts w:hint="eastAsia" w:ascii="宋体" w:hAnsi="宋体" w:eastAsia="宋体"/>
                <w:color w:val="auto"/>
                <w:kern w:val="0"/>
                <w:szCs w:val="21"/>
                <w:highlight w:val="none"/>
              </w:rPr>
              <w:t xml:space="preserve">/％ </w:t>
            </w:r>
          </w:p>
        </w:tc>
        <w:tc>
          <w:tcPr>
            <w:tcW w:w="2169" w:type="dxa"/>
            <w:tcBorders>
              <w:top w:val="single" w:color="000000" w:sz="4" w:space="0"/>
              <w:left w:val="nil"/>
              <w:bottom w:val="single" w:color="000000" w:sz="4" w:space="0"/>
              <w:right w:val="single" w:color="000000" w:sz="4" w:space="0"/>
            </w:tcBorders>
            <w:shd w:val="clear" w:color="auto" w:fill="FFFFFF" w:themeFill="background1"/>
            <w:vAlign w:val="center"/>
          </w:tcPr>
          <w:p w14:paraId="54067C12">
            <w:pPr>
              <w:widowControl/>
              <w:spacing w:line="360" w:lineRule="auto"/>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w:t>
            </w:r>
          </w:p>
        </w:tc>
      </w:tr>
      <w:tr w14:paraId="25952B95">
        <w:tblPrEx>
          <w:shd w:val="clear" w:color="auto" w:fill="FFFFFF" w:themeFill="background1"/>
          <w:tblCellMar>
            <w:top w:w="0" w:type="dxa"/>
            <w:left w:w="108" w:type="dxa"/>
            <w:bottom w:w="0" w:type="dxa"/>
            <w:right w:w="108" w:type="dxa"/>
          </w:tblCellMar>
        </w:tblPrEx>
        <w:trPr>
          <w:trHeight w:val="51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2640A5">
            <w:pPr>
              <w:widowControl/>
              <w:spacing w:line="360" w:lineRule="auto"/>
              <w:contextualSpacing/>
              <w:jc w:val="center"/>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588620">
            <w:pPr>
              <w:widowControl/>
              <w:spacing w:line="360" w:lineRule="auto"/>
              <w:contextualSpacing/>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重金属（以Pb计）</w:t>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 w:val="18"/>
                <w:szCs w:val="18"/>
                <w:highlight w:val="none"/>
              </w:rPr>
              <w:t>ω</w:t>
            </w:r>
            <w:r>
              <w:rPr>
                <w:rFonts w:hint="eastAsia" w:ascii="宋体" w:hAnsi="宋体" w:eastAsia="宋体"/>
                <w:color w:val="auto"/>
                <w:kern w:val="0"/>
                <w:szCs w:val="21"/>
                <w:highlight w:val="none"/>
              </w:rPr>
              <w:t xml:space="preserve">/％ </w:t>
            </w:r>
          </w:p>
        </w:tc>
        <w:tc>
          <w:tcPr>
            <w:tcW w:w="2169" w:type="dxa"/>
            <w:tcBorders>
              <w:top w:val="single" w:color="000000" w:sz="4" w:space="0"/>
              <w:left w:val="nil"/>
              <w:bottom w:val="single" w:color="000000" w:sz="4" w:space="0"/>
              <w:right w:val="single" w:color="000000" w:sz="4" w:space="0"/>
            </w:tcBorders>
            <w:shd w:val="clear" w:color="auto" w:fill="FFFFFF" w:themeFill="background1"/>
            <w:vAlign w:val="center"/>
          </w:tcPr>
          <w:p w14:paraId="4CD4D113">
            <w:pPr>
              <w:widowControl/>
              <w:spacing w:line="360" w:lineRule="auto"/>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w:t>
            </w:r>
          </w:p>
        </w:tc>
      </w:tr>
      <w:tr w14:paraId="62BC857B">
        <w:tblPrEx>
          <w:tblCellMar>
            <w:top w:w="0" w:type="dxa"/>
            <w:left w:w="108" w:type="dxa"/>
            <w:bottom w:w="0" w:type="dxa"/>
            <w:right w:w="108" w:type="dxa"/>
          </w:tblCellMar>
        </w:tblPrEx>
        <w:trPr>
          <w:trHeight w:val="51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503D1F">
            <w:pPr>
              <w:widowControl/>
              <w:spacing w:line="360" w:lineRule="auto"/>
              <w:contextualSpacing/>
              <w:jc w:val="center"/>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04C6A5">
            <w:pPr>
              <w:widowControl/>
              <w:spacing w:line="360" w:lineRule="auto"/>
              <w:contextualSpacing/>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砷（As）</w:t>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 w:val="18"/>
                <w:szCs w:val="18"/>
                <w:highlight w:val="none"/>
              </w:rPr>
              <w:t>ω</w:t>
            </w:r>
            <w:r>
              <w:rPr>
                <w:rFonts w:hint="eastAsia" w:ascii="宋体" w:hAnsi="宋体" w:eastAsia="宋体"/>
                <w:color w:val="auto"/>
                <w:kern w:val="0"/>
                <w:szCs w:val="21"/>
                <w:highlight w:val="none"/>
              </w:rPr>
              <w:t xml:space="preserve">/％ </w:t>
            </w:r>
          </w:p>
        </w:tc>
        <w:tc>
          <w:tcPr>
            <w:tcW w:w="2169" w:type="dxa"/>
            <w:tcBorders>
              <w:top w:val="single" w:color="000000" w:sz="4" w:space="0"/>
              <w:left w:val="nil"/>
              <w:bottom w:val="single" w:color="000000" w:sz="4" w:space="0"/>
              <w:right w:val="single" w:color="000000" w:sz="4" w:space="0"/>
            </w:tcBorders>
            <w:shd w:val="clear" w:color="auto" w:fill="FFFFFF" w:themeFill="background1"/>
            <w:vAlign w:val="center"/>
          </w:tcPr>
          <w:p w14:paraId="56C2E9D4">
            <w:pPr>
              <w:widowControl/>
              <w:spacing w:line="360" w:lineRule="auto"/>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w:t>
            </w:r>
          </w:p>
        </w:tc>
      </w:tr>
    </w:tbl>
    <w:p w14:paraId="648957BA">
      <w:pPr>
        <w:pStyle w:val="43"/>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 xml:space="preserve"> </w:t>
      </w:r>
      <w:r>
        <w:rPr>
          <w:rFonts w:hint="eastAsia" w:ascii="宋体" w:hAnsi="宋体" w:eastAsia="宋体"/>
          <w:color w:val="auto"/>
          <w:sz w:val="21"/>
          <w:szCs w:val="21"/>
          <w:highlight w:val="none"/>
          <w:lang w:val="en-US" w:eastAsia="zh-CN"/>
        </w:rPr>
        <w:t>氢氧化钠主要指标</w:t>
      </w:r>
      <w:r>
        <w:rPr>
          <w:rFonts w:hint="eastAsia" w:ascii="宋体" w:hAnsi="宋体" w:eastAsia="宋体"/>
          <w:color w:val="auto"/>
          <w:sz w:val="21"/>
          <w:szCs w:val="21"/>
          <w:highlight w:val="none"/>
        </w:rPr>
        <w:t>：</w:t>
      </w:r>
    </w:p>
    <w:tbl>
      <w:tblPr>
        <w:tblStyle w:val="5"/>
        <w:tblW w:w="453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autofit"/>
        <w:tblCellMar>
          <w:top w:w="0" w:type="dxa"/>
          <w:left w:w="108" w:type="dxa"/>
          <w:bottom w:w="0" w:type="dxa"/>
          <w:right w:w="108" w:type="dxa"/>
        </w:tblCellMar>
      </w:tblPr>
      <w:tblGrid>
        <w:gridCol w:w="1061"/>
        <w:gridCol w:w="4492"/>
        <w:gridCol w:w="3389"/>
      </w:tblGrid>
      <w:tr w14:paraId="25B19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93" w:type="dxa"/>
            <w:shd w:val="clear" w:color="auto" w:fill="FFFFFF" w:themeFill="background1"/>
            <w:vAlign w:val="center"/>
          </w:tcPr>
          <w:p w14:paraId="7F2B8299">
            <w:pPr>
              <w:widowControl/>
              <w:tabs>
                <w:tab w:val="left" w:pos="425"/>
              </w:tabs>
              <w:spacing w:line="400" w:lineRule="exact"/>
              <w:contextualSpacing/>
              <w:jc w:val="center"/>
              <w:rPr>
                <w:rFonts w:hint="eastAsia" w:ascii="宋体" w:hAnsi="宋体" w:eastAsia="宋体"/>
                <w:b/>
                <w:color w:val="auto"/>
                <w:kern w:val="0"/>
                <w:szCs w:val="21"/>
                <w:highlight w:val="none"/>
                <w:lang w:val="en-US" w:eastAsia="zh-CN"/>
              </w:rPr>
            </w:pPr>
            <w:r>
              <w:rPr>
                <w:rFonts w:hint="eastAsia" w:ascii="宋体" w:hAnsi="宋体" w:eastAsia="宋体"/>
                <w:b/>
                <w:color w:val="auto"/>
                <w:kern w:val="0"/>
                <w:szCs w:val="21"/>
                <w:highlight w:val="none"/>
                <w:lang w:val="en-US" w:eastAsia="zh-CN"/>
              </w:rPr>
              <w:t>序号</w:t>
            </w:r>
          </w:p>
        </w:tc>
        <w:tc>
          <w:tcPr>
            <w:tcW w:w="2511" w:type="dxa"/>
            <w:shd w:val="clear" w:color="auto" w:fill="FFFFFF" w:themeFill="background1"/>
            <w:vAlign w:val="center"/>
          </w:tcPr>
          <w:p w14:paraId="0CD2C5DC">
            <w:pPr>
              <w:widowControl/>
              <w:spacing w:line="400" w:lineRule="exact"/>
              <w:contextualSpacing/>
              <w:jc w:val="center"/>
              <w:rPr>
                <w:rFonts w:hint="eastAsia" w:ascii="宋体" w:hAnsi="宋体" w:eastAsia="宋体"/>
                <w:b/>
                <w:color w:val="auto"/>
                <w:kern w:val="0"/>
                <w:szCs w:val="21"/>
                <w:highlight w:val="none"/>
              </w:rPr>
            </w:pPr>
            <w:r>
              <w:rPr>
                <w:rFonts w:hint="eastAsia" w:ascii="宋体" w:hAnsi="宋体" w:eastAsia="宋体"/>
                <w:b/>
                <w:color w:val="auto"/>
                <w:kern w:val="0"/>
                <w:szCs w:val="21"/>
                <w:highlight w:val="none"/>
              </w:rPr>
              <w:t>项目</w:t>
            </w:r>
          </w:p>
        </w:tc>
        <w:tc>
          <w:tcPr>
            <w:tcW w:w="1894" w:type="dxa"/>
            <w:shd w:val="clear" w:color="auto" w:fill="FFFFFF" w:themeFill="background1"/>
            <w:vAlign w:val="center"/>
          </w:tcPr>
          <w:p w14:paraId="5226DD4D">
            <w:pPr>
              <w:widowControl/>
              <w:spacing w:line="400" w:lineRule="exact"/>
              <w:contextualSpacing/>
              <w:jc w:val="center"/>
              <w:rPr>
                <w:rFonts w:hint="eastAsia" w:ascii="宋体" w:hAnsi="宋体" w:eastAsia="宋体"/>
                <w:b/>
                <w:color w:val="auto"/>
                <w:kern w:val="0"/>
                <w:szCs w:val="21"/>
                <w:highlight w:val="none"/>
              </w:rPr>
            </w:pPr>
            <w:r>
              <w:rPr>
                <w:rFonts w:hint="eastAsia" w:ascii="宋体" w:hAnsi="宋体" w:eastAsia="宋体"/>
                <w:b/>
                <w:color w:val="auto"/>
                <w:kern w:val="0"/>
                <w:szCs w:val="21"/>
                <w:highlight w:val="none"/>
              </w:rPr>
              <w:t>指     标</w:t>
            </w:r>
          </w:p>
        </w:tc>
      </w:tr>
      <w:tr w14:paraId="3826C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3" w:type="dxa"/>
            <w:shd w:val="clear" w:color="auto" w:fill="FFFFFF" w:themeFill="background1"/>
            <w:vAlign w:val="center"/>
          </w:tcPr>
          <w:p w14:paraId="4E4ACFC6">
            <w:pPr>
              <w:widowControl/>
              <w:spacing w:line="400" w:lineRule="exact"/>
              <w:contextualSpacing/>
              <w:jc w:val="center"/>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1</w:t>
            </w:r>
          </w:p>
        </w:tc>
        <w:tc>
          <w:tcPr>
            <w:tcW w:w="2511" w:type="dxa"/>
            <w:shd w:val="clear" w:color="auto" w:fill="FFFFFF" w:themeFill="background1"/>
            <w:vAlign w:val="center"/>
          </w:tcPr>
          <w:p w14:paraId="7D449981">
            <w:pPr>
              <w:widowControl/>
              <w:spacing w:line="400" w:lineRule="exact"/>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外观</w:t>
            </w:r>
          </w:p>
        </w:tc>
        <w:tc>
          <w:tcPr>
            <w:tcW w:w="1894" w:type="dxa"/>
            <w:shd w:val="clear" w:color="auto" w:fill="FFFFFF" w:themeFill="background1"/>
            <w:vAlign w:val="center"/>
          </w:tcPr>
          <w:p w14:paraId="21D042F3">
            <w:pPr>
              <w:widowControl/>
              <w:spacing w:line="400" w:lineRule="exact"/>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清亮或略有浑浊、无色或微带颜色的液体</w:t>
            </w:r>
          </w:p>
        </w:tc>
      </w:tr>
      <w:tr w14:paraId="2C48E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567" w:hRule="atLeast"/>
          <w:jc w:val="center"/>
        </w:trPr>
        <w:tc>
          <w:tcPr>
            <w:tcW w:w="593" w:type="dxa"/>
            <w:shd w:val="clear" w:color="auto" w:fill="FFFFFF" w:themeFill="background1"/>
            <w:vAlign w:val="center"/>
          </w:tcPr>
          <w:p w14:paraId="2758EEA9">
            <w:pPr>
              <w:widowControl/>
              <w:spacing w:line="400" w:lineRule="exact"/>
              <w:contextualSpacing/>
              <w:jc w:val="center"/>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2</w:t>
            </w:r>
          </w:p>
        </w:tc>
        <w:tc>
          <w:tcPr>
            <w:tcW w:w="2511" w:type="dxa"/>
            <w:shd w:val="clear" w:color="auto" w:fill="FFFFFF" w:themeFill="background1"/>
            <w:vAlign w:val="center"/>
          </w:tcPr>
          <w:p w14:paraId="25F52F25">
            <w:pPr>
              <w:widowControl/>
              <w:spacing w:line="400" w:lineRule="exact"/>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总碱量（以NaOH计）</w:t>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w/%</w:t>
            </w:r>
          </w:p>
          <w:p w14:paraId="79609931">
            <w:pPr>
              <w:widowControl/>
              <w:spacing w:line="400" w:lineRule="exact"/>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（按氢氧化钠的标示值折算）</w:t>
            </w:r>
          </w:p>
        </w:tc>
        <w:tc>
          <w:tcPr>
            <w:tcW w:w="1894" w:type="dxa"/>
            <w:shd w:val="clear" w:color="auto" w:fill="FFFFFF" w:themeFill="background1"/>
            <w:vAlign w:val="center"/>
          </w:tcPr>
          <w:p w14:paraId="2F387125">
            <w:pPr>
              <w:widowControl/>
              <w:spacing w:line="400" w:lineRule="exact"/>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98.0</w:t>
            </w:r>
            <w:r>
              <w:rPr>
                <w:rFonts w:hint="eastAsia" w:ascii="宋体" w:hAnsi="宋体" w:eastAsia="宋体"/>
                <w:color w:val="auto"/>
                <w:kern w:val="0"/>
                <w:szCs w:val="21"/>
                <w:highlight w:val="none"/>
                <w:vertAlign w:val="superscript"/>
              </w:rPr>
              <w:t>a</w:t>
            </w:r>
            <w:r>
              <w:rPr>
                <w:rFonts w:hint="eastAsia" w:ascii="宋体" w:hAnsi="宋体" w:eastAsia="宋体"/>
                <w:color w:val="auto"/>
                <w:kern w:val="0"/>
                <w:szCs w:val="21"/>
                <w:highlight w:val="none"/>
              </w:rPr>
              <w:t>-103.5</w:t>
            </w:r>
            <w:r>
              <w:rPr>
                <w:rFonts w:hint="eastAsia" w:ascii="宋体" w:hAnsi="宋体" w:eastAsia="宋体"/>
                <w:color w:val="auto"/>
                <w:kern w:val="0"/>
                <w:szCs w:val="21"/>
                <w:highlight w:val="none"/>
                <w:vertAlign w:val="superscript"/>
              </w:rPr>
              <w:t>a</w:t>
            </w:r>
          </w:p>
        </w:tc>
      </w:tr>
      <w:tr w14:paraId="124E1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3" w:type="dxa"/>
            <w:shd w:val="clear" w:color="auto" w:fill="FFFFFF" w:themeFill="background1"/>
            <w:vAlign w:val="center"/>
          </w:tcPr>
          <w:p w14:paraId="02E3C8FE">
            <w:pPr>
              <w:widowControl/>
              <w:spacing w:line="400" w:lineRule="exact"/>
              <w:contextualSpacing/>
              <w:jc w:val="center"/>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3</w:t>
            </w:r>
          </w:p>
        </w:tc>
        <w:tc>
          <w:tcPr>
            <w:tcW w:w="2511" w:type="dxa"/>
            <w:shd w:val="clear" w:color="auto" w:fill="FFFFFF" w:themeFill="background1"/>
            <w:vAlign w:val="center"/>
          </w:tcPr>
          <w:p w14:paraId="21C41D10">
            <w:pPr>
              <w:widowControl/>
              <w:spacing w:line="400" w:lineRule="exact"/>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碳酸钠（以Na</w:t>
            </w:r>
            <w:r>
              <w:rPr>
                <w:rFonts w:hint="eastAsia" w:ascii="宋体" w:hAnsi="宋体" w:eastAsia="宋体"/>
                <w:color w:val="auto"/>
                <w:kern w:val="0"/>
                <w:szCs w:val="21"/>
                <w:highlight w:val="none"/>
                <w:vertAlign w:val="subscript"/>
              </w:rPr>
              <w:t>2</w:t>
            </w:r>
            <w:r>
              <w:rPr>
                <w:rFonts w:hint="eastAsia" w:ascii="宋体" w:hAnsi="宋体" w:eastAsia="宋体"/>
                <w:color w:val="auto"/>
                <w:kern w:val="0"/>
                <w:szCs w:val="21"/>
                <w:highlight w:val="none"/>
              </w:rPr>
              <w:t>CO</w:t>
            </w:r>
            <w:r>
              <w:rPr>
                <w:rFonts w:hint="eastAsia" w:ascii="宋体" w:hAnsi="宋体" w:eastAsia="宋体"/>
                <w:color w:val="auto"/>
                <w:kern w:val="0"/>
                <w:szCs w:val="21"/>
                <w:highlight w:val="none"/>
                <w:vertAlign w:val="subscript"/>
              </w:rPr>
              <w:t>3</w:t>
            </w:r>
            <w:r>
              <w:rPr>
                <w:rFonts w:hint="eastAsia" w:ascii="宋体" w:hAnsi="宋体" w:eastAsia="宋体"/>
                <w:color w:val="auto"/>
                <w:kern w:val="0"/>
                <w:szCs w:val="21"/>
                <w:highlight w:val="none"/>
              </w:rPr>
              <w:t>计）含量</w:t>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w/%</w:t>
            </w:r>
          </w:p>
          <w:p w14:paraId="677D8BB1">
            <w:pPr>
              <w:widowControl/>
              <w:spacing w:line="400" w:lineRule="exact"/>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（按氢氧化钠的标示值折算）</w:t>
            </w:r>
          </w:p>
        </w:tc>
        <w:tc>
          <w:tcPr>
            <w:tcW w:w="1894" w:type="dxa"/>
            <w:shd w:val="clear" w:color="auto" w:fill="FFFFFF" w:themeFill="background1"/>
            <w:vAlign w:val="center"/>
          </w:tcPr>
          <w:p w14:paraId="69BAC3B4">
            <w:pPr>
              <w:widowControl/>
              <w:spacing w:line="400" w:lineRule="exact"/>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w:t>
            </w:r>
          </w:p>
        </w:tc>
      </w:tr>
      <w:tr w14:paraId="21195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3" w:type="dxa"/>
            <w:shd w:val="clear" w:color="auto" w:fill="FFFFFF" w:themeFill="background1"/>
            <w:vAlign w:val="center"/>
          </w:tcPr>
          <w:p w14:paraId="70CA3C4F">
            <w:pPr>
              <w:widowControl/>
              <w:spacing w:line="400" w:lineRule="exact"/>
              <w:contextualSpacing/>
              <w:jc w:val="center"/>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4</w:t>
            </w:r>
          </w:p>
        </w:tc>
        <w:tc>
          <w:tcPr>
            <w:tcW w:w="2511" w:type="dxa"/>
            <w:shd w:val="clear" w:color="auto" w:fill="FFFFFF" w:themeFill="background1"/>
            <w:vAlign w:val="center"/>
          </w:tcPr>
          <w:p w14:paraId="261A61F6">
            <w:pPr>
              <w:widowControl/>
              <w:spacing w:line="400" w:lineRule="exact"/>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砷（As）含量</w:t>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mg/kg</w:t>
            </w:r>
          </w:p>
        </w:tc>
        <w:tc>
          <w:tcPr>
            <w:tcW w:w="1894" w:type="dxa"/>
            <w:shd w:val="clear" w:color="auto" w:fill="FFFFFF" w:themeFill="background1"/>
            <w:vAlign w:val="center"/>
          </w:tcPr>
          <w:p w14:paraId="0C1645F5">
            <w:pPr>
              <w:widowControl/>
              <w:spacing w:line="400" w:lineRule="exact"/>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w:t>
            </w:r>
          </w:p>
        </w:tc>
      </w:tr>
      <w:tr w14:paraId="4AC05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3" w:type="dxa"/>
            <w:shd w:val="clear" w:color="auto" w:fill="FFFFFF" w:themeFill="background1"/>
            <w:vAlign w:val="center"/>
          </w:tcPr>
          <w:p w14:paraId="2798D1B8">
            <w:pPr>
              <w:widowControl/>
              <w:spacing w:line="400" w:lineRule="exact"/>
              <w:contextualSpacing/>
              <w:jc w:val="center"/>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5</w:t>
            </w:r>
          </w:p>
        </w:tc>
        <w:tc>
          <w:tcPr>
            <w:tcW w:w="2511" w:type="dxa"/>
            <w:shd w:val="clear" w:color="auto" w:fill="FFFFFF" w:themeFill="background1"/>
            <w:vAlign w:val="center"/>
          </w:tcPr>
          <w:p w14:paraId="4E4E42BA">
            <w:pPr>
              <w:widowControl/>
              <w:spacing w:line="400" w:lineRule="exact"/>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重金属（以Pb计）</w:t>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mg/kg</w:t>
            </w:r>
          </w:p>
        </w:tc>
        <w:tc>
          <w:tcPr>
            <w:tcW w:w="1894" w:type="dxa"/>
            <w:shd w:val="clear" w:color="auto" w:fill="FFFFFF" w:themeFill="background1"/>
            <w:vAlign w:val="center"/>
          </w:tcPr>
          <w:p w14:paraId="14743864">
            <w:pPr>
              <w:widowControl/>
              <w:spacing w:line="400" w:lineRule="exact"/>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w:t>
            </w:r>
          </w:p>
        </w:tc>
      </w:tr>
      <w:tr w14:paraId="27C3F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567" w:hRule="atLeast"/>
          <w:jc w:val="center"/>
        </w:trPr>
        <w:tc>
          <w:tcPr>
            <w:tcW w:w="593" w:type="dxa"/>
            <w:shd w:val="clear" w:color="auto" w:fill="FFFFFF" w:themeFill="background1"/>
            <w:vAlign w:val="center"/>
          </w:tcPr>
          <w:p w14:paraId="7B807EA3">
            <w:pPr>
              <w:widowControl/>
              <w:spacing w:line="400" w:lineRule="exact"/>
              <w:contextualSpacing/>
              <w:jc w:val="center"/>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6</w:t>
            </w:r>
          </w:p>
        </w:tc>
        <w:tc>
          <w:tcPr>
            <w:tcW w:w="2511" w:type="dxa"/>
            <w:shd w:val="clear" w:color="auto" w:fill="FFFFFF" w:themeFill="background1"/>
            <w:vAlign w:val="center"/>
          </w:tcPr>
          <w:p w14:paraId="6E1E607B">
            <w:pPr>
              <w:widowControl/>
              <w:spacing w:line="400" w:lineRule="exact"/>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不溶物及有机杂质</w:t>
            </w:r>
          </w:p>
        </w:tc>
        <w:tc>
          <w:tcPr>
            <w:tcW w:w="1894" w:type="dxa"/>
            <w:shd w:val="clear" w:color="auto" w:fill="FFFFFF" w:themeFill="background1"/>
            <w:vAlign w:val="center"/>
          </w:tcPr>
          <w:p w14:paraId="07C07858">
            <w:pPr>
              <w:widowControl/>
              <w:spacing w:line="400" w:lineRule="exact"/>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通过试验</w:t>
            </w:r>
          </w:p>
        </w:tc>
      </w:tr>
      <w:tr w14:paraId="6B51A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3" w:type="dxa"/>
            <w:shd w:val="clear" w:color="auto" w:fill="FFFFFF" w:themeFill="background1"/>
            <w:vAlign w:val="center"/>
          </w:tcPr>
          <w:p w14:paraId="6B981A09">
            <w:pPr>
              <w:widowControl/>
              <w:spacing w:line="400" w:lineRule="exact"/>
              <w:contextualSpacing/>
              <w:jc w:val="center"/>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7</w:t>
            </w:r>
          </w:p>
        </w:tc>
        <w:tc>
          <w:tcPr>
            <w:tcW w:w="2511" w:type="dxa"/>
            <w:shd w:val="clear" w:color="auto" w:fill="FFFFFF" w:themeFill="background1"/>
            <w:vAlign w:val="center"/>
          </w:tcPr>
          <w:p w14:paraId="3A304D42">
            <w:pPr>
              <w:widowControl/>
              <w:spacing w:line="400" w:lineRule="exact"/>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汞（Hg）含量</w:t>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ab/>
            </w:r>
            <w:r>
              <w:rPr>
                <w:rFonts w:hint="eastAsia" w:ascii="宋体" w:hAnsi="宋体" w:eastAsia="宋体"/>
                <w:color w:val="auto"/>
                <w:kern w:val="0"/>
                <w:szCs w:val="21"/>
                <w:highlight w:val="none"/>
              </w:rPr>
              <w:t>mg/kg</w:t>
            </w:r>
          </w:p>
        </w:tc>
        <w:tc>
          <w:tcPr>
            <w:tcW w:w="1894" w:type="dxa"/>
            <w:shd w:val="clear" w:color="auto" w:fill="FFFFFF" w:themeFill="background1"/>
            <w:vAlign w:val="center"/>
          </w:tcPr>
          <w:p w14:paraId="0730FF1A">
            <w:pPr>
              <w:widowControl/>
              <w:spacing w:line="400" w:lineRule="exact"/>
              <w:contextualSpacing/>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w:t>
            </w:r>
          </w:p>
        </w:tc>
      </w:tr>
    </w:tbl>
    <w:p w14:paraId="26EAFD9E">
      <w:pPr>
        <w:pStyle w:val="43"/>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宋体" w:hAnsi="宋体" w:eastAsia="宋体"/>
          <w:color w:val="auto"/>
          <w:sz w:val="21"/>
          <w:szCs w:val="21"/>
          <w:highlight w:val="none"/>
        </w:rPr>
      </w:pPr>
    </w:p>
    <w:p w14:paraId="1115BE06">
      <w:pPr>
        <w:pStyle w:val="4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二、合同金额</w:t>
      </w:r>
    </w:p>
    <w:p w14:paraId="133ADB34">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contextualSpacing/>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2.1 本合同总金额为人民币（大写）：</w:t>
      </w:r>
      <w:r>
        <w:rPr>
          <w:rFonts w:hint="eastAsia" w:ascii="宋体" w:hAnsi="宋体" w:eastAsia="宋体" w:cs="Times New Roman"/>
          <w:color w:val="auto"/>
          <w:kern w:val="0"/>
          <w:sz w:val="21"/>
          <w:szCs w:val="21"/>
          <w:highlight w:val="none"/>
          <w:u w:val="single"/>
          <w:lang w:val="en-US" w:eastAsia="zh-CN" w:bidi="ar-SA"/>
        </w:rPr>
        <w:t xml:space="preserve">              </w:t>
      </w:r>
      <w:r>
        <w:rPr>
          <w:rFonts w:hint="eastAsia" w:ascii="宋体" w:hAnsi="宋体" w:eastAsia="宋体" w:cs="Times New Roman"/>
          <w:color w:val="auto"/>
          <w:kern w:val="0"/>
          <w:sz w:val="21"/>
          <w:szCs w:val="21"/>
          <w:highlight w:val="none"/>
          <w:lang w:val="en-US" w:eastAsia="zh-CN" w:bidi="ar-SA"/>
        </w:rPr>
        <w:t>(￥：</w:t>
      </w:r>
      <w:r>
        <w:rPr>
          <w:rFonts w:hint="eastAsia" w:ascii="宋体" w:hAnsi="宋体" w:eastAsia="宋体" w:cs="Times New Roman"/>
          <w:color w:val="auto"/>
          <w:kern w:val="0"/>
          <w:sz w:val="21"/>
          <w:szCs w:val="21"/>
          <w:highlight w:val="none"/>
          <w:u w:val="single"/>
          <w:lang w:val="en-US" w:eastAsia="zh-CN" w:bidi="ar-SA"/>
        </w:rPr>
        <w:t xml:space="preserve">    </w:t>
      </w:r>
      <w:r>
        <w:rPr>
          <w:rFonts w:hint="eastAsia" w:ascii="宋体" w:hAnsi="宋体" w:eastAsia="宋体" w:cs="Times New Roman"/>
          <w:color w:val="auto"/>
          <w:kern w:val="0"/>
          <w:sz w:val="21"/>
          <w:szCs w:val="21"/>
          <w:highlight w:val="none"/>
          <w:lang w:val="en-US" w:eastAsia="zh-CN" w:bidi="ar-SA"/>
        </w:rPr>
        <w:t>元)。</w:t>
      </w:r>
    </w:p>
    <w:p w14:paraId="13C79B91">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contextualSpacing/>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不含税总价</w:t>
      </w:r>
      <w:r>
        <w:rPr>
          <w:rFonts w:hint="eastAsia" w:ascii="宋体" w:hAnsi="宋体" w:eastAsia="宋体" w:cs="Times New Roman"/>
          <w:color w:val="auto"/>
          <w:kern w:val="0"/>
          <w:sz w:val="21"/>
          <w:szCs w:val="21"/>
          <w:highlight w:val="none"/>
          <w:u w:val="single"/>
          <w:lang w:val="en-US" w:eastAsia="zh-CN" w:bidi="ar-SA"/>
        </w:rPr>
        <w:t xml:space="preserve">        </w:t>
      </w:r>
      <w:r>
        <w:rPr>
          <w:rFonts w:hint="eastAsia" w:ascii="宋体" w:hAnsi="宋体" w:eastAsia="宋体" w:cs="Times New Roman"/>
          <w:color w:val="auto"/>
          <w:kern w:val="0"/>
          <w:sz w:val="21"/>
          <w:szCs w:val="21"/>
          <w:highlight w:val="none"/>
          <w:lang w:val="en-US" w:eastAsia="zh-CN" w:bidi="ar-SA"/>
        </w:rPr>
        <w:t>元，税金为</w:t>
      </w:r>
      <w:r>
        <w:rPr>
          <w:rFonts w:hint="eastAsia" w:ascii="宋体" w:hAnsi="宋体" w:eastAsia="宋体" w:cs="Times New Roman"/>
          <w:color w:val="auto"/>
          <w:kern w:val="0"/>
          <w:sz w:val="21"/>
          <w:szCs w:val="21"/>
          <w:highlight w:val="none"/>
          <w:u w:val="single"/>
          <w:lang w:val="en-US" w:eastAsia="zh-CN" w:bidi="ar-SA"/>
        </w:rPr>
        <w:t xml:space="preserve">           </w:t>
      </w:r>
      <w:r>
        <w:rPr>
          <w:rFonts w:hint="eastAsia" w:ascii="宋体" w:hAnsi="宋体" w:eastAsia="宋体" w:cs="Times New Roman"/>
          <w:color w:val="auto"/>
          <w:kern w:val="0"/>
          <w:sz w:val="21"/>
          <w:szCs w:val="21"/>
          <w:highlight w:val="none"/>
          <w:lang w:val="en-US" w:eastAsia="zh-CN" w:bidi="ar-SA"/>
        </w:rPr>
        <w:t>元。</w:t>
      </w:r>
    </w:p>
    <w:p w14:paraId="2F5FFCE0">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contextualSpacing/>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2.2 本合同</w:t>
      </w:r>
      <w:r>
        <w:rPr>
          <w:rFonts w:hint="eastAsia" w:ascii="宋体" w:hAnsi="宋体" w:eastAsia="宋体"/>
          <w:color w:val="auto"/>
          <w:sz w:val="21"/>
          <w:szCs w:val="21"/>
          <w:highlight w:val="none"/>
          <w:lang w:val="en-US" w:eastAsia="zh-CN"/>
        </w:rPr>
        <w:t>金额</w:t>
      </w:r>
      <w:r>
        <w:rPr>
          <w:rFonts w:hint="eastAsia" w:ascii="宋体" w:hAnsi="宋体" w:eastAsia="宋体"/>
          <w:color w:val="auto"/>
          <w:sz w:val="21"/>
          <w:szCs w:val="21"/>
          <w:highlight w:val="none"/>
        </w:rPr>
        <w:t>为全费用单价包括但不限于药剂费、包装、运杂费、装卸、保险、税金</w:t>
      </w:r>
      <w:r>
        <w:rPr>
          <w:rFonts w:hint="eastAsia" w:ascii="宋体" w:hAnsi="宋体" w:eastAsia="宋体"/>
          <w:color w:val="auto"/>
          <w:sz w:val="21"/>
          <w:szCs w:val="21"/>
          <w:highlight w:val="none"/>
          <w:lang w:eastAsia="zh-CN"/>
        </w:rPr>
        <w:t>、售后服务、伴随服务费、</w:t>
      </w:r>
      <w:r>
        <w:rPr>
          <w:rFonts w:hint="eastAsia" w:ascii="宋体" w:hAnsi="宋体" w:eastAsia="宋体"/>
          <w:color w:val="auto"/>
          <w:sz w:val="21"/>
          <w:szCs w:val="21"/>
          <w:highlight w:val="none"/>
        </w:rPr>
        <w:t>等完成本项目所需的一切费用。</w:t>
      </w:r>
      <w:r>
        <w:rPr>
          <w:rFonts w:hint="eastAsia" w:ascii="宋体" w:hAnsi="宋体" w:eastAsia="宋体"/>
          <w:color w:val="auto"/>
          <w:sz w:val="21"/>
          <w:szCs w:val="21"/>
          <w:highlight w:val="none"/>
          <w:lang w:val="en-US" w:eastAsia="zh-CN"/>
        </w:rPr>
        <w:t>乙方</w:t>
      </w:r>
      <w:r>
        <w:rPr>
          <w:rFonts w:hint="eastAsia" w:ascii="宋体" w:hAnsi="宋体" w:eastAsia="宋体"/>
          <w:color w:val="auto"/>
          <w:sz w:val="21"/>
          <w:szCs w:val="21"/>
          <w:highlight w:val="none"/>
        </w:rPr>
        <w:t>应充分考虑其间的风险；并且</w:t>
      </w:r>
      <w:r>
        <w:rPr>
          <w:rFonts w:hint="eastAsia" w:ascii="宋体" w:hAnsi="宋体" w:eastAsia="宋体"/>
          <w:color w:val="auto"/>
          <w:sz w:val="21"/>
          <w:szCs w:val="21"/>
          <w:highlight w:val="none"/>
          <w:lang w:val="en-US" w:eastAsia="zh-CN"/>
        </w:rPr>
        <w:t>乙方</w:t>
      </w:r>
      <w:r>
        <w:rPr>
          <w:rFonts w:hint="eastAsia" w:ascii="宋体" w:hAnsi="宋体" w:eastAsia="宋体"/>
          <w:color w:val="auto"/>
          <w:sz w:val="21"/>
          <w:szCs w:val="21"/>
          <w:highlight w:val="none"/>
        </w:rPr>
        <w:t>应充分考虑在合同期内的</w:t>
      </w:r>
      <w:r>
        <w:rPr>
          <w:rFonts w:hint="eastAsia" w:ascii="宋体" w:hAnsi="宋体" w:eastAsia="宋体"/>
          <w:color w:val="auto"/>
          <w:sz w:val="21"/>
          <w:szCs w:val="21"/>
          <w:highlight w:val="none"/>
          <w:lang w:val="en-US" w:eastAsia="zh-CN"/>
        </w:rPr>
        <w:t>生产成本</w:t>
      </w:r>
      <w:r>
        <w:rPr>
          <w:rFonts w:hint="eastAsia" w:ascii="宋体" w:hAnsi="宋体" w:eastAsia="宋体"/>
          <w:color w:val="auto"/>
          <w:sz w:val="21"/>
          <w:szCs w:val="21"/>
          <w:highlight w:val="none"/>
        </w:rPr>
        <w:t>浮动风险</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总价按实可调合同。</w:t>
      </w:r>
    </w:p>
    <w:p w14:paraId="5CAB70CB">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contextualSpacing/>
        <w:textAlignment w:val="auto"/>
        <w:rPr>
          <w:rFonts w:hint="eastAsia" w:ascii="宋体" w:hAnsi="宋体" w:eastAsia="宋体"/>
          <w:color w:val="auto"/>
          <w:highlight w:val="none"/>
        </w:rPr>
      </w:pPr>
      <w:r>
        <w:rPr>
          <w:rFonts w:hint="eastAsia" w:ascii="宋体" w:hAnsi="宋体" w:eastAsia="宋体"/>
          <w:color w:val="auto"/>
          <w:highlight w:val="none"/>
          <w:shd w:val="clear" w:color="auto" w:fill="auto"/>
          <w:lang w:val="en-US" w:eastAsia="zh-CN"/>
        </w:rPr>
        <w:t>2.3</w:t>
      </w:r>
      <w:r>
        <w:rPr>
          <w:rFonts w:hint="eastAsia" w:ascii="宋体" w:hAnsi="宋体" w:eastAsia="宋体"/>
          <w:color w:val="auto"/>
          <w:highlight w:val="none"/>
          <w:shd w:val="clear" w:color="auto" w:fill="auto"/>
        </w:rPr>
        <w:t>调价方法：</w:t>
      </w:r>
      <w:r>
        <w:rPr>
          <w:rFonts w:hint="eastAsia" w:ascii="宋体" w:hAnsi="宋体" w:eastAsia="宋体"/>
          <w:color w:val="auto"/>
          <w:highlight w:val="none"/>
          <w:lang w:val="en-US" w:eastAsia="zh-CN"/>
        </w:rPr>
        <w:t>按中标单价执行，合同期间不进行调价</w:t>
      </w:r>
      <w:r>
        <w:rPr>
          <w:rFonts w:hint="eastAsia" w:ascii="宋体" w:hAnsi="宋体" w:eastAsia="宋体"/>
          <w:color w:val="auto"/>
          <w:highlight w:val="none"/>
        </w:rPr>
        <w:t>。</w:t>
      </w:r>
    </w:p>
    <w:p w14:paraId="643A03FE">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422" w:firstLineChars="200"/>
        <w:contextualSpacing/>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三、技术资料</w:t>
      </w:r>
    </w:p>
    <w:p w14:paraId="6D901815">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contextualSpacing/>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3.1 乙方应按招标文件规定的时间向甲方提供使用货物的有关技术资料。</w:t>
      </w:r>
    </w:p>
    <w:p w14:paraId="0B3DCD1A">
      <w:pPr>
        <w:pStyle w:val="2"/>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contextualSpacing/>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4760A45">
      <w:pPr>
        <w:pStyle w:val="4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四、知识产权</w:t>
      </w:r>
    </w:p>
    <w:p w14:paraId="059977CA">
      <w:pPr>
        <w:pStyle w:val="4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4.1 乙方应保证所提供的货物或其任何一部分均不会侵犯任何第三方的知识产权</w:t>
      </w:r>
      <w:r>
        <w:rPr>
          <w:rFonts w:hint="eastAsia" w:ascii="宋体" w:hAnsi="宋体" w:eastAsia="宋体"/>
          <w:bCs/>
          <w:color w:val="auto"/>
          <w:sz w:val="21"/>
          <w:szCs w:val="21"/>
          <w:highlight w:val="none"/>
        </w:rPr>
        <w:t>。</w:t>
      </w:r>
    </w:p>
    <w:p w14:paraId="6CA2FDBB">
      <w:pPr>
        <w:pStyle w:val="4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五、产权担保</w:t>
      </w:r>
    </w:p>
    <w:p w14:paraId="50EA2CF7">
      <w:pPr>
        <w:pStyle w:val="4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5.1 乙方保证所交付的货物的所有权完全属于乙方且无任何抵押、查封等产权瑕疵。</w:t>
      </w:r>
    </w:p>
    <w:p w14:paraId="4C71E592">
      <w:pPr>
        <w:pStyle w:val="4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六、履约保证金</w:t>
      </w:r>
    </w:p>
    <w:p w14:paraId="20B2601B">
      <w:pPr>
        <w:pStyle w:val="4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6.1 乙方交纳人民币</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元作为本合同的履约保证金（合同签订后第一笔预付款拨付前向甲方提供）。</w:t>
      </w:r>
    </w:p>
    <w:p w14:paraId="688844FE">
      <w:pPr>
        <w:pStyle w:val="4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6.2 履约保证金形式：现金、银行或担保公司提供的保函、保险保单（银行、担保企业按市、县政府相关规定执行），保函形式出具的履约担保须经</w:t>
      </w:r>
      <w:r>
        <w:rPr>
          <w:rFonts w:hint="eastAsia" w:ascii="宋体" w:hAnsi="宋体" w:eastAsia="宋体"/>
          <w:color w:val="auto"/>
          <w:sz w:val="21"/>
          <w:szCs w:val="21"/>
          <w:highlight w:val="none"/>
          <w:lang w:val="en-US" w:eastAsia="zh-CN"/>
        </w:rPr>
        <w:t>甲方</w:t>
      </w:r>
      <w:r>
        <w:rPr>
          <w:rFonts w:hint="eastAsia" w:ascii="宋体" w:hAnsi="宋体" w:eastAsia="宋体"/>
          <w:color w:val="auto"/>
          <w:sz w:val="21"/>
          <w:szCs w:val="21"/>
          <w:highlight w:val="none"/>
        </w:rPr>
        <w:t>确认。待合同履约期满，供应的所有货物验收通过后无息退回。</w:t>
      </w:r>
    </w:p>
    <w:p w14:paraId="365F2D3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七.转包或分包</w:t>
      </w:r>
    </w:p>
    <w:p w14:paraId="4B8BF4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7.1本合同范围的货物，应由</w:t>
      </w:r>
      <w:r>
        <w:rPr>
          <w:rFonts w:hint="eastAsia" w:ascii="宋体" w:hAnsi="宋体"/>
          <w:color w:val="auto"/>
          <w:sz w:val="21"/>
          <w:szCs w:val="21"/>
          <w:highlight w:val="none"/>
          <w:lang w:val="en-US" w:eastAsia="zh-CN"/>
        </w:rPr>
        <w:t>乙</w:t>
      </w:r>
      <w:r>
        <w:rPr>
          <w:rFonts w:hint="eastAsia" w:ascii="宋体" w:hAnsi="宋体" w:eastAsia="宋体"/>
          <w:color w:val="auto"/>
          <w:sz w:val="21"/>
          <w:szCs w:val="21"/>
          <w:highlight w:val="none"/>
        </w:rPr>
        <w:t>方直接供应，不得转让他人供应；</w:t>
      </w:r>
    </w:p>
    <w:p w14:paraId="4EEC9F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7.2 除非得到</w:t>
      </w:r>
      <w:r>
        <w:rPr>
          <w:rFonts w:hint="eastAsia" w:ascii="宋体" w:hAnsi="宋体"/>
          <w:color w:val="auto"/>
          <w:sz w:val="21"/>
          <w:szCs w:val="21"/>
          <w:highlight w:val="none"/>
          <w:lang w:val="en-US" w:eastAsia="zh-CN"/>
        </w:rPr>
        <w:t>甲</w:t>
      </w:r>
      <w:r>
        <w:rPr>
          <w:rFonts w:hint="eastAsia" w:ascii="宋体" w:hAnsi="宋体" w:eastAsia="宋体"/>
          <w:color w:val="auto"/>
          <w:sz w:val="21"/>
          <w:szCs w:val="21"/>
          <w:highlight w:val="none"/>
        </w:rPr>
        <w:t>方的书面同意，</w:t>
      </w:r>
      <w:r>
        <w:rPr>
          <w:rFonts w:hint="eastAsia" w:ascii="宋体" w:hAnsi="宋体"/>
          <w:color w:val="auto"/>
          <w:sz w:val="21"/>
          <w:szCs w:val="21"/>
          <w:highlight w:val="none"/>
          <w:lang w:val="en-US" w:eastAsia="zh-CN"/>
        </w:rPr>
        <w:t>乙</w:t>
      </w:r>
      <w:r>
        <w:rPr>
          <w:rFonts w:hint="eastAsia" w:ascii="宋体" w:hAnsi="宋体" w:eastAsia="宋体"/>
          <w:color w:val="auto"/>
          <w:sz w:val="21"/>
          <w:szCs w:val="21"/>
          <w:highlight w:val="none"/>
        </w:rPr>
        <w:t>不得部分分包给他人供应。</w:t>
      </w:r>
    </w:p>
    <w:p w14:paraId="74DCCC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7.3如有转让和未经</w:t>
      </w:r>
      <w:r>
        <w:rPr>
          <w:rFonts w:hint="eastAsia" w:ascii="宋体" w:hAnsi="宋体"/>
          <w:color w:val="auto"/>
          <w:sz w:val="21"/>
          <w:szCs w:val="21"/>
          <w:highlight w:val="none"/>
          <w:lang w:val="en-US" w:eastAsia="zh-CN"/>
        </w:rPr>
        <w:t>甲</w:t>
      </w:r>
      <w:r>
        <w:rPr>
          <w:rFonts w:hint="eastAsia" w:ascii="宋体" w:hAnsi="宋体" w:eastAsia="宋体"/>
          <w:color w:val="auto"/>
          <w:sz w:val="21"/>
          <w:szCs w:val="21"/>
          <w:highlight w:val="none"/>
        </w:rPr>
        <w:t>方同意的分包行为，</w:t>
      </w:r>
      <w:r>
        <w:rPr>
          <w:rFonts w:hint="eastAsia" w:ascii="宋体" w:hAnsi="宋体"/>
          <w:color w:val="auto"/>
          <w:sz w:val="21"/>
          <w:szCs w:val="21"/>
          <w:highlight w:val="none"/>
          <w:lang w:val="en-US" w:eastAsia="zh-CN"/>
        </w:rPr>
        <w:t>甲</w:t>
      </w:r>
      <w:r>
        <w:rPr>
          <w:rFonts w:hint="eastAsia" w:ascii="宋体" w:hAnsi="宋体" w:eastAsia="宋体"/>
          <w:color w:val="auto"/>
          <w:sz w:val="21"/>
          <w:szCs w:val="21"/>
          <w:highlight w:val="none"/>
        </w:rPr>
        <w:t>方有权给予终止合同。</w:t>
      </w:r>
    </w:p>
    <w:p w14:paraId="1B75FCDE">
      <w:pPr>
        <w:pStyle w:val="4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八、质保期</w:t>
      </w:r>
    </w:p>
    <w:p w14:paraId="1D0107AB">
      <w:pPr>
        <w:pStyle w:val="4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8.1 质保期</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年。（质保期计算方式：</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24F93601">
      <w:pPr>
        <w:pStyle w:val="4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九、交货期、交货方式及交货地点</w:t>
      </w:r>
    </w:p>
    <w:p w14:paraId="332070D5">
      <w:pPr>
        <w:pStyle w:val="4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9.1 交货期：</w:t>
      </w:r>
      <w:r>
        <w:rPr>
          <w:rFonts w:hint="eastAsia" w:ascii="宋体" w:hAnsi="宋体" w:eastAsia="宋体"/>
          <w:bCs/>
          <w:color w:val="auto"/>
          <w:sz w:val="21"/>
          <w:szCs w:val="21"/>
          <w:highlight w:val="none"/>
          <w:lang w:val="en-US" w:eastAsia="zh-CN"/>
        </w:rPr>
        <w:t>合同签订后根据甲方要求分批供货，且收到甲方通知后5天内到货</w:t>
      </w:r>
      <w:r>
        <w:rPr>
          <w:rFonts w:hint="eastAsia" w:ascii="宋体" w:hAnsi="宋体" w:eastAsia="宋体"/>
          <w:bCs/>
          <w:color w:val="auto"/>
          <w:sz w:val="21"/>
          <w:szCs w:val="21"/>
          <w:highlight w:val="none"/>
        </w:rPr>
        <w:t>。</w:t>
      </w:r>
    </w:p>
    <w:p w14:paraId="26FDFF47">
      <w:pPr>
        <w:pStyle w:val="4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9.2 交货方式：按甲方要求分批供货。</w:t>
      </w:r>
    </w:p>
    <w:p w14:paraId="181F7FFA">
      <w:pPr>
        <w:pStyle w:val="4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9.3 交货地点：象山县</w:t>
      </w:r>
      <w:r>
        <w:rPr>
          <w:rFonts w:hint="eastAsia" w:ascii="宋体" w:hAnsi="宋体" w:eastAsia="宋体"/>
          <w:bCs/>
          <w:color w:val="auto"/>
          <w:sz w:val="21"/>
          <w:szCs w:val="21"/>
          <w:highlight w:val="none"/>
          <w:lang w:val="en-US" w:eastAsia="zh-CN"/>
        </w:rPr>
        <w:t>各水</w:t>
      </w:r>
      <w:r>
        <w:rPr>
          <w:rFonts w:hint="eastAsia" w:ascii="宋体" w:hAnsi="宋体" w:eastAsia="宋体"/>
          <w:bCs/>
          <w:color w:val="auto"/>
          <w:sz w:val="21"/>
          <w:szCs w:val="21"/>
          <w:highlight w:val="none"/>
        </w:rPr>
        <w:t>司（具体由</w:t>
      </w:r>
      <w:r>
        <w:rPr>
          <w:rFonts w:hint="eastAsia" w:ascii="宋体" w:hAnsi="宋体" w:eastAsia="宋体"/>
          <w:bCs/>
          <w:color w:val="auto"/>
          <w:sz w:val="21"/>
          <w:szCs w:val="21"/>
          <w:highlight w:val="none"/>
          <w:lang w:val="en-US" w:eastAsia="zh-CN"/>
        </w:rPr>
        <w:t>甲方</w:t>
      </w:r>
      <w:r>
        <w:rPr>
          <w:rFonts w:hint="eastAsia" w:ascii="宋体" w:hAnsi="宋体" w:eastAsia="宋体"/>
          <w:bCs/>
          <w:color w:val="auto"/>
          <w:sz w:val="21"/>
          <w:szCs w:val="21"/>
          <w:highlight w:val="none"/>
        </w:rPr>
        <w:t>指定）。</w:t>
      </w:r>
    </w:p>
    <w:p w14:paraId="14063C24">
      <w:pPr>
        <w:pStyle w:val="4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lang w:val="en-US" w:eastAsia="zh-CN"/>
        </w:rPr>
        <w:t>9.4运输</w:t>
      </w:r>
      <w:r>
        <w:rPr>
          <w:rFonts w:hint="eastAsia" w:ascii="宋体" w:hAnsi="宋体" w:eastAsia="宋体" w:cs="宋体"/>
          <w:bCs/>
          <w:color w:val="auto"/>
          <w:kern w:val="2"/>
          <w:sz w:val="21"/>
          <w:szCs w:val="21"/>
          <w:highlight w:val="none"/>
          <w:lang w:val="en-US" w:eastAsia="zh-CN" w:bidi="ar-SA"/>
        </w:rPr>
        <w:t>车辆入厂时间须在每日8:00-16：00之间，避免因夜间交货从而造成危险事故。</w:t>
      </w:r>
    </w:p>
    <w:p w14:paraId="4FEFD429">
      <w:pPr>
        <w:pStyle w:val="4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十、货款支付</w:t>
      </w:r>
    </w:p>
    <w:p w14:paraId="680C0724">
      <w:pPr>
        <w:pStyle w:val="4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10.1 付款方式：分批次供货，接到</w:t>
      </w:r>
      <w:r>
        <w:rPr>
          <w:rFonts w:hint="eastAsia" w:ascii="宋体" w:hAnsi="宋体" w:eastAsia="宋体"/>
          <w:color w:val="auto"/>
          <w:sz w:val="21"/>
          <w:szCs w:val="21"/>
          <w:highlight w:val="none"/>
          <w:lang w:val="en-US" w:eastAsia="zh-CN"/>
        </w:rPr>
        <w:t>甲方</w:t>
      </w:r>
      <w:r>
        <w:rPr>
          <w:rFonts w:hint="eastAsia" w:ascii="宋体" w:hAnsi="宋体" w:eastAsia="宋体"/>
          <w:color w:val="auto"/>
          <w:sz w:val="21"/>
          <w:szCs w:val="21"/>
          <w:highlight w:val="none"/>
          <w:lang w:eastAsia="zh-CN"/>
        </w:rPr>
        <w:t>订单</w:t>
      </w:r>
      <w:r>
        <w:rPr>
          <w:rFonts w:hint="eastAsia" w:ascii="宋体" w:hAnsi="宋体" w:eastAsia="宋体"/>
          <w:color w:val="auto"/>
          <w:sz w:val="21"/>
          <w:szCs w:val="21"/>
          <w:highlight w:val="none"/>
          <w:lang w:val="en-US" w:eastAsia="zh-CN"/>
        </w:rPr>
        <w:t>7个工作日</w:t>
      </w:r>
      <w:r>
        <w:rPr>
          <w:rFonts w:hint="eastAsia" w:ascii="宋体" w:hAnsi="宋体" w:eastAsia="宋体"/>
          <w:color w:val="auto"/>
          <w:sz w:val="21"/>
          <w:szCs w:val="21"/>
          <w:highlight w:val="none"/>
          <w:lang w:eastAsia="zh-CN"/>
        </w:rPr>
        <w:t>内支付该批次货款的40%作为预付款，同时</w:t>
      </w:r>
      <w:r>
        <w:rPr>
          <w:rFonts w:hint="eastAsia" w:ascii="宋体" w:hAnsi="宋体" w:eastAsia="宋体"/>
          <w:color w:val="auto"/>
          <w:sz w:val="21"/>
          <w:szCs w:val="21"/>
          <w:highlight w:val="none"/>
          <w:lang w:val="en-US" w:eastAsia="zh-CN"/>
        </w:rPr>
        <w:t>乙方</w:t>
      </w:r>
      <w:r>
        <w:rPr>
          <w:rFonts w:hint="eastAsia" w:ascii="宋体" w:hAnsi="宋体" w:eastAsia="宋体"/>
          <w:color w:val="auto"/>
          <w:sz w:val="21"/>
          <w:szCs w:val="21"/>
          <w:highlight w:val="none"/>
          <w:lang w:eastAsia="zh-CN"/>
        </w:rPr>
        <w:t>向</w:t>
      </w:r>
      <w:r>
        <w:rPr>
          <w:rFonts w:hint="eastAsia" w:ascii="宋体" w:hAnsi="宋体" w:eastAsia="宋体"/>
          <w:color w:val="auto"/>
          <w:sz w:val="21"/>
          <w:szCs w:val="21"/>
          <w:highlight w:val="none"/>
          <w:lang w:val="en-US" w:eastAsia="zh-CN"/>
        </w:rPr>
        <w:t>甲方</w:t>
      </w:r>
      <w:r>
        <w:rPr>
          <w:rFonts w:hint="eastAsia" w:ascii="宋体" w:hAnsi="宋体" w:eastAsia="宋体"/>
          <w:color w:val="auto"/>
          <w:sz w:val="21"/>
          <w:szCs w:val="21"/>
          <w:highlight w:val="none"/>
          <w:lang w:eastAsia="zh-CN"/>
        </w:rPr>
        <w:t>提交同等金额的预付款保函；每批货到验收合格后，根据质量抽查检验合格结果，双方在每月25日之前对帐，次月10日前支付上月经验收合格批次的全额费用</w:t>
      </w:r>
      <w:r>
        <w:rPr>
          <w:rFonts w:hint="eastAsia" w:ascii="宋体" w:hAnsi="宋体" w:eastAsia="宋体"/>
          <w:color w:val="auto"/>
          <w:sz w:val="21"/>
          <w:szCs w:val="21"/>
          <w:highlight w:val="none"/>
          <w:lang w:val="en-US" w:eastAsia="zh-CN"/>
        </w:rPr>
        <w:t>并退还</w:t>
      </w:r>
      <w:r>
        <w:rPr>
          <w:rFonts w:hint="eastAsia" w:ascii="宋体" w:hAnsi="宋体" w:eastAsia="宋体"/>
          <w:color w:val="auto"/>
          <w:sz w:val="21"/>
          <w:szCs w:val="21"/>
          <w:highlight w:val="none"/>
          <w:lang w:eastAsia="zh-CN"/>
        </w:rPr>
        <w:t>上月</w:t>
      </w:r>
      <w:r>
        <w:rPr>
          <w:rFonts w:hint="eastAsia" w:ascii="宋体" w:hAnsi="宋体" w:eastAsia="宋体"/>
          <w:color w:val="auto"/>
          <w:sz w:val="21"/>
          <w:szCs w:val="21"/>
          <w:highlight w:val="none"/>
          <w:lang w:val="en-US" w:eastAsia="zh-CN"/>
        </w:rPr>
        <w:t>预付款保函</w:t>
      </w:r>
      <w:r>
        <w:rPr>
          <w:rFonts w:hint="eastAsia" w:ascii="宋体" w:hAnsi="宋体" w:eastAsia="宋体"/>
          <w:color w:val="auto"/>
          <w:sz w:val="21"/>
          <w:szCs w:val="21"/>
          <w:highlight w:val="none"/>
          <w:lang w:eastAsia="zh-CN"/>
        </w:rPr>
        <w:t>。</w:t>
      </w:r>
    </w:p>
    <w:p w14:paraId="617DAA73">
      <w:pPr>
        <w:pStyle w:val="4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注：每次付款前，</w:t>
      </w:r>
      <w:r>
        <w:rPr>
          <w:rFonts w:hint="eastAsia" w:hAnsi="宋体"/>
          <w:color w:val="auto"/>
          <w:sz w:val="21"/>
          <w:szCs w:val="21"/>
          <w:highlight w:val="none"/>
          <w:lang w:val="en-US" w:eastAsia="zh-CN"/>
        </w:rPr>
        <w:t>乙方</w:t>
      </w:r>
      <w:r>
        <w:rPr>
          <w:rFonts w:hint="eastAsia" w:ascii="宋体" w:hAnsi="宋体" w:eastAsia="宋体"/>
          <w:color w:val="auto"/>
          <w:sz w:val="21"/>
          <w:szCs w:val="21"/>
          <w:highlight w:val="none"/>
          <w:lang w:eastAsia="zh-CN"/>
        </w:rPr>
        <w:t>需提供全额增值税专用发票【提供增值税税率不低于13%，如</w:t>
      </w:r>
      <w:r>
        <w:rPr>
          <w:rFonts w:hint="eastAsia" w:hAnsi="宋体"/>
          <w:color w:val="auto"/>
          <w:sz w:val="21"/>
          <w:szCs w:val="21"/>
          <w:highlight w:val="none"/>
          <w:lang w:val="en-US" w:eastAsia="zh-CN"/>
        </w:rPr>
        <w:t>乙方</w:t>
      </w:r>
      <w:r>
        <w:rPr>
          <w:rFonts w:hint="eastAsia" w:ascii="宋体" w:hAnsi="宋体" w:eastAsia="宋体"/>
          <w:color w:val="auto"/>
          <w:sz w:val="21"/>
          <w:szCs w:val="21"/>
          <w:highlight w:val="none"/>
          <w:lang w:eastAsia="zh-CN"/>
        </w:rPr>
        <w:t>提供发票的增值税税率低于13%的，差额部分在当期应付款项中扣回】。</w:t>
      </w:r>
    </w:p>
    <w:p w14:paraId="3DDC3295">
      <w:pPr>
        <w:pStyle w:val="4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 xml:space="preserve">10.2 </w:t>
      </w:r>
      <w:r>
        <w:rPr>
          <w:rFonts w:hint="eastAsia" w:ascii="宋体" w:hAnsi="宋体" w:eastAsia="宋体"/>
          <w:color w:val="auto"/>
          <w:sz w:val="21"/>
          <w:szCs w:val="21"/>
          <w:highlight w:val="none"/>
        </w:rPr>
        <w:t>当采购数量与实际使用数量不一致时，乙方应根据实际使用量供货，合同的最终结算金额按实际使用量乘以中标单价进行计算。</w:t>
      </w:r>
    </w:p>
    <w:p w14:paraId="1FF0FC4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十一、税</w:t>
      </w:r>
    </w:p>
    <w:p w14:paraId="4C3A34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本合同执行中相关的一切税费均由</w:t>
      </w:r>
      <w:r>
        <w:rPr>
          <w:rFonts w:hint="eastAsia" w:ascii="宋体" w:hAnsi="宋体"/>
          <w:color w:val="auto"/>
          <w:sz w:val="21"/>
          <w:szCs w:val="21"/>
          <w:highlight w:val="none"/>
          <w:lang w:val="en-US" w:eastAsia="zh-CN"/>
        </w:rPr>
        <w:t>乙方</w:t>
      </w:r>
      <w:r>
        <w:rPr>
          <w:rFonts w:hint="eastAsia" w:ascii="宋体" w:hAnsi="宋体" w:eastAsia="宋体"/>
          <w:color w:val="auto"/>
          <w:sz w:val="21"/>
          <w:szCs w:val="21"/>
          <w:highlight w:val="none"/>
        </w:rPr>
        <w:t>负担。</w:t>
      </w:r>
    </w:p>
    <w:p w14:paraId="748AAF4A">
      <w:pPr>
        <w:pStyle w:val="4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十二、质量保证及售后服务</w:t>
      </w:r>
    </w:p>
    <w:p w14:paraId="33A0E5B5">
      <w:pPr>
        <w:pStyle w:val="4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12.1</w:t>
      </w:r>
      <w:r>
        <w:rPr>
          <w:rFonts w:hint="eastAsia" w:ascii="宋体" w:hAnsi="宋体" w:eastAsia="宋体"/>
          <w:color w:val="auto"/>
          <w:sz w:val="21"/>
          <w:szCs w:val="21"/>
          <w:highlight w:val="none"/>
          <w:lang w:eastAsia="zh-CN"/>
        </w:rPr>
        <w:t>乙方</w:t>
      </w:r>
      <w:r>
        <w:rPr>
          <w:rFonts w:hint="eastAsia" w:ascii="宋体" w:hAnsi="宋体" w:eastAsia="宋体"/>
          <w:color w:val="auto"/>
          <w:sz w:val="21"/>
          <w:szCs w:val="21"/>
          <w:highlight w:val="none"/>
        </w:rPr>
        <w:t>提供具有完善的售后服务体系的说明，以验证其售后服务情况。</w:t>
      </w:r>
    </w:p>
    <w:p w14:paraId="5CE6C40F">
      <w:pPr>
        <w:pStyle w:val="4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12.2</w:t>
      </w:r>
      <w:r>
        <w:rPr>
          <w:rFonts w:hint="eastAsia" w:ascii="宋体" w:hAnsi="宋体" w:eastAsia="宋体"/>
          <w:color w:val="auto"/>
          <w:sz w:val="21"/>
          <w:szCs w:val="21"/>
          <w:highlight w:val="none"/>
        </w:rPr>
        <w:t>货物送达指定地点经</w:t>
      </w:r>
      <w:r>
        <w:rPr>
          <w:rFonts w:hint="eastAsia" w:hAnsi="宋体"/>
          <w:color w:val="auto"/>
          <w:sz w:val="21"/>
          <w:szCs w:val="21"/>
          <w:highlight w:val="none"/>
          <w:lang w:val="en-US" w:eastAsia="zh-CN"/>
        </w:rPr>
        <w:t>甲方</w:t>
      </w:r>
      <w:r>
        <w:rPr>
          <w:rFonts w:hint="eastAsia" w:ascii="宋体" w:hAnsi="宋体" w:eastAsia="宋体"/>
          <w:color w:val="auto"/>
          <w:sz w:val="21"/>
          <w:szCs w:val="21"/>
          <w:highlight w:val="none"/>
        </w:rPr>
        <w:t>确认货物数量，同时随车提供产品质量合格证、检测报告。接受</w:t>
      </w:r>
      <w:r>
        <w:rPr>
          <w:rFonts w:hint="eastAsia" w:hAnsi="宋体"/>
          <w:color w:val="auto"/>
          <w:sz w:val="21"/>
          <w:szCs w:val="21"/>
          <w:highlight w:val="none"/>
          <w:lang w:val="en-US" w:eastAsia="zh-CN"/>
        </w:rPr>
        <w:t>甲方</w:t>
      </w:r>
      <w:r>
        <w:rPr>
          <w:rFonts w:hint="eastAsia" w:ascii="宋体" w:hAnsi="宋体" w:eastAsia="宋体"/>
          <w:color w:val="auto"/>
          <w:sz w:val="21"/>
          <w:szCs w:val="21"/>
          <w:highlight w:val="none"/>
        </w:rPr>
        <w:t>不定期到生产现场抽查，以确保净水药剂质量。</w:t>
      </w:r>
    </w:p>
    <w:p w14:paraId="132AF8F7">
      <w:pPr>
        <w:pStyle w:val="4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12.3</w:t>
      </w:r>
      <w:r>
        <w:rPr>
          <w:rFonts w:hint="eastAsia" w:ascii="宋体" w:hAnsi="宋体" w:eastAsia="宋体"/>
          <w:color w:val="auto"/>
          <w:sz w:val="21"/>
          <w:szCs w:val="21"/>
          <w:highlight w:val="none"/>
          <w:lang w:eastAsia="zh-CN"/>
        </w:rPr>
        <w:t>乙方</w:t>
      </w:r>
      <w:r>
        <w:rPr>
          <w:rFonts w:hint="eastAsia" w:ascii="宋体" w:hAnsi="宋体" w:eastAsia="宋体"/>
          <w:color w:val="auto"/>
          <w:sz w:val="21"/>
          <w:szCs w:val="21"/>
          <w:highlight w:val="none"/>
        </w:rPr>
        <w:t>确保专车对</w:t>
      </w:r>
      <w:r>
        <w:rPr>
          <w:rFonts w:hint="eastAsia" w:hAnsi="宋体"/>
          <w:color w:val="auto"/>
          <w:sz w:val="21"/>
          <w:szCs w:val="21"/>
          <w:highlight w:val="none"/>
          <w:lang w:val="en-US" w:eastAsia="zh-CN"/>
        </w:rPr>
        <w:t>甲方</w:t>
      </w:r>
      <w:r>
        <w:rPr>
          <w:rFonts w:hint="eastAsia" w:ascii="宋体" w:hAnsi="宋体" w:eastAsia="宋体"/>
          <w:color w:val="auto"/>
          <w:sz w:val="21"/>
          <w:szCs w:val="21"/>
          <w:highlight w:val="none"/>
        </w:rPr>
        <w:t>进行次氯酸钠（液体）的运输，在中标合同签订中需将该车辆的行驶证和车辆全景照片向</w:t>
      </w:r>
      <w:r>
        <w:rPr>
          <w:rFonts w:hint="eastAsia" w:ascii="宋体" w:hAnsi="宋体" w:eastAsia="宋体"/>
          <w:color w:val="auto"/>
          <w:sz w:val="21"/>
          <w:szCs w:val="21"/>
          <w:highlight w:val="none"/>
          <w:lang w:eastAsia="zh-CN"/>
        </w:rPr>
        <w:t>采购人</w:t>
      </w:r>
      <w:r>
        <w:rPr>
          <w:rFonts w:hint="eastAsia" w:ascii="宋体" w:hAnsi="宋体" w:eastAsia="宋体"/>
          <w:color w:val="auto"/>
          <w:sz w:val="21"/>
          <w:szCs w:val="21"/>
          <w:highlight w:val="none"/>
        </w:rPr>
        <w:t>进行备案，若在实际运输中遇特殊情况需更换车辆的，</w:t>
      </w:r>
      <w:r>
        <w:rPr>
          <w:rFonts w:hint="eastAsia" w:ascii="宋体" w:hAnsi="宋体" w:eastAsia="宋体"/>
          <w:color w:val="auto"/>
          <w:sz w:val="21"/>
          <w:szCs w:val="21"/>
          <w:highlight w:val="none"/>
          <w:lang w:eastAsia="zh-CN"/>
        </w:rPr>
        <w:t>乙方</w:t>
      </w:r>
      <w:r>
        <w:rPr>
          <w:rFonts w:hint="eastAsia" w:ascii="宋体" w:hAnsi="宋体" w:eastAsia="宋体"/>
          <w:color w:val="auto"/>
          <w:sz w:val="21"/>
          <w:szCs w:val="21"/>
          <w:highlight w:val="none"/>
        </w:rPr>
        <w:t>需向</w:t>
      </w:r>
      <w:r>
        <w:rPr>
          <w:rFonts w:hint="eastAsia" w:ascii="宋体" w:hAnsi="宋体" w:eastAsia="宋体"/>
          <w:color w:val="auto"/>
          <w:sz w:val="21"/>
          <w:szCs w:val="21"/>
          <w:highlight w:val="none"/>
          <w:lang w:val="en-US" w:eastAsia="zh-CN"/>
        </w:rPr>
        <w:t>甲方</w:t>
      </w:r>
      <w:r>
        <w:rPr>
          <w:rFonts w:hint="eastAsia" w:ascii="宋体" w:hAnsi="宋体" w:eastAsia="宋体"/>
          <w:color w:val="auto"/>
          <w:sz w:val="21"/>
          <w:szCs w:val="21"/>
          <w:highlight w:val="none"/>
        </w:rPr>
        <w:t>提前书面告知获得</w:t>
      </w:r>
      <w:r>
        <w:rPr>
          <w:rFonts w:hint="eastAsia" w:ascii="宋体" w:hAnsi="宋体" w:eastAsia="宋体"/>
          <w:color w:val="auto"/>
          <w:sz w:val="21"/>
          <w:szCs w:val="21"/>
          <w:highlight w:val="none"/>
          <w:lang w:val="en-US" w:eastAsia="zh-CN"/>
        </w:rPr>
        <w:t>甲方</w:t>
      </w:r>
      <w:r>
        <w:rPr>
          <w:rFonts w:hint="eastAsia" w:ascii="宋体" w:hAnsi="宋体" w:eastAsia="宋体"/>
          <w:color w:val="auto"/>
          <w:sz w:val="21"/>
          <w:szCs w:val="21"/>
          <w:highlight w:val="none"/>
        </w:rPr>
        <w:t>同意后方可更换。若</w:t>
      </w:r>
      <w:r>
        <w:rPr>
          <w:rFonts w:hint="eastAsia" w:ascii="宋体" w:hAnsi="宋体" w:eastAsia="宋体"/>
          <w:color w:val="auto"/>
          <w:sz w:val="21"/>
          <w:szCs w:val="21"/>
          <w:highlight w:val="none"/>
          <w:lang w:eastAsia="zh-CN"/>
        </w:rPr>
        <w:t>乙方</w:t>
      </w:r>
      <w:r>
        <w:rPr>
          <w:rFonts w:hint="eastAsia" w:ascii="宋体" w:hAnsi="宋体" w:eastAsia="宋体"/>
          <w:color w:val="auto"/>
          <w:sz w:val="21"/>
          <w:szCs w:val="21"/>
          <w:highlight w:val="none"/>
        </w:rPr>
        <w:t>擅自更换</w:t>
      </w:r>
      <w:r>
        <w:rPr>
          <w:rFonts w:hint="eastAsia" w:ascii="宋体" w:hAnsi="宋体" w:eastAsia="宋体"/>
          <w:color w:val="auto"/>
          <w:sz w:val="21"/>
          <w:szCs w:val="21"/>
          <w:highlight w:val="none"/>
          <w:lang w:val="en-US" w:eastAsia="zh-CN"/>
        </w:rPr>
        <w:t>甲方</w:t>
      </w:r>
      <w:r>
        <w:rPr>
          <w:rFonts w:hint="eastAsia" w:ascii="宋体" w:hAnsi="宋体" w:eastAsia="宋体"/>
          <w:color w:val="auto"/>
          <w:sz w:val="21"/>
          <w:szCs w:val="21"/>
          <w:highlight w:val="none"/>
        </w:rPr>
        <w:t>有权不接受该车货物并按</w:t>
      </w:r>
      <w:r>
        <w:rPr>
          <w:rFonts w:hint="eastAsia" w:ascii="宋体" w:hAnsi="宋体" w:eastAsia="宋体"/>
          <w:color w:val="auto"/>
          <w:sz w:val="21"/>
          <w:szCs w:val="21"/>
          <w:highlight w:val="none"/>
          <w:lang w:eastAsia="zh-CN"/>
        </w:rPr>
        <w:t>乙方</w:t>
      </w:r>
      <w:r>
        <w:rPr>
          <w:rFonts w:hint="eastAsia" w:ascii="宋体" w:hAnsi="宋体" w:eastAsia="宋体"/>
          <w:color w:val="auto"/>
          <w:sz w:val="21"/>
          <w:szCs w:val="21"/>
          <w:highlight w:val="none"/>
        </w:rPr>
        <w:t>未履行合约进行处罚。</w:t>
      </w:r>
      <w:r>
        <w:rPr>
          <w:rFonts w:hint="eastAsia" w:ascii="宋体" w:hAnsi="宋体" w:eastAsia="宋体"/>
          <w:color w:val="auto"/>
          <w:sz w:val="21"/>
          <w:szCs w:val="21"/>
          <w:highlight w:val="none"/>
          <w:lang w:eastAsia="zh-CN"/>
        </w:rPr>
        <w:t>乙方</w:t>
      </w:r>
      <w:r>
        <w:rPr>
          <w:rFonts w:hint="eastAsia" w:ascii="宋体" w:hAnsi="宋体" w:eastAsia="宋体"/>
          <w:color w:val="auto"/>
          <w:sz w:val="21"/>
          <w:szCs w:val="21"/>
          <w:highlight w:val="none"/>
        </w:rPr>
        <w:t>不同吨位的专车对</w:t>
      </w:r>
      <w:r>
        <w:rPr>
          <w:rFonts w:hint="eastAsia" w:ascii="宋体" w:hAnsi="宋体" w:eastAsia="宋体"/>
          <w:color w:val="auto"/>
          <w:sz w:val="21"/>
          <w:szCs w:val="21"/>
          <w:highlight w:val="none"/>
          <w:lang w:val="en-US" w:eastAsia="zh-CN"/>
        </w:rPr>
        <w:t>甲方</w:t>
      </w:r>
      <w:r>
        <w:rPr>
          <w:rFonts w:hint="eastAsia" w:ascii="宋体" w:hAnsi="宋体" w:eastAsia="宋体"/>
          <w:color w:val="auto"/>
          <w:sz w:val="21"/>
          <w:szCs w:val="21"/>
          <w:highlight w:val="none"/>
        </w:rPr>
        <w:t>进行净水药剂的运输，</w:t>
      </w:r>
      <w:r>
        <w:rPr>
          <w:rFonts w:hint="eastAsia" w:ascii="宋体" w:hAnsi="宋体" w:eastAsia="宋体"/>
          <w:color w:val="auto"/>
          <w:sz w:val="21"/>
          <w:szCs w:val="21"/>
          <w:highlight w:val="none"/>
          <w:lang w:val="en-US" w:eastAsia="zh-CN"/>
        </w:rPr>
        <w:t>甲方</w:t>
      </w:r>
      <w:r>
        <w:rPr>
          <w:rFonts w:hint="eastAsia" w:ascii="宋体" w:hAnsi="宋体" w:eastAsia="宋体"/>
          <w:color w:val="auto"/>
          <w:sz w:val="21"/>
          <w:szCs w:val="21"/>
          <w:highlight w:val="none"/>
        </w:rPr>
        <w:t>提供的运输药剂数量及指定货物送达地点（包括短拨），全部由</w:t>
      </w:r>
      <w:r>
        <w:rPr>
          <w:rFonts w:hint="eastAsia" w:ascii="宋体" w:hAnsi="宋体" w:eastAsia="宋体"/>
          <w:color w:val="auto"/>
          <w:sz w:val="21"/>
          <w:szCs w:val="21"/>
          <w:highlight w:val="none"/>
          <w:lang w:eastAsia="zh-CN"/>
        </w:rPr>
        <w:t>乙方</w:t>
      </w:r>
      <w:r>
        <w:rPr>
          <w:rFonts w:hint="eastAsia" w:ascii="宋体" w:hAnsi="宋体" w:eastAsia="宋体"/>
          <w:color w:val="auto"/>
          <w:sz w:val="21"/>
          <w:szCs w:val="21"/>
          <w:highlight w:val="none"/>
        </w:rPr>
        <w:t>负责，应无条件服从和做到。</w:t>
      </w:r>
    </w:p>
    <w:p w14:paraId="212463ED">
      <w:pPr>
        <w:pStyle w:val="4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12.4</w:t>
      </w:r>
      <w:r>
        <w:rPr>
          <w:rFonts w:hint="eastAsia" w:ascii="宋体" w:hAnsi="宋体" w:eastAsia="宋体"/>
          <w:color w:val="auto"/>
          <w:sz w:val="21"/>
          <w:szCs w:val="21"/>
          <w:highlight w:val="none"/>
          <w:lang w:eastAsia="zh-CN"/>
        </w:rPr>
        <w:t>甲方</w:t>
      </w:r>
      <w:r>
        <w:rPr>
          <w:rFonts w:hint="eastAsia" w:ascii="宋体" w:hAnsi="宋体" w:eastAsia="宋体"/>
          <w:color w:val="auto"/>
          <w:sz w:val="21"/>
          <w:szCs w:val="21"/>
          <w:highlight w:val="none"/>
        </w:rPr>
        <w:t>对</w:t>
      </w:r>
      <w:r>
        <w:rPr>
          <w:rFonts w:hint="eastAsia" w:ascii="宋体" w:hAnsi="宋体" w:eastAsia="宋体"/>
          <w:color w:val="auto"/>
          <w:sz w:val="21"/>
          <w:szCs w:val="21"/>
          <w:highlight w:val="none"/>
          <w:lang w:eastAsia="zh-CN"/>
        </w:rPr>
        <w:t>乙方</w:t>
      </w:r>
      <w:r>
        <w:rPr>
          <w:rFonts w:hint="eastAsia" w:ascii="宋体" w:hAnsi="宋体" w:eastAsia="宋体"/>
          <w:color w:val="auto"/>
          <w:sz w:val="21"/>
          <w:szCs w:val="21"/>
          <w:highlight w:val="none"/>
        </w:rPr>
        <w:t>产品进行两个月不少于一次的检测（检测地点可能为生产厂），检测内容包括生产原料的进货和使用情况（包括数量核对，原料进货发票必须和供货产品数量相匹配）以及货物的质量情况。若检测未达到招标要求的，</w:t>
      </w:r>
      <w:r>
        <w:rPr>
          <w:rFonts w:hint="eastAsia" w:ascii="宋体" w:hAnsi="宋体" w:eastAsia="宋体"/>
          <w:color w:val="auto"/>
          <w:sz w:val="21"/>
          <w:szCs w:val="21"/>
          <w:highlight w:val="none"/>
          <w:lang w:eastAsia="zh-CN"/>
        </w:rPr>
        <w:t>甲方</w:t>
      </w:r>
      <w:r>
        <w:rPr>
          <w:rFonts w:hint="eastAsia" w:ascii="宋体" w:hAnsi="宋体" w:eastAsia="宋体"/>
          <w:color w:val="auto"/>
          <w:sz w:val="21"/>
          <w:szCs w:val="21"/>
          <w:highlight w:val="none"/>
        </w:rPr>
        <w:t>有权中止合同，并由此</w:t>
      </w:r>
      <w:r>
        <w:rPr>
          <w:rFonts w:hint="eastAsia" w:ascii="宋体" w:hAnsi="宋体" w:eastAsia="宋体"/>
          <w:color w:val="auto"/>
          <w:sz w:val="21"/>
          <w:szCs w:val="21"/>
          <w:highlight w:val="none"/>
          <w:lang w:val="en-US" w:eastAsia="zh-CN"/>
        </w:rPr>
        <w:t>对</w:t>
      </w:r>
      <w:r>
        <w:rPr>
          <w:rFonts w:hint="eastAsia" w:ascii="宋体" w:hAnsi="宋体" w:eastAsia="宋体"/>
          <w:color w:val="auto"/>
          <w:sz w:val="21"/>
          <w:szCs w:val="21"/>
          <w:highlight w:val="none"/>
          <w:lang w:eastAsia="zh-CN"/>
        </w:rPr>
        <w:t>甲方</w:t>
      </w:r>
      <w:r>
        <w:rPr>
          <w:rFonts w:hint="eastAsia" w:ascii="宋体" w:hAnsi="宋体" w:eastAsia="宋体"/>
          <w:color w:val="auto"/>
          <w:sz w:val="21"/>
          <w:szCs w:val="21"/>
          <w:highlight w:val="none"/>
        </w:rPr>
        <w:t>造成的损失由</w:t>
      </w:r>
      <w:r>
        <w:rPr>
          <w:rFonts w:hint="eastAsia" w:ascii="宋体" w:hAnsi="宋体" w:eastAsia="宋体"/>
          <w:color w:val="auto"/>
          <w:sz w:val="21"/>
          <w:szCs w:val="21"/>
          <w:highlight w:val="none"/>
          <w:lang w:eastAsia="zh-CN"/>
        </w:rPr>
        <w:t>乙方</w:t>
      </w:r>
      <w:r>
        <w:rPr>
          <w:rFonts w:hint="eastAsia" w:ascii="宋体" w:hAnsi="宋体" w:eastAsia="宋体"/>
          <w:color w:val="auto"/>
          <w:sz w:val="21"/>
          <w:szCs w:val="21"/>
          <w:highlight w:val="none"/>
        </w:rPr>
        <w:t>负责。</w:t>
      </w:r>
    </w:p>
    <w:p w14:paraId="1C21350A">
      <w:pPr>
        <w:pStyle w:val="4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12.5</w:t>
      </w:r>
      <w:r>
        <w:rPr>
          <w:rFonts w:hint="eastAsia" w:ascii="宋体" w:hAnsi="宋体" w:eastAsia="宋体"/>
          <w:color w:val="auto"/>
          <w:sz w:val="21"/>
          <w:szCs w:val="21"/>
          <w:highlight w:val="none"/>
          <w:lang w:eastAsia="zh-CN"/>
        </w:rPr>
        <w:t>甲方</w:t>
      </w:r>
      <w:r>
        <w:rPr>
          <w:rFonts w:hint="eastAsia" w:ascii="宋体" w:hAnsi="宋体" w:eastAsia="宋体"/>
          <w:color w:val="auto"/>
          <w:sz w:val="21"/>
          <w:szCs w:val="21"/>
          <w:highlight w:val="none"/>
        </w:rPr>
        <w:t>对每批供货质量进行抽样检查（质量检验依据以</w:t>
      </w:r>
      <w:r>
        <w:rPr>
          <w:rFonts w:hint="eastAsia" w:ascii="宋体" w:hAnsi="宋体" w:eastAsia="宋体"/>
          <w:color w:val="auto"/>
          <w:sz w:val="21"/>
          <w:szCs w:val="21"/>
          <w:highlight w:val="none"/>
          <w:lang w:eastAsia="zh-CN"/>
        </w:rPr>
        <w:t>乙方</w:t>
      </w:r>
      <w:r>
        <w:rPr>
          <w:rFonts w:hint="eastAsia" w:ascii="宋体" w:hAnsi="宋体" w:eastAsia="宋体"/>
          <w:color w:val="auto"/>
          <w:sz w:val="21"/>
          <w:szCs w:val="21"/>
          <w:highlight w:val="none"/>
        </w:rPr>
        <w:t>提供的小试样品指标为准），若质量检验结果有异，以书面或传真通知</w:t>
      </w:r>
      <w:r>
        <w:rPr>
          <w:rFonts w:hint="eastAsia" w:ascii="宋体" w:hAnsi="宋体" w:eastAsia="宋体"/>
          <w:color w:val="auto"/>
          <w:sz w:val="21"/>
          <w:szCs w:val="21"/>
          <w:highlight w:val="none"/>
          <w:lang w:eastAsia="zh-CN"/>
        </w:rPr>
        <w:t>乙方</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乙方</w:t>
      </w:r>
      <w:r>
        <w:rPr>
          <w:rFonts w:hint="eastAsia" w:ascii="宋体" w:hAnsi="宋体" w:eastAsia="宋体"/>
          <w:color w:val="auto"/>
          <w:sz w:val="21"/>
          <w:szCs w:val="21"/>
          <w:highlight w:val="none"/>
        </w:rPr>
        <w:t>在收到</w:t>
      </w:r>
      <w:r>
        <w:rPr>
          <w:rFonts w:hint="eastAsia" w:ascii="宋体" w:hAnsi="宋体" w:eastAsia="宋体"/>
          <w:color w:val="auto"/>
          <w:sz w:val="21"/>
          <w:szCs w:val="21"/>
          <w:highlight w:val="none"/>
          <w:lang w:eastAsia="zh-CN"/>
        </w:rPr>
        <w:t>甲方</w:t>
      </w:r>
      <w:r>
        <w:rPr>
          <w:rFonts w:hint="eastAsia" w:ascii="宋体" w:hAnsi="宋体" w:eastAsia="宋体"/>
          <w:color w:val="auto"/>
          <w:sz w:val="21"/>
          <w:szCs w:val="21"/>
          <w:highlight w:val="none"/>
        </w:rPr>
        <w:t>通知后的48小时内进行复检，否则视为</w:t>
      </w:r>
      <w:r>
        <w:rPr>
          <w:rFonts w:hint="eastAsia" w:ascii="宋体" w:hAnsi="宋体" w:eastAsia="宋体"/>
          <w:color w:val="auto"/>
          <w:sz w:val="21"/>
          <w:szCs w:val="21"/>
          <w:highlight w:val="none"/>
          <w:lang w:eastAsia="zh-CN"/>
        </w:rPr>
        <w:t>乙方</w:t>
      </w:r>
      <w:r>
        <w:rPr>
          <w:rFonts w:hint="eastAsia" w:ascii="宋体" w:hAnsi="宋体" w:eastAsia="宋体"/>
          <w:color w:val="auto"/>
          <w:sz w:val="21"/>
          <w:szCs w:val="21"/>
          <w:highlight w:val="none"/>
        </w:rPr>
        <w:t>认同</w:t>
      </w:r>
      <w:r>
        <w:rPr>
          <w:rFonts w:hint="eastAsia" w:hAnsi="宋体"/>
          <w:color w:val="auto"/>
          <w:sz w:val="21"/>
          <w:szCs w:val="21"/>
          <w:highlight w:val="none"/>
          <w:lang w:val="en-US" w:eastAsia="zh-CN"/>
        </w:rPr>
        <w:t>甲方</w:t>
      </w:r>
      <w:r>
        <w:rPr>
          <w:rFonts w:hint="eastAsia" w:ascii="宋体" w:hAnsi="宋体" w:eastAsia="宋体"/>
          <w:color w:val="auto"/>
          <w:sz w:val="21"/>
          <w:szCs w:val="21"/>
          <w:highlight w:val="none"/>
        </w:rPr>
        <w:t>检验结果，检验结果认同后，若</w:t>
      </w:r>
      <w:r>
        <w:rPr>
          <w:rFonts w:hint="eastAsia" w:ascii="宋体" w:hAnsi="宋体" w:eastAsia="宋体"/>
          <w:color w:val="auto"/>
          <w:sz w:val="21"/>
          <w:szCs w:val="21"/>
          <w:highlight w:val="none"/>
          <w:lang w:eastAsia="zh-CN"/>
        </w:rPr>
        <w:t>甲方</w:t>
      </w:r>
      <w:r>
        <w:rPr>
          <w:rFonts w:hint="eastAsia" w:ascii="宋体" w:hAnsi="宋体" w:eastAsia="宋体"/>
          <w:color w:val="auto"/>
          <w:sz w:val="21"/>
          <w:szCs w:val="21"/>
          <w:highlight w:val="none"/>
        </w:rPr>
        <w:t>检测原液有效氯（以Cl计）质量分数低于10%，按低于标准含量的百分点数扣除当批次货物数量相应的百分点：例如当批次有效氯（以Cl计）的质量分数为9.9%，则支付当批次货物数量的99%。</w:t>
      </w:r>
    </w:p>
    <w:p w14:paraId="41D11180">
      <w:pPr>
        <w:pStyle w:val="4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12.6</w:t>
      </w:r>
      <w:r>
        <w:rPr>
          <w:rFonts w:hint="eastAsia" w:ascii="宋体" w:hAnsi="宋体" w:eastAsia="宋体"/>
          <w:color w:val="auto"/>
          <w:sz w:val="21"/>
          <w:szCs w:val="21"/>
          <w:highlight w:val="none"/>
        </w:rPr>
        <w:t>对于其他指标检测结果超过国家标准的，则</w:t>
      </w:r>
      <w:r>
        <w:rPr>
          <w:rFonts w:hint="eastAsia" w:ascii="宋体" w:hAnsi="宋体" w:eastAsia="宋体"/>
          <w:color w:val="auto"/>
          <w:sz w:val="21"/>
          <w:szCs w:val="21"/>
          <w:highlight w:val="none"/>
          <w:lang w:eastAsia="zh-CN"/>
        </w:rPr>
        <w:t>甲方</w:t>
      </w:r>
      <w:r>
        <w:rPr>
          <w:rFonts w:hint="eastAsia" w:ascii="宋体" w:hAnsi="宋体" w:eastAsia="宋体"/>
          <w:color w:val="auto"/>
          <w:sz w:val="21"/>
          <w:szCs w:val="21"/>
          <w:highlight w:val="none"/>
        </w:rPr>
        <w:t>有权拒付货款并要求</w:t>
      </w:r>
      <w:r>
        <w:rPr>
          <w:rFonts w:hint="eastAsia" w:ascii="宋体" w:hAnsi="宋体" w:eastAsia="宋体"/>
          <w:color w:val="auto"/>
          <w:sz w:val="21"/>
          <w:szCs w:val="21"/>
          <w:highlight w:val="none"/>
          <w:lang w:eastAsia="zh-CN"/>
        </w:rPr>
        <w:t>乙方</w:t>
      </w:r>
      <w:r>
        <w:rPr>
          <w:rFonts w:hint="eastAsia" w:ascii="宋体" w:hAnsi="宋体" w:eastAsia="宋体"/>
          <w:color w:val="auto"/>
          <w:sz w:val="21"/>
          <w:szCs w:val="21"/>
          <w:highlight w:val="none"/>
        </w:rPr>
        <w:t>停止供货进行整改，如第二次抽样检测结果依然是超过国家标准的，则供货合同终止。</w:t>
      </w:r>
    </w:p>
    <w:p w14:paraId="1AAB7EC0">
      <w:pPr>
        <w:pStyle w:val="4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12.7</w:t>
      </w:r>
      <w:r>
        <w:rPr>
          <w:rFonts w:hint="eastAsia" w:ascii="宋体" w:hAnsi="宋体" w:eastAsia="宋体"/>
          <w:color w:val="auto"/>
          <w:sz w:val="21"/>
          <w:szCs w:val="21"/>
          <w:highlight w:val="none"/>
        </w:rPr>
        <w:t>在供货过程中，</w:t>
      </w:r>
      <w:r>
        <w:rPr>
          <w:rFonts w:hint="eastAsia" w:ascii="宋体" w:hAnsi="宋体" w:eastAsia="宋体"/>
          <w:color w:val="auto"/>
          <w:sz w:val="21"/>
          <w:szCs w:val="21"/>
          <w:highlight w:val="none"/>
          <w:lang w:eastAsia="zh-CN"/>
        </w:rPr>
        <w:t>甲方</w:t>
      </w:r>
      <w:r>
        <w:rPr>
          <w:rFonts w:hint="eastAsia" w:ascii="宋体" w:hAnsi="宋体" w:eastAsia="宋体"/>
          <w:color w:val="auto"/>
          <w:sz w:val="21"/>
          <w:szCs w:val="21"/>
          <w:highlight w:val="none"/>
        </w:rPr>
        <w:t>有权根据原水水质变化情况，要求</w:t>
      </w:r>
      <w:r>
        <w:rPr>
          <w:rFonts w:hint="eastAsia" w:ascii="宋体" w:hAnsi="宋体" w:eastAsia="宋体"/>
          <w:color w:val="auto"/>
          <w:sz w:val="21"/>
          <w:szCs w:val="21"/>
          <w:highlight w:val="none"/>
          <w:lang w:eastAsia="zh-CN"/>
        </w:rPr>
        <w:t>乙方</w:t>
      </w:r>
      <w:r>
        <w:rPr>
          <w:rFonts w:hint="eastAsia" w:ascii="宋体" w:hAnsi="宋体" w:eastAsia="宋体"/>
          <w:color w:val="auto"/>
          <w:sz w:val="21"/>
          <w:szCs w:val="21"/>
          <w:highlight w:val="none"/>
        </w:rPr>
        <w:t>调整产品的配方，确保水处理效果。</w:t>
      </w:r>
    </w:p>
    <w:p w14:paraId="789F1C7D">
      <w:pPr>
        <w:pStyle w:val="4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12.8</w:t>
      </w:r>
      <w:r>
        <w:rPr>
          <w:rFonts w:hint="eastAsia" w:ascii="宋体" w:hAnsi="宋体" w:eastAsia="宋体"/>
          <w:color w:val="auto"/>
          <w:sz w:val="21"/>
          <w:szCs w:val="21"/>
          <w:highlight w:val="none"/>
        </w:rPr>
        <w:t>若国家实行新的标准（以国家下发执行文件明确实施时间起），</w:t>
      </w:r>
      <w:r>
        <w:rPr>
          <w:rFonts w:hint="eastAsia" w:ascii="宋体" w:hAnsi="宋体" w:eastAsia="宋体"/>
          <w:color w:val="auto"/>
          <w:sz w:val="21"/>
          <w:szCs w:val="21"/>
          <w:highlight w:val="none"/>
          <w:lang w:eastAsia="zh-CN"/>
        </w:rPr>
        <w:t>乙方</w:t>
      </w:r>
      <w:r>
        <w:rPr>
          <w:rFonts w:hint="eastAsia" w:ascii="宋体" w:hAnsi="宋体" w:eastAsia="宋体"/>
          <w:color w:val="auto"/>
          <w:sz w:val="21"/>
          <w:szCs w:val="21"/>
          <w:highlight w:val="none"/>
        </w:rPr>
        <w:t>需无条件按新标准执行，并承诺以中标价格不发生任何变化。若</w:t>
      </w:r>
      <w:r>
        <w:rPr>
          <w:rFonts w:hint="eastAsia" w:ascii="宋体" w:hAnsi="宋体" w:eastAsia="宋体"/>
          <w:color w:val="auto"/>
          <w:sz w:val="21"/>
          <w:szCs w:val="21"/>
          <w:highlight w:val="none"/>
          <w:lang w:eastAsia="zh-CN"/>
        </w:rPr>
        <w:t>乙方</w:t>
      </w:r>
      <w:r>
        <w:rPr>
          <w:rFonts w:hint="eastAsia" w:ascii="宋体" w:hAnsi="宋体" w:eastAsia="宋体"/>
          <w:color w:val="auto"/>
          <w:sz w:val="21"/>
          <w:szCs w:val="21"/>
          <w:highlight w:val="none"/>
        </w:rPr>
        <w:t>无法执行新标准或不接受原中标价格。</w:t>
      </w:r>
      <w:r>
        <w:rPr>
          <w:rFonts w:hint="eastAsia" w:ascii="宋体" w:hAnsi="宋体" w:eastAsia="宋体"/>
          <w:color w:val="auto"/>
          <w:sz w:val="21"/>
          <w:szCs w:val="21"/>
          <w:highlight w:val="none"/>
          <w:lang w:eastAsia="zh-CN"/>
        </w:rPr>
        <w:t>甲方</w:t>
      </w:r>
      <w:r>
        <w:rPr>
          <w:rFonts w:hint="eastAsia" w:ascii="宋体" w:hAnsi="宋体" w:eastAsia="宋体"/>
          <w:color w:val="auto"/>
          <w:sz w:val="21"/>
          <w:szCs w:val="21"/>
          <w:highlight w:val="none"/>
        </w:rPr>
        <w:t>自动将与</w:t>
      </w:r>
      <w:r>
        <w:rPr>
          <w:rFonts w:hint="eastAsia" w:ascii="宋体" w:hAnsi="宋体" w:eastAsia="宋体"/>
          <w:color w:val="auto"/>
          <w:sz w:val="21"/>
          <w:szCs w:val="21"/>
          <w:highlight w:val="none"/>
          <w:lang w:eastAsia="zh-CN"/>
        </w:rPr>
        <w:t>乙方</w:t>
      </w:r>
      <w:r>
        <w:rPr>
          <w:rFonts w:hint="eastAsia" w:ascii="宋体" w:hAnsi="宋体" w:eastAsia="宋体"/>
          <w:color w:val="auto"/>
          <w:sz w:val="21"/>
          <w:szCs w:val="21"/>
          <w:highlight w:val="none"/>
        </w:rPr>
        <w:t>解约。</w:t>
      </w:r>
    </w:p>
    <w:p w14:paraId="73969973">
      <w:pPr>
        <w:pStyle w:val="4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12.9</w:t>
      </w:r>
      <w:r>
        <w:rPr>
          <w:rFonts w:hint="eastAsia" w:hAnsi="宋体"/>
          <w:color w:val="auto"/>
          <w:kern w:val="0"/>
          <w:szCs w:val="21"/>
          <w:highlight w:val="none"/>
          <w:lang w:val="en-US" w:eastAsia="zh-CN"/>
        </w:rPr>
        <w:t>乙方</w:t>
      </w:r>
      <w:r>
        <w:rPr>
          <w:rFonts w:hint="eastAsia" w:ascii="宋体" w:hAnsi="宋体" w:eastAsia="宋体"/>
          <w:color w:val="auto"/>
          <w:kern w:val="0"/>
          <w:szCs w:val="21"/>
          <w:highlight w:val="none"/>
        </w:rPr>
        <w:t>提供不同吨位的专车对</w:t>
      </w:r>
      <w:r>
        <w:rPr>
          <w:rFonts w:hint="eastAsia" w:ascii="宋体" w:hAnsi="宋体" w:eastAsia="宋体"/>
          <w:color w:val="auto"/>
          <w:kern w:val="0"/>
          <w:szCs w:val="21"/>
          <w:highlight w:val="none"/>
          <w:lang w:eastAsia="zh-CN"/>
        </w:rPr>
        <w:t>采购人</w:t>
      </w:r>
      <w:r>
        <w:rPr>
          <w:rFonts w:hint="eastAsia" w:ascii="宋体" w:hAnsi="宋体" w:eastAsia="宋体"/>
          <w:color w:val="auto"/>
          <w:kern w:val="0"/>
          <w:szCs w:val="21"/>
          <w:highlight w:val="none"/>
        </w:rPr>
        <w:t>进行净水药剂的运输，</w:t>
      </w:r>
      <w:r>
        <w:rPr>
          <w:rFonts w:hint="eastAsia" w:hAnsi="宋体"/>
          <w:color w:val="auto"/>
          <w:kern w:val="0"/>
          <w:szCs w:val="21"/>
          <w:highlight w:val="none"/>
          <w:lang w:val="en-US" w:eastAsia="zh-CN"/>
        </w:rPr>
        <w:t>甲方</w:t>
      </w:r>
      <w:r>
        <w:rPr>
          <w:rFonts w:hint="eastAsia" w:ascii="宋体" w:hAnsi="宋体" w:eastAsia="宋体"/>
          <w:color w:val="auto"/>
          <w:kern w:val="0"/>
          <w:szCs w:val="21"/>
          <w:highlight w:val="none"/>
        </w:rPr>
        <w:t>提供的运输药剂数量及指定货物送达地点（包括短拨），全部由</w:t>
      </w:r>
      <w:r>
        <w:rPr>
          <w:rFonts w:hint="eastAsia" w:hAnsi="宋体"/>
          <w:color w:val="auto"/>
          <w:kern w:val="0"/>
          <w:szCs w:val="21"/>
          <w:highlight w:val="none"/>
          <w:lang w:val="en-US" w:eastAsia="zh-CN"/>
        </w:rPr>
        <w:t>乙方</w:t>
      </w:r>
      <w:r>
        <w:rPr>
          <w:rFonts w:hint="eastAsia" w:ascii="宋体" w:hAnsi="宋体" w:eastAsia="宋体"/>
          <w:color w:val="auto"/>
          <w:kern w:val="0"/>
          <w:szCs w:val="21"/>
          <w:highlight w:val="none"/>
        </w:rPr>
        <w:t>负责，应无条件服从和做到</w:t>
      </w:r>
      <w:r>
        <w:rPr>
          <w:rFonts w:hint="eastAsia" w:hAnsi="宋体"/>
          <w:color w:val="auto"/>
          <w:kern w:val="0"/>
          <w:szCs w:val="21"/>
          <w:highlight w:val="none"/>
          <w:lang w:eastAsia="zh-CN"/>
        </w:rPr>
        <w:t>。</w:t>
      </w:r>
    </w:p>
    <w:p w14:paraId="2D40FE52">
      <w:pPr>
        <w:pStyle w:val="4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十三、调试和验收</w:t>
      </w:r>
    </w:p>
    <w:p w14:paraId="61B69DDF">
      <w:pPr>
        <w:pStyle w:val="43"/>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contextualSpacing/>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13.1 甲方对乙方提交的货物依据</w:t>
      </w:r>
      <w:r>
        <w:rPr>
          <w:rFonts w:hint="eastAsia" w:ascii="宋体" w:hAnsi="宋体" w:eastAsia="宋体"/>
          <w:color w:val="auto"/>
          <w:sz w:val="21"/>
          <w:szCs w:val="21"/>
          <w:highlight w:val="none"/>
          <w:lang w:val="en-US" w:eastAsia="zh-CN"/>
        </w:rPr>
        <w:t>样品（如有）、</w:t>
      </w:r>
      <w:r>
        <w:rPr>
          <w:rFonts w:hint="eastAsia" w:ascii="宋体" w:hAnsi="宋体" w:eastAsia="宋体"/>
          <w:color w:val="auto"/>
          <w:sz w:val="21"/>
          <w:szCs w:val="21"/>
          <w:highlight w:val="none"/>
        </w:rPr>
        <w:t>招标文件上的技术规格要求和国家有关质量标准进行现场初步验收，外观、说明书</w:t>
      </w:r>
      <w:r>
        <w:rPr>
          <w:rFonts w:hint="eastAsia" w:ascii="宋体" w:hAnsi="宋体" w:eastAsia="宋体"/>
          <w:color w:val="auto"/>
          <w:sz w:val="21"/>
          <w:szCs w:val="21"/>
          <w:highlight w:val="none"/>
          <w:lang w:val="en-US" w:eastAsia="zh-CN"/>
        </w:rPr>
        <w:t>与</w:t>
      </w:r>
      <w:r>
        <w:rPr>
          <w:rFonts w:hint="eastAsia" w:ascii="宋体" w:hAnsi="宋体" w:eastAsia="宋体"/>
          <w:color w:val="auto"/>
          <w:sz w:val="21"/>
          <w:szCs w:val="21"/>
          <w:highlight w:val="none"/>
        </w:rPr>
        <w:t>样品</w:t>
      </w:r>
      <w:r>
        <w:rPr>
          <w:rFonts w:hint="eastAsia" w:ascii="宋体" w:hAnsi="宋体" w:eastAsia="宋体"/>
          <w:color w:val="auto"/>
          <w:sz w:val="21"/>
          <w:szCs w:val="21"/>
          <w:highlight w:val="none"/>
          <w:lang w:val="en-US" w:eastAsia="zh-CN"/>
        </w:rPr>
        <w:t>一致</w:t>
      </w:r>
      <w:r>
        <w:rPr>
          <w:rFonts w:hint="eastAsia" w:ascii="宋体" w:hAnsi="宋体" w:eastAsia="宋体"/>
          <w:color w:val="auto"/>
          <w:sz w:val="21"/>
          <w:szCs w:val="21"/>
          <w:highlight w:val="none"/>
        </w:rPr>
        <w:t>（如有）符合招标文件技术要求的，给予签收，初步验收不合格的不予签收。</w:t>
      </w:r>
    </w:p>
    <w:p w14:paraId="26D80155">
      <w:pPr>
        <w:pStyle w:val="43"/>
        <w:keepNext w:val="0"/>
        <w:keepLines w:val="0"/>
        <w:pageBreakBefore w:val="0"/>
        <w:widowControl w:val="0"/>
        <w:kinsoku/>
        <w:wordWrap/>
        <w:overflowPunct/>
        <w:topLinePunct w:val="0"/>
        <w:autoSpaceDE/>
        <w:autoSpaceDN/>
        <w:bidi w:val="0"/>
        <w:snapToGrid/>
        <w:spacing w:before="120" w:after="120" w:line="520" w:lineRule="exact"/>
        <w:ind w:firstLine="420" w:firstLineChars="200"/>
        <w:contextualSpacing/>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13.2 乙方交货前应对产品作出全面检查和对验收文件进行整理，并列出清单，作为甲方收货验收和使用的技术条件依据，检验的结果应随货物交甲方。</w:t>
      </w:r>
    </w:p>
    <w:p w14:paraId="7C4221F5">
      <w:pPr>
        <w:pStyle w:val="43"/>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13.</w:t>
      </w:r>
      <w:r>
        <w:rPr>
          <w:rFonts w:hint="eastAsia" w:hAnsi="宋体"/>
          <w:color w:val="auto"/>
          <w:sz w:val="21"/>
          <w:szCs w:val="21"/>
          <w:highlight w:val="none"/>
          <w:lang w:val="en-US" w:eastAsia="zh-CN"/>
        </w:rPr>
        <w:t>3</w:t>
      </w:r>
      <w:r>
        <w:rPr>
          <w:rFonts w:hint="eastAsia" w:ascii="宋体" w:hAnsi="宋体" w:eastAsia="宋体"/>
          <w:color w:val="auto"/>
          <w:sz w:val="21"/>
          <w:szCs w:val="21"/>
          <w:highlight w:val="none"/>
          <w:lang w:val="en-US" w:eastAsia="zh-CN"/>
        </w:rPr>
        <w:t>甲方有权不定期将乙方所供产品送有关部门检测，检测结果具有同等效力。前三次抽检所产生的检测费、送样费、运费等一切费用均由乙方负责，第四次开始，测试结果合格的由甲方支付检测费用，结果不合格由乙方支付检测费用并重新供货组织第二次测试，测试费用由乙方支付。</w:t>
      </w:r>
    </w:p>
    <w:p w14:paraId="07058778">
      <w:pPr>
        <w:pStyle w:val="43"/>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13.</w:t>
      </w:r>
      <w:r>
        <w:rPr>
          <w:rFonts w:hint="eastAsia" w:hAnsi="宋体"/>
          <w:color w:val="auto"/>
          <w:sz w:val="21"/>
          <w:szCs w:val="21"/>
          <w:highlight w:val="none"/>
          <w:lang w:val="en-US" w:eastAsia="zh-CN"/>
        </w:rPr>
        <w:t>4</w:t>
      </w:r>
      <w:r>
        <w:rPr>
          <w:rFonts w:hint="eastAsia" w:ascii="宋体" w:hAnsi="宋体" w:eastAsia="宋体"/>
          <w:color w:val="auto"/>
          <w:sz w:val="21"/>
          <w:szCs w:val="21"/>
          <w:highlight w:val="none"/>
          <w:lang w:val="en-US" w:eastAsia="zh-CN"/>
        </w:rPr>
        <w:t>抽检样品由甲方取样、封存，并由甲方送至第三方机构进行检测。</w:t>
      </w:r>
    </w:p>
    <w:p w14:paraId="2DA38546">
      <w:pPr>
        <w:pStyle w:val="43"/>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13.</w:t>
      </w:r>
      <w:r>
        <w:rPr>
          <w:rFonts w:hint="eastAsia" w:hAnsi="宋体"/>
          <w:color w:val="auto"/>
          <w:sz w:val="21"/>
          <w:szCs w:val="21"/>
          <w:highlight w:val="none"/>
          <w:lang w:val="en-US" w:eastAsia="zh-CN"/>
        </w:rPr>
        <w:t>5</w:t>
      </w:r>
      <w:r>
        <w:rPr>
          <w:rFonts w:hint="eastAsia" w:ascii="宋体" w:hAnsi="宋体" w:eastAsia="宋体"/>
          <w:color w:val="auto"/>
          <w:sz w:val="21"/>
          <w:szCs w:val="21"/>
          <w:highlight w:val="none"/>
          <w:lang w:val="en-US" w:eastAsia="zh-CN"/>
        </w:rPr>
        <w:t>检测内容包括但不仅限于有效氯（以C1计）、游离碱（以NaOH计）、铁（Fe）重金属、（以Pb计）、砷（As）等；氢氧化钠：总碱量（以NaOH计）ω/％、碳酸钠（以Na2CO3计）含量ω/％、砷（As）含量（mg/kg）、重金属（以Pb计）（mg/kg）、汞(Hg)含量（mg/kg），由甲方随机抽取确定送检内容。</w:t>
      </w:r>
    </w:p>
    <w:p w14:paraId="6D2407E0">
      <w:pPr>
        <w:pStyle w:val="43"/>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13.</w:t>
      </w:r>
      <w:r>
        <w:rPr>
          <w:rFonts w:hint="eastAsia" w:hAnsi="宋体"/>
          <w:color w:val="auto"/>
          <w:sz w:val="21"/>
          <w:szCs w:val="21"/>
          <w:highlight w:val="none"/>
          <w:lang w:val="en-US" w:eastAsia="zh-CN"/>
        </w:rPr>
        <w:t>6</w:t>
      </w:r>
      <w:r>
        <w:rPr>
          <w:rFonts w:hint="eastAsia" w:ascii="宋体" w:hAnsi="宋体" w:eastAsia="宋体"/>
          <w:color w:val="auto"/>
          <w:sz w:val="21"/>
          <w:szCs w:val="21"/>
          <w:highlight w:val="none"/>
          <w:lang w:val="en-US" w:eastAsia="zh-CN"/>
        </w:rPr>
        <w:t>乙方需协助甲方验收、抽样检测等工作（包括但不限于支付检测费用、运输费用、管材切割费用等关于抽样检测的一切费用）</w:t>
      </w:r>
      <w:r>
        <w:rPr>
          <w:rFonts w:hint="eastAsia" w:hAnsi="宋体"/>
          <w:color w:val="auto"/>
          <w:sz w:val="21"/>
          <w:szCs w:val="21"/>
          <w:highlight w:val="none"/>
          <w:lang w:val="en-US" w:eastAsia="zh-CN"/>
        </w:rPr>
        <w:t>。</w:t>
      </w:r>
    </w:p>
    <w:p w14:paraId="201E5174">
      <w:pPr>
        <w:pStyle w:val="43"/>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13.</w:t>
      </w:r>
      <w:r>
        <w:rPr>
          <w:rFonts w:hint="eastAsia" w:hAnsi="宋体"/>
          <w:color w:val="auto"/>
          <w:sz w:val="21"/>
          <w:szCs w:val="21"/>
          <w:highlight w:val="none"/>
          <w:lang w:val="en-US" w:eastAsia="zh-CN"/>
        </w:rPr>
        <w:t>7</w:t>
      </w:r>
      <w:r>
        <w:rPr>
          <w:rFonts w:hint="eastAsia" w:ascii="宋体" w:hAnsi="宋体" w:eastAsia="宋体"/>
          <w:color w:val="auto"/>
          <w:sz w:val="21"/>
          <w:szCs w:val="21"/>
          <w:highlight w:val="none"/>
          <w:lang w:val="en-US" w:eastAsia="zh-CN"/>
        </w:rPr>
        <w:t>无论抽检的产品是否合格，在检测过程中对产品产生损坏的损失由乙方承担，乙方应在10个工作日内重新发送同规格的合格产品到甲方指定地点。</w:t>
      </w:r>
    </w:p>
    <w:p w14:paraId="5B17A1B2">
      <w:pPr>
        <w:pStyle w:val="43"/>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13.</w:t>
      </w:r>
      <w:r>
        <w:rPr>
          <w:rFonts w:hint="eastAsia" w:hAnsi="宋体"/>
          <w:color w:val="auto"/>
          <w:sz w:val="21"/>
          <w:szCs w:val="21"/>
          <w:highlight w:val="none"/>
          <w:lang w:val="en-US" w:eastAsia="zh-CN"/>
        </w:rPr>
        <w:t>9</w:t>
      </w:r>
      <w:r>
        <w:rPr>
          <w:rFonts w:hint="eastAsia" w:ascii="宋体" w:hAnsi="宋体" w:eastAsia="宋体"/>
          <w:color w:val="auto"/>
          <w:sz w:val="21"/>
          <w:szCs w:val="21"/>
          <w:highlight w:val="none"/>
          <w:lang w:val="en-US" w:eastAsia="zh-CN"/>
        </w:rPr>
        <w:t>出现抽检结果不合格时，甲方有权将该不合格产品涉及的同批次产品做退货处理，产生的一切费用由乙方承担。</w:t>
      </w:r>
    </w:p>
    <w:p w14:paraId="32DC0E1C">
      <w:pPr>
        <w:pStyle w:val="43"/>
        <w:keepNext w:val="0"/>
        <w:keepLines w:val="0"/>
        <w:pageBreakBefore w:val="0"/>
        <w:widowControl w:val="0"/>
        <w:kinsoku/>
        <w:wordWrap/>
        <w:overflowPunct/>
        <w:topLinePunct w:val="0"/>
        <w:autoSpaceDE/>
        <w:autoSpaceDN/>
        <w:bidi w:val="0"/>
        <w:snapToGrid/>
        <w:spacing w:line="520" w:lineRule="exact"/>
        <w:ind w:firstLine="422" w:firstLineChars="200"/>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十四、货物包装、发运及运输</w:t>
      </w:r>
    </w:p>
    <w:p w14:paraId="6699857E">
      <w:pPr>
        <w:pStyle w:val="43"/>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14.1 乙方应在货物发运前对其进行满足运输距离、防潮、防震、防锈和防破损装卸等要求包装，以保证货物安全运达甲方指定地点。</w:t>
      </w:r>
    </w:p>
    <w:p w14:paraId="7E1DDFEB">
      <w:pPr>
        <w:pStyle w:val="43"/>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14.2 使用说明书、质量检验证明书、随配附件和工具以及清单一并附于货物内。</w:t>
      </w:r>
    </w:p>
    <w:p w14:paraId="2F31A17D">
      <w:pPr>
        <w:pStyle w:val="43"/>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14.3 乙方在货物发运手续办理完毕后24小时内或货到甲方指定地点48小时前通知甲方，以准备接货。</w:t>
      </w:r>
    </w:p>
    <w:p w14:paraId="74338F29">
      <w:pPr>
        <w:pStyle w:val="43"/>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14.4 货物在交付甲方前发生的风险均由乙方负责。</w:t>
      </w:r>
    </w:p>
    <w:p w14:paraId="6323F9A6">
      <w:pPr>
        <w:pStyle w:val="43"/>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14.5 货物在规定的交付期限内由乙方送达甲方指定的地点视为交付，乙方同时需通知甲方货物已送达。</w:t>
      </w:r>
    </w:p>
    <w:p w14:paraId="688DF858">
      <w:pPr>
        <w:pStyle w:val="43"/>
        <w:keepNext w:val="0"/>
        <w:keepLines w:val="0"/>
        <w:pageBreakBefore w:val="0"/>
        <w:widowControl w:val="0"/>
        <w:kinsoku/>
        <w:wordWrap/>
        <w:overflowPunct/>
        <w:topLinePunct w:val="0"/>
        <w:autoSpaceDE/>
        <w:autoSpaceDN/>
        <w:bidi w:val="0"/>
        <w:snapToGrid/>
        <w:spacing w:line="520" w:lineRule="exact"/>
        <w:ind w:firstLine="422" w:firstLineChars="200"/>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十五、违约责任</w:t>
      </w:r>
    </w:p>
    <w:p w14:paraId="7BBCA689">
      <w:pPr>
        <w:pStyle w:val="43"/>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15.1 甲方无正当理由拒收货物的，甲方向乙方偿付拒收货款总值的</w:t>
      </w:r>
      <w:r>
        <w:rPr>
          <w:rFonts w:hint="eastAsia" w:ascii="宋体" w:hAnsi="宋体" w:eastAsia="宋体"/>
          <w:color w:val="auto"/>
          <w:sz w:val="21"/>
          <w:szCs w:val="21"/>
          <w:highlight w:val="none"/>
          <w:shd w:val="clear" w:color="auto" w:fill="auto"/>
        </w:rPr>
        <w:t>百分之</w:t>
      </w:r>
      <w:r>
        <w:rPr>
          <w:rFonts w:hint="eastAsia" w:ascii="宋体" w:hAnsi="宋体" w:eastAsia="宋体"/>
          <w:color w:val="auto"/>
          <w:sz w:val="21"/>
          <w:szCs w:val="21"/>
          <w:highlight w:val="none"/>
          <w:shd w:val="clear" w:color="auto" w:fill="auto"/>
          <w:lang w:val="en-US" w:eastAsia="zh-CN"/>
        </w:rPr>
        <w:t>五</w:t>
      </w:r>
      <w:r>
        <w:rPr>
          <w:rFonts w:hint="eastAsia" w:ascii="宋体" w:hAnsi="宋体" w:eastAsia="宋体"/>
          <w:color w:val="auto"/>
          <w:sz w:val="21"/>
          <w:szCs w:val="21"/>
          <w:highlight w:val="none"/>
          <w:shd w:val="clear" w:color="auto" w:fill="auto"/>
        </w:rPr>
        <w:t>违约金。</w:t>
      </w:r>
    </w:p>
    <w:p w14:paraId="2D298A94">
      <w:pPr>
        <w:pStyle w:val="43"/>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15.2 甲方无故逾期验收和办理货款支付手续,甲方应按逾期付款总额每日万分之二向乙方支付违约金。</w:t>
      </w:r>
    </w:p>
    <w:p w14:paraId="048FEBB4">
      <w:pPr>
        <w:pStyle w:val="43"/>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15.3除不可抗力因素外，如</w:t>
      </w:r>
      <w:r>
        <w:rPr>
          <w:rFonts w:hint="eastAsia" w:hAnsi="宋体"/>
          <w:color w:val="auto"/>
          <w:sz w:val="21"/>
          <w:szCs w:val="21"/>
          <w:highlight w:val="none"/>
          <w:lang w:val="en-US" w:eastAsia="zh-CN"/>
        </w:rPr>
        <w:t>乙方</w:t>
      </w:r>
      <w:r>
        <w:rPr>
          <w:rFonts w:hint="eastAsia" w:ascii="宋体" w:hAnsi="宋体" w:eastAsia="宋体"/>
          <w:color w:val="auto"/>
          <w:sz w:val="21"/>
          <w:szCs w:val="21"/>
          <w:highlight w:val="none"/>
        </w:rPr>
        <w:t>发生不能按期交货或提供服务等情况，乙方应向甲方支付违约金,</w:t>
      </w:r>
      <w:r>
        <w:rPr>
          <w:rFonts w:hint="eastAsia" w:ascii="宋体" w:hAnsi="宋体" w:eastAsia="宋体"/>
          <w:color w:val="auto"/>
          <w:kern w:val="2"/>
          <w:sz w:val="21"/>
          <w:szCs w:val="21"/>
          <w:highlight w:val="none"/>
          <w:lang w:val="en-US" w:eastAsia="zh-CN" w:bidi="ar-SA"/>
        </w:rPr>
        <w:t>每延期1天的违约金</w:t>
      </w:r>
      <w:r>
        <w:rPr>
          <w:rFonts w:hint="eastAsia" w:ascii="宋体" w:hAnsi="宋体"/>
          <w:color w:val="auto"/>
          <w:kern w:val="2"/>
          <w:sz w:val="21"/>
          <w:szCs w:val="21"/>
          <w:highlight w:val="none"/>
          <w:lang w:val="en-US" w:eastAsia="zh-CN" w:bidi="ar-SA"/>
        </w:rPr>
        <w:t>为2000元</w:t>
      </w:r>
      <w:r>
        <w:rPr>
          <w:rFonts w:hint="eastAsia" w:ascii="宋体" w:hAnsi="宋体" w:eastAsia="宋体"/>
          <w:color w:val="auto"/>
          <w:kern w:val="2"/>
          <w:sz w:val="21"/>
          <w:szCs w:val="21"/>
          <w:highlight w:val="none"/>
          <w:lang w:val="en-US" w:eastAsia="zh-CN" w:bidi="ar-SA"/>
        </w:rPr>
        <w:t>，违约金上限</w:t>
      </w:r>
      <w:r>
        <w:rPr>
          <w:rFonts w:hint="eastAsia" w:ascii="宋体" w:hAnsi="宋体"/>
          <w:color w:val="auto"/>
          <w:kern w:val="2"/>
          <w:sz w:val="21"/>
          <w:szCs w:val="21"/>
          <w:highlight w:val="none"/>
          <w:lang w:val="en-US" w:eastAsia="zh-CN" w:bidi="ar-SA"/>
        </w:rPr>
        <w:t>为8000元</w:t>
      </w:r>
      <w:r>
        <w:rPr>
          <w:rFonts w:hint="eastAsia" w:ascii="宋体" w:hAnsi="宋体" w:eastAsia="宋体"/>
          <w:color w:val="auto"/>
          <w:kern w:val="2"/>
          <w:sz w:val="21"/>
          <w:szCs w:val="21"/>
          <w:highlight w:val="none"/>
          <w:lang w:val="en-US" w:eastAsia="zh-CN" w:bidi="ar-SA"/>
        </w:rPr>
        <w:t>，</w:t>
      </w:r>
      <w:r>
        <w:rPr>
          <w:rFonts w:hint="eastAsia" w:ascii="宋体" w:hAnsi="宋体" w:eastAsia="宋体"/>
          <w:color w:val="auto"/>
          <w:sz w:val="21"/>
          <w:szCs w:val="21"/>
          <w:highlight w:val="none"/>
        </w:rPr>
        <w:t>累计延迟供货3次及以上的或单次延迟供货4天以上的，甲方有权单方解除合同，并要求退还已支付的货款，同时乙方应向甲方支付合同总价5%的违约金，如造成甲方损失超过违约金的，超出部分由乙方继续承担赔偿责任。</w:t>
      </w:r>
    </w:p>
    <w:p w14:paraId="09D12613">
      <w:pPr>
        <w:pStyle w:val="43"/>
        <w:spacing w:before="120" w:after="120" w:line="440" w:lineRule="exact"/>
        <w:ind w:firstLine="420" w:firstLineChars="200"/>
        <w:contextualSpacing/>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15.4由于抽检结果不合格或其他产品质量问题导致甲方的损失均由乙方负责。第一次检测不合格乙方还应支付该批次货物总价10%的违约金（违约金不足5000元的按5000元计算，高于2万元的按2万元计算）；第二次检测不合格乙方还应支该批次货物总价20%的违约金（违约金不足1万元的按1万元计算，高于4万元的按4万元计算）；质量问题造成后果严重的或检测不合格累计达到3次的甲方有权单方解除合同，同时乙方应向甲方支付合同总价5%的违约金并赔偿甲方一切损失。</w:t>
      </w:r>
    </w:p>
    <w:p w14:paraId="738125A3">
      <w:pPr>
        <w:pStyle w:val="43"/>
        <w:spacing w:before="120" w:after="120" w:line="440" w:lineRule="exact"/>
        <w:ind w:firstLine="420" w:firstLineChars="200"/>
        <w:contextualSpacing/>
        <w:rPr>
          <w:rFonts w:hint="eastAsia" w:ascii="宋体" w:hAnsi="宋体" w:eastAsia="宋体"/>
          <w:color w:val="auto"/>
          <w:sz w:val="21"/>
          <w:szCs w:val="21"/>
          <w:highlight w:val="none"/>
          <w:shd w:val="clear" w:color="auto" w:fill="auto"/>
          <w:lang w:val="en-US" w:eastAsia="zh-CN"/>
        </w:rPr>
      </w:pPr>
      <w:r>
        <w:rPr>
          <w:rFonts w:hint="eastAsia" w:ascii="宋体" w:hAnsi="宋体" w:eastAsia="宋体"/>
          <w:color w:val="auto"/>
          <w:sz w:val="21"/>
          <w:szCs w:val="21"/>
          <w:highlight w:val="none"/>
          <w:shd w:val="clear" w:color="auto" w:fill="auto"/>
          <w:lang w:val="en-US" w:eastAsia="zh-CN"/>
        </w:rPr>
        <w:t>15.</w:t>
      </w:r>
      <w:r>
        <w:rPr>
          <w:rFonts w:hint="eastAsia" w:hAnsi="宋体"/>
          <w:color w:val="auto"/>
          <w:sz w:val="21"/>
          <w:szCs w:val="21"/>
          <w:highlight w:val="none"/>
          <w:shd w:val="clear" w:color="auto" w:fill="auto"/>
          <w:lang w:val="en-US" w:eastAsia="zh-CN"/>
        </w:rPr>
        <w:t>5</w:t>
      </w:r>
      <w:r>
        <w:rPr>
          <w:rFonts w:hint="eastAsia" w:ascii="宋体" w:hAnsi="宋体" w:eastAsia="宋体"/>
          <w:color w:val="auto"/>
          <w:sz w:val="21"/>
          <w:szCs w:val="21"/>
          <w:highlight w:val="none"/>
          <w:shd w:val="clear" w:color="auto" w:fill="auto"/>
          <w:lang w:val="en-US" w:eastAsia="zh-CN"/>
        </w:rPr>
        <w:t xml:space="preserve"> 乙方擅自更换合同中备案的次氯酸钠（液体）运输车辆的，甲方有权拒收该货物，乙方愿意更换货物但逾期交货的，按乙方逾期交货处理。乙方拒绝更换货物的，甲方可单方面解除合同</w:t>
      </w:r>
      <w:r>
        <w:rPr>
          <w:rFonts w:hint="eastAsia" w:hAnsi="宋体"/>
          <w:color w:val="auto"/>
          <w:sz w:val="21"/>
          <w:szCs w:val="21"/>
          <w:highlight w:val="none"/>
          <w:shd w:val="clear" w:color="auto" w:fill="auto"/>
          <w:lang w:val="en-US" w:eastAsia="zh-CN"/>
        </w:rPr>
        <w:t>，</w:t>
      </w:r>
      <w:r>
        <w:rPr>
          <w:rFonts w:hint="eastAsia" w:ascii="宋体" w:hAnsi="宋体" w:eastAsia="宋体"/>
          <w:color w:val="auto"/>
          <w:kern w:val="2"/>
          <w:sz w:val="21"/>
          <w:szCs w:val="21"/>
          <w:highlight w:val="none"/>
          <w:lang w:val="en-US" w:eastAsia="zh-CN" w:bidi="ar-SA"/>
        </w:rPr>
        <w:t>同时</w:t>
      </w:r>
      <w:r>
        <w:rPr>
          <w:rFonts w:hint="eastAsia" w:hAnsi="宋体"/>
          <w:color w:val="auto"/>
          <w:kern w:val="2"/>
          <w:sz w:val="21"/>
          <w:szCs w:val="21"/>
          <w:highlight w:val="none"/>
          <w:lang w:val="en-US" w:eastAsia="zh-CN" w:bidi="ar-SA"/>
        </w:rPr>
        <w:t>乙方</w:t>
      </w:r>
      <w:r>
        <w:rPr>
          <w:rFonts w:hint="eastAsia" w:ascii="宋体" w:hAnsi="宋体" w:eastAsia="宋体"/>
          <w:color w:val="auto"/>
          <w:kern w:val="2"/>
          <w:sz w:val="21"/>
          <w:szCs w:val="21"/>
          <w:highlight w:val="none"/>
          <w:lang w:val="en-US" w:eastAsia="zh-CN" w:bidi="ar-SA"/>
        </w:rPr>
        <w:t>应向</w:t>
      </w:r>
      <w:r>
        <w:rPr>
          <w:rFonts w:hint="eastAsia" w:hAnsi="宋体"/>
          <w:color w:val="auto"/>
          <w:kern w:val="2"/>
          <w:sz w:val="21"/>
          <w:szCs w:val="21"/>
          <w:highlight w:val="none"/>
          <w:lang w:val="en-US" w:eastAsia="zh-CN" w:bidi="ar-SA"/>
        </w:rPr>
        <w:t>甲方</w:t>
      </w:r>
      <w:r>
        <w:rPr>
          <w:rFonts w:hint="eastAsia" w:ascii="宋体" w:hAnsi="宋体" w:eastAsia="宋体"/>
          <w:color w:val="auto"/>
          <w:kern w:val="2"/>
          <w:sz w:val="21"/>
          <w:szCs w:val="21"/>
          <w:highlight w:val="none"/>
          <w:lang w:val="en-US" w:eastAsia="zh-CN" w:bidi="ar-SA"/>
        </w:rPr>
        <w:t>支付合同总价5%的违约金并赔偿</w:t>
      </w:r>
      <w:r>
        <w:rPr>
          <w:rFonts w:hint="eastAsia" w:hAnsi="宋体"/>
          <w:color w:val="auto"/>
          <w:kern w:val="2"/>
          <w:sz w:val="21"/>
          <w:szCs w:val="21"/>
          <w:highlight w:val="none"/>
          <w:lang w:val="en-US" w:eastAsia="zh-CN" w:bidi="ar-SA"/>
        </w:rPr>
        <w:t>甲方</w:t>
      </w:r>
      <w:r>
        <w:rPr>
          <w:rFonts w:hint="eastAsia" w:ascii="宋体" w:hAnsi="宋体" w:eastAsia="宋体"/>
          <w:color w:val="auto"/>
          <w:kern w:val="2"/>
          <w:sz w:val="21"/>
          <w:szCs w:val="21"/>
          <w:highlight w:val="none"/>
          <w:lang w:val="en-US" w:eastAsia="zh-CN" w:bidi="ar-SA"/>
        </w:rPr>
        <w:t>一切损失</w:t>
      </w:r>
      <w:r>
        <w:rPr>
          <w:rFonts w:hint="eastAsia" w:hAnsi="宋体"/>
          <w:color w:val="auto"/>
          <w:kern w:val="2"/>
          <w:sz w:val="21"/>
          <w:szCs w:val="21"/>
          <w:highlight w:val="none"/>
          <w:lang w:val="en-US" w:eastAsia="zh-CN" w:bidi="ar-SA"/>
        </w:rPr>
        <w:t>。</w:t>
      </w:r>
    </w:p>
    <w:p w14:paraId="208F8B83">
      <w:pPr>
        <w:pStyle w:val="43"/>
        <w:spacing w:before="120" w:after="120" w:line="440" w:lineRule="exact"/>
        <w:ind w:firstLine="420" w:firstLineChars="200"/>
        <w:contextualSpacing/>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15.</w:t>
      </w:r>
      <w:r>
        <w:rPr>
          <w:rFonts w:hint="eastAsia" w:hAnsi="宋体"/>
          <w:color w:val="auto"/>
          <w:sz w:val="21"/>
          <w:szCs w:val="21"/>
          <w:highlight w:val="none"/>
          <w:lang w:val="en-US" w:eastAsia="zh-CN"/>
        </w:rPr>
        <w:t>6</w:t>
      </w:r>
      <w:r>
        <w:rPr>
          <w:rFonts w:hint="eastAsia" w:ascii="宋体" w:hAnsi="宋体" w:eastAsia="宋体"/>
          <w:color w:val="auto"/>
          <w:sz w:val="21"/>
          <w:szCs w:val="21"/>
          <w:highlight w:val="none"/>
          <w:lang w:val="en-US" w:eastAsia="zh-CN"/>
        </w:rPr>
        <w:t xml:space="preserve"> </w:t>
      </w:r>
      <w:r>
        <w:rPr>
          <w:rFonts w:hint="eastAsia" w:hAnsi="宋体"/>
          <w:color w:val="auto"/>
          <w:kern w:val="2"/>
          <w:sz w:val="21"/>
          <w:szCs w:val="21"/>
          <w:highlight w:val="none"/>
          <w:lang w:val="en-US" w:eastAsia="zh-CN" w:bidi="ar-SA"/>
        </w:rPr>
        <w:t>甲方</w:t>
      </w:r>
      <w:r>
        <w:rPr>
          <w:rFonts w:hint="eastAsia" w:ascii="宋体" w:hAnsi="宋体" w:eastAsia="宋体"/>
          <w:color w:val="auto"/>
          <w:kern w:val="2"/>
          <w:sz w:val="21"/>
          <w:szCs w:val="21"/>
          <w:highlight w:val="none"/>
          <w:lang w:val="en-US" w:eastAsia="zh-CN" w:bidi="ar-SA"/>
        </w:rPr>
        <w:t>对每批供货质量进行抽样检查（质量检验依据以中标供应商提供的小试样品指标为准），若质量检验结果有异，以书面或传真通知</w:t>
      </w:r>
      <w:r>
        <w:rPr>
          <w:rFonts w:hint="eastAsia" w:hAnsi="宋体"/>
          <w:color w:val="auto"/>
          <w:kern w:val="2"/>
          <w:sz w:val="21"/>
          <w:szCs w:val="21"/>
          <w:highlight w:val="none"/>
          <w:lang w:val="en-US" w:eastAsia="zh-CN" w:bidi="ar-SA"/>
        </w:rPr>
        <w:t>乙方</w:t>
      </w:r>
      <w:r>
        <w:rPr>
          <w:rFonts w:hint="eastAsia" w:ascii="宋体" w:hAnsi="宋体" w:eastAsia="宋体"/>
          <w:color w:val="auto"/>
          <w:kern w:val="2"/>
          <w:sz w:val="21"/>
          <w:szCs w:val="21"/>
          <w:highlight w:val="none"/>
          <w:lang w:val="en-US" w:eastAsia="zh-CN" w:bidi="ar-SA"/>
        </w:rPr>
        <w:t>，</w:t>
      </w:r>
      <w:r>
        <w:rPr>
          <w:rFonts w:hint="eastAsia" w:hAnsi="宋体"/>
          <w:color w:val="auto"/>
          <w:kern w:val="2"/>
          <w:sz w:val="21"/>
          <w:szCs w:val="21"/>
          <w:highlight w:val="none"/>
          <w:lang w:val="en-US" w:eastAsia="zh-CN" w:bidi="ar-SA"/>
        </w:rPr>
        <w:t>乙方</w:t>
      </w:r>
      <w:r>
        <w:rPr>
          <w:rFonts w:hint="eastAsia" w:ascii="宋体" w:hAnsi="宋体" w:eastAsia="宋体"/>
          <w:color w:val="auto"/>
          <w:kern w:val="2"/>
          <w:sz w:val="21"/>
          <w:szCs w:val="21"/>
          <w:highlight w:val="none"/>
          <w:lang w:val="en-US" w:eastAsia="zh-CN" w:bidi="ar-SA"/>
        </w:rPr>
        <w:t>在收到采购人通知后的48小时内进行复检，否则视为</w:t>
      </w:r>
      <w:r>
        <w:rPr>
          <w:rFonts w:hint="eastAsia" w:hAnsi="宋体"/>
          <w:color w:val="auto"/>
          <w:kern w:val="2"/>
          <w:sz w:val="21"/>
          <w:szCs w:val="21"/>
          <w:highlight w:val="none"/>
          <w:lang w:val="en-US" w:eastAsia="zh-CN" w:bidi="ar-SA"/>
        </w:rPr>
        <w:t>乙方</w:t>
      </w:r>
      <w:r>
        <w:rPr>
          <w:rFonts w:hint="eastAsia" w:ascii="宋体" w:hAnsi="宋体" w:eastAsia="宋体"/>
          <w:color w:val="auto"/>
          <w:kern w:val="2"/>
          <w:sz w:val="21"/>
          <w:szCs w:val="21"/>
          <w:highlight w:val="none"/>
          <w:lang w:val="en-US" w:eastAsia="zh-CN" w:bidi="ar-SA"/>
        </w:rPr>
        <w:t>认同</w:t>
      </w:r>
      <w:r>
        <w:rPr>
          <w:rFonts w:hint="eastAsia" w:hAnsi="宋体"/>
          <w:color w:val="auto"/>
          <w:kern w:val="2"/>
          <w:sz w:val="21"/>
          <w:szCs w:val="21"/>
          <w:highlight w:val="none"/>
          <w:lang w:val="en-US" w:eastAsia="zh-CN" w:bidi="ar-SA"/>
        </w:rPr>
        <w:t>甲方</w:t>
      </w:r>
      <w:r>
        <w:rPr>
          <w:rFonts w:hint="eastAsia" w:ascii="宋体" w:hAnsi="宋体" w:eastAsia="宋体"/>
          <w:color w:val="auto"/>
          <w:kern w:val="2"/>
          <w:sz w:val="21"/>
          <w:szCs w:val="21"/>
          <w:highlight w:val="none"/>
          <w:lang w:val="en-US" w:eastAsia="zh-CN" w:bidi="ar-SA"/>
        </w:rPr>
        <w:t>检验结果，检验结果认同后，若</w:t>
      </w:r>
      <w:r>
        <w:rPr>
          <w:rFonts w:hint="eastAsia" w:hAnsi="宋体"/>
          <w:color w:val="auto"/>
          <w:kern w:val="2"/>
          <w:sz w:val="21"/>
          <w:szCs w:val="21"/>
          <w:highlight w:val="none"/>
          <w:lang w:val="en-US" w:eastAsia="zh-CN" w:bidi="ar-SA"/>
        </w:rPr>
        <w:t>甲方</w:t>
      </w:r>
      <w:r>
        <w:rPr>
          <w:rFonts w:hint="eastAsia" w:ascii="宋体" w:hAnsi="宋体" w:eastAsia="宋体"/>
          <w:color w:val="auto"/>
          <w:kern w:val="2"/>
          <w:sz w:val="21"/>
          <w:szCs w:val="21"/>
          <w:highlight w:val="none"/>
          <w:lang w:val="en-US" w:eastAsia="zh-CN" w:bidi="ar-SA"/>
        </w:rPr>
        <w:t>检测原液有效氯（以Cl计）质量分数低于10%，按低于标准含量的百分点数扣除当批次货物数量相应的百分点：例如当批次有效氯（以Cl计）的质量分数为9.9%，则支付当批次货物数量的99%。</w:t>
      </w:r>
    </w:p>
    <w:p w14:paraId="4E811698">
      <w:pPr>
        <w:pStyle w:val="43"/>
        <w:spacing w:before="120" w:after="120" w:line="440" w:lineRule="exact"/>
        <w:ind w:firstLine="420" w:firstLineChars="200"/>
        <w:contextualSpacing/>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15.7 甲方对每批供货质量进行抽样检查，实际供货中的抽检数值(</w:t>
      </w:r>
      <w:r>
        <w:rPr>
          <w:rFonts w:hint="eastAsia" w:hAnsi="宋体"/>
          <w:color w:val="auto"/>
          <w:sz w:val="21"/>
          <w:szCs w:val="21"/>
          <w:highlight w:val="none"/>
          <w:lang w:val="en-US" w:eastAsia="zh-CN"/>
        </w:rPr>
        <w:t>次</w:t>
      </w:r>
      <w:r>
        <w:rPr>
          <w:rFonts w:hint="eastAsia" w:ascii="宋体" w:hAnsi="宋体" w:eastAsia="宋体"/>
          <w:color w:val="auto"/>
          <w:sz w:val="21"/>
          <w:szCs w:val="21"/>
          <w:highlight w:val="none"/>
          <w:lang w:val="en-US" w:eastAsia="zh-CN"/>
        </w:rPr>
        <w:t>氯酸钠：游离碱（以NaOH计）、铁（Fe）重金属、（以Pb计）、砷（As）等；氢氧化钠：总碱量（以NaOH计）ω/％、碳酸钠（以Na2CO3计）含量ω/％、砷（As）含量（mg/kg）、重金属（以Pb计）（mg/kg）、汞(Hg)含量（mg/kg））与投标所提供的检测报告数值超出10%内但仍在国家标准范围内的则扣除10%的本批货款。</w:t>
      </w:r>
    </w:p>
    <w:p w14:paraId="65DE711C">
      <w:pPr>
        <w:pStyle w:val="43"/>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15.</w:t>
      </w:r>
      <w:r>
        <w:rPr>
          <w:rFonts w:hint="eastAsia" w:hAnsi="宋体"/>
          <w:color w:val="auto"/>
          <w:sz w:val="21"/>
          <w:szCs w:val="21"/>
          <w:highlight w:val="none"/>
          <w:lang w:val="en-US" w:eastAsia="zh-CN"/>
        </w:rPr>
        <w:t>8</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以上违约金与赔偿款，甲方有权从乙方剩余货款中直接扣除，不足部分予以追偿</w:t>
      </w:r>
      <w:r>
        <w:rPr>
          <w:rFonts w:hint="eastAsia" w:ascii="宋体" w:hAnsi="宋体" w:eastAsia="宋体"/>
          <w:color w:val="auto"/>
          <w:sz w:val="21"/>
          <w:szCs w:val="21"/>
          <w:highlight w:val="none"/>
          <w:lang w:eastAsia="zh-CN"/>
        </w:rPr>
        <w:t>。</w:t>
      </w:r>
    </w:p>
    <w:p w14:paraId="44E03A93">
      <w:pPr>
        <w:pStyle w:val="43"/>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15.</w:t>
      </w:r>
      <w:r>
        <w:rPr>
          <w:rFonts w:hint="eastAsia" w:hAnsi="宋体"/>
          <w:color w:val="auto"/>
          <w:sz w:val="21"/>
          <w:szCs w:val="21"/>
          <w:highlight w:val="none"/>
          <w:lang w:val="en-US" w:eastAsia="zh-CN"/>
        </w:rPr>
        <w:t>9</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kern w:val="0"/>
          <w:szCs w:val="21"/>
          <w:highlight w:val="none"/>
        </w:rPr>
        <w:t>若国家对次氯酸钠（液体）</w:t>
      </w:r>
      <w:r>
        <w:rPr>
          <w:rFonts w:hint="eastAsia" w:ascii="宋体" w:hAnsi="宋体" w:eastAsia="宋体"/>
          <w:color w:val="auto"/>
          <w:kern w:val="0"/>
          <w:szCs w:val="21"/>
          <w:highlight w:val="none"/>
          <w:lang w:val="en-US" w:eastAsia="zh-CN"/>
        </w:rPr>
        <w:t>及氢氧化钠（</w:t>
      </w:r>
      <w:r>
        <w:rPr>
          <w:rFonts w:hint="eastAsia" w:ascii="宋体" w:hAnsi="宋体" w:eastAsia="宋体"/>
          <w:color w:val="auto"/>
          <w:kern w:val="0"/>
          <w:szCs w:val="21"/>
          <w:highlight w:val="none"/>
        </w:rPr>
        <w:t>液体</w:t>
      </w:r>
      <w:r>
        <w:rPr>
          <w:rFonts w:hint="eastAsia" w:ascii="宋体" w:hAnsi="宋体" w:eastAsia="宋体"/>
          <w:color w:val="auto"/>
          <w:kern w:val="0"/>
          <w:szCs w:val="21"/>
          <w:highlight w:val="none"/>
          <w:lang w:val="en-US" w:eastAsia="zh-CN"/>
        </w:rPr>
        <w:t>）</w:t>
      </w:r>
      <w:r>
        <w:rPr>
          <w:rFonts w:hint="eastAsia" w:ascii="宋体" w:hAnsi="宋体" w:eastAsia="宋体"/>
          <w:color w:val="auto"/>
          <w:kern w:val="0"/>
          <w:szCs w:val="21"/>
          <w:highlight w:val="none"/>
        </w:rPr>
        <w:t>实行新的标准（以国家下发执行文件明确实施时间起），</w:t>
      </w:r>
      <w:r>
        <w:rPr>
          <w:rFonts w:hint="eastAsia" w:ascii="宋体" w:hAnsi="宋体" w:eastAsia="宋体"/>
          <w:color w:val="auto"/>
          <w:kern w:val="0"/>
          <w:szCs w:val="21"/>
          <w:highlight w:val="none"/>
          <w:lang w:val="en-US" w:eastAsia="zh-CN"/>
        </w:rPr>
        <w:t>乙方</w:t>
      </w:r>
      <w:r>
        <w:rPr>
          <w:rFonts w:hint="eastAsia" w:ascii="宋体" w:hAnsi="宋体" w:eastAsia="宋体"/>
          <w:color w:val="auto"/>
          <w:kern w:val="0"/>
          <w:szCs w:val="21"/>
          <w:highlight w:val="none"/>
        </w:rPr>
        <w:t>需无条件按新标准执行，</w:t>
      </w:r>
      <w:r>
        <w:rPr>
          <w:rFonts w:hint="eastAsia" w:ascii="宋体" w:hAnsi="宋体" w:eastAsia="宋体"/>
          <w:color w:val="auto"/>
          <w:kern w:val="0"/>
          <w:szCs w:val="21"/>
          <w:highlight w:val="none"/>
          <w:lang w:val="en-US" w:eastAsia="zh-CN"/>
        </w:rPr>
        <w:t>合同单价</w:t>
      </w:r>
      <w:r>
        <w:rPr>
          <w:rFonts w:hint="eastAsia" w:ascii="宋体" w:hAnsi="宋体" w:eastAsia="宋体"/>
          <w:color w:val="auto"/>
          <w:kern w:val="0"/>
          <w:szCs w:val="21"/>
          <w:highlight w:val="none"/>
        </w:rPr>
        <w:t>不发生任何变化。若</w:t>
      </w:r>
      <w:r>
        <w:rPr>
          <w:rFonts w:hint="eastAsia" w:ascii="宋体" w:hAnsi="宋体" w:eastAsia="宋体"/>
          <w:color w:val="auto"/>
          <w:kern w:val="0"/>
          <w:szCs w:val="21"/>
          <w:highlight w:val="none"/>
          <w:lang w:val="en-US" w:eastAsia="zh-CN"/>
        </w:rPr>
        <w:t>乙方</w:t>
      </w:r>
      <w:r>
        <w:rPr>
          <w:rFonts w:hint="eastAsia" w:ascii="宋体" w:hAnsi="宋体" w:eastAsia="宋体"/>
          <w:color w:val="auto"/>
          <w:kern w:val="0"/>
          <w:szCs w:val="21"/>
          <w:highlight w:val="none"/>
        </w:rPr>
        <w:t>无法执行新标准或不接受原中标价格</w:t>
      </w:r>
      <w:r>
        <w:rPr>
          <w:rFonts w:hint="eastAsia" w:ascii="宋体" w:hAnsi="宋体" w:eastAsia="宋体"/>
          <w:color w:val="auto"/>
          <w:kern w:val="0"/>
          <w:szCs w:val="21"/>
          <w:highlight w:val="none"/>
          <w:lang w:eastAsia="zh-CN"/>
        </w:rPr>
        <w:t>，</w:t>
      </w:r>
      <w:r>
        <w:rPr>
          <w:rFonts w:hint="eastAsia" w:ascii="宋体" w:hAnsi="宋体" w:eastAsia="宋体"/>
          <w:color w:val="auto"/>
          <w:kern w:val="0"/>
          <w:szCs w:val="21"/>
          <w:highlight w:val="none"/>
          <w:lang w:val="en-US" w:eastAsia="zh-CN"/>
        </w:rPr>
        <w:t>甲方</w:t>
      </w:r>
      <w:r>
        <w:rPr>
          <w:rFonts w:hint="eastAsia" w:ascii="宋体" w:hAnsi="宋体" w:eastAsia="宋体"/>
          <w:color w:val="auto"/>
          <w:kern w:val="0"/>
          <w:szCs w:val="21"/>
          <w:highlight w:val="none"/>
        </w:rPr>
        <w:t>自动将与</w:t>
      </w:r>
      <w:r>
        <w:rPr>
          <w:rFonts w:hint="eastAsia" w:ascii="宋体" w:hAnsi="宋体" w:eastAsia="宋体"/>
          <w:color w:val="auto"/>
          <w:kern w:val="0"/>
          <w:szCs w:val="21"/>
          <w:highlight w:val="none"/>
          <w:lang w:val="en-US" w:eastAsia="zh-CN"/>
        </w:rPr>
        <w:t>乙方</w:t>
      </w:r>
      <w:r>
        <w:rPr>
          <w:rFonts w:hint="eastAsia" w:ascii="宋体" w:hAnsi="宋体" w:eastAsia="宋体"/>
          <w:color w:val="auto"/>
          <w:kern w:val="0"/>
          <w:szCs w:val="21"/>
          <w:highlight w:val="none"/>
        </w:rPr>
        <w:t>解约</w:t>
      </w:r>
      <w:r>
        <w:rPr>
          <w:rFonts w:hint="eastAsia" w:ascii="宋体" w:hAnsi="宋体" w:eastAsia="宋体"/>
          <w:color w:val="auto"/>
          <w:sz w:val="21"/>
          <w:szCs w:val="21"/>
          <w:highlight w:val="none"/>
        </w:rPr>
        <w:t>。</w:t>
      </w:r>
    </w:p>
    <w:p w14:paraId="6ACEFFC9">
      <w:pPr>
        <w:pStyle w:val="43"/>
        <w:keepNext w:val="0"/>
        <w:keepLines w:val="0"/>
        <w:pageBreakBefore w:val="0"/>
        <w:widowControl w:val="0"/>
        <w:kinsoku/>
        <w:wordWrap/>
        <w:overflowPunct/>
        <w:topLinePunct w:val="0"/>
        <w:autoSpaceDE/>
        <w:autoSpaceDN/>
        <w:bidi w:val="0"/>
        <w:snapToGrid/>
        <w:spacing w:line="520" w:lineRule="exact"/>
        <w:ind w:firstLine="422" w:firstLineChars="200"/>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十六、不可抗力事件处理</w:t>
      </w:r>
    </w:p>
    <w:p w14:paraId="1C31DCE8">
      <w:pPr>
        <w:pStyle w:val="43"/>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16.1 在合同有效期内，任何一方因不可抗力事件导致不能履行合同，则合同履行期可延长，其延长期与不可抗力影响期相同。</w:t>
      </w:r>
    </w:p>
    <w:p w14:paraId="76603AD9">
      <w:pPr>
        <w:pStyle w:val="43"/>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16.2 不可抗力事件发生后，应立即通知对方，并寄送有关权威机构出具的证明。</w:t>
      </w:r>
    </w:p>
    <w:p w14:paraId="7B16828E">
      <w:pPr>
        <w:pStyle w:val="43"/>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16.3 不可抗力事件延续120天以上，双方应通过友好协商，确定是否继续履行合同。</w:t>
      </w:r>
    </w:p>
    <w:p w14:paraId="04D07E66">
      <w:pPr>
        <w:pStyle w:val="43"/>
        <w:keepNext w:val="0"/>
        <w:keepLines w:val="0"/>
        <w:pageBreakBefore w:val="0"/>
        <w:widowControl w:val="0"/>
        <w:kinsoku/>
        <w:wordWrap/>
        <w:overflowPunct/>
        <w:topLinePunct w:val="0"/>
        <w:autoSpaceDE/>
        <w:autoSpaceDN/>
        <w:bidi w:val="0"/>
        <w:snapToGrid/>
        <w:spacing w:line="520" w:lineRule="exact"/>
        <w:ind w:firstLine="422" w:firstLineChars="200"/>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十七、诉讼</w:t>
      </w:r>
    </w:p>
    <w:p w14:paraId="0EEC1C6F">
      <w:pPr>
        <w:pStyle w:val="43"/>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17.1 双方在执行合同中所发生的一切争议，应通过协商解决。如协商不成，可向合同签订地法院起诉，合同签订地在此约定为象山县。</w:t>
      </w:r>
    </w:p>
    <w:p w14:paraId="1EA90651">
      <w:pPr>
        <w:pStyle w:val="43"/>
        <w:keepNext w:val="0"/>
        <w:keepLines w:val="0"/>
        <w:pageBreakBefore w:val="0"/>
        <w:widowControl w:val="0"/>
        <w:kinsoku/>
        <w:wordWrap/>
        <w:overflowPunct/>
        <w:topLinePunct w:val="0"/>
        <w:autoSpaceDE/>
        <w:autoSpaceDN/>
        <w:bidi w:val="0"/>
        <w:snapToGrid/>
        <w:spacing w:line="520" w:lineRule="exact"/>
        <w:ind w:firstLine="422" w:firstLineChars="200"/>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十</w:t>
      </w:r>
      <w:r>
        <w:rPr>
          <w:rFonts w:hint="eastAsia" w:ascii="宋体" w:hAnsi="宋体" w:eastAsia="宋体"/>
          <w:b/>
          <w:color w:val="auto"/>
          <w:sz w:val="21"/>
          <w:szCs w:val="21"/>
          <w:highlight w:val="none"/>
          <w:lang w:val="en-US" w:eastAsia="zh-CN"/>
        </w:rPr>
        <w:t>八</w:t>
      </w:r>
      <w:r>
        <w:rPr>
          <w:rFonts w:hint="eastAsia" w:ascii="宋体" w:hAnsi="宋体" w:eastAsia="宋体"/>
          <w:b/>
          <w:color w:val="auto"/>
          <w:sz w:val="21"/>
          <w:szCs w:val="21"/>
          <w:highlight w:val="none"/>
        </w:rPr>
        <w:t>、合同生效及其它</w:t>
      </w:r>
    </w:p>
    <w:p w14:paraId="08B31AAB">
      <w:pPr>
        <w:pStyle w:val="43"/>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8</w:t>
      </w:r>
      <w:r>
        <w:rPr>
          <w:rFonts w:hint="eastAsia" w:ascii="宋体" w:hAnsi="宋体" w:eastAsia="宋体"/>
          <w:color w:val="auto"/>
          <w:sz w:val="21"/>
          <w:szCs w:val="21"/>
          <w:highlight w:val="none"/>
        </w:rPr>
        <w:t>.1 合同经双方法定代表人或授权委托代理人签字并加盖单位公章后生效。</w:t>
      </w:r>
    </w:p>
    <w:p w14:paraId="50EA7F88">
      <w:pPr>
        <w:pStyle w:val="43"/>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8</w:t>
      </w:r>
      <w:r>
        <w:rPr>
          <w:rFonts w:hint="eastAsia" w:ascii="宋体" w:hAnsi="宋体" w:eastAsia="宋体"/>
          <w:color w:val="auto"/>
          <w:sz w:val="21"/>
          <w:szCs w:val="21"/>
          <w:highlight w:val="none"/>
        </w:rPr>
        <w:t>.2 合同执行中涉及采购资金和采购内容修改或补充的，须经财政部门审批，方可作为主合同不可分割的一部分。</w:t>
      </w:r>
    </w:p>
    <w:p w14:paraId="55558A03">
      <w:pPr>
        <w:pStyle w:val="43"/>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8</w:t>
      </w:r>
      <w:r>
        <w:rPr>
          <w:rFonts w:hint="eastAsia" w:ascii="宋体" w:hAnsi="宋体" w:eastAsia="宋体"/>
          <w:color w:val="auto"/>
          <w:sz w:val="21"/>
          <w:szCs w:val="21"/>
          <w:highlight w:val="none"/>
        </w:rPr>
        <w:t>.3 本合同未尽事宜，遵照《中华人民共和国民法典》有关条文执行。</w:t>
      </w:r>
    </w:p>
    <w:p w14:paraId="2BC8B798">
      <w:pPr>
        <w:pStyle w:val="43"/>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8</w:t>
      </w:r>
      <w:r>
        <w:rPr>
          <w:rFonts w:hint="eastAsia" w:ascii="宋体" w:hAnsi="宋体" w:eastAsia="宋体"/>
          <w:color w:val="auto"/>
          <w:sz w:val="21"/>
          <w:szCs w:val="21"/>
          <w:highlight w:val="none"/>
        </w:rPr>
        <w:t>.4 本项目招标文件、投标文件及招标过程中的一切承诺均为合同的一部分。</w:t>
      </w:r>
    </w:p>
    <w:p w14:paraId="4250DF9C">
      <w:pPr>
        <w:pStyle w:val="43"/>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8</w:t>
      </w:r>
      <w:r>
        <w:rPr>
          <w:rFonts w:hint="eastAsia" w:ascii="宋体" w:hAnsi="宋体" w:eastAsia="宋体"/>
          <w:color w:val="auto"/>
          <w:sz w:val="21"/>
          <w:szCs w:val="21"/>
          <w:highlight w:val="none"/>
        </w:rPr>
        <w:t>.5 本合同正本一式</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份，副本一式</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份，正本和副本具有同等法律效力。甲乙双方各执正本</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份；副本</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份)。</w:t>
      </w:r>
    </w:p>
    <w:p w14:paraId="3DECAED0">
      <w:pPr>
        <w:tabs>
          <w:tab w:val="left" w:pos="5730"/>
        </w:tabs>
        <w:spacing w:line="440" w:lineRule="exact"/>
        <w:ind w:firstLine="630" w:firstLineChars="300"/>
        <w:contextualSpacing/>
        <w:jc w:val="left"/>
        <w:rPr>
          <w:rFonts w:hint="eastAsia" w:ascii="宋体" w:hAnsi="宋体" w:eastAsia="宋体"/>
          <w:color w:val="auto"/>
          <w:sz w:val="21"/>
          <w:szCs w:val="21"/>
          <w:highlight w:val="none"/>
        </w:rPr>
      </w:pPr>
    </w:p>
    <w:p w14:paraId="46FF7517">
      <w:pPr>
        <w:tabs>
          <w:tab w:val="left" w:pos="5730"/>
        </w:tabs>
        <w:spacing w:line="440" w:lineRule="exact"/>
        <w:contextualSpacing/>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甲方（盖章）：</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乙方（盖章）：</w:t>
      </w:r>
    </w:p>
    <w:p w14:paraId="2EE82B5B">
      <w:pPr>
        <w:tabs>
          <w:tab w:val="left" w:pos="5730"/>
        </w:tabs>
        <w:spacing w:line="440" w:lineRule="exact"/>
        <w:contextualSpacing/>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地址：</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地址：</w:t>
      </w:r>
    </w:p>
    <w:p w14:paraId="49905C21">
      <w:pPr>
        <w:tabs>
          <w:tab w:val="left" w:pos="5730"/>
        </w:tabs>
        <w:spacing w:line="440" w:lineRule="exact"/>
        <w:contextualSpacing/>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法定代表人（签字或盖章）：</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法定代表人（签字或盖章）：</w:t>
      </w:r>
    </w:p>
    <w:p w14:paraId="67ED9A78">
      <w:pPr>
        <w:tabs>
          <w:tab w:val="left" w:pos="5040"/>
        </w:tabs>
        <w:spacing w:line="440" w:lineRule="exact"/>
        <w:contextualSpacing/>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开户银行：                                             开户银行：</w:t>
      </w:r>
    </w:p>
    <w:p w14:paraId="7864667A">
      <w:pPr>
        <w:tabs>
          <w:tab w:val="left" w:pos="5730"/>
        </w:tabs>
        <w:spacing w:line="440" w:lineRule="exact"/>
        <w:contextualSpacing/>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账号：</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账号：</w:t>
      </w:r>
    </w:p>
    <w:p w14:paraId="22FA4BD8">
      <w:pPr>
        <w:pStyle w:val="43"/>
        <w:snapToGrid w:val="0"/>
        <w:spacing w:line="4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合同签订日期：</w:t>
      </w:r>
    </w:p>
    <w:bookmarkEnd w:id="485"/>
    <w:bookmarkEnd w:id="486"/>
    <w:p w14:paraId="72A8FF3A">
      <w:pPr>
        <w:spacing w:line="360" w:lineRule="auto"/>
        <w:jc w:val="center"/>
        <w:outlineLvl w:val="0"/>
        <w:rPr>
          <w:rFonts w:hint="eastAsia" w:ascii="宋体" w:hAnsi="宋体" w:eastAsia="宋体"/>
          <w:b/>
          <w:color w:val="auto"/>
          <w:sz w:val="36"/>
          <w:szCs w:val="20"/>
          <w:highlight w:val="none"/>
        </w:rPr>
      </w:pPr>
      <w:bookmarkStart w:id="488" w:name="_Toc26819"/>
      <w:bookmarkEnd w:id="488"/>
      <w:r>
        <w:rPr>
          <w:rFonts w:hint="eastAsia" w:ascii="宋体" w:hAnsi="宋体" w:eastAsia="宋体"/>
          <w:b/>
          <w:color w:val="auto"/>
          <w:sz w:val="36"/>
          <w:szCs w:val="20"/>
          <w:highlight w:val="none"/>
        </w:rPr>
        <w:br w:type="page"/>
      </w:r>
      <w:bookmarkStart w:id="489" w:name="_Toc16391"/>
      <w:r>
        <w:rPr>
          <w:rFonts w:hint="eastAsia" w:ascii="宋体" w:hAnsi="宋体" w:eastAsia="宋体"/>
          <w:b/>
          <w:color w:val="auto"/>
          <w:sz w:val="36"/>
          <w:szCs w:val="20"/>
          <w:highlight w:val="none"/>
        </w:rPr>
        <w:t>第六部分 应提交的有关格式范例</w:t>
      </w:r>
      <w:bookmarkEnd w:id="489"/>
    </w:p>
    <w:p w14:paraId="25ED3E1F">
      <w:pPr>
        <w:spacing w:line="360" w:lineRule="auto"/>
        <w:jc w:val="center"/>
        <w:rPr>
          <w:rFonts w:hint="eastAsia" w:ascii="宋体" w:hAnsi="宋体" w:eastAsia="宋体"/>
          <w:b/>
          <w:color w:val="auto"/>
          <w:kern w:val="0"/>
          <w:sz w:val="36"/>
          <w:szCs w:val="36"/>
          <w:highlight w:val="none"/>
        </w:rPr>
      </w:pPr>
    </w:p>
    <w:p w14:paraId="1A113445">
      <w:pPr>
        <w:snapToGrid w:val="0"/>
        <w:spacing w:line="360" w:lineRule="auto"/>
        <w:jc w:val="center"/>
        <w:outlineLvl w:val="0"/>
        <w:rPr>
          <w:rFonts w:hint="eastAsia" w:ascii="宋体" w:hAnsi="宋体" w:eastAsia="宋体"/>
          <w:b/>
          <w:color w:val="auto"/>
          <w:kern w:val="0"/>
          <w:sz w:val="36"/>
          <w:szCs w:val="36"/>
          <w:highlight w:val="none"/>
        </w:rPr>
      </w:pPr>
      <w:bookmarkStart w:id="490" w:name="_Toc11363"/>
      <w:bookmarkEnd w:id="490"/>
      <w:bookmarkStart w:id="491" w:name="_Toc5296"/>
      <w:r>
        <w:rPr>
          <w:rFonts w:hint="eastAsia" w:ascii="宋体" w:hAnsi="宋体" w:eastAsia="宋体"/>
          <w:b/>
          <w:color w:val="auto"/>
          <w:kern w:val="0"/>
          <w:sz w:val="36"/>
          <w:szCs w:val="36"/>
          <w:highlight w:val="none"/>
        </w:rPr>
        <w:t>资格证明文件部分</w:t>
      </w:r>
      <w:bookmarkEnd w:id="491"/>
    </w:p>
    <w:p w14:paraId="05CE4224">
      <w:pPr>
        <w:snapToGrid w:val="0"/>
        <w:spacing w:line="360" w:lineRule="auto"/>
        <w:jc w:val="center"/>
        <w:outlineLvl w:val="0"/>
        <w:rPr>
          <w:rFonts w:hint="eastAsia" w:ascii="宋体" w:hAnsi="宋体" w:eastAsia="宋体"/>
          <w:b/>
          <w:color w:val="auto"/>
          <w:kern w:val="0"/>
          <w:sz w:val="36"/>
          <w:szCs w:val="36"/>
          <w:highlight w:val="none"/>
        </w:rPr>
      </w:pPr>
      <w:bookmarkStart w:id="492" w:name="_Toc30235"/>
    </w:p>
    <w:bookmarkEnd w:id="492"/>
    <w:p w14:paraId="04261C7E">
      <w:pPr>
        <w:snapToGrid w:val="0"/>
        <w:spacing w:line="360" w:lineRule="auto"/>
        <w:jc w:val="center"/>
        <w:outlineLvl w:val="0"/>
        <w:rPr>
          <w:rFonts w:hint="eastAsia" w:ascii="宋体" w:hAnsi="宋体" w:eastAsia="宋体"/>
          <w:b/>
          <w:color w:val="auto"/>
          <w:kern w:val="0"/>
          <w:sz w:val="36"/>
          <w:szCs w:val="36"/>
          <w:highlight w:val="none"/>
        </w:rPr>
      </w:pPr>
      <w:bookmarkStart w:id="493" w:name="_Toc4521"/>
      <w:r>
        <w:rPr>
          <w:rFonts w:hint="eastAsia" w:ascii="宋体" w:hAnsi="宋体" w:eastAsia="宋体"/>
          <w:b/>
          <w:color w:val="auto"/>
          <w:kern w:val="0"/>
          <w:sz w:val="36"/>
          <w:szCs w:val="36"/>
          <w:highlight w:val="none"/>
        </w:rPr>
        <w:t>目录</w:t>
      </w:r>
      <w:bookmarkEnd w:id="493"/>
    </w:p>
    <w:p w14:paraId="5C3AC27C">
      <w:pPr>
        <w:snapToGrid w:val="0"/>
        <w:spacing w:line="360" w:lineRule="auto"/>
        <w:jc w:val="center"/>
        <w:rPr>
          <w:rFonts w:hint="eastAsia" w:ascii="宋体" w:hAnsi="宋体" w:eastAsia="宋体"/>
          <w:b/>
          <w:color w:val="auto"/>
          <w:kern w:val="0"/>
          <w:sz w:val="36"/>
          <w:szCs w:val="36"/>
          <w:highlight w:val="none"/>
        </w:rPr>
      </w:pPr>
    </w:p>
    <w:p w14:paraId="661F2979">
      <w:pPr>
        <w:numPr>
          <w:ilvl w:val="0"/>
          <w:numId w:val="0"/>
        </w:numPr>
        <w:snapToGrid w:val="0"/>
        <w:spacing w:line="360" w:lineRule="auto"/>
        <w:ind w:left="0" w:leftChars="0" w:firstLine="0" w:firstLineChars="0"/>
        <w:rPr>
          <w:rFonts w:hint="eastAsia"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1、</w:t>
      </w:r>
      <w:r>
        <w:rPr>
          <w:rFonts w:hint="eastAsia" w:ascii="宋体" w:hAnsi="宋体" w:eastAsia="宋体"/>
          <w:color w:val="auto"/>
          <w:sz w:val="24"/>
          <w:highlight w:val="none"/>
        </w:rPr>
        <w:t>符合参加政府采购活动应当具备的一般条件的承诺函………………………………（页码）</w:t>
      </w:r>
    </w:p>
    <w:p w14:paraId="7A539896">
      <w:pPr>
        <w:numPr>
          <w:ilvl w:val="0"/>
          <w:numId w:val="0"/>
        </w:numPr>
        <w:snapToGrid w:val="0"/>
        <w:spacing w:line="360" w:lineRule="auto"/>
        <w:ind w:left="0" w:leftChars="0" w:firstLine="0" w:firstLineChars="0"/>
        <w:rPr>
          <w:rFonts w:hint="eastAsia"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2、</w:t>
      </w:r>
      <w:r>
        <w:rPr>
          <w:rFonts w:hint="eastAsia" w:ascii="宋体" w:hAnsi="宋体" w:eastAsia="宋体"/>
          <w:color w:val="auto"/>
          <w:sz w:val="24"/>
          <w:highlight w:val="none"/>
        </w:rPr>
        <w:t>供应商有效的企业法人营业执照（或事业法人登记证）、其他组织（个体工商户）的营业执照或者民办非企业单位登记证书的扫描件………………………………………………（页码）</w:t>
      </w:r>
    </w:p>
    <w:p w14:paraId="72D50126">
      <w:pPr>
        <w:numPr>
          <w:ilvl w:val="0"/>
          <w:numId w:val="0"/>
        </w:numPr>
        <w:snapToGrid w:val="0"/>
        <w:spacing w:line="360" w:lineRule="auto"/>
        <w:ind w:left="0" w:leftChars="0" w:firstLine="0" w:firstLineChars="0"/>
        <w:rPr>
          <w:rFonts w:hint="eastAsia" w:ascii="宋体" w:hAnsi="宋体" w:eastAsia="宋体"/>
          <w:color w:val="auto"/>
          <w:kern w:val="2"/>
          <w:sz w:val="24"/>
          <w:szCs w:val="24"/>
          <w:highlight w:val="none"/>
          <w:lang w:val="en-US" w:eastAsia="zh-CN" w:bidi="ar-SA"/>
        </w:rPr>
      </w:pPr>
      <w:r>
        <w:rPr>
          <w:rFonts w:hint="eastAsia" w:ascii="宋体" w:hAnsi="宋体"/>
          <w:color w:val="auto"/>
          <w:kern w:val="2"/>
          <w:sz w:val="24"/>
          <w:szCs w:val="24"/>
          <w:highlight w:val="none"/>
          <w:lang w:val="en-US" w:eastAsia="zh-CN" w:bidi="ar-SA"/>
        </w:rPr>
        <w:t>3</w:t>
      </w:r>
      <w:r>
        <w:rPr>
          <w:rFonts w:hint="eastAsia" w:ascii="宋体" w:hAnsi="宋体" w:eastAsia="宋体"/>
          <w:color w:val="auto"/>
          <w:kern w:val="2"/>
          <w:sz w:val="24"/>
          <w:szCs w:val="24"/>
          <w:highlight w:val="none"/>
          <w:lang w:val="en-US" w:eastAsia="zh-CN" w:bidi="ar-SA"/>
        </w:rPr>
        <w:t>、</w:t>
      </w:r>
      <w:r>
        <w:rPr>
          <w:rFonts w:hint="eastAsia" w:ascii="宋体" w:hAnsi="宋体" w:eastAsia="宋体"/>
          <w:color w:val="auto"/>
          <w:sz w:val="24"/>
          <w:highlight w:val="none"/>
        </w:rPr>
        <w:t>落实政府采购政策需满足的资格要求（如有）…………………………………………（页码）</w:t>
      </w:r>
    </w:p>
    <w:p w14:paraId="328240F1">
      <w:pPr>
        <w:numPr>
          <w:ilvl w:val="0"/>
          <w:numId w:val="0"/>
        </w:numPr>
        <w:snapToGrid w:val="0"/>
        <w:spacing w:line="360" w:lineRule="auto"/>
        <w:ind w:left="0" w:leftChars="0" w:firstLine="0" w:firstLineChars="0"/>
        <w:rPr>
          <w:rFonts w:hint="eastAsia" w:ascii="宋体" w:hAnsi="宋体" w:eastAsia="宋体"/>
          <w:color w:val="auto"/>
          <w:sz w:val="24"/>
          <w:highlight w:val="none"/>
        </w:rPr>
      </w:pPr>
      <w:r>
        <w:rPr>
          <w:rFonts w:hint="eastAsia" w:ascii="宋体" w:hAnsi="宋体"/>
          <w:color w:val="auto"/>
          <w:kern w:val="2"/>
          <w:sz w:val="24"/>
          <w:szCs w:val="24"/>
          <w:highlight w:val="none"/>
          <w:lang w:val="en-US" w:eastAsia="zh-CN" w:bidi="ar-SA"/>
        </w:rPr>
        <w:t>4</w:t>
      </w:r>
      <w:r>
        <w:rPr>
          <w:rFonts w:hint="eastAsia" w:ascii="宋体" w:hAnsi="宋体" w:eastAsia="宋体"/>
          <w:color w:val="auto"/>
          <w:kern w:val="2"/>
          <w:sz w:val="24"/>
          <w:szCs w:val="24"/>
          <w:highlight w:val="none"/>
          <w:lang w:val="en-US" w:eastAsia="zh-CN" w:bidi="ar-SA"/>
        </w:rPr>
        <w:t>、</w:t>
      </w:r>
      <w:r>
        <w:rPr>
          <w:rFonts w:hint="eastAsia" w:ascii="宋体" w:hAnsi="宋体" w:eastAsia="宋体"/>
          <w:color w:val="auto"/>
          <w:sz w:val="24"/>
          <w:highlight w:val="none"/>
        </w:rPr>
        <w:t>本项目的特定资格要求（如有）…………………………………………………………（页码）</w:t>
      </w:r>
    </w:p>
    <w:p w14:paraId="66E88D73">
      <w:pPr>
        <w:spacing w:line="360" w:lineRule="auto"/>
        <w:ind w:firstLine="480" w:firstLineChars="200"/>
        <w:rPr>
          <w:rFonts w:hint="eastAsia" w:ascii="宋体" w:hAnsi="宋体" w:eastAsia="宋体"/>
          <w:color w:val="auto"/>
          <w:sz w:val="24"/>
          <w:highlight w:val="none"/>
        </w:rPr>
      </w:pPr>
    </w:p>
    <w:p w14:paraId="6EB573F2">
      <w:pPr>
        <w:numPr>
          <w:ilvl w:val="0"/>
          <w:numId w:val="44"/>
        </w:numPr>
        <w:snapToGrid w:val="0"/>
        <w:spacing w:line="360" w:lineRule="auto"/>
        <w:ind w:firstLine="0"/>
        <w:jc w:val="center"/>
        <w:rPr>
          <w:rFonts w:hint="eastAsia" w:ascii="宋体" w:hAnsi="宋体" w:eastAsia="宋体"/>
          <w:color w:val="auto"/>
          <w:kern w:val="0"/>
          <w:sz w:val="24"/>
          <w:highlight w:val="none"/>
        </w:rPr>
      </w:pPr>
      <w:r>
        <w:rPr>
          <w:rFonts w:hint="eastAsia" w:ascii="宋体" w:hAnsi="宋体" w:eastAsia="宋体"/>
          <w:color w:val="auto"/>
          <w:kern w:val="0"/>
          <w:sz w:val="24"/>
          <w:highlight w:val="none"/>
        </w:rPr>
        <w:br w:type="page"/>
      </w:r>
      <w:r>
        <w:rPr>
          <w:rFonts w:hint="eastAsia" w:ascii="宋体" w:hAnsi="宋体" w:eastAsia="宋体"/>
          <w:b/>
          <w:color w:val="auto"/>
          <w:kern w:val="0"/>
          <w:sz w:val="24"/>
          <w:highlight w:val="none"/>
        </w:rPr>
        <w:t>符合参加政府采购活动应当具备的一般条件的承诺函</w:t>
      </w:r>
    </w:p>
    <w:p w14:paraId="62E95029">
      <w:pPr>
        <w:snapToGrid w:val="0"/>
        <w:spacing w:line="360" w:lineRule="auto"/>
        <w:rPr>
          <w:rFonts w:hint="eastAsia" w:ascii="宋体" w:hAnsi="宋体" w:eastAsia="宋体"/>
          <w:color w:val="auto"/>
          <w:szCs w:val="21"/>
          <w:highlight w:val="none"/>
        </w:rPr>
      </w:pPr>
    </w:p>
    <w:p w14:paraId="71CF7E0F">
      <w:pPr>
        <w:snapToGrid w:val="0"/>
        <w:spacing w:line="360" w:lineRule="auto"/>
        <w:rPr>
          <w:rFonts w:hint="eastAsia" w:ascii="宋体" w:hAnsi="宋体" w:eastAsia="宋体"/>
          <w:b/>
          <w:bCs/>
          <w:color w:val="auto"/>
          <w:szCs w:val="21"/>
          <w:highlight w:val="none"/>
          <w:u w:val="single"/>
          <w:lang w:eastAsia="zh-CN"/>
        </w:rPr>
      </w:pPr>
      <w:r>
        <w:rPr>
          <w:rFonts w:hint="eastAsia" w:ascii="宋体" w:hAnsi="宋体" w:eastAsia="宋体"/>
          <w:b/>
          <w:bCs/>
          <w:color w:val="auto"/>
          <w:szCs w:val="21"/>
          <w:highlight w:val="none"/>
          <w:u w:val="single"/>
          <w:lang w:eastAsia="zh-CN"/>
        </w:rPr>
        <w:t>（</w:t>
      </w:r>
      <w:r>
        <w:rPr>
          <w:rFonts w:hint="eastAsia" w:ascii="宋体" w:hAnsi="宋体" w:eastAsia="宋体"/>
          <w:b/>
          <w:bCs/>
          <w:color w:val="auto"/>
          <w:szCs w:val="21"/>
          <w:highlight w:val="none"/>
          <w:u w:val="single"/>
        </w:rPr>
        <w:t>采购人、采购代理机构</w:t>
      </w:r>
      <w:r>
        <w:rPr>
          <w:rFonts w:hint="eastAsia" w:ascii="宋体" w:hAnsi="宋体" w:eastAsia="宋体"/>
          <w:b/>
          <w:bCs/>
          <w:color w:val="auto"/>
          <w:szCs w:val="21"/>
          <w:highlight w:val="none"/>
          <w:u w:val="single"/>
          <w:lang w:val="en-US" w:eastAsia="zh-CN"/>
        </w:rPr>
        <w:t>名称</w:t>
      </w:r>
      <w:r>
        <w:rPr>
          <w:rFonts w:hint="eastAsia" w:ascii="宋体" w:hAnsi="宋体" w:eastAsia="宋体"/>
          <w:b/>
          <w:bCs/>
          <w:color w:val="auto"/>
          <w:szCs w:val="21"/>
          <w:highlight w:val="none"/>
          <w:u w:val="single"/>
          <w:lang w:eastAsia="zh-CN"/>
        </w:rPr>
        <w:t>）</w:t>
      </w:r>
      <w:r>
        <w:rPr>
          <w:rFonts w:hint="eastAsia" w:ascii="宋体" w:hAnsi="宋体" w:eastAsia="宋体"/>
          <w:color w:val="auto"/>
          <w:szCs w:val="21"/>
          <w:highlight w:val="none"/>
        </w:rPr>
        <w:t>：</w:t>
      </w:r>
    </w:p>
    <w:p w14:paraId="53301C68">
      <w:pPr>
        <w:snapToGrid w:val="0"/>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我方参与（项目名称：</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w:t>
      </w:r>
      <w:r>
        <w:rPr>
          <w:rFonts w:hint="eastAsia" w:ascii="宋体" w:hAnsi="宋体" w:eastAsia="宋体"/>
          <w:color w:val="auto"/>
          <w:kern w:val="0"/>
          <w:szCs w:val="21"/>
          <w:highlight w:val="none"/>
        </w:rPr>
        <w:t>项目</w:t>
      </w:r>
      <w:r>
        <w:rPr>
          <w:rFonts w:hint="eastAsia" w:ascii="宋体" w:hAnsi="宋体" w:eastAsia="宋体"/>
          <w:color w:val="auto"/>
          <w:szCs w:val="21"/>
          <w:highlight w:val="none"/>
        </w:rPr>
        <w:t>编号：</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】政府采购活动，郑重承诺：</w:t>
      </w:r>
    </w:p>
    <w:p w14:paraId="6DE370E5">
      <w:pPr>
        <w:numPr>
          <w:ilvl w:val="0"/>
          <w:numId w:val="45"/>
        </w:numPr>
        <w:snapToGrid w:val="0"/>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具备《中华人民共和国政府采购法》第二十二条第一款规定的条件：</w:t>
      </w:r>
    </w:p>
    <w:p w14:paraId="4E6C72E1">
      <w:pPr>
        <w:numPr>
          <w:ilvl w:val="0"/>
          <w:numId w:val="46"/>
        </w:numPr>
        <w:snapToGrid w:val="0"/>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具有独立承担民事责任的能力；</w:t>
      </w:r>
    </w:p>
    <w:p w14:paraId="5A4B0015">
      <w:pPr>
        <w:numPr>
          <w:ilvl w:val="0"/>
          <w:numId w:val="46"/>
        </w:numPr>
        <w:snapToGrid w:val="0"/>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 xml:space="preserve">具有良好的商业信誉和健全的财务会计制度； </w:t>
      </w:r>
    </w:p>
    <w:p w14:paraId="2BEBBB2A">
      <w:pPr>
        <w:numPr>
          <w:ilvl w:val="0"/>
          <w:numId w:val="46"/>
        </w:numPr>
        <w:snapToGrid w:val="0"/>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具有履行合同所必需的设备和专业技术能力；</w:t>
      </w:r>
    </w:p>
    <w:p w14:paraId="0094FC36">
      <w:pPr>
        <w:numPr>
          <w:ilvl w:val="0"/>
          <w:numId w:val="46"/>
        </w:numPr>
        <w:snapToGrid w:val="0"/>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有依法缴纳税收和社会保障资金的良好记录；</w:t>
      </w:r>
    </w:p>
    <w:p w14:paraId="023A3670">
      <w:pPr>
        <w:numPr>
          <w:ilvl w:val="0"/>
          <w:numId w:val="46"/>
        </w:numPr>
        <w:snapToGrid w:val="0"/>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参加政府采购活动前三年内，在经营活动中没有重大违法记录；</w:t>
      </w:r>
    </w:p>
    <w:p w14:paraId="45FBB748">
      <w:pPr>
        <w:numPr>
          <w:ilvl w:val="0"/>
          <w:numId w:val="46"/>
        </w:numPr>
        <w:snapToGrid w:val="0"/>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具有法律、行政法规规定的其他条件。</w:t>
      </w:r>
    </w:p>
    <w:p w14:paraId="6CB1E3DD">
      <w:pPr>
        <w:numPr>
          <w:ilvl w:val="0"/>
          <w:numId w:val="45"/>
        </w:numPr>
        <w:snapToGrid w:val="0"/>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未被信用中国（www.creditchina.gov.cn）、中国政府采购网（www.ccgp.gov.cn）列入失信被执行人、重大税收违法失信主体、政府采购严重违法失信行为记录名单。</w:t>
      </w:r>
    </w:p>
    <w:p w14:paraId="1B43E040">
      <w:pPr>
        <w:numPr>
          <w:ilvl w:val="0"/>
          <w:numId w:val="45"/>
        </w:numPr>
        <w:snapToGrid w:val="0"/>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不存在以下情况：</w:t>
      </w:r>
    </w:p>
    <w:p w14:paraId="79F2EBE6">
      <w:pPr>
        <w:snapToGrid w:val="0"/>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1、单位负责人为同一人或者存在直接控股、管理关系的不同供应商参加同一合同项下的政府采购活动的；</w:t>
      </w:r>
    </w:p>
    <w:p w14:paraId="605EDD96">
      <w:pPr>
        <w:snapToGrid w:val="0"/>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2、为采购项目提供整体设计、规范编制或者项目管理、监理、检测等服务后再参加该采购项目的其他采购活动的。</w:t>
      </w:r>
    </w:p>
    <w:p w14:paraId="4D327B84">
      <w:pPr>
        <w:snapToGrid w:val="0"/>
        <w:spacing w:line="360" w:lineRule="auto"/>
        <w:ind w:firstLine="4830" w:firstLineChars="2300"/>
        <w:rPr>
          <w:rFonts w:hint="eastAsia" w:ascii="宋体" w:hAnsi="宋体" w:eastAsia="宋体"/>
          <w:color w:val="auto"/>
          <w:kern w:val="0"/>
          <w:szCs w:val="21"/>
          <w:highlight w:val="none"/>
          <w:lang w:val="zh-CN"/>
        </w:rPr>
      </w:pPr>
    </w:p>
    <w:p w14:paraId="01224420">
      <w:pPr>
        <w:snapToGrid w:val="0"/>
        <w:spacing w:line="360" w:lineRule="auto"/>
        <w:rPr>
          <w:rFonts w:hint="eastAsia" w:ascii="宋体" w:hAnsi="宋体" w:eastAsia="宋体"/>
          <w:color w:val="auto"/>
          <w:kern w:val="0"/>
          <w:szCs w:val="21"/>
          <w:highlight w:val="none"/>
          <w:lang w:val="zh-CN"/>
        </w:rPr>
      </w:pPr>
      <w:r>
        <w:rPr>
          <w:rFonts w:hint="eastAsia" w:ascii="宋体" w:hAnsi="宋体" w:eastAsia="宋体"/>
          <w:color w:val="auto"/>
          <w:kern w:val="0"/>
          <w:szCs w:val="21"/>
          <w:highlight w:val="none"/>
          <w:lang w:val="zh-CN"/>
        </w:rPr>
        <w:t>供应商名称（公章）：</w:t>
      </w:r>
    </w:p>
    <w:p w14:paraId="563C4BAE">
      <w:pPr>
        <w:snapToGrid w:val="0"/>
        <w:spacing w:line="360" w:lineRule="auto"/>
        <w:rPr>
          <w:rFonts w:hint="eastAsia" w:ascii="宋体" w:hAnsi="宋体" w:eastAsia="宋体"/>
          <w:color w:val="auto"/>
          <w:kern w:val="0"/>
          <w:szCs w:val="21"/>
          <w:highlight w:val="none"/>
          <w:lang w:val="zh-CN"/>
        </w:rPr>
      </w:pPr>
      <w:r>
        <w:rPr>
          <w:rFonts w:hint="eastAsia" w:ascii="宋体" w:hAnsi="宋体" w:eastAsia="宋体"/>
          <w:color w:val="auto"/>
          <w:kern w:val="0"/>
          <w:szCs w:val="21"/>
          <w:highlight w:val="none"/>
          <w:lang w:val="zh-CN"/>
        </w:rPr>
        <w:t>日期</w:t>
      </w:r>
      <w:r>
        <w:rPr>
          <w:rFonts w:hint="eastAsia" w:ascii="宋体" w:hAnsi="宋体" w:eastAsia="宋体"/>
          <w:color w:val="auto"/>
          <w:kern w:val="0"/>
          <w:szCs w:val="21"/>
          <w:highlight w:val="none"/>
        </w:rPr>
        <w:t xml:space="preserve">：   年   </w:t>
      </w:r>
      <w:r>
        <w:rPr>
          <w:rFonts w:hint="eastAsia" w:ascii="宋体" w:hAnsi="宋体" w:eastAsia="宋体"/>
          <w:color w:val="auto"/>
          <w:kern w:val="0"/>
          <w:szCs w:val="21"/>
          <w:highlight w:val="none"/>
          <w:lang w:val="zh-CN"/>
        </w:rPr>
        <w:t>月</w:t>
      </w:r>
      <w:r>
        <w:rPr>
          <w:rFonts w:hint="eastAsia" w:ascii="宋体" w:hAnsi="宋体" w:eastAsia="宋体"/>
          <w:color w:val="auto"/>
          <w:kern w:val="0"/>
          <w:szCs w:val="21"/>
          <w:highlight w:val="none"/>
        </w:rPr>
        <w:t xml:space="preserve">   </w:t>
      </w:r>
      <w:r>
        <w:rPr>
          <w:rFonts w:hint="eastAsia" w:ascii="宋体" w:hAnsi="宋体" w:eastAsia="宋体"/>
          <w:color w:val="auto"/>
          <w:kern w:val="0"/>
          <w:szCs w:val="21"/>
          <w:highlight w:val="none"/>
          <w:lang w:val="zh-CN"/>
        </w:rPr>
        <w:t>日</w:t>
      </w:r>
    </w:p>
    <w:p w14:paraId="7E59B9B3">
      <w:pPr>
        <w:snapToGrid w:val="0"/>
        <w:spacing w:line="360" w:lineRule="auto"/>
        <w:ind w:right="480"/>
        <w:jc w:val="center"/>
        <w:rPr>
          <w:rFonts w:hint="eastAsia" w:ascii="宋体" w:hAnsi="宋体" w:eastAsia="宋体"/>
          <w:b/>
          <w:color w:val="auto"/>
          <w:kern w:val="0"/>
          <w:sz w:val="32"/>
          <w:szCs w:val="32"/>
          <w:highlight w:val="none"/>
        </w:rPr>
      </w:pPr>
    </w:p>
    <w:p w14:paraId="58C7EE89">
      <w:pPr>
        <w:snapToGrid w:val="0"/>
        <w:spacing w:line="360" w:lineRule="auto"/>
        <w:ind w:right="480"/>
        <w:jc w:val="center"/>
        <w:rPr>
          <w:rFonts w:hint="eastAsia" w:ascii="宋体" w:hAnsi="宋体" w:eastAsia="宋体"/>
          <w:b/>
          <w:color w:val="auto"/>
          <w:kern w:val="0"/>
          <w:sz w:val="32"/>
          <w:szCs w:val="32"/>
          <w:highlight w:val="none"/>
        </w:rPr>
      </w:pPr>
    </w:p>
    <w:p w14:paraId="77A441BC">
      <w:pPr>
        <w:snapToGrid w:val="0"/>
        <w:spacing w:line="360" w:lineRule="auto"/>
        <w:ind w:right="480"/>
        <w:jc w:val="center"/>
        <w:rPr>
          <w:rFonts w:hint="eastAsia" w:ascii="宋体" w:hAnsi="宋体" w:eastAsia="宋体"/>
          <w:b/>
          <w:color w:val="auto"/>
          <w:kern w:val="0"/>
          <w:sz w:val="32"/>
          <w:szCs w:val="32"/>
          <w:highlight w:val="none"/>
        </w:rPr>
      </w:pPr>
    </w:p>
    <w:p w14:paraId="1F501CD2">
      <w:pPr>
        <w:snapToGrid w:val="0"/>
        <w:spacing w:line="360" w:lineRule="auto"/>
        <w:rPr>
          <w:rFonts w:hint="eastAsia" w:ascii="宋体" w:hAnsi="宋体" w:eastAsia="宋体"/>
          <w:color w:val="auto"/>
          <w:highlight w:val="none"/>
        </w:rPr>
      </w:pPr>
    </w:p>
    <w:p w14:paraId="7E8BC03A">
      <w:pPr>
        <w:snapToGrid w:val="0"/>
        <w:spacing w:line="360" w:lineRule="auto"/>
        <w:ind w:right="480"/>
        <w:jc w:val="center"/>
        <w:rPr>
          <w:rFonts w:hint="eastAsia" w:ascii="宋体" w:hAnsi="宋体" w:eastAsia="宋体"/>
          <w:b/>
          <w:color w:val="auto"/>
          <w:kern w:val="0"/>
          <w:sz w:val="32"/>
          <w:szCs w:val="32"/>
          <w:highlight w:val="none"/>
        </w:rPr>
      </w:pPr>
    </w:p>
    <w:p w14:paraId="264B03D2">
      <w:pPr>
        <w:snapToGrid w:val="0"/>
        <w:spacing w:line="360" w:lineRule="auto"/>
        <w:ind w:right="480"/>
        <w:jc w:val="center"/>
        <w:rPr>
          <w:rFonts w:hint="eastAsia" w:ascii="宋体" w:hAnsi="宋体" w:eastAsia="宋体"/>
          <w:b/>
          <w:color w:val="auto"/>
          <w:kern w:val="0"/>
          <w:sz w:val="32"/>
          <w:szCs w:val="32"/>
          <w:highlight w:val="none"/>
        </w:rPr>
      </w:pPr>
    </w:p>
    <w:p w14:paraId="50A45FD2">
      <w:pPr>
        <w:snapToGrid w:val="0"/>
        <w:spacing w:line="360" w:lineRule="auto"/>
        <w:ind w:right="480"/>
        <w:jc w:val="center"/>
        <w:rPr>
          <w:rFonts w:hint="eastAsia" w:ascii="宋体" w:hAnsi="宋体" w:eastAsia="宋体"/>
          <w:b/>
          <w:color w:val="auto"/>
          <w:kern w:val="0"/>
          <w:sz w:val="32"/>
          <w:szCs w:val="32"/>
          <w:highlight w:val="none"/>
        </w:rPr>
      </w:pPr>
    </w:p>
    <w:p w14:paraId="18A18646">
      <w:pPr>
        <w:snapToGrid w:val="0"/>
        <w:spacing w:line="360" w:lineRule="auto"/>
        <w:ind w:firstLine="643" w:firstLineChars="200"/>
        <w:jc w:val="center"/>
        <w:rPr>
          <w:rFonts w:hint="eastAsia" w:ascii="宋体" w:hAnsi="宋体" w:eastAsia="宋体"/>
          <w:b/>
          <w:color w:val="auto"/>
          <w:kern w:val="0"/>
          <w:sz w:val="32"/>
          <w:szCs w:val="32"/>
          <w:highlight w:val="none"/>
        </w:rPr>
      </w:pPr>
    </w:p>
    <w:p w14:paraId="1AD5CC56">
      <w:pPr>
        <w:numPr>
          <w:ilvl w:val="0"/>
          <w:numId w:val="44"/>
        </w:numPr>
        <w:snapToGrid w:val="0"/>
        <w:spacing w:line="360" w:lineRule="auto"/>
        <w:ind w:firstLine="0"/>
        <w:jc w:val="center"/>
        <w:rPr>
          <w:rFonts w:hint="eastAsia" w:ascii="宋体" w:hAnsi="宋体" w:eastAsia="宋体"/>
          <w:b/>
          <w:color w:val="auto"/>
          <w:kern w:val="0"/>
          <w:sz w:val="32"/>
          <w:szCs w:val="32"/>
          <w:highlight w:val="none"/>
        </w:rPr>
      </w:pPr>
      <w:r>
        <w:rPr>
          <w:rFonts w:hint="eastAsia" w:ascii="宋体" w:hAnsi="宋体" w:eastAsia="宋体"/>
          <w:b/>
          <w:color w:val="auto"/>
          <w:kern w:val="0"/>
          <w:sz w:val="32"/>
          <w:szCs w:val="32"/>
          <w:highlight w:val="none"/>
        </w:rPr>
        <w:br w:type="page"/>
      </w:r>
      <w:r>
        <w:rPr>
          <w:rFonts w:hint="eastAsia" w:ascii="宋体" w:hAnsi="宋体" w:eastAsia="宋体"/>
          <w:b/>
          <w:color w:val="auto"/>
          <w:kern w:val="0"/>
          <w:sz w:val="24"/>
          <w:highlight w:val="none"/>
        </w:rPr>
        <w:t>供应商有效的企业法人营业执照（或事业法人登记证）、其他组织（个体工商户）的营业执照或者民办非企业单位登记证书的扫描件</w:t>
      </w:r>
    </w:p>
    <w:p w14:paraId="16205602">
      <w:pPr>
        <w:snapToGrid w:val="0"/>
        <w:spacing w:line="360" w:lineRule="auto"/>
        <w:ind w:firstLine="422" w:firstLineChars="200"/>
        <w:rPr>
          <w:rFonts w:hint="eastAsia" w:ascii="宋体" w:hAnsi="宋体" w:eastAsia="宋体"/>
          <w:b/>
          <w:color w:val="auto"/>
          <w:szCs w:val="21"/>
          <w:highlight w:val="none"/>
        </w:rPr>
      </w:pPr>
    </w:p>
    <w:p w14:paraId="14099B1C">
      <w:pPr>
        <w:snapToGrid w:val="0"/>
        <w:spacing w:line="360" w:lineRule="auto"/>
        <w:jc w:val="center"/>
        <w:rPr>
          <w:rFonts w:hint="eastAsia" w:ascii="宋体" w:hAnsi="宋体" w:eastAsia="宋体"/>
          <w:b/>
          <w:color w:val="auto"/>
          <w:szCs w:val="21"/>
          <w:highlight w:val="none"/>
        </w:rPr>
      </w:pPr>
      <w:r>
        <w:rPr>
          <w:rFonts w:hint="eastAsia" w:ascii="宋体" w:hAnsi="宋体" w:eastAsia="宋体"/>
          <w:b/>
          <w:color w:val="auto"/>
          <w:szCs w:val="21"/>
          <w:highlight w:val="none"/>
        </w:rPr>
        <w:t>[以联合体形式投标的，联合体各方均须提供，加盖各自公章]</w:t>
      </w:r>
    </w:p>
    <w:p w14:paraId="4BA83873">
      <w:pPr>
        <w:pStyle w:val="37"/>
        <w:autoSpaceDE/>
        <w:autoSpaceDN/>
        <w:snapToGrid w:val="0"/>
        <w:rPr>
          <w:rFonts w:hint="eastAsia" w:ascii="宋体" w:hAnsi="宋体" w:eastAsia="宋体"/>
          <w:b/>
          <w:color w:val="auto"/>
          <w:sz w:val="21"/>
          <w:szCs w:val="21"/>
          <w:highlight w:val="none"/>
        </w:rPr>
      </w:pPr>
    </w:p>
    <w:p w14:paraId="3B342423">
      <w:pPr>
        <w:snapToGrid w:val="0"/>
        <w:spacing w:line="360" w:lineRule="auto"/>
        <w:rPr>
          <w:rFonts w:hint="eastAsia" w:ascii="宋体" w:hAnsi="宋体" w:eastAsia="宋体"/>
          <w:b/>
          <w:color w:val="auto"/>
          <w:szCs w:val="21"/>
          <w:highlight w:val="none"/>
        </w:rPr>
      </w:pPr>
    </w:p>
    <w:p w14:paraId="3692B546">
      <w:pPr>
        <w:pStyle w:val="37"/>
        <w:rPr>
          <w:rFonts w:hint="eastAsia" w:ascii="宋体" w:hAnsi="宋体" w:eastAsia="宋体"/>
          <w:b/>
          <w:color w:val="auto"/>
          <w:sz w:val="21"/>
          <w:szCs w:val="21"/>
          <w:highlight w:val="none"/>
        </w:rPr>
      </w:pPr>
    </w:p>
    <w:p w14:paraId="6BBBE248">
      <w:pPr>
        <w:rPr>
          <w:rFonts w:hint="eastAsia" w:ascii="宋体" w:hAnsi="宋体" w:eastAsia="宋体"/>
          <w:color w:val="auto"/>
          <w:highlight w:val="none"/>
        </w:rPr>
      </w:pPr>
    </w:p>
    <w:p w14:paraId="235E1460">
      <w:pPr>
        <w:pStyle w:val="37"/>
        <w:rPr>
          <w:rFonts w:hint="eastAsia" w:ascii="宋体" w:hAnsi="宋体" w:eastAsia="宋体"/>
          <w:color w:val="auto"/>
          <w:sz w:val="21"/>
          <w:highlight w:val="none"/>
        </w:rPr>
      </w:pPr>
    </w:p>
    <w:p w14:paraId="5DF221C9">
      <w:pPr>
        <w:rPr>
          <w:rFonts w:hint="eastAsia" w:ascii="宋体" w:hAnsi="宋体" w:eastAsia="宋体"/>
          <w:color w:val="auto"/>
          <w:highlight w:val="none"/>
        </w:rPr>
      </w:pPr>
    </w:p>
    <w:p w14:paraId="2506C71B">
      <w:pPr>
        <w:rPr>
          <w:rFonts w:hint="eastAsia" w:ascii="宋体" w:hAnsi="宋体" w:eastAsia="宋体"/>
          <w:color w:val="auto"/>
          <w:highlight w:val="none"/>
        </w:rPr>
      </w:pPr>
    </w:p>
    <w:p w14:paraId="47BDE6D1">
      <w:pPr>
        <w:pStyle w:val="37"/>
        <w:autoSpaceDE/>
        <w:autoSpaceDN/>
        <w:snapToGrid w:val="0"/>
        <w:rPr>
          <w:rFonts w:hint="eastAsia" w:ascii="宋体" w:hAnsi="宋体" w:eastAsia="宋体"/>
          <w:color w:val="auto"/>
          <w:sz w:val="21"/>
          <w:highlight w:val="none"/>
        </w:rPr>
      </w:pPr>
    </w:p>
    <w:p w14:paraId="4D6AE525">
      <w:pPr>
        <w:rPr>
          <w:rFonts w:hint="eastAsia" w:ascii="宋体" w:hAnsi="宋体" w:eastAsia="宋体"/>
          <w:color w:val="auto"/>
          <w:highlight w:val="none"/>
        </w:rPr>
      </w:pPr>
    </w:p>
    <w:p w14:paraId="071F8BB4">
      <w:pPr>
        <w:pStyle w:val="37"/>
        <w:rPr>
          <w:rFonts w:hint="eastAsia" w:ascii="宋体" w:hAnsi="宋体" w:eastAsia="宋体"/>
          <w:color w:val="auto"/>
          <w:sz w:val="21"/>
          <w:highlight w:val="none"/>
        </w:rPr>
      </w:pPr>
    </w:p>
    <w:p w14:paraId="6E930D3A">
      <w:pPr>
        <w:numPr>
          <w:ilvl w:val="0"/>
          <w:numId w:val="44"/>
        </w:numPr>
        <w:snapToGrid w:val="0"/>
        <w:spacing w:line="360" w:lineRule="auto"/>
        <w:ind w:firstLine="0"/>
        <w:jc w:val="center"/>
        <w:rPr>
          <w:rFonts w:hint="eastAsia" w:ascii="宋体" w:hAnsi="宋体" w:eastAsia="宋体"/>
          <w:b/>
          <w:color w:val="auto"/>
          <w:kern w:val="0"/>
          <w:sz w:val="24"/>
          <w:highlight w:val="none"/>
        </w:rPr>
      </w:pPr>
      <w:r>
        <w:rPr>
          <w:rFonts w:hint="eastAsia" w:ascii="宋体" w:hAnsi="宋体" w:eastAsia="宋体"/>
          <w:b/>
          <w:color w:val="auto"/>
          <w:kern w:val="0"/>
          <w:sz w:val="24"/>
          <w:highlight w:val="none"/>
        </w:rPr>
        <w:t>落实政府采购政策需满足的资格要求（如有）</w:t>
      </w:r>
    </w:p>
    <w:p w14:paraId="2D369FFB">
      <w:pPr>
        <w:snapToGrid w:val="0"/>
        <w:spacing w:line="360" w:lineRule="auto"/>
        <w:rPr>
          <w:rFonts w:hint="eastAsia" w:ascii="宋体" w:hAnsi="宋体" w:eastAsia="宋体"/>
          <w:color w:val="auto"/>
          <w:szCs w:val="21"/>
          <w:highlight w:val="none"/>
        </w:rPr>
      </w:pPr>
    </w:p>
    <w:p w14:paraId="5EA8F31D">
      <w:pPr>
        <w:snapToGrid w:val="0"/>
        <w:spacing w:line="360" w:lineRule="auto"/>
        <w:jc w:val="center"/>
        <w:rPr>
          <w:rFonts w:hint="eastAsia" w:ascii="宋体" w:hAnsi="宋体" w:eastAsia="宋体"/>
          <w:b/>
          <w:bCs/>
          <w:color w:val="auto"/>
          <w:szCs w:val="21"/>
          <w:highlight w:val="none"/>
        </w:rPr>
      </w:pPr>
      <w:r>
        <w:rPr>
          <w:rFonts w:hint="eastAsia" w:ascii="宋体" w:hAnsi="宋体" w:eastAsia="宋体"/>
          <w:b/>
          <w:bCs/>
          <w:color w:val="auto"/>
          <w:szCs w:val="21"/>
          <w:highlight w:val="none"/>
        </w:rPr>
        <w:t>（根据招标公告落实政府采购政策需满足的资格要求选择提供相应的材料；未要求的，无需提供）</w:t>
      </w:r>
    </w:p>
    <w:p w14:paraId="3B3DF787">
      <w:pPr>
        <w:snapToGrid w:val="0"/>
        <w:spacing w:line="360" w:lineRule="auto"/>
        <w:ind w:firstLine="413" w:firstLineChars="196"/>
        <w:jc w:val="left"/>
        <w:rPr>
          <w:rFonts w:hint="eastAsia" w:ascii="宋体" w:hAnsi="宋体" w:eastAsia="宋体"/>
          <w:b/>
          <w:color w:val="auto"/>
          <w:szCs w:val="21"/>
          <w:highlight w:val="none"/>
        </w:rPr>
      </w:pPr>
    </w:p>
    <w:p w14:paraId="1E6015BD">
      <w:pPr>
        <w:snapToGrid w:val="0"/>
        <w:spacing w:line="360" w:lineRule="auto"/>
        <w:ind w:firstLine="413" w:firstLineChars="196"/>
        <w:jc w:val="left"/>
        <w:rPr>
          <w:rFonts w:hint="eastAsia" w:ascii="宋体" w:hAnsi="宋体" w:eastAsia="宋体"/>
          <w:color w:val="auto"/>
          <w:szCs w:val="21"/>
          <w:highlight w:val="none"/>
        </w:rPr>
      </w:pPr>
      <w:r>
        <w:rPr>
          <w:rFonts w:hint="eastAsia" w:ascii="宋体" w:hAnsi="宋体" w:eastAsia="宋体"/>
          <w:b/>
          <w:color w:val="auto"/>
          <w:szCs w:val="21"/>
          <w:highlight w:val="none"/>
        </w:rPr>
        <w:t>A</w:t>
      </w:r>
      <w:r>
        <w:rPr>
          <w:rFonts w:hint="eastAsia" w:ascii="宋体" w:hAnsi="宋体" w:eastAsia="宋体"/>
          <w:color w:val="auto"/>
          <w:szCs w:val="21"/>
          <w:highlight w:val="none"/>
        </w:rPr>
        <w:t xml:space="preserve">.专门面向中小企业，货物全部由符合政策要求的中小企业（或小微企业）制造的，提供相应的中小企业声明函。 </w:t>
      </w:r>
    </w:p>
    <w:p w14:paraId="572DB0A9">
      <w:pPr>
        <w:snapToGrid w:val="0"/>
        <w:spacing w:line="360" w:lineRule="auto"/>
        <w:jc w:val="center"/>
        <w:rPr>
          <w:rFonts w:hint="eastAsia" w:ascii="宋体" w:hAnsi="宋体" w:eastAsia="宋体"/>
          <w:b/>
          <w:color w:val="auto"/>
          <w:szCs w:val="21"/>
          <w:highlight w:val="none"/>
        </w:rPr>
      </w:pPr>
      <w:r>
        <w:rPr>
          <w:rFonts w:hint="eastAsia" w:ascii="宋体" w:hAnsi="宋体" w:eastAsia="宋体"/>
          <w:b/>
          <w:color w:val="auto"/>
          <w:szCs w:val="21"/>
          <w:highlight w:val="none"/>
        </w:rPr>
        <w:t xml:space="preserve">    </w:t>
      </w:r>
    </w:p>
    <w:p w14:paraId="3FDEF58C">
      <w:pPr>
        <w:snapToGrid w:val="0"/>
        <w:spacing w:line="360" w:lineRule="auto"/>
        <w:ind w:firstLine="422" w:firstLineChars="200"/>
        <w:jc w:val="left"/>
        <w:rPr>
          <w:rFonts w:hint="eastAsia" w:ascii="宋体" w:hAnsi="宋体" w:eastAsia="宋体"/>
          <w:b/>
          <w:color w:val="auto"/>
          <w:szCs w:val="21"/>
          <w:highlight w:val="none"/>
        </w:rPr>
      </w:pPr>
    </w:p>
    <w:p w14:paraId="10E5083E">
      <w:pPr>
        <w:pStyle w:val="37"/>
        <w:autoSpaceDE/>
        <w:autoSpaceDN/>
        <w:snapToGrid w:val="0"/>
        <w:jc w:val="left"/>
        <w:rPr>
          <w:rFonts w:hint="eastAsia" w:ascii="宋体" w:hAnsi="宋体" w:eastAsia="宋体"/>
          <w:color w:val="auto"/>
          <w:sz w:val="21"/>
          <w:szCs w:val="21"/>
          <w:highlight w:val="none"/>
        </w:rPr>
      </w:pPr>
    </w:p>
    <w:p w14:paraId="66EBA257">
      <w:pPr>
        <w:numPr>
          <w:ilvl w:val="0"/>
          <w:numId w:val="44"/>
        </w:numPr>
        <w:snapToGrid w:val="0"/>
        <w:spacing w:line="360" w:lineRule="auto"/>
        <w:ind w:firstLine="0"/>
        <w:jc w:val="center"/>
        <w:rPr>
          <w:rFonts w:hint="eastAsia" w:ascii="宋体" w:hAnsi="宋体" w:eastAsia="宋体"/>
          <w:b/>
          <w:color w:val="auto"/>
          <w:kern w:val="0"/>
          <w:sz w:val="24"/>
          <w:highlight w:val="none"/>
        </w:rPr>
      </w:pPr>
      <w:r>
        <w:rPr>
          <w:rFonts w:hint="eastAsia" w:ascii="宋体" w:hAnsi="宋体" w:eastAsia="宋体"/>
          <w:b/>
          <w:color w:val="auto"/>
          <w:kern w:val="0"/>
          <w:sz w:val="24"/>
          <w:highlight w:val="none"/>
        </w:rPr>
        <w:t>本项目的特定资格要求（如有）</w:t>
      </w:r>
    </w:p>
    <w:p w14:paraId="14D607A1">
      <w:pPr>
        <w:snapToGrid w:val="0"/>
        <w:spacing w:line="360" w:lineRule="auto"/>
        <w:ind w:firstLine="420" w:firstLineChars="200"/>
        <w:rPr>
          <w:rFonts w:hint="eastAsia" w:ascii="宋体" w:hAnsi="宋体" w:eastAsia="宋体"/>
          <w:bCs/>
          <w:color w:val="auto"/>
          <w:szCs w:val="21"/>
          <w:highlight w:val="none"/>
        </w:rPr>
      </w:pPr>
    </w:p>
    <w:p w14:paraId="7B2B4864">
      <w:pPr>
        <w:snapToGrid w:val="0"/>
        <w:spacing w:line="360" w:lineRule="auto"/>
        <w:jc w:val="center"/>
        <w:rPr>
          <w:rFonts w:hint="eastAsia" w:ascii="宋体" w:hAnsi="宋体" w:eastAsia="宋体"/>
          <w:b/>
          <w:color w:val="auto"/>
          <w:szCs w:val="21"/>
          <w:highlight w:val="none"/>
        </w:rPr>
      </w:pPr>
      <w:r>
        <w:rPr>
          <w:rFonts w:hint="eastAsia" w:ascii="宋体" w:hAnsi="宋体" w:eastAsia="宋体"/>
          <w:b/>
          <w:color w:val="auto"/>
          <w:szCs w:val="21"/>
          <w:highlight w:val="none"/>
        </w:rPr>
        <w:t>（根据招标公告本项目的特定资格要求提供相应的材料；未要求的，无需提供）</w:t>
      </w:r>
    </w:p>
    <w:p w14:paraId="17405156">
      <w:pPr>
        <w:pStyle w:val="37"/>
        <w:widowControl/>
        <w:autoSpaceDE/>
        <w:autoSpaceDN/>
        <w:jc w:val="left"/>
        <w:rPr>
          <w:rFonts w:hint="eastAsia" w:ascii="宋体" w:hAnsi="宋体" w:eastAsia="宋体"/>
          <w:b/>
          <w:color w:val="auto"/>
          <w:sz w:val="21"/>
          <w:szCs w:val="21"/>
          <w:highlight w:val="none"/>
        </w:rPr>
      </w:pPr>
    </w:p>
    <w:p w14:paraId="77FB010E">
      <w:pPr>
        <w:widowControl/>
        <w:spacing w:line="360" w:lineRule="auto"/>
        <w:jc w:val="left"/>
        <w:rPr>
          <w:rFonts w:hint="eastAsia" w:ascii="宋体" w:hAnsi="宋体" w:eastAsia="宋体"/>
          <w:b/>
          <w:color w:val="auto"/>
          <w:szCs w:val="21"/>
          <w:highlight w:val="none"/>
        </w:rPr>
      </w:pPr>
    </w:p>
    <w:p w14:paraId="074B4A7F">
      <w:pPr>
        <w:pStyle w:val="37"/>
        <w:widowControl/>
        <w:autoSpaceDE/>
        <w:autoSpaceDN/>
        <w:jc w:val="left"/>
        <w:rPr>
          <w:rFonts w:hint="eastAsia" w:ascii="宋体" w:hAnsi="宋体" w:eastAsia="宋体"/>
          <w:b/>
          <w:color w:val="auto"/>
          <w:sz w:val="21"/>
          <w:szCs w:val="21"/>
          <w:highlight w:val="none"/>
        </w:rPr>
      </w:pPr>
    </w:p>
    <w:p w14:paraId="5BDFB9F4">
      <w:pPr>
        <w:widowControl/>
        <w:spacing w:line="360" w:lineRule="auto"/>
        <w:jc w:val="left"/>
        <w:rPr>
          <w:rFonts w:hint="eastAsia" w:ascii="宋体" w:hAnsi="宋体" w:eastAsia="宋体"/>
          <w:b/>
          <w:color w:val="auto"/>
          <w:szCs w:val="21"/>
          <w:highlight w:val="none"/>
        </w:rPr>
      </w:pPr>
    </w:p>
    <w:p w14:paraId="4B7BCBA2">
      <w:pPr>
        <w:pStyle w:val="37"/>
        <w:widowControl/>
        <w:autoSpaceDE/>
        <w:autoSpaceDN/>
        <w:jc w:val="left"/>
        <w:rPr>
          <w:rFonts w:hint="eastAsia" w:ascii="宋体" w:hAnsi="宋体" w:eastAsia="宋体"/>
          <w:b/>
          <w:color w:val="auto"/>
          <w:sz w:val="21"/>
          <w:szCs w:val="21"/>
          <w:highlight w:val="none"/>
        </w:rPr>
      </w:pPr>
    </w:p>
    <w:p w14:paraId="41F648B5">
      <w:pPr>
        <w:widowControl/>
        <w:spacing w:line="360" w:lineRule="auto"/>
        <w:jc w:val="left"/>
        <w:rPr>
          <w:rFonts w:hint="eastAsia" w:ascii="宋体" w:hAnsi="宋体" w:eastAsia="宋体"/>
          <w:b/>
          <w:color w:val="auto"/>
          <w:szCs w:val="21"/>
          <w:highlight w:val="none"/>
        </w:rPr>
      </w:pPr>
    </w:p>
    <w:p w14:paraId="794A72F7">
      <w:pPr>
        <w:pStyle w:val="37"/>
        <w:widowControl/>
        <w:autoSpaceDE/>
        <w:autoSpaceDN/>
        <w:ind w:firstLine="0"/>
        <w:jc w:val="left"/>
        <w:rPr>
          <w:rFonts w:hint="eastAsia" w:ascii="宋体" w:hAnsi="宋体" w:eastAsia="宋体"/>
          <w:b/>
          <w:color w:val="auto"/>
          <w:sz w:val="21"/>
          <w:szCs w:val="21"/>
          <w:highlight w:val="none"/>
        </w:rPr>
      </w:pPr>
    </w:p>
    <w:p w14:paraId="2C3C447B">
      <w:pPr>
        <w:rPr>
          <w:rFonts w:hint="eastAsia" w:ascii="宋体" w:hAnsi="宋体" w:eastAsia="宋体"/>
          <w:b/>
          <w:color w:val="auto"/>
          <w:kern w:val="0"/>
          <w:sz w:val="36"/>
          <w:szCs w:val="36"/>
          <w:highlight w:val="none"/>
        </w:rPr>
      </w:pPr>
      <w:r>
        <w:rPr>
          <w:rFonts w:hint="eastAsia" w:ascii="宋体" w:hAnsi="宋体" w:eastAsia="宋体"/>
          <w:b/>
          <w:color w:val="auto"/>
          <w:kern w:val="0"/>
          <w:sz w:val="36"/>
          <w:szCs w:val="36"/>
          <w:highlight w:val="none"/>
        </w:rPr>
        <w:br w:type="page"/>
      </w:r>
    </w:p>
    <w:p w14:paraId="121378B4">
      <w:pPr>
        <w:snapToGrid w:val="0"/>
        <w:spacing w:line="360" w:lineRule="auto"/>
        <w:jc w:val="center"/>
        <w:rPr>
          <w:rFonts w:hint="eastAsia" w:ascii="宋体" w:hAnsi="宋体" w:eastAsia="宋体"/>
          <w:b/>
          <w:color w:val="auto"/>
          <w:kern w:val="0"/>
          <w:sz w:val="36"/>
          <w:szCs w:val="36"/>
          <w:highlight w:val="none"/>
        </w:rPr>
      </w:pPr>
      <w:r>
        <w:rPr>
          <w:rFonts w:hint="eastAsia" w:ascii="宋体" w:hAnsi="宋体" w:eastAsia="宋体"/>
          <w:b/>
          <w:color w:val="auto"/>
          <w:kern w:val="0"/>
          <w:sz w:val="36"/>
          <w:szCs w:val="36"/>
          <w:highlight w:val="none"/>
        </w:rPr>
        <w:t>商务技术文件部分</w:t>
      </w:r>
    </w:p>
    <w:p w14:paraId="274FFE76">
      <w:pPr>
        <w:pStyle w:val="37"/>
        <w:autoSpaceDE/>
        <w:autoSpaceDN/>
        <w:snapToGrid w:val="0"/>
        <w:ind w:firstLine="0"/>
        <w:jc w:val="center"/>
        <w:rPr>
          <w:rFonts w:hint="eastAsia" w:ascii="宋体" w:hAnsi="宋体" w:eastAsia="宋体"/>
          <w:color w:val="auto"/>
          <w:sz w:val="36"/>
          <w:highlight w:val="none"/>
        </w:rPr>
      </w:pPr>
    </w:p>
    <w:p w14:paraId="714BF604">
      <w:pPr>
        <w:snapToGrid w:val="0"/>
        <w:spacing w:line="360" w:lineRule="auto"/>
        <w:jc w:val="center"/>
        <w:outlineLvl w:val="0"/>
        <w:rPr>
          <w:rFonts w:hint="eastAsia" w:ascii="宋体" w:hAnsi="宋体" w:eastAsia="宋体"/>
          <w:b/>
          <w:color w:val="auto"/>
          <w:kern w:val="0"/>
          <w:sz w:val="36"/>
          <w:szCs w:val="28"/>
          <w:highlight w:val="none"/>
        </w:rPr>
      </w:pPr>
      <w:bookmarkStart w:id="494" w:name="_Toc1114"/>
      <w:bookmarkEnd w:id="494"/>
      <w:bookmarkStart w:id="495" w:name="_Toc22542"/>
      <w:r>
        <w:rPr>
          <w:rFonts w:hint="eastAsia" w:ascii="宋体" w:hAnsi="宋体" w:eastAsia="宋体"/>
          <w:b/>
          <w:color w:val="auto"/>
          <w:kern w:val="0"/>
          <w:sz w:val="36"/>
          <w:szCs w:val="28"/>
          <w:highlight w:val="none"/>
        </w:rPr>
        <w:t>目录</w:t>
      </w:r>
      <w:bookmarkEnd w:id="495"/>
    </w:p>
    <w:p w14:paraId="2CA3ED6C">
      <w:pPr>
        <w:snapToGrid w:val="0"/>
        <w:spacing w:line="360" w:lineRule="auto"/>
        <w:jc w:val="center"/>
        <w:outlineLvl w:val="0"/>
        <w:rPr>
          <w:rFonts w:hint="eastAsia" w:ascii="宋体" w:hAnsi="宋体" w:eastAsia="宋体"/>
          <w:b/>
          <w:color w:val="auto"/>
          <w:kern w:val="0"/>
          <w:sz w:val="24"/>
          <w:highlight w:val="none"/>
        </w:rPr>
      </w:pPr>
    </w:p>
    <w:p w14:paraId="1BF64F00">
      <w:pPr>
        <w:snapToGrid w:val="0"/>
        <w:spacing w:line="360" w:lineRule="auto"/>
        <w:jc w:val="center"/>
        <w:outlineLvl w:val="0"/>
        <w:rPr>
          <w:rFonts w:hint="eastAsia" w:ascii="宋体" w:hAnsi="宋体" w:eastAsia="宋体"/>
          <w:b/>
          <w:color w:val="auto"/>
          <w:kern w:val="0"/>
          <w:sz w:val="24"/>
          <w:highlight w:val="none"/>
        </w:rPr>
      </w:pPr>
      <w:bookmarkStart w:id="496" w:name="_Toc610"/>
      <w:r>
        <w:rPr>
          <w:rFonts w:hint="eastAsia" w:ascii="宋体" w:hAnsi="宋体" w:eastAsia="宋体"/>
          <w:b/>
          <w:color w:val="auto"/>
          <w:kern w:val="0"/>
          <w:sz w:val="24"/>
          <w:highlight w:val="none"/>
        </w:rPr>
        <w:t>详见采购文件 第二部分 供应商须知三、投标“11、投标文件的组成”。</w:t>
      </w:r>
      <w:bookmarkEnd w:id="496"/>
    </w:p>
    <w:p w14:paraId="35794BF5">
      <w:pPr>
        <w:pStyle w:val="37"/>
        <w:rPr>
          <w:rFonts w:hint="eastAsia" w:ascii="宋体" w:hAnsi="宋体" w:eastAsia="宋体"/>
          <w:color w:val="auto"/>
          <w:highlight w:val="none"/>
        </w:rPr>
      </w:pPr>
    </w:p>
    <w:p w14:paraId="7F4E8CA3">
      <w:pPr>
        <w:rPr>
          <w:rFonts w:hint="eastAsia" w:ascii="宋体" w:hAnsi="宋体" w:eastAsia="宋体"/>
          <w:color w:val="auto"/>
          <w:highlight w:val="none"/>
        </w:rPr>
      </w:pPr>
    </w:p>
    <w:p w14:paraId="11608D4E">
      <w:pPr>
        <w:snapToGrid w:val="0"/>
        <w:spacing w:line="360" w:lineRule="auto"/>
        <w:ind w:firstLine="3855" w:firstLineChars="1200"/>
        <w:rPr>
          <w:rFonts w:hint="eastAsia" w:ascii="宋体" w:hAnsi="宋体" w:eastAsia="宋体"/>
          <w:b/>
          <w:color w:val="auto"/>
          <w:kern w:val="0"/>
          <w:sz w:val="32"/>
          <w:szCs w:val="32"/>
          <w:highlight w:val="none"/>
        </w:rPr>
      </w:pPr>
    </w:p>
    <w:p w14:paraId="6570DF63">
      <w:pPr>
        <w:snapToGrid w:val="0"/>
        <w:spacing w:line="360" w:lineRule="auto"/>
        <w:ind w:firstLine="3855" w:firstLineChars="1200"/>
        <w:rPr>
          <w:rFonts w:hint="eastAsia" w:ascii="宋体" w:hAnsi="宋体" w:eastAsia="宋体"/>
          <w:b/>
          <w:color w:val="auto"/>
          <w:kern w:val="0"/>
          <w:sz w:val="32"/>
          <w:szCs w:val="32"/>
          <w:highlight w:val="none"/>
        </w:rPr>
      </w:pPr>
    </w:p>
    <w:p w14:paraId="291B6941">
      <w:pPr>
        <w:snapToGrid w:val="0"/>
        <w:spacing w:line="360" w:lineRule="auto"/>
        <w:ind w:firstLine="3855" w:firstLineChars="1200"/>
        <w:rPr>
          <w:rFonts w:hint="eastAsia" w:ascii="宋体" w:hAnsi="宋体" w:eastAsia="宋体"/>
          <w:b/>
          <w:color w:val="auto"/>
          <w:kern w:val="0"/>
          <w:sz w:val="32"/>
          <w:szCs w:val="32"/>
          <w:highlight w:val="none"/>
        </w:rPr>
      </w:pPr>
    </w:p>
    <w:p w14:paraId="4B566F04">
      <w:pPr>
        <w:numPr>
          <w:ilvl w:val="0"/>
          <w:numId w:val="47"/>
        </w:numPr>
        <w:snapToGrid w:val="0"/>
        <w:spacing w:line="360" w:lineRule="auto"/>
        <w:jc w:val="center"/>
        <w:rPr>
          <w:rFonts w:hint="eastAsia" w:ascii="宋体" w:hAnsi="宋体" w:eastAsia="宋体"/>
          <w:b/>
          <w:color w:val="auto"/>
          <w:kern w:val="0"/>
          <w:sz w:val="24"/>
          <w:highlight w:val="none"/>
        </w:rPr>
      </w:pPr>
      <w:r>
        <w:rPr>
          <w:rFonts w:hint="eastAsia" w:ascii="宋体" w:hAnsi="宋体" w:eastAsia="宋体"/>
          <w:b/>
          <w:color w:val="auto"/>
          <w:kern w:val="0"/>
          <w:sz w:val="24"/>
          <w:highlight w:val="none"/>
        </w:rPr>
        <w:br w:type="page"/>
      </w:r>
      <w:r>
        <w:rPr>
          <w:rFonts w:hint="eastAsia" w:ascii="宋体" w:hAnsi="宋体" w:eastAsia="宋体"/>
          <w:b/>
          <w:color w:val="auto"/>
          <w:kern w:val="0"/>
          <w:sz w:val="24"/>
          <w:highlight w:val="none"/>
        </w:rPr>
        <w:t>投标函</w:t>
      </w:r>
    </w:p>
    <w:p w14:paraId="2495FCD7">
      <w:pPr>
        <w:snapToGrid w:val="0"/>
        <w:spacing w:line="360" w:lineRule="auto"/>
        <w:rPr>
          <w:rFonts w:hint="eastAsia" w:ascii="宋体" w:hAnsi="宋体" w:eastAsia="宋体"/>
          <w:b/>
          <w:bCs/>
          <w:color w:val="auto"/>
          <w:szCs w:val="21"/>
          <w:highlight w:val="none"/>
          <w:u w:val="single"/>
        </w:rPr>
      </w:pPr>
    </w:p>
    <w:p w14:paraId="75334442">
      <w:pPr>
        <w:snapToGrid w:val="0"/>
        <w:spacing w:line="360" w:lineRule="auto"/>
        <w:rPr>
          <w:rFonts w:hint="eastAsia" w:ascii="宋体" w:hAnsi="宋体" w:eastAsia="宋体"/>
          <w:b/>
          <w:bCs/>
          <w:color w:val="auto"/>
          <w:szCs w:val="21"/>
          <w:highlight w:val="none"/>
          <w:u w:val="single"/>
        </w:rPr>
      </w:pPr>
      <w:r>
        <w:rPr>
          <w:rFonts w:hint="eastAsia" w:ascii="宋体" w:hAnsi="宋体" w:eastAsia="宋体"/>
          <w:b/>
          <w:bCs/>
          <w:color w:val="auto"/>
          <w:szCs w:val="21"/>
          <w:highlight w:val="none"/>
          <w:u w:val="single"/>
        </w:rPr>
        <w:t>采购人</w:t>
      </w:r>
      <w:r>
        <w:rPr>
          <w:rFonts w:hint="eastAsia" w:ascii="宋体" w:hAnsi="宋体" w:eastAsia="宋体"/>
          <w:color w:val="auto"/>
          <w:szCs w:val="21"/>
          <w:highlight w:val="none"/>
        </w:rPr>
        <w:t>：</w:t>
      </w:r>
    </w:p>
    <w:p w14:paraId="7B5648E4">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我方参加你方组织的（项目名称：</w:t>
      </w:r>
      <w:r>
        <w:rPr>
          <w:rFonts w:hint="eastAsia" w:ascii="宋体" w:hAnsi="宋体" w:eastAsia="宋体"/>
          <w:color w:val="auto"/>
          <w:highlight w:val="none"/>
          <w:u w:val="single"/>
        </w:rPr>
        <w:t xml:space="preserve">                       </w:t>
      </w:r>
      <w:r>
        <w:rPr>
          <w:rFonts w:hint="eastAsia" w:ascii="宋体" w:hAnsi="宋体" w:eastAsia="宋体"/>
          <w:color w:val="auto"/>
          <w:highlight w:val="none"/>
        </w:rPr>
        <w:t>）【</w:t>
      </w:r>
      <w:r>
        <w:rPr>
          <w:rFonts w:hint="eastAsia" w:ascii="宋体" w:hAnsi="宋体" w:eastAsia="宋体"/>
          <w:color w:val="auto"/>
          <w:kern w:val="0"/>
          <w:szCs w:val="21"/>
          <w:highlight w:val="none"/>
        </w:rPr>
        <w:t>项目</w:t>
      </w:r>
      <w:r>
        <w:rPr>
          <w:rFonts w:hint="eastAsia" w:ascii="宋体" w:hAnsi="宋体" w:eastAsia="宋体"/>
          <w:color w:val="auto"/>
          <w:highlight w:val="none"/>
        </w:rPr>
        <w:t>编号：</w:t>
      </w:r>
      <w:r>
        <w:rPr>
          <w:rFonts w:hint="eastAsia" w:ascii="宋体" w:hAnsi="宋体" w:eastAsia="宋体"/>
          <w:color w:val="auto"/>
          <w:highlight w:val="none"/>
          <w:u w:val="single"/>
        </w:rPr>
        <w:t xml:space="preserve">             </w:t>
      </w:r>
      <w:r>
        <w:rPr>
          <w:rFonts w:hint="eastAsia" w:ascii="宋体" w:hAnsi="宋体" w:eastAsia="宋体"/>
          <w:color w:val="auto"/>
          <w:highlight w:val="none"/>
        </w:rPr>
        <w:t>】招标的有关活动，并对此项目进行投标。为此：</w:t>
      </w:r>
    </w:p>
    <w:p w14:paraId="73F58B18">
      <w:pPr>
        <w:numPr>
          <w:ilvl w:val="0"/>
          <w:numId w:val="48"/>
        </w:num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我方承诺投标有效期从提交投标文件的截止之日起</w:t>
      </w:r>
      <w:r>
        <w:rPr>
          <w:rFonts w:hint="eastAsia" w:ascii="宋体" w:hAnsi="宋体" w:eastAsia="宋体"/>
          <w:color w:val="auto"/>
          <w:highlight w:val="none"/>
          <w:u w:val="single"/>
        </w:rPr>
        <w:t xml:space="preserve">          </w:t>
      </w:r>
      <w:r>
        <w:rPr>
          <w:rFonts w:hint="eastAsia" w:ascii="宋体" w:hAnsi="宋体" w:eastAsia="宋体"/>
          <w:color w:val="auto"/>
          <w:highlight w:val="none"/>
        </w:rPr>
        <w:t>天</w:t>
      </w:r>
      <w:r>
        <w:rPr>
          <w:rFonts w:hint="eastAsia" w:ascii="宋体" w:hAnsi="宋体" w:eastAsia="宋体"/>
          <w:b/>
          <w:bCs/>
          <w:color w:val="auto"/>
          <w:highlight w:val="none"/>
        </w:rPr>
        <w:t>（不少于90天）</w:t>
      </w:r>
      <w:r>
        <w:rPr>
          <w:rFonts w:hint="eastAsia" w:ascii="宋体" w:hAnsi="宋体" w:eastAsia="宋体"/>
          <w:color w:val="auto"/>
          <w:highlight w:val="none"/>
        </w:rPr>
        <w:t>，本投标文件在投标有效期满之前均具有约束力。</w:t>
      </w:r>
    </w:p>
    <w:p w14:paraId="5F1F5BE8">
      <w:pPr>
        <w:numPr>
          <w:ilvl w:val="0"/>
          <w:numId w:val="48"/>
        </w:num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我方的投标文件包括以下内容：</w:t>
      </w:r>
    </w:p>
    <w:p w14:paraId="5BC9A3B5">
      <w:pPr>
        <w:numPr>
          <w:ilvl w:val="0"/>
          <w:numId w:val="49"/>
        </w:numPr>
        <w:snapToGrid w:val="0"/>
        <w:spacing w:line="360" w:lineRule="auto"/>
        <w:rPr>
          <w:rFonts w:hint="eastAsia" w:ascii="宋体" w:hAnsi="宋体" w:eastAsia="宋体"/>
          <w:b/>
          <w:bCs/>
          <w:color w:val="auto"/>
          <w:highlight w:val="none"/>
        </w:rPr>
      </w:pPr>
      <w:r>
        <w:rPr>
          <w:rFonts w:hint="eastAsia" w:ascii="宋体" w:hAnsi="宋体" w:eastAsia="宋体"/>
          <w:b/>
          <w:bCs/>
          <w:color w:val="auto"/>
          <w:highlight w:val="none"/>
        </w:rPr>
        <w:t>资格证明文件：</w:t>
      </w:r>
    </w:p>
    <w:p w14:paraId="47A7CE49">
      <w:pPr>
        <w:numPr>
          <w:ilvl w:val="0"/>
          <w:numId w:val="50"/>
        </w:numPr>
        <w:snapToGrid w:val="0"/>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符合参加政府采购活动应当具备的一般条件的</w:t>
      </w:r>
      <w:r>
        <w:rPr>
          <w:rFonts w:hint="eastAsia" w:ascii="宋体" w:hAnsi="宋体" w:eastAsia="宋体"/>
          <w:color w:val="auto"/>
          <w:highlight w:val="none"/>
        </w:rPr>
        <w:t>承诺函；</w:t>
      </w:r>
    </w:p>
    <w:p w14:paraId="05E13D28">
      <w:pPr>
        <w:numPr>
          <w:ilvl w:val="0"/>
          <w:numId w:val="50"/>
        </w:numPr>
        <w:snapToGrid w:val="0"/>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供应商有效的企业法人营业执照（或事业法人登记证）、其他组织（个体工商户）的营业执照或者民办非企业单位登记证书的扫描件；</w:t>
      </w:r>
    </w:p>
    <w:p w14:paraId="01A60A7C">
      <w:pPr>
        <w:numPr>
          <w:ilvl w:val="0"/>
          <w:numId w:val="50"/>
        </w:numPr>
        <w:snapToGrid w:val="0"/>
        <w:spacing w:line="360" w:lineRule="auto"/>
        <w:rPr>
          <w:rFonts w:hint="eastAsia" w:ascii="宋体" w:hAnsi="宋体" w:eastAsia="宋体"/>
          <w:color w:val="auto"/>
          <w:highlight w:val="none"/>
        </w:rPr>
      </w:pPr>
      <w:r>
        <w:rPr>
          <w:rFonts w:hint="eastAsia" w:ascii="宋体" w:hAnsi="宋体" w:eastAsia="宋体"/>
          <w:color w:val="auto"/>
          <w:highlight w:val="none"/>
        </w:rPr>
        <w:t>落实政府采购政策需满足的资格要求</w:t>
      </w:r>
      <w:r>
        <w:rPr>
          <w:rFonts w:hint="eastAsia" w:ascii="宋体" w:hAnsi="宋体" w:eastAsia="宋体"/>
          <w:color w:val="auto"/>
          <w:kern w:val="28"/>
          <w:szCs w:val="20"/>
          <w:highlight w:val="none"/>
        </w:rPr>
        <w:t>（如有）</w:t>
      </w:r>
      <w:r>
        <w:rPr>
          <w:rFonts w:hint="eastAsia" w:ascii="宋体" w:hAnsi="宋体" w:eastAsia="宋体"/>
          <w:color w:val="auto"/>
          <w:highlight w:val="none"/>
        </w:rPr>
        <w:t>；</w:t>
      </w:r>
    </w:p>
    <w:p w14:paraId="2671C43C">
      <w:pPr>
        <w:numPr>
          <w:ilvl w:val="0"/>
          <w:numId w:val="50"/>
        </w:numPr>
        <w:snapToGrid w:val="0"/>
        <w:spacing w:line="360" w:lineRule="auto"/>
        <w:rPr>
          <w:rFonts w:hint="eastAsia" w:ascii="宋体" w:hAnsi="宋体" w:eastAsia="宋体"/>
          <w:color w:val="auto"/>
          <w:highlight w:val="none"/>
        </w:rPr>
      </w:pPr>
      <w:r>
        <w:rPr>
          <w:rFonts w:hint="eastAsia" w:ascii="宋体" w:hAnsi="宋体" w:eastAsia="宋体"/>
          <w:color w:val="auto"/>
          <w:highlight w:val="none"/>
        </w:rPr>
        <w:t>本项目的特定资格要求</w:t>
      </w:r>
      <w:r>
        <w:rPr>
          <w:rFonts w:hint="eastAsia" w:ascii="宋体" w:hAnsi="宋体" w:eastAsia="宋体"/>
          <w:color w:val="auto"/>
          <w:kern w:val="28"/>
          <w:szCs w:val="20"/>
          <w:highlight w:val="none"/>
        </w:rPr>
        <w:t>（如有）；</w:t>
      </w:r>
    </w:p>
    <w:p w14:paraId="045AAB9E">
      <w:pPr>
        <w:numPr>
          <w:ilvl w:val="0"/>
          <w:numId w:val="49"/>
        </w:numPr>
        <w:snapToGrid w:val="0"/>
        <w:spacing w:line="360" w:lineRule="auto"/>
        <w:rPr>
          <w:rFonts w:hint="eastAsia" w:ascii="宋体" w:hAnsi="宋体" w:eastAsia="宋体"/>
          <w:b/>
          <w:bCs/>
          <w:color w:val="auto"/>
          <w:highlight w:val="none"/>
        </w:rPr>
      </w:pPr>
      <w:r>
        <w:rPr>
          <w:rFonts w:hint="eastAsia" w:ascii="宋体" w:hAnsi="宋体" w:eastAsia="宋体"/>
          <w:b/>
          <w:bCs/>
          <w:color w:val="auto"/>
          <w:highlight w:val="none"/>
        </w:rPr>
        <w:t>商务技术</w:t>
      </w:r>
      <w:r>
        <w:rPr>
          <w:rFonts w:hint="eastAsia" w:ascii="宋体" w:hAnsi="宋体" w:eastAsia="宋体"/>
          <w:b/>
          <w:bCs/>
          <w:color w:val="auto"/>
          <w:highlight w:val="none"/>
          <w:lang w:val="zh-CN"/>
        </w:rPr>
        <w:t>文件：</w:t>
      </w:r>
    </w:p>
    <w:p w14:paraId="3EF17F82">
      <w:pPr>
        <w:numPr>
          <w:ilvl w:val="0"/>
          <w:numId w:val="51"/>
        </w:numPr>
        <w:snapToGrid w:val="0"/>
        <w:spacing w:line="360" w:lineRule="auto"/>
        <w:rPr>
          <w:rFonts w:hint="eastAsia" w:ascii="宋体" w:hAnsi="宋体" w:eastAsia="宋体"/>
          <w:color w:val="auto"/>
          <w:highlight w:val="none"/>
        </w:rPr>
      </w:pPr>
      <w:r>
        <w:rPr>
          <w:rFonts w:hint="eastAsia" w:ascii="宋体" w:hAnsi="宋体" w:eastAsia="宋体"/>
          <w:color w:val="auto"/>
          <w:highlight w:val="none"/>
        </w:rPr>
        <w:t>投标函（附中标服务费支付承诺书）；</w:t>
      </w:r>
    </w:p>
    <w:p w14:paraId="504BDBFF">
      <w:pPr>
        <w:numPr>
          <w:ilvl w:val="0"/>
          <w:numId w:val="51"/>
        </w:numPr>
        <w:snapToGrid w:val="0"/>
        <w:spacing w:line="360" w:lineRule="auto"/>
        <w:rPr>
          <w:rFonts w:hint="eastAsia" w:ascii="宋体" w:hAnsi="宋体" w:eastAsia="宋体"/>
          <w:color w:val="auto"/>
          <w:highlight w:val="none"/>
        </w:rPr>
      </w:pPr>
      <w:r>
        <w:rPr>
          <w:rFonts w:hint="eastAsia" w:ascii="宋体" w:hAnsi="宋体" w:eastAsia="宋体"/>
          <w:color w:val="auto"/>
          <w:highlight w:val="none"/>
        </w:rPr>
        <w:t>授权委托书或法定代表人（单位负责人）身份证明；</w:t>
      </w:r>
    </w:p>
    <w:p w14:paraId="05380AAB">
      <w:pPr>
        <w:numPr>
          <w:ilvl w:val="0"/>
          <w:numId w:val="51"/>
        </w:numPr>
        <w:snapToGrid w:val="0"/>
        <w:spacing w:line="360" w:lineRule="auto"/>
        <w:rPr>
          <w:rFonts w:hint="eastAsia" w:ascii="宋体" w:hAnsi="宋体" w:eastAsia="宋体"/>
          <w:color w:val="auto"/>
          <w:highlight w:val="none"/>
        </w:rPr>
      </w:pPr>
      <w:r>
        <w:rPr>
          <w:rFonts w:hint="eastAsia" w:ascii="宋体" w:hAnsi="宋体" w:eastAsia="宋体"/>
          <w:color w:val="auto"/>
          <w:highlight w:val="none"/>
        </w:rPr>
        <w:t>分包意向协议</w:t>
      </w:r>
      <w:r>
        <w:rPr>
          <w:rFonts w:hint="eastAsia" w:ascii="宋体" w:hAnsi="宋体" w:eastAsia="宋体"/>
          <w:color w:val="auto"/>
          <w:kern w:val="28"/>
          <w:szCs w:val="20"/>
          <w:highlight w:val="none"/>
        </w:rPr>
        <w:t>（如有）</w:t>
      </w:r>
      <w:r>
        <w:rPr>
          <w:rFonts w:hint="eastAsia" w:ascii="宋体" w:hAnsi="宋体" w:eastAsia="宋体"/>
          <w:color w:val="auto"/>
          <w:highlight w:val="none"/>
        </w:rPr>
        <w:t>；</w:t>
      </w:r>
    </w:p>
    <w:p w14:paraId="4ED275EC">
      <w:pPr>
        <w:numPr>
          <w:ilvl w:val="0"/>
          <w:numId w:val="51"/>
        </w:numPr>
        <w:snapToGrid w:val="0"/>
        <w:spacing w:line="360" w:lineRule="auto"/>
        <w:rPr>
          <w:rFonts w:hint="eastAsia" w:ascii="宋体" w:hAnsi="宋体" w:eastAsia="宋体"/>
          <w:color w:val="auto"/>
          <w:highlight w:val="none"/>
        </w:rPr>
      </w:pPr>
      <w:r>
        <w:rPr>
          <w:rFonts w:hint="eastAsia" w:ascii="宋体" w:hAnsi="宋体" w:eastAsia="宋体"/>
          <w:color w:val="auto"/>
          <w:highlight w:val="none"/>
        </w:rPr>
        <w:t>符合性审查资料；</w:t>
      </w:r>
    </w:p>
    <w:p w14:paraId="54995213">
      <w:pPr>
        <w:numPr>
          <w:ilvl w:val="0"/>
          <w:numId w:val="51"/>
        </w:numPr>
        <w:snapToGrid w:val="0"/>
        <w:spacing w:line="360" w:lineRule="auto"/>
        <w:rPr>
          <w:rFonts w:hint="eastAsia" w:ascii="宋体" w:hAnsi="宋体" w:eastAsia="宋体"/>
          <w:color w:val="auto"/>
          <w:highlight w:val="none"/>
        </w:rPr>
      </w:pPr>
      <w:r>
        <w:rPr>
          <w:rFonts w:hint="eastAsia" w:ascii="宋体" w:hAnsi="宋体" w:eastAsia="宋体"/>
          <w:color w:val="auto"/>
          <w:highlight w:val="none"/>
        </w:rPr>
        <w:t>投标标的清单；</w:t>
      </w:r>
    </w:p>
    <w:p w14:paraId="598D5CFC">
      <w:pPr>
        <w:numPr>
          <w:ilvl w:val="0"/>
          <w:numId w:val="51"/>
        </w:numPr>
        <w:snapToGrid w:val="0"/>
        <w:spacing w:line="360" w:lineRule="auto"/>
        <w:rPr>
          <w:rFonts w:hint="eastAsia" w:ascii="宋体" w:hAnsi="宋体" w:eastAsia="宋体"/>
          <w:color w:val="auto"/>
          <w:highlight w:val="none"/>
        </w:rPr>
      </w:pPr>
      <w:r>
        <w:rPr>
          <w:rFonts w:hint="eastAsia" w:ascii="宋体" w:hAnsi="宋体" w:eastAsia="宋体"/>
          <w:color w:val="auto"/>
          <w:highlight w:val="none"/>
        </w:rPr>
        <w:t>评标标准相应的商务技术资料；</w:t>
      </w:r>
    </w:p>
    <w:p w14:paraId="402A86DC">
      <w:pPr>
        <w:numPr>
          <w:ilvl w:val="0"/>
          <w:numId w:val="51"/>
        </w:numPr>
        <w:snapToGrid w:val="0"/>
        <w:spacing w:line="360" w:lineRule="auto"/>
        <w:rPr>
          <w:rFonts w:hint="eastAsia" w:ascii="宋体" w:hAnsi="宋体" w:eastAsia="宋体"/>
          <w:color w:val="auto"/>
          <w:highlight w:val="none"/>
          <w:lang w:val="zh-CN"/>
        </w:rPr>
      </w:pPr>
      <w:r>
        <w:rPr>
          <w:rFonts w:hint="eastAsia" w:ascii="宋体" w:hAnsi="宋体" w:eastAsia="宋体"/>
          <w:color w:val="auto"/>
          <w:highlight w:val="none"/>
          <w:lang w:val="zh-CN"/>
        </w:rPr>
        <w:t>政府采购供应商廉洁自律承诺书；</w:t>
      </w:r>
    </w:p>
    <w:p w14:paraId="27721F32">
      <w:pPr>
        <w:numPr>
          <w:ilvl w:val="0"/>
          <w:numId w:val="51"/>
        </w:numPr>
        <w:snapToGrid w:val="0"/>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供应商声明（附录2）；</w:t>
      </w:r>
    </w:p>
    <w:p w14:paraId="2EFDEEDC">
      <w:pPr>
        <w:numPr>
          <w:ilvl w:val="0"/>
          <w:numId w:val="51"/>
        </w:numPr>
        <w:snapToGrid w:val="0"/>
        <w:spacing w:line="360" w:lineRule="auto"/>
        <w:rPr>
          <w:rFonts w:hint="eastAsia" w:ascii="宋体" w:hAnsi="宋体" w:eastAsia="宋体"/>
          <w:color w:val="auto"/>
          <w:highlight w:val="none"/>
        </w:rPr>
      </w:pPr>
      <w:r>
        <w:rPr>
          <w:rFonts w:hint="eastAsia" w:ascii="宋体" w:hAnsi="宋体" w:eastAsia="宋体"/>
          <w:color w:val="auto"/>
          <w:highlight w:val="none"/>
        </w:rPr>
        <w:t>其它供应商认为需要提供的材料或采购文件需要供应商提供的材料、说明</w:t>
      </w:r>
      <w:r>
        <w:rPr>
          <w:rFonts w:hint="eastAsia" w:ascii="宋体" w:hAnsi="宋体" w:eastAsia="宋体"/>
          <w:color w:val="auto"/>
          <w:highlight w:val="none"/>
          <w:lang w:val="zh-CN"/>
        </w:rPr>
        <w:t>。</w:t>
      </w:r>
    </w:p>
    <w:p w14:paraId="5590BC1E">
      <w:pPr>
        <w:numPr>
          <w:ilvl w:val="0"/>
          <w:numId w:val="49"/>
        </w:numPr>
        <w:snapToGrid w:val="0"/>
        <w:spacing w:line="360" w:lineRule="auto"/>
        <w:rPr>
          <w:rFonts w:hint="eastAsia" w:ascii="宋体" w:hAnsi="宋体" w:eastAsia="宋体"/>
          <w:b/>
          <w:bCs/>
          <w:color w:val="auto"/>
          <w:highlight w:val="none"/>
        </w:rPr>
      </w:pPr>
      <w:r>
        <w:rPr>
          <w:rFonts w:hint="eastAsia" w:ascii="宋体" w:hAnsi="宋体" w:eastAsia="宋体"/>
          <w:b/>
          <w:bCs/>
          <w:color w:val="auto"/>
          <w:highlight w:val="none"/>
        </w:rPr>
        <w:t>报价文件</w:t>
      </w:r>
    </w:p>
    <w:p w14:paraId="7690FEA4">
      <w:pPr>
        <w:numPr>
          <w:ilvl w:val="0"/>
          <w:numId w:val="52"/>
        </w:numPr>
        <w:snapToGrid w:val="0"/>
        <w:spacing w:line="360" w:lineRule="auto"/>
        <w:rPr>
          <w:rFonts w:hint="eastAsia" w:ascii="宋体" w:hAnsi="宋体" w:eastAsia="宋体"/>
          <w:color w:val="auto"/>
          <w:highlight w:val="none"/>
        </w:rPr>
      </w:pPr>
      <w:r>
        <w:rPr>
          <w:rFonts w:hint="eastAsia" w:ascii="宋体" w:hAnsi="宋体" w:eastAsia="宋体"/>
          <w:color w:val="auto"/>
          <w:highlight w:val="none"/>
        </w:rPr>
        <w:t>开标一览表（报价表）；</w:t>
      </w:r>
    </w:p>
    <w:p w14:paraId="1EE56BB2">
      <w:pPr>
        <w:numPr>
          <w:ilvl w:val="0"/>
          <w:numId w:val="52"/>
        </w:numPr>
        <w:snapToGrid w:val="0"/>
        <w:spacing w:line="360" w:lineRule="auto"/>
        <w:rPr>
          <w:rFonts w:hint="eastAsia" w:ascii="宋体" w:hAnsi="宋体" w:eastAsia="宋体"/>
          <w:color w:val="auto"/>
          <w:highlight w:val="none"/>
        </w:rPr>
      </w:pPr>
      <w:r>
        <w:rPr>
          <w:rFonts w:hint="eastAsia" w:ascii="宋体" w:hAnsi="宋体" w:eastAsia="宋体"/>
          <w:color w:val="auto"/>
          <w:highlight w:val="none"/>
        </w:rPr>
        <w:t>中小企业声明函（如有）；</w:t>
      </w:r>
    </w:p>
    <w:p w14:paraId="459754ED">
      <w:pPr>
        <w:numPr>
          <w:ilvl w:val="0"/>
          <w:numId w:val="52"/>
        </w:numPr>
        <w:snapToGrid w:val="0"/>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残疾人福利性单位声明函（如有）；</w:t>
      </w:r>
    </w:p>
    <w:p w14:paraId="493A0A92">
      <w:pPr>
        <w:numPr>
          <w:ilvl w:val="0"/>
          <w:numId w:val="52"/>
        </w:numPr>
        <w:snapToGrid w:val="0"/>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由省级以上监狱管理局、戒毒管理局（含新疆生产建设兵团）出具的属于监狱企业的证明文件（如有）</w:t>
      </w:r>
      <w:r>
        <w:rPr>
          <w:rFonts w:hint="eastAsia" w:ascii="宋体" w:hAnsi="宋体" w:eastAsia="宋体"/>
          <w:color w:val="auto"/>
          <w:highlight w:val="none"/>
        </w:rPr>
        <w:t>。</w:t>
      </w:r>
    </w:p>
    <w:p w14:paraId="6E3C733A">
      <w:pPr>
        <w:numPr>
          <w:ilvl w:val="0"/>
          <w:numId w:val="48"/>
        </w:num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我方承诺除商务、技术偏离表列出的偏离外，我方响应采购文件的全部要求。</w:t>
      </w:r>
    </w:p>
    <w:p w14:paraId="7845D975">
      <w:pPr>
        <w:numPr>
          <w:ilvl w:val="0"/>
          <w:numId w:val="48"/>
        </w:num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如我方中标，我方承诺：</w:t>
      </w:r>
    </w:p>
    <w:p w14:paraId="5455D349">
      <w:pPr>
        <w:numPr>
          <w:ilvl w:val="0"/>
          <w:numId w:val="53"/>
        </w:numPr>
        <w:snapToGrid w:val="0"/>
        <w:spacing w:line="360" w:lineRule="auto"/>
        <w:rPr>
          <w:rFonts w:hint="eastAsia" w:ascii="宋体" w:hAnsi="宋体" w:eastAsia="宋体"/>
          <w:color w:val="auto"/>
          <w:highlight w:val="none"/>
        </w:rPr>
      </w:pPr>
      <w:r>
        <w:rPr>
          <w:rFonts w:hint="eastAsia" w:ascii="宋体" w:hAnsi="宋体" w:eastAsia="宋体"/>
          <w:color w:val="auto"/>
          <w:highlight w:val="none"/>
        </w:rPr>
        <w:t xml:space="preserve">在收到中标通知书后，在中标通知书规定的期限内与你方签订合同； </w:t>
      </w:r>
    </w:p>
    <w:p w14:paraId="39BBDAB0">
      <w:pPr>
        <w:numPr>
          <w:ilvl w:val="0"/>
          <w:numId w:val="53"/>
        </w:numPr>
        <w:snapToGrid w:val="0"/>
        <w:spacing w:line="360" w:lineRule="auto"/>
        <w:rPr>
          <w:rFonts w:hint="eastAsia" w:ascii="宋体" w:hAnsi="宋体" w:eastAsia="宋体"/>
          <w:color w:val="auto"/>
          <w:highlight w:val="none"/>
        </w:rPr>
      </w:pPr>
      <w:r>
        <w:rPr>
          <w:rFonts w:hint="eastAsia" w:ascii="宋体" w:hAnsi="宋体" w:eastAsia="宋体"/>
          <w:color w:val="auto"/>
          <w:highlight w:val="none"/>
        </w:rPr>
        <w:t xml:space="preserve">在签订合同时不向你方提出附加条件； </w:t>
      </w:r>
    </w:p>
    <w:p w14:paraId="3D059E33">
      <w:pPr>
        <w:numPr>
          <w:ilvl w:val="0"/>
          <w:numId w:val="53"/>
        </w:numPr>
        <w:snapToGrid w:val="0"/>
        <w:spacing w:line="360" w:lineRule="auto"/>
        <w:rPr>
          <w:rFonts w:hint="eastAsia" w:ascii="宋体" w:hAnsi="宋体" w:eastAsia="宋体"/>
          <w:color w:val="auto"/>
          <w:highlight w:val="none"/>
        </w:rPr>
      </w:pPr>
      <w:r>
        <w:rPr>
          <w:rFonts w:hint="eastAsia" w:ascii="宋体" w:hAnsi="宋体" w:eastAsia="宋体"/>
          <w:color w:val="auto"/>
          <w:highlight w:val="none"/>
        </w:rPr>
        <w:t xml:space="preserve">按照采购文件要求提交履约保证金（如有）； </w:t>
      </w:r>
    </w:p>
    <w:p w14:paraId="10C2DD92">
      <w:pPr>
        <w:numPr>
          <w:ilvl w:val="0"/>
          <w:numId w:val="53"/>
        </w:numPr>
        <w:snapToGrid w:val="0"/>
        <w:spacing w:line="360" w:lineRule="auto"/>
        <w:rPr>
          <w:rFonts w:hint="eastAsia" w:ascii="宋体" w:hAnsi="宋体" w:eastAsia="宋体"/>
          <w:color w:val="auto"/>
          <w:highlight w:val="none"/>
        </w:rPr>
      </w:pPr>
      <w:r>
        <w:rPr>
          <w:rFonts w:hint="eastAsia" w:ascii="宋体" w:hAnsi="宋体" w:eastAsia="宋体"/>
          <w:color w:val="auto"/>
          <w:highlight w:val="none"/>
        </w:rPr>
        <w:t xml:space="preserve">在合同约定的期限内完成合同规定的全部义务。 </w:t>
      </w:r>
    </w:p>
    <w:p w14:paraId="33C7ABAB">
      <w:pPr>
        <w:numPr>
          <w:ilvl w:val="0"/>
          <w:numId w:val="48"/>
        </w:num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其他补充说明：</w:t>
      </w:r>
      <w:r>
        <w:rPr>
          <w:rFonts w:hint="eastAsia" w:ascii="宋体" w:hAnsi="宋体" w:eastAsia="宋体"/>
          <w:color w:val="auto"/>
          <w:highlight w:val="none"/>
          <w:u w:val="single"/>
        </w:rPr>
        <w:t xml:space="preserve">                                        </w:t>
      </w:r>
      <w:r>
        <w:rPr>
          <w:rFonts w:hint="eastAsia" w:ascii="宋体" w:hAnsi="宋体" w:eastAsia="宋体"/>
          <w:color w:val="auto"/>
          <w:highlight w:val="none"/>
        </w:rPr>
        <w:t>。</w:t>
      </w:r>
    </w:p>
    <w:p w14:paraId="185C2ADF">
      <w:pPr>
        <w:snapToGrid w:val="0"/>
        <w:spacing w:line="360" w:lineRule="auto"/>
        <w:rPr>
          <w:rFonts w:hint="eastAsia" w:ascii="宋体" w:hAnsi="宋体" w:eastAsia="宋体"/>
          <w:color w:val="auto"/>
          <w:highlight w:val="none"/>
        </w:rPr>
      </w:pPr>
    </w:p>
    <w:p w14:paraId="52A9DD36">
      <w:pPr>
        <w:snapToGrid w:val="0"/>
        <w:spacing w:line="360" w:lineRule="auto"/>
        <w:rPr>
          <w:rFonts w:hint="eastAsia" w:ascii="宋体" w:hAnsi="宋体" w:eastAsia="宋体"/>
          <w:color w:val="auto"/>
          <w:highlight w:val="none"/>
        </w:rPr>
      </w:pPr>
      <w:r>
        <w:rPr>
          <w:rFonts w:hint="eastAsia" w:ascii="宋体" w:hAnsi="宋体" w:eastAsia="宋体"/>
          <w:color w:val="auto"/>
          <w:highlight w:val="none"/>
        </w:rPr>
        <w:t xml:space="preserve">供应商名称（公章）：                </w:t>
      </w:r>
    </w:p>
    <w:p w14:paraId="0594529B">
      <w:pPr>
        <w:snapToGrid w:val="0"/>
        <w:spacing w:line="360" w:lineRule="auto"/>
        <w:rPr>
          <w:rFonts w:hint="eastAsia" w:ascii="宋体" w:hAnsi="宋体" w:eastAsia="宋体"/>
          <w:color w:val="auto"/>
          <w:highlight w:val="none"/>
        </w:rPr>
      </w:pPr>
      <w:r>
        <w:rPr>
          <w:rFonts w:hint="eastAsia" w:ascii="宋体" w:hAnsi="宋体" w:eastAsia="宋体"/>
          <w:color w:val="auto"/>
          <w:highlight w:val="none"/>
        </w:rPr>
        <w:t>日期：  年   月   日</w:t>
      </w:r>
    </w:p>
    <w:p w14:paraId="259593F2">
      <w:pPr>
        <w:snapToGrid w:val="0"/>
        <w:spacing w:line="360" w:lineRule="auto"/>
        <w:rPr>
          <w:rFonts w:hint="eastAsia" w:ascii="宋体" w:hAnsi="宋体" w:eastAsia="宋体"/>
          <w:color w:val="auto"/>
          <w:highlight w:val="none"/>
        </w:rPr>
      </w:pPr>
    </w:p>
    <w:p w14:paraId="4AFDF9B1">
      <w:pPr>
        <w:snapToGrid w:val="0"/>
        <w:spacing w:line="360" w:lineRule="auto"/>
        <w:rPr>
          <w:rFonts w:hint="eastAsia" w:ascii="宋体" w:hAnsi="宋体" w:eastAsia="宋体"/>
          <w:color w:val="auto"/>
          <w:highlight w:val="none"/>
        </w:rPr>
      </w:pPr>
    </w:p>
    <w:p w14:paraId="4CEF0F48">
      <w:pPr>
        <w:snapToGrid w:val="0"/>
        <w:spacing w:line="360" w:lineRule="auto"/>
        <w:rPr>
          <w:rFonts w:hint="eastAsia" w:ascii="宋体" w:hAnsi="宋体" w:eastAsia="宋体"/>
          <w:color w:val="auto"/>
          <w:highlight w:val="none"/>
        </w:rPr>
      </w:pPr>
    </w:p>
    <w:p w14:paraId="78048086">
      <w:pPr>
        <w:snapToGrid w:val="0"/>
        <w:spacing w:line="360" w:lineRule="auto"/>
        <w:rPr>
          <w:rFonts w:hint="eastAsia" w:ascii="宋体" w:hAnsi="宋体" w:eastAsia="宋体"/>
          <w:color w:val="auto"/>
          <w:highlight w:val="none"/>
        </w:rPr>
      </w:pPr>
    </w:p>
    <w:p w14:paraId="28D5C6A8">
      <w:pPr>
        <w:snapToGrid w:val="0"/>
        <w:spacing w:line="360" w:lineRule="auto"/>
        <w:rPr>
          <w:rFonts w:hint="eastAsia" w:ascii="宋体" w:hAnsi="宋体" w:eastAsia="宋体"/>
          <w:color w:val="auto"/>
          <w:highlight w:val="none"/>
        </w:rPr>
      </w:pPr>
      <w:r>
        <w:rPr>
          <w:rFonts w:hint="eastAsia" w:ascii="宋体" w:hAnsi="宋体" w:eastAsia="宋体"/>
          <w:color w:val="auto"/>
          <w:highlight w:val="none"/>
        </w:rPr>
        <w:t>注：按本格式和要求提供。</w:t>
      </w:r>
    </w:p>
    <w:p w14:paraId="78E405EB">
      <w:pPr>
        <w:pStyle w:val="37"/>
        <w:rPr>
          <w:rFonts w:hint="eastAsia" w:ascii="宋体" w:hAnsi="宋体" w:eastAsia="宋体"/>
          <w:color w:val="auto"/>
          <w:sz w:val="21"/>
          <w:highlight w:val="none"/>
          <w:lang w:val="en-US"/>
        </w:rPr>
      </w:pPr>
    </w:p>
    <w:p w14:paraId="2B670F4B">
      <w:pPr>
        <w:widowControl/>
        <w:snapToGrid w:val="0"/>
        <w:spacing w:line="360" w:lineRule="auto"/>
        <w:rPr>
          <w:rFonts w:hint="eastAsia" w:ascii="宋体" w:hAnsi="宋体" w:eastAsia="宋体"/>
          <w:b/>
          <w:bCs/>
          <w:color w:val="auto"/>
          <w:szCs w:val="21"/>
          <w:highlight w:val="none"/>
        </w:rPr>
      </w:pPr>
    </w:p>
    <w:p w14:paraId="5667C8A8">
      <w:pPr>
        <w:widowControl/>
        <w:snapToGrid w:val="0"/>
        <w:spacing w:line="360" w:lineRule="auto"/>
        <w:rPr>
          <w:rFonts w:hint="eastAsia" w:ascii="宋体" w:hAnsi="宋体" w:eastAsia="宋体"/>
          <w:b/>
          <w:bCs/>
          <w:color w:val="auto"/>
          <w:szCs w:val="21"/>
          <w:highlight w:val="none"/>
        </w:rPr>
      </w:pPr>
    </w:p>
    <w:p w14:paraId="2A570AEB">
      <w:pPr>
        <w:rPr>
          <w:rFonts w:hint="eastAsia" w:ascii="宋体" w:hAnsi="宋体" w:eastAsia="宋体"/>
          <w:b/>
          <w:color w:val="auto"/>
          <w:kern w:val="0"/>
          <w:sz w:val="24"/>
          <w:highlight w:val="none"/>
          <w:lang w:val="zh-CN"/>
        </w:rPr>
      </w:pPr>
      <w:r>
        <w:rPr>
          <w:rFonts w:hint="eastAsia" w:ascii="宋体" w:hAnsi="宋体" w:eastAsia="宋体"/>
          <w:b/>
          <w:color w:val="auto"/>
          <w:kern w:val="0"/>
          <w:sz w:val="24"/>
          <w:highlight w:val="none"/>
          <w:lang w:val="zh-CN"/>
        </w:rPr>
        <w:br w:type="page"/>
      </w:r>
    </w:p>
    <w:p w14:paraId="0F3DD347">
      <w:pPr>
        <w:widowControl/>
        <w:snapToGrid w:val="0"/>
        <w:spacing w:line="360" w:lineRule="auto"/>
        <w:ind w:right="375"/>
        <w:rPr>
          <w:rFonts w:hint="eastAsia" w:ascii="宋体" w:hAnsi="宋体" w:eastAsia="宋体"/>
          <w:color w:val="auto"/>
          <w:highlight w:val="none"/>
          <w:lang w:val="zh-CN"/>
        </w:rPr>
      </w:pPr>
      <w:r>
        <w:rPr>
          <w:rFonts w:hint="eastAsia" w:ascii="宋体" w:hAnsi="宋体" w:eastAsia="宋体"/>
          <w:b/>
          <w:color w:val="auto"/>
          <w:kern w:val="0"/>
          <w:sz w:val="24"/>
          <w:highlight w:val="none"/>
          <w:lang w:val="zh-CN"/>
        </w:rPr>
        <w:t>授权委托书或法定代表人（单位负责人、自然人本人）身份证明</w:t>
      </w:r>
    </w:p>
    <w:p w14:paraId="2CF52EAF">
      <w:pPr>
        <w:snapToGrid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 xml:space="preserve">                                </w:t>
      </w:r>
    </w:p>
    <w:p w14:paraId="6FA50B20">
      <w:pPr>
        <w:snapToGrid w:val="0"/>
        <w:spacing w:line="360" w:lineRule="auto"/>
        <w:jc w:val="center"/>
        <w:rPr>
          <w:rFonts w:hint="eastAsia" w:ascii="宋体" w:hAnsi="宋体" w:eastAsia="宋体"/>
          <w:b/>
          <w:color w:val="auto"/>
          <w:kern w:val="0"/>
          <w:sz w:val="24"/>
          <w:highlight w:val="none"/>
          <w:lang w:val="zh-CN"/>
        </w:rPr>
      </w:pPr>
      <w:r>
        <w:rPr>
          <w:rFonts w:hint="eastAsia" w:ascii="宋体" w:hAnsi="宋体" w:eastAsia="宋体"/>
          <w:b/>
          <w:color w:val="auto"/>
          <w:kern w:val="0"/>
          <w:sz w:val="24"/>
          <w:highlight w:val="none"/>
          <w:lang w:val="zh-CN"/>
        </w:rPr>
        <w:t>授权委托书</w:t>
      </w:r>
    </w:p>
    <w:p w14:paraId="50D25FA0">
      <w:pPr>
        <w:snapToGrid w:val="0"/>
        <w:spacing w:line="360" w:lineRule="auto"/>
        <w:rPr>
          <w:rFonts w:hint="eastAsia" w:ascii="宋体" w:hAnsi="宋体" w:eastAsia="宋体"/>
          <w:b/>
          <w:bCs/>
          <w:color w:val="auto"/>
          <w:szCs w:val="21"/>
          <w:highlight w:val="none"/>
          <w:u w:val="single"/>
        </w:rPr>
      </w:pPr>
    </w:p>
    <w:p w14:paraId="5D17669B">
      <w:pPr>
        <w:snapToGrid w:val="0"/>
        <w:spacing w:line="360" w:lineRule="auto"/>
        <w:rPr>
          <w:rFonts w:hint="eastAsia" w:ascii="宋体" w:hAnsi="宋体" w:eastAsia="宋体"/>
          <w:b/>
          <w:bCs/>
          <w:color w:val="auto"/>
          <w:szCs w:val="21"/>
          <w:highlight w:val="none"/>
          <w:u w:val="single"/>
        </w:rPr>
      </w:pPr>
      <w:r>
        <w:rPr>
          <w:rFonts w:hint="eastAsia" w:ascii="宋体" w:hAnsi="宋体" w:eastAsia="宋体"/>
          <w:b/>
          <w:bCs/>
          <w:color w:val="auto"/>
          <w:szCs w:val="21"/>
          <w:highlight w:val="none"/>
          <w:u w:val="single"/>
        </w:rPr>
        <w:t>采购人、采购代理机构</w:t>
      </w:r>
      <w:r>
        <w:rPr>
          <w:rFonts w:hint="eastAsia" w:ascii="宋体" w:hAnsi="宋体" w:eastAsia="宋体"/>
          <w:color w:val="auto"/>
          <w:szCs w:val="21"/>
          <w:highlight w:val="none"/>
          <w:lang w:val="zh-CN"/>
        </w:rPr>
        <w:t>：</w:t>
      </w:r>
    </w:p>
    <w:p w14:paraId="26B295F5">
      <w:pPr>
        <w:snapToGrid w:val="0"/>
        <w:spacing w:line="360" w:lineRule="auto"/>
        <w:ind w:firstLine="420"/>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现</w:t>
      </w:r>
      <w:r>
        <w:rPr>
          <w:rFonts w:hint="eastAsia" w:ascii="宋体" w:hAnsi="宋体" w:eastAsia="宋体"/>
          <w:color w:val="auto"/>
          <w:kern w:val="0"/>
          <w:szCs w:val="21"/>
          <w:highlight w:val="none"/>
          <w:lang w:val="zh-CN"/>
        </w:rPr>
        <w:t>委托</w:t>
      </w:r>
      <w:r>
        <w:rPr>
          <w:rFonts w:hint="eastAsia" w:ascii="宋体" w:hAnsi="宋体" w:eastAsia="宋体"/>
          <w:color w:val="auto"/>
          <w:kern w:val="0"/>
          <w:szCs w:val="21"/>
          <w:highlight w:val="none"/>
          <w:u w:val="single"/>
          <w:lang w:val="zh-CN"/>
        </w:rPr>
        <w:t xml:space="preserve">          </w:t>
      </w:r>
      <w:r>
        <w:rPr>
          <w:rFonts w:hint="eastAsia" w:ascii="宋体" w:hAnsi="宋体" w:eastAsia="宋体"/>
          <w:color w:val="auto"/>
          <w:kern w:val="0"/>
          <w:szCs w:val="21"/>
          <w:highlight w:val="none"/>
          <w:lang w:val="zh-CN"/>
        </w:rPr>
        <w:t>（姓名）为我方代理人（身份证号码：</w:t>
      </w:r>
      <w:r>
        <w:rPr>
          <w:rFonts w:hint="eastAsia" w:ascii="宋体" w:hAnsi="宋体" w:eastAsia="宋体"/>
          <w:color w:val="auto"/>
          <w:kern w:val="0"/>
          <w:szCs w:val="21"/>
          <w:highlight w:val="none"/>
          <w:u w:val="single"/>
          <w:lang w:val="zh-CN"/>
        </w:rPr>
        <w:t xml:space="preserve">          </w:t>
      </w:r>
      <w:r>
        <w:rPr>
          <w:rFonts w:hint="eastAsia" w:ascii="宋体" w:hAnsi="宋体" w:eastAsia="宋体"/>
          <w:color w:val="auto"/>
          <w:kern w:val="0"/>
          <w:szCs w:val="21"/>
          <w:highlight w:val="none"/>
          <w:lang w:val="zh-CN"/>
        </w:rPr>
        <w:t>，手机：</w:t>
      </w:r>
      <w:r>
        <w:rPr>
          <w:rFonts w:hint="eastAsia" w:ascii="宋体" w:hAnsi="宋体" w:eastAsia="宋体"/>
          <w:color w:val="auto"/>
          <w:kern w:val="0"/>
          <w:szCs w:val="21"/>
          <w:highlight w:val="none"/>
          <w:u w:val="single"/>
          <w:lang w:val="zh-CN"/>
        </w:rPr>
        <w:t xml:space="preserve">          </w:t>
      </w:r>
      <w:r>
        <w:rPr>
          <w:rFonts w:hint="eastAsia" w:ascii="宋体" w:hAnsi="宋体" w:eastAsia="宋体"/>
          <w:color w:val="auto"/>
          <w:kern w:val="0"/>
          <w:szCs w:val="21"/>
          <w:highlight w:val="none"/>
          <w:lang w:val="zh-CN"/>
        </w:rPr>
        <w:t>），以我方名义处理</w:t>
      </w:r>
      <w:r>
        <w:rPr>
          <w:rFonts w:hint="eastAsia" w:ascii="宋体" w:hAnsi="宋体" w:eastAsia="宋体"/>
          <w:color w:val="auto"/>
          <w:szCs w:val="21"/>
          <w:highlight w:val="none"/>
        </w:rPr>
        <w:t>（项目名称：</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w:t>
      </w:r>
      <w:r>
        <w:rPr>
          <w:rFonts w:hint="eastAsia" w:ascii="宋体" w:hAnsi="宋体" w:eastAsia="宋体"/>
          <w:color w:val="auto"/>
          <w:kern w:val="0"/>
          <w:szCs w:val="21"/>
          <w:highlight w:val="none"/>
        </w:rPr>
        <w:t>项目</w:t>
      </w:r>
      <w:r>
        <w:rPr>
          <w:rFonts w:hint="eastAsia" w:ascii="宋体" w:hAnsi="宋体" w:eastAsia="宋体"/>
          <w:color w:val="auto"/>
          <w:szCs w:val="21"/>
          <w:highlight w:val="none"/>
        </w:rPr>
        <w:t>编号：</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w:t>
      </w:r>
      <w:r>
        <w:rPr>
          <w:rFonts w:hint="eastAsia" w:ascii="宋体" w:hAnsi="宋体" w:eastAsia="宋体"/>
          <w:color w:val="auto"/>
          <w:kern w:val="0"/>
          <w:szCs w:val="21"/>
          <w:highlight w:val="none"/>
          <w:lang w:val="zh-CN"/>
        </w:rPr>
        <w:t>政府采购投标的一切事项，其法律后果由我方承担。</w:t>
      </w:r>
    </w:p>
    <w:p w14:paraId="5F740133">
      <w:pPr>
        <w:snapToGrid w:val="0"/>
        <w:spacing w:line="360" w:lineRule="auto"/>
        <w:ind w:firstLine="420"/>
        <w:rPr>
          <w:rFonts w:hint="eastAsia" w:ascii="宋体" w:hAnsi="宋体" w:eastAsia="宋体"/>
          <w:color w:val="auto"/>
          <w:kern w:val="0"/>
          <w:szCs w:val="21"/>
          <w:highlight w:val="none"/>
          <w:lang w:val="zh-CN"/>
        </w:rPr>
      </w:pPr>
      <w:r>
        <w:rPr>
          <w:rFonts w:hint="eastAsia" w:ascii="宋体" w:hAnsi="宋体" w:eastAsia="宋体"/>
          <w:color w:val="auto"/>
          <w:kern w:val="0"/>
          <w:szCs w:val="21"/>
          <w:highlight w:val="none"/>
          <w:lang w:val="zh-CN"/>
        </w:rPr>
        <w:t>委托期限</w:t>
      </w:r>
      <w:r>
        <w:rPr>
          <w:rFonts w:hint="eastAsia" w:ascii="宋体" w:hAnsi="宋体" w:eastAsia="宋体"/>
          <w:color w:val="auto"/>
          <w:kern w:val="0"/>
          <w:szCs w:val="21"/>
          <w:highlight w:val="none"/>
        </w:rPr>
        <w:t>：</w:t>
      </w:r>
      <w:r>
        <w:rPr>
          <w:rFonts w:hint="eastAsia" w:ascii="宋体" w:hAnsi="宋体" w:eastAsia="宋体"/>
          <w:color w:val="auto"/>
          <w:kern w:val="0"/>
          <w:szCs w:val="21"/>
          <w:highlight w:val="none"/>
          <w:lang w:val="zh-CN"/>
        </w:rPr>
        <w:t>自</w:t>
      </w:r>
      <w:r>
        <w:rPr>
          <w:rFonts w:hint="eastAsia" w:ascii="宋体" w:hAnsi="宋体" w:eastAsia="宋体"/>
          <w:color w:val="auto"/>
          <w:szCs w:val="21"/>
          <w:highlight w:val="none"/>
          <w:u w:val="single"/>
        </w:rPr>
        <w:t xml:space="preserve">       </w:t>
      </w:r>
      <w:r>
        <w:rPr>
          <w:rFonts w:hint="eastAsia" w:ascii="宋体" w:hAnsi="宋体" w:eastAsia="宋体"/>
          <w:color w:val="auto"/>
          <w:kern w:val="0"/>
          <w:szCs w:val="21"/>
          <w:highlight w:val="none"/>
          <w:lang w:val="zh-CN"/>
        </w:rPr>
        <w:t>年</w:t>
      </w:r>
      <w:r>
        <w:rPr>
          <w:rFonts w:hint="eastAsia" w:ascii="宋体" w:hAnsi="宋体" w:eastAsia="宋体"/>
          <w:color w:val="auto"/>
          <w:szCs w:val="21"/>
          <w:highlight w:val="none"/>
          <w:u w:val="single"/>
        </w:rPr>
        <w:t xml:space="preserve">       </w:t>
      </w:r>
      <w:r>
        <w:rPr>
          <w:rFonts w:hint="eastAsia" w:ascii="宋体" w:hAnsi="宋体" w:eastAsia="宋体"/>
          <w:color w:val="auto"/>
          <w:kern w:val="0"/>
          <w:szCs w:val="21"/>
          <w:highlight w:val="none"/>
          <w:lang w:val="zh-CN"/>
        </w:rPr>
        <w:t>月</w:t>
      </w:r>
      <w:r>
        <w:rPr>
          <w:rFonts w:hint="eastAsia" w:ascii="宋体" w:hAnsi="宋体" w:eastAsia="宋体"/>
          <w:color w:val="auto"/>
          <w:szCs w:val="21"/>
          <w:highlight w:val="none"/>
          <w:u w:val="single"/>
        </w:rPr>
        <w:t xml:space="preserve">       </w:t>
      </w:r>
      <w:r>
        <w:rPr>
          <w:rFonts w:hint="eastAsia" w:ascii="宋体" w:hAnsi="宋体" w:eastAsia="宋体"/>
          <w:color w:val="auto"/>
          <w:kern w:val="0"/>
          <w:szCs w:val="21"/>
          <w:highlight w:val="none"/>
          <w:lang w:val="zh-CN"/>
        </w:rPr>
        <w:t>日起至</w:t>
      </w:r>
      <w:r>
        <w:rPr>
          <w:rFonts w:hint="eastAsia" w:ascii="宋体" w:hAnsi="宋体" w:eastAsia="宋体"/>
          <w:color w:val="auto"/>
          <w:szCs w:val="21"/>
          <w:highlight w:val="none"/>
          <w:u w:val="single"/>
        </w:rPr>
        <w:t xml:space="preserve">       </w:t>
      </w:r>
      <w:r>
        <w:rPr>
          <w:rFonts w:hint="eastAsia" w:ascii="宋体" w:hAnsi="宋体" w:eastAsia="宋体"/>
          <w:color w:val="auto"/>
          <w:kern w:val="0"/>
          <w:szCs w:val="21"/>
          <w:highlight w:val="none"/>
          <w:lang w:val="zh-CN"/>
        </w:rPr>
        <w:t>年</w:t>
      </w:r>
      <w:r>
        <w:rPr>
          <w:rFonts w:hint="eastAsia" w:ascii="宋体" w:hAnsi="宋体" w:eastAsia="宋体"/>
          <w:color w:val="auto"/>
          <w:szCs w:val="21"/>
          <w:highlight w:val="none"/>
          <w:u w:val="single"/>
        </w:rPr>
        <w:t xml:space="preserve">       </w:t>
      </w:r>
      <w:r>
        <w:rPr>
          <w:rFonts w:hint="eastAsia" w:ascii="宋体" w:hAnsi="宋体" w:eastAsia="宋体"/>
          <w:color w:val="auto"/>
          <w:kern w:val="0"/>
          <w:szCs w:val="21"/>
          <w:highlight w:val="none"/>
          <w:lang w:val="zh-CN"/>
        </w:rPr>
        <w:t>月</w:t>
      </w:r>
      <w:r>
        <w:rPr>
          <w:rFonts w:hint="eastAsia" w:ascii="宋体" w:hAnsi="宋体" w:eastAsia="宋体"/>
          <w:color w:val="auto"/>
          <w:szCs w:val="21"/>
          <w:highlight w:val="none"/>
          <w:u w:val="single"/>
        </w:rPr>
        <w:t xml:space="preserve">       </w:t>
      </w:r>
      <w:r>
        <w:rPr>
          <w:rFonts w:hint="eastAsia" w:ascii="宋体" w:hAnsi="宋体" w:eastAsia="宋体"/>
          <w:color w:val="auto"/>
          <w:kern w:val="0"/>
          <w:szCs w:val="21"/>
          <w:highlight w:val="none"/>
          <w:lang w:val="zh-CN"/>
        </w:rPr>
        <w:t>日止。</w:t>
      </w:r>
    </w:p>
    <w:p w14:paraId="7D5B5834">
      <w:pPr>
        <w:snapToGrid w:val="0"/>
        <w:spacing w:line="360" w:lineRule="auto"/>
        <w:ind w:firstLine="420"/>
        <w:rPr>
          <w:rFonts w:hint="eastAsia" w:ascii="宋体" w:hAnsi="宋体" w:eastAsia="宋体"/>
          <w:color w:val="auto"/>
          <w:kern w:val="0"/>
          <w:szCs w:val="21"/>
          <w:highlight w:val="none"/>
          <w:lang w:val="zh-CN"/>
        </w:rPr>
      </w:pPr>
      <w:r>
        <w:rPr>
          <w:rFonts w:hint="eastAsia" w:ascii="宋体" w:hAnsi="宋体" w:eastAsia="宋体"/>
          <w:color w:val="auto"/>
          <w:kern w:val="0"/>
          <w:szCs w:val="21"/>
          <w:highlight w:val="none"/>
          <w:lang w:val="zh-CN"/>
        </w:rPr>
        <w:t>特此告知。</w:t>
      </w:r>
    </w:p>
    <w:p w14:paraId="2E057A7F">
      <w:pPr>
        <w:snapToGrid w:val="0"/>
        <w:spacing w:line="360" w:lineRule="auto"/>
        <w:rPr>
          <w:rFonts w:hint="eastAsia" w:ascii="宋体" w:hAnsi="宋体" w:eastAsia="宋体"/>
          <w:color w:val="auto"/>
          <w:kern w:val="0"/>
          <w:szCs w:val="21"/>
          <w:highlight w:val="none"/>
          <w:lang w:val="zh-CN"/>
        </w:rPr>
      </w:pPr>
    </w:p>
    <w:p w14:paraId="7B577EC8">
      <w:pPr>
        <w:snapToGrid w:val="0"/>
        <w:spacing w:line="360" w:lineRule="auto"/>
        <w:rPr>
          <w:rFonts w:hint="eastAsia" w:ascii="宋体" w:hAnsi="宋体" w:eastAsia="宋体"/>
          <w:color w:val="auto"/>
          <w:kern w:val="0"/>
          <w:szCs w:val="21"/>
          <w:highlight w:val="none"/>
          <w:lang w:val="zh-CN"/>
        </w:rPr>
      </w:pPr>
      <w:r>
        <w:rPr>
          <w:rFonts w:hint="eastAsia" w:ascii="宋体" w:hAnsi="宋体" w:eastAsia="宋体"/>
          <w:color w:val="auto"/>
          <w:kern w:val="0"/>
          <w:szCs w:val="21"/>
          <w:highlight w:val="none"/>
          <w:lang w:val="zh-CN"/>
        </w:rPr>
        <w:t>供应商名称（公章）：</w:t>
      </w:r>
    </w:p>
    <w:p w14:paraId="35A2F5C6">
      <w:pPr>
        <w:snapToGrid w:val="0"/>
        <w:spacing w:line="360" w:lineRule="auto"/>
        <w:rPr>
          <w:rFonts w:hint="eastAsia" w:ascii="宋体" w:hAnsi="宋体" w:eastAsia="宋体"/>
          <w:color w:val="auto"/>
          <w:kern w:val="0"/>
          <w:szCs w:val="21"/>
          <w:highlight w:val="none"/>
          <w:lang w:val="zh-CN"/>
        </w:rPr>
      </w:pPr>
      <w:r>
        <w:rPr>
          <w:rFonts w:hint="eastAsia" w:ascii="宋体" w:hAnsi="宋体" w:eastAsia="宋体"/>
          <w:color w:val="auto"/>
          <w:kern w:val="0"/>
          <w:szCs w:val="21"/>
          <w:highlight w:val="none"/>
          <w:lang w:val="zh-CN"/>
        </w:rPr>
        <w:t>日期</w:t>
      </w:r>
      <w:r>
        <w:rPr>
          <w:rFonts w:hint="eastAsia" w:ascii="宋体" w:hAnsi="宋体" w:eastAsia="宋体"/>
          <w:color w:val="auto"/>
          <w:kern w:val="0"/>
          <w:szCs w:val="21"/>
          <w:highlight w:val="none"/>
        </w:rPr>
        <w:t xml:space="preserve">：  </w:t>
      </w:r>
      <w:r>
        <w:rPr>
          <w:rFonts w:hint="eastAsia" w:ascii="宋体" w:hAnsi="宋体" w:eastAsia="宋体"/>
          <w:color w:val="auto"/>
          <w:kern w:val="0"/>
          <w:szCs w:val="21"/>
          <w:highlight w:val="none"/>
          <w:lang w:val="zh-CN"/>
        </w:rPr>
        <w:t>年</w:t>
      </w:r>
      <w:r>
        <w:rPr>
          <w:rFonts w:hint="eastAsia" w:ascii="宋体" w:hAnsi="宋体" w:eastAsia="宋体"/>
          <w:color w:val="auto"/>
          <w:kern w:val="0"/>
          <w:szCs w:val="21"/>
          <w:highlight w:val="none"/>
        </w:rPr>
        <w:t xml:space="preserve">  </w:t>
      </w:r>
      <w:r>
        <w:rPr>
          <w:rFonts w:hint="eastAsia" w:ascii="宋体" w:hAnsi="宋体" w:eastAsia="宋体"/>
          <w:color w:val="auto"/>
          <w:kern w:val="0"/>
          <w:szCs w:val="21"/>
          <w:highlight w:val="none"/>
          <w:lang w:val="zh-CN"/>
        </w:rPr>
        <w:t>月</w:t>
      </w:r>
      <w:r>
        <w:rPr>
          <w:rFonts w:hint="eastAsia" w:ascii="宋体" w:hAnsi="宋体" w:eastAsia="宋体"/>
          <w:color w:val="auto"/>
          <w:kern w:val="0"/>
          <w:szCs w:val="21"/>
          <w:highlight w:val="none"/>
        </w:rPr>
        <w:t xml:space="preserve">   </w:t>
      </w:r>
      <w:r>
        <w:rPr>
          <w:rFonts w:hint="eastAsia" w:ascii="宋体" w:hAnsi="宋体" w:eastAsia="宋体"/>
          <w:color w:val="auto"/>
          <w:kern w:val="0"/>
          <w:szCs w:val="21"/>
          <w:highlight w:val="none"/>
          <w:lang w:val="zh-CN"/>
        </w:rPr>
        <w:t>日</w:t>
      </w:r>
    </w:p>
    <w:p w14:paraId="2945BBBE">
      <w:pPr>
        <w:snapToGrid w:val="0"/>
        <w:spacing w:line="360" w:lineRule="auto"/>
        <w:rPr>
          <w:rFonts w:hint="eastAsia" w:ascii="宋体" w:hAnsi="宋体" w:eastAsia="宋体"/>
          <w:color w:val="auto"/>
          <w:szCs w:val="21"/>
          <w:highlight w:val="none"/>
        </w:rPr>
      </w:pPr>
    </w:p>
    <w:p w14:paraId="02EE905E">
      <w:pPr>
        <w:pStyle w:val="37"/>
        <w:rPr>
          <w:rFonts w:hint="eastAsia" w:ascii="宋体" w:hAnsi="宋体" w:eastAsia="宋体"/>
          <w:color w:val="auto"/>
          <w:sz w:val="21"/>
          <w:szCs w:val="21"/>
          <w:highlight w:val="none"/>
          <w:lang w:val="en-US"/>
        </w:rPr>
      </w:pPr>
    </w:p>
    <w:p w14:paraId="43CD398A">
      <w:pPr>
        <w:rPr>
          <w:rFonts w:hint="eastAsia" w:ascii="宋体" w:hAnsi="宋体" w:eastAsia="宋体"/>
          <w:color w:val="auto"/>
          <w:highlight w:val="none"/>
        </w:rPr>
      </w:pPr>
    </w:p>
    <w:p w14:paraId="7872D44F">
      <w:pPr>
        <w:autoSpaceDE w:val="0"/>
        <w:autoSpaceDN w:val="0"/>
        <w:snapToGrid w:val="0"/>
        <w:spacing w:line="360" w:lineRule="auto"/>
        <w:jc w:val="center"/>
        <w:rPr>
          <w:rFonts w:hint="eastAsia" w:ascii="宋体" w:hAnsi="宋体" w:eastAsia="宋体"/>
          <w:b/>
          <w:color w:val="auto"/>
          <w:kern w:val="0"/>
          <w:sz w:val="24"/>
          <w:highlight w:val="none"/>
          <w:lang w:val="zh-CN"/>
        </w:rPr>
      </w:pPr>
      <w:r>
        <w:rPr>
          <w:rFonts w:hint="eastAsia" w:ascii="宋体" w:hAnsi="宋体" w:eastAsia="宋体"/>
          <w:b/>
          <w:color w:val="auto"/>
          <w:kern w:val="0"/>
          <w:sz w:val="24"/>
          <w:highlight w:val="none"/>
          <w:lang w:val="zh-CN"/>
        </w:rPr>
        <w:br w:type="page"/>
      </w:r>
      <w:r>
        <w:rPr>
          <w:rFonts w:hint="eastAsia" w:ascii="宋体" w:hAnsi="宋体" w:eastAsia="宋体"/>
          <w:b/>
          <w:color w:val="auto"/>
          <w:kern w:val="0"/>
          <w:sz w:val="24"/>
          <w:highlight w:val="none"/>
          <w:lang w:val="zh-CN"/>
        </w:rPr>
        <w:t>法定代表人、单位负责人或自然人本人的身份证明</w:t>
      </w:r>
    </w:p>
    <w:p w14:paraId="367822BD">
      <w:pPr>
        <w:autoSpaceDE w:val="0"/>
        <w:autoSpaceDN w:val="0"/>
        <w:snapToGrid w:val="0"/>
        <w:spacing w:line="360" w:lineRule="auto"/>
        <w:jc w:val="center"/>
        <w:rPr>
          <w:rFonts w:hint="eastAsia" w:ascii="宋体" w:hAnsi="宋体" w:eastAsia="宋体"/>
          <w:b/>
          <w:color w:val="auto"/>
          <w:kern w:val="0"/>
          <w:highlight w:val="none"/>
          <w:lang w:val="zh-CN"/>
        </w:rPr>
      </w:pPr>
      <w:r>
        <w:rPr>
          <w:rFonts w:hint="eastAsia" w:ascii="宋体" w:hAnsi="宋体" w:eastAsia="宋体"/>
          <w:b/>
          <w:color w:val="auto"/>
          <w:kern w:val="0"/>
          <w:highlight w:val="none"/>
          <w:lang w:val="zh-CN"/>
        </w:rPr>
        <w:t>（适用于法定代表人、单位负责人或者自然人本人代表供应商参加投标）</w:t>
      </w:r>
    </w:p>
    <w:p w14:paraId="50FE3567">
      <w:pPr>
        <w:pStyle w:val="167"/>
        <w:snapToGrid w:val="0"/>
        <w:spacing w:line="360" w:lineRule="auto"/>
        <w:rPr>
          <w:rFonts w:hint="eastAsia" w:ascii="宋体" w:hAnsi="宋体" w:eastAsia="宋体"/>
          <w:bCs/>
          <w:color w:val="auto"/>
          <w:highlight w:val="none"/>
        </w:rPr>
      </w:pPr>
    </w:p>
    <w:p w14:paraId="19BBE42F">
      <w:pPr>
        <w:pStyle w:val="167"/>
        <w:snapToGrid w:val="0"/>
        <w:spacing w:line="360" w:lineRule="auto"/>
        <w:rPr>
          <w:rFonts w:hint="eastAsia" w:ascii="宋体" w:hAnsi="宋体" w:eastAsia="宋体"/>
          <w:bCs/>
          <w:color w:val="auto"/>
          <w:highlight w:val="none"/>
        </w:rPr>
      </w:pPr>
      <w:r>
        <w:rPr>
          <w:rFonts w:hint="eastAsia" w:ascii="宋体" w:hAnsi="宋体" w:eastAsia="宋体"/>
          <w:bCs/>
          <w:color w:val="auto"/>
          <w:highlight w:val="none"/>
        </w:rPr>
        <w:t>身份证件扫描件：</w:t>
      </w:r>
    </w:p>
    <w:tbl>
      <w:tblPr>
        <w:tblStyle w:val="5"/>
        <w:tblW w:w="0" w:type="auto"/>
        <w:tblInd w:w="-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815"/>
        <w:gridCol w:w="4815"/>
      </w:tblGrid>
      <w:tr w14:paraId="45B9D4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12" w:hRule="atLeast"/>
        </w:trPr>
        <w:tc>
          <w:tcPr>
            <w:tcW w:w="4815" w:type="dxa"/>
            <w:vAlign w:val="top"/>
          </w:tcPr>
          <w:p w14:paraId="71D3F69F">
            <w:pPr>
              <w:pStyle w:val="167"/>
              <w:snapToGrid w:val="0"/>
              <w:spacing w:line="400" w:lineRule="exact"/>
              <w:rPr>
                <w:rFonts w:hint="eastAsia" w:ascii="宋体" w:hAnsi="宋体" w:eastAsia="宋体"/>
                <w:bCs/>
                <w:color w:val="auto"/>
                <w:sz w:val="24"/>
                <w:highlight w:val="none"/>
              </w:rPr>
            </w:pPr>
            <w:r>
              <w:rPr>
                <w:rFonts w:hint="eastAsia" w:ascii="宋体" w:hAnsi="宋体" w:eastAsia="宋体"/>
                <w:bCs/>
                <w:color w:val="auto"/>
                <w:sz w:val="24"/>
                <w:highlight w:val="none"/>
              </w:rPr>
              <w:t xml:space="preserve">正面：                                 </w:t>
            </w:r>
          </w:p>
          <w:p w14:paraId="0C72823A">
            <w:pPr>
              <w:pStyle w:val="167"/>
              <w:snapToGrid w:val="0"/>
              <w:spacing w:line="400" w:lineRule="exact"/>
              <w:rPr>
                <w:rFonts w:hint="eastAsia" w:ascii="宋体" w:hAnsi="宋体" w:eastAsia="宋体"/>
                <w:bCs/>
                <w:color w:val="auto"/>
                <w:sz w:val="24"/>
                <w:highlight w:val="none"/>
              </w:rPr>
            </w:pPr>
          </w:p>
        </w:tc>
        <w:tc>
          <w:tcPr>
            <w:tcW w:w="4815" w:type="dxa"/>
            <w:vAlign w:val="top"/>
          </w:tcPr>
          <w:p w14:paraId="4DE32ED0">
            <w:pPr>
              <w:pStyle w:val="167"/>
              <w:snapToGrid w:val="0"/>
              <w:spacing w:line="400" w:lineRule="exact"/>
              <w:rPr>
                <w:rFonts w:hint="eastAsia" w:ascii="宋体" w:hAnsi="宋体" w:eastAsia="宋体"/>
                <w:bCs/>
                <w:color w:val="auto"/>
                <w:sz w:val="24"/>
                <w:highlight w:val="none"/>
              </w:rPr>
            </w:pPr>
            <w:r>
              <w:rPr>
                <w:rFonts w:hint="eastAsia" w:ascii="宋体" w:hAnsi="宋体" w:eastAsia="宋体"/>
                <w:bCs/>
                <w:color w:val="auto"/>
                <w:sz w:val="24"/>
                <w:highlight w:val="none"/>
              </w:rPr>
              <w:t>反面：</w:t>
            </w:r>
          </w:p>
        </w:tc>
      </w:tr>
    </w:tbl>
    <w:p w14:paraId="24FFD664">
      <w:pPr>
        <w:snapToGrid w:val="0"/>
        <w:spacing w:line="360" w:lineRule="auto"/>
        <w:ind w:firstLine="576"/>
        <w:jc w:val="center"/>
        <w:rPr>
          <w:rFonts w:hint="eastAsia" w:ascii="宋体" w:hAnsi="宋体" w:eastAsia="宋体"/>
          <w:color w:val="auto"/>
          <w:kern w:val="0"/>
          <w:sz w:val="24"/>
          <w:highlight w:val="none"/>
          <w:lang w:val="zh-CN"/>
        </w:rPr>
      </w:pPr>
      <w:r>
        <w:rPr>
          <w:rFonts w:hint="eastAsia" w:ascii="宋体" w:hAnsi="宋体" w:eastAsia="宋体"/>
          <w:color w:val="auto"/>
          <w:kern w:val="0"/>
          <w:sz w:val="24"/>
          <w:highlight w:val="none"/>
          <w:lang w:val="zh-CN"/>
        </w:rPr>
        <w:t xml:space="preserve">                 </w:t>
      </w:r>
    </w:p>
    <w:p w14:paraId="27E80CE2">
      <w:pPr>
        <w:snapToGrid w:val="0"/>
        <w:spacing w:line="360" w:lineRule="auto"/>
        <w:rPr>
          <w:rFonts w:hint="eastAsia" w:ascii="宋体" w:hAnsi="宋体" w:eastAsia="宋体"/>
          <w:color w:val="auto"/>
          <w:kern w:val="0"/>
          <w:szCs w:val="21"/>
          <w:highlight w:val="none"/>
          <w:lang w:val="zh-CN"/>
        </w:rPr>
      </w:pPr>
      <w:r>
        <w:rPr>
          <w:rFonts w:hint="eastAsia" w:ascii="宋体" w:hAnsi="宋体" w:eastAsia="宋体"/>
          <w:color w:val="auto"/>
          <w:kern w:val="0"/>
          <w:szCs w:val="21"/>
          <w:highlight w:val="none"/>
          <w:lang w:val="zh-CN"/>
        </w:rPr>
        <w:t xml:space="preserve">供应商名称（公章）：                              </w:t>
      </w:r>
    </w:p>
    <w:p w14:paraId="34FE920A">
      <w:pPr>
        <w:snapToGrid w:val="0"/>
        <w:spacing w:line="360" w:lineRule="auto"/>
        <w:rPr>
          <w:rFonts w:hint="eastAsia" w:ascii="宋体" w:hAnsi="宋体" w:eastAsia="宋体"/>
          <w:color w:val="auto"/>
          <w:kern w:val="0"/>
          <w:szCs w:val="21"/>
          <w:highlight w:val="none"/>
          <w:lang w:val="zh-CN"/>
        </w:rPr>
      </w:pPr>
      <w:r>
        <w:rPr>
          <w:rFonts w:hint="eastAsia" w:ascii="宋体" w:hAnsi="宋体" w:eastAsia="宋体"/>
          <w:color w:val="auto"/>
          <w:kern w:val="0"/>
          <w:szCs w:val="21"/>
          <w:highlight w:val="none"/>
          <w:lang w:val="zh-CN"/>
        </w:rPr>
        <w:t>日期：  年  月  日</w:t>
      </w:r>
    </w:p>
    <w:p w14:paraId="69790950">
      <w:pPr>
        <w:jc w:val="center"/>
        <w:rPr>
          <w:rFonts w:hint="eastAsia" w:ascii="宋体" w:hAnsi="宋体" w:eastAsia="宋体"/>
          <w:b/>
          <w:color w:val="auto"/>
          <w:kern w:val="0"/>
          <w:sz w:val="32"/>
          <w:szCs w:val="32"/>
          <w:highlight w:val="none"/>
        </w:rPr>
      </w:pPr>
    </w:p>
    <w:p w14:paraId="489F8766">
      <w:pPr>
        <w:jc w:val="center"/>
        <w:rPr>
          <w:rFonts w:hint="eastAsia" w:ascii="宋体" w:hAnsi="宋体" w:eastAsia="宋体"/>
          <w:b/>
          <w:color w:val="auto"/>
          <w:kern w:val="0"/>
          <w:sz w:val="32"/>
          <w:szCs w:val="32"/>
          <w:highlight w:val="none"/>
        </w:rPr>
      </w:pPr>
    </w:p>
    <w:p w14:paraId="18A0F22C">
      <w:pPr>
        <w:jc w:val="center"/>
        <w:rPr>
          <w:rFonts w:hint="eastAsia" w:ascii="宋体" w:hAnsi="宋体" w:eastAsia="宋体"/>
          <w:b/>
          <w:color w:val="auto"/>
          <w:kern w:val="0"/>
          <w:sz w:val="32"/>
          <w:szCs w:val="32"/>
          <w:highlight w:val="none"/>
        </w:rPr>
      </w:pPr>
    </w:p>
    <w:p w14:paraId="0E85C962">
      <w:pPr>
        <w:jc w:val="center"/>
        <w:rPr>
          <w:rFonts w:hint="eastAsia" w:ascii="宋体" w:hAnsi="宋体" w:eastAsia="宋体"/>
          <w:b/>
          <w:color w:val="auto"/>
          <w:kern w:val="0"/>
          <w:sz w:val="32"/>
          <w:szCs w:val="32"/>
          <w:highlight w:val="none"/>
        </w:rPr>
      </w:pPr>
    </w:p>
    <w:p w14:paraId="49C6A37B">
      <w:pPr>
        <w:jc w:val="center"/>
        <w:rPr>
          <w:rFonts w:hint="eastAsia" w:ascii="宋体" w:hAnsi="宋体" w:eastAsia="宋体"/>
          <w:b/>
          <w:color w:val="auto"/>
          <w:kern w:val="0"/>
          <w:sz w:val="32"/>
          <w:szCs w:val="32"/>
          <w:highlight w:val="none"/>
        </w:rPr>
      </w:pPr>
    </w:p>
    <w:p w14:paraId="7B29C637">
      <w:pPr>
        <w:jc w:val="center"/>
        <w:rPr>
          <w:rFonts w:hint="eastAsia" w:ascii="宋体" w:hAnsi="宋体" w:eastAsia="宋体"/>
          <w:b/>
          <w:color w:val="auto"/>
          <w:kern w:val="0"/>
          <w:sz w:val="32"/>
          <w:szCs w:val="32"/>
          <w:highlight w:val="none"/>
        </w:rPr>
      </w:pPr>
    </w:p>
    <w:p w14:paraId="560A4034">
      <w:pPr>
        <w:pStyle w:val="8"/>
        <w:keepNext w:val="0"/>
        <w:keepLines w:val="0"/>
        <w:tabs>
          <w:tab w:val="left" w:pos="432"/>
        </w:tabs>
        <w:rPr>
          <w:rFonts w:hint="eastAsia" w:ascii="宋体" w:hAnsi="宋体" w:eastAsia="宋体"/>
          <w:color w:val="auto"/>
          <w:highlight w:val="none"/>
          <w:lang w:val="en-US"/>
        </w:rPr>
      </w:pPr>
    </w:p>
    <w:p w14:paraId="48FFF8BD">
      <w:pPr>
        <w:jc w:val="center"/>
        <w:rPr>
          <w:rFonts w:hint="eastAsia" w:ascii="宋体" w:hAnsi="宋体" w:eastAsia="宋体"/>
          <w:b/>
          <w:color w:val="auto"/>
          <w:kern w:val="0"/>
          <w:sz w:val="32"/>
          <w:szCs w:val="32"/>
          <w:highlight w:val="none"/>
        </w:rPr>
      </w:pPr>
    </w:p>
    <w:p w14:paraId="721B8329">
      <w:pPr>
        <w:numPr>
          <w:ilvl w:val="0"/>
          <w:numId w:val="47"/>
        </w:numPr>
        <w:snapToGrid w:val="0"/>
        <w:spacing w:line="360" w:lineRule="auto"/>
        <w:jc w:val="center"/>
        <w:rPr>
          <w:rFonts w:hint="eastAsia" w:ascii="宋体" w:hAnsi="宋体" w:eastAsia="宋体"/>
          <w:b/>
          <w:color w:val="auto"/>
          <w:kern w:val="0"/>
          <w:sz w:val="24"/>
          <w:highlight w:val="none"/>
          <w:lang w:val="zh-CN"/>
        </w:rPr>
      </w:pPr>
      <w:r>
        <w:rPr>
          <w:rFonts w:hint="eastAsia" w:ascii="宋体" w:hAnsi="宋体" w:eastAsia="宋体"/>
          <w:b/>
          <w:color w:val="auto"/>
          <w:kern w:val="0"/>
          <w:sz w:val="24"/>
          <w:highlight w:val="none"/>
          <w:lang w:val="zh-CN"/>
        </w:rPr>
        <w:br w:type="page"/>
      </w:r>
      <w:r>
        <w:rPr>
          <w:rFonts w:hint="eastAsia" w:ascii="宋体" w:hAnsi="宋体" w:eastAsia="宋体"/>
          <w:b/>
          <w:color w:val="auto"/>
          <w:kern w:val="0"/>
          <w:sz w:val="24"/>
          <w:highlight w:val="none"/>
          <w:lang w:val="zh-CN"/>
        </w:rPr>
        <w:t>符合性审查资料</w:t>
      </w:r>
    </w:p>
    <w:p w14:paraId="2419759F">
      <w:pPr>
        <w:jc w:val="center"/>
        <w:rPr>
          <w:rFonts w:hint="eastAsia" w:ascii="宋体" w:hAnsi="宋体" w:eastAsia="宋体"/>
          <w:b/>
          <w:color w:val="auto"/>
          <w:kern w:val="0"/>
          <w:sz w:val="32"/>
          <w:szCs w:val="32"/>
          <w:highlight w:val="none"/>
        </w:rPr>
      </w:pPr>
    </w:p>
    <w:tbl>
      <w:tblPr>
        <w:tblStyle w:val="5"/>
        <w:tblW w:w="0" w:type="auto"/>
        <w:tblInd w:w="4"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3513"/>
        <w:gridCol w:w="2925"/>
        <w:gridCol w:w="2475"/>
      </w:tblGrid>
      <w:tr w14:paraId="6EA8D1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735" w:type="dxa"/>
            <w:vAlign w:val="center"/>
          </w:tcPr>
          <w:p w14:paraId="0F3A3199">
            <w:pPr>
              <w:snapToGrid w:val="0"/>
              <w:spacing w:line="400" w:lineRule="exact"/>
              <w:jc w:val="center"/>
              <w:rPr>
                <w:rFonts w:hint="eastAsia" w:ascii="宋体" w:hAnsi="宋体" w:eastAsia="宋体"/>
                <w:b/>
                <w:color w:val="auto"/>
                <w:szCs w:val="21"/>
                <w:highlight w:val="none"/>
              </w:rPr>
            </w:pPr>
            <w:r>
              <w:rPr>
                <w:rFonts w:hint="eastAsia" w:ascii="宋体" w:hAnsi="宋体" w:eastAsia="宋体"/>
                <w:b/>
                <w:color w:val="auto"/>
                <w:szCs w:val="21"/>
                <w:highlight w:val="none"/>
              </w:rPr>
              <w:t>序号</w:t>
            </w:r>
          </w:p>
        </w:tc>
        <w:tc>
          <w:tcPr>
            <w:tcW w:w="3513" w:type="dxa"/>
            <w:vAlign w:val="center"/>
          </w:tcPr>
          <w:p w14:paraId="4E399AD4">
            <w:pPr>
              <w:snapToGrid w:val="0"/>
              <w:spacing w:line="400" w:lineRule="exact"/>
              <w:jc w:val="center"/>
              <w:rPr>
                <w:rFonts w:hint="eastAsia" w:ascii="宋体" w:hAnsi="宋体" w:eastAsia="宋体"/>
                <w:b/>
                <w:color w:val="auto"/>
                <w:szCs w:val="21"/>
                <w:highlight w:val="none"/>
              </w:rPr>
            </w:pPr>
            <w:r>
              <w:rPr>
                <w:rFonts w:hint="eastAsia" w:ascii="宋体" w:hAnsi="宋体" w:eastAsia="宋体"/>
                <w:b/>
                <w:color w:val="auto"/>
                <w:szCs w:val="21"/>
                <w:highlight w:val="none"/>
              </w:rPr>
              <w:t>实质性要求</w:t>
            </w:r>
          </w:p>
        </w:tc>
        <w:tc>
          <w:tcPr>
            <w:tcW w:w="2925" w:type="dxa"/>
            <w:vAlign w:val="center"/>
          </w:tcPr>
          <w:p w14:paraId="3318C56E">
            <w:pPr>
              <w:snapToGrid w:val="0"/>
              <w:spacing w:line="400" w:lineRule="exact"/>
              <w:jc w:val="center"/>
              <w:rPr>
                <w:rFonts w:hint="eastAsia" w:ascii="宋体" w:hAnsi="宋体" w:eastAsia="宋体"/>
                <w:b/>
                <w:color w:val="auto"/>
                <w:szCs w:val="21"/>
                <w:highlight w:val="none"/>
              </w:rPr>
            </w:pPr>
            <w:r>
              <w:rPr>
                <w:rFonts w:hint="eastAsia" w:ascii="宋体" w:hAnsi="宋体" w:eastAsia="宋体"/>
                <w:b/>
                <w:color w:val="auto"/>
                <w:szCs w:val="21"/>
                <w:highlight w:val="none"/>
              </w:rPr>
              <w:t>需要提供的符合性审查资料</w:t>
            </w:r>
          </w:p>
        </w:tc>
        <w:tc>
          <w:tcPr>
            <w:tcW w:w="2475" w:type="dxa"/>
            <w:vAlign w:val="center"/>
          </w:tcPr>
          <w:p w14:paraId="2924ABB9">
            <w:pPr>
              <w:snapToGrid w:val="0"/>
              <w:spacing w:line="400" w:lineRule="exact"/>
              <w:jc w:val="center"/>
              <w:rPr>
                <w:rFonts w:hint="eastAsia" w:ascii="宋体" w:hAnsi="宋体" w:eastAsia="宋体"/>
                <w:b/>
                <w:color w:val="auto"/>
                <w:szCs w:val="21"/>
                <w:highlight w:val="none"/>
              </w:rPr>
            </w:pPr>
            <w:r>
              <w:rPr>
                <w:rFonts w:hint="eastAsia" w:ascii="宋体" w:hAnsi="宋体" w:eastAsia="宋体"/>
                <w:b/>
                <w:color w:val="auto"/>
                <w:szCs w:val="21"/>
                <w:highlight w:val="none"/>
              </w:rPr>
              <w:t>投标文件中的页码位置</w:t>
            </w:r>
          </w:p>
        </w:tc>
      </w:tr>
      <w:tr w14:paraId="067F7B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735" w:type="dxa"/>
            <w:vAlign w:val="center"/>
          </w:tcPr>
          <w:p w14:paraId="5EAE6E03">
            <w:pPr>
              <w:snapToGrid w:val="0"/>
              <w:spacing w:line="4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1</w:t>
            </w:r>
          </w:p>
        </w:tc>
        <w:tc>
          <w:tcPr>
            <w:tcW w:w="3513" w:type="dxa"/>
            <w:vAlign w:val="center"/>
          </w:tcPr>
          <w:p w14:paraId="50BF1A09">
            <w:pPr>
              <w:snapToGrid w:val="0"/>
              <w:spacing w:line="400" w:lineRule="exact"/>
              <w:rPr>
                <w:rFonts w:hint="eastAsia" w:ascii="宋体" w:hAnsi="宋体" w:eastAsia="宋体"/>
                <w:color w:val="auto"/>
                <w:szCs w:val="21"/>
                <w:highlight w:val="none"/>
              </w:rPr>
            </w:pPr>
            <w:r>
              <w:rPr>
                <w:rFonts w:hint="eastAsia" w:ascii="宋体" w:hAnsi="宋体" w:eastAsia="宋体"/>
                <w:color w:val="auto"/>
                <w:szCs w:val="21"/>
                <w:highlight w:val="none"/>
              </w:rPr>
              <w:t>投标文件按照采购文件要求签署、盖章。</w:t>
            </w:r>
          </w:p>
        </w:tc>
        <w:tc>
          <w:tcPr>
            <w:tcW w:w="2925" w:type="dxa"/>
            <w:vAlign w:val="center"/>
          </w:tcPr>
          <w:p w14:paraId="406617DC">
            <w:pPr>
              <w:snapToGrid w:val="0"/>
              <w:spacing w:line="400" w:lineRule="exact"/>
              <w:rPr>
                <w:rFonts w:hint="eastAsia" w:ascii="宋体" w:hAnsi="宋体" w:eastAsia="宋体"/>
                <w:color w:val="auto"/>
                <w:szCs w:val="21"/>
                <w:highlight w:val="none"/>
              </w:rPr>
            </w:pPr>
            <w:r>
              <w:rPr>
                <w:rFonts w:hint="eastAsia" w:ascii="宋体" w:hAnsi="宋体" w:eastAsia="宋体"/>
                <w:color w:val="auto"/>
                <w:szCs w:val="21"/>
                <w:highlight w:val="none"/>
              </w:rPr>
              <w:t>需要使用电子签名或者盖章的投标文件的组成部分。</w:t>
            </w:r>
          </w:p>
        </w:tc>
        <w:tc>
          <w:tcPr>
            <w:tcW w:w="2475" w:type="dxa"/>
            <w:vAlign w:val="center"/>
          </w:tcPr>
          <w:p w14:paraId="0120F7F6">
            <w:pPr>
              <w:snapToGrid w:val="0"/>
              <w:spacing w:line="4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见投标文件第</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页</w:t>
            </w:r>
          </w:p>
        </w:tc>
      </w:tr>
      <w:tr w14:paraId="01A338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735" w:type="dxa"/>
            <w:vAlign w:val="center"/>
          </w:tcPr>
          <w:p w14:paraId="5AFCE05B">
            <w:pPr>
              <w:snapToGrid w:val="0"/>
              <w:spacing w:line="4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2</w:t>
            </w:r>
          </w:p>
        </w:tc>
        <w:tc>
          <w:tcPr>
            <w:tcW w:w="3513" w:type="dxa"/>
            <w:vAlign w:val="center"/>
          </w:tcPr>
          <w:p w14:paraId="556AB81C">
            <w:pPr>
              <w:snapToGrid w:val="0"/>
              <w:spacing w:line="400" w:lineRule="exact"/>
              <w:rPr>
                <w:rFonts w:hint="eastAsia" w:ascii="宋体" w:hAnsi="宋体" w:eastAsia="宋体"/>
                <w:color w:val="auto"/>
                <w:szCs w:val="21"/>
                <w:highlight w:val="none"/>
              </w:rPr>
            </w:pPr>
            <w:r>
              <w:rPr>
                <w:rFonts w:hint="eastAsia" w:ascii="宋体" w:hAnsi="宋体" w:eastAsia="宋体"/>
                <w:color w:val="auto"/>
                <w:szCs w:val="21"/>
                <w:highlight w:val="none"/>
              </w:rPr>
              <w:t>投标文件中承诺的投标有效期不少于采购文件中载明的投标有效期。</w:t>
            </w:r>
          </w:p>
        </w:tc>
        <w:tc>
          <w:tcPr>
            <w:tcW w:w="2925" w:type="dxa"/>
            <w:vAlign w:val="center"/>
          </w:tcPr>
          <w:p w14:paraId="785CA6E4">
            <w:pPr>
              <w:snapToGrid w:val="0"/>
              <w:spacing w:line="400" w:lineRule="exact"/>
              <w:rPr>
                <w:rFonts w:hint="eastAsia" w:ascii="宋体" w:hAnsi="宋体" w:eastAsia="宋体"/>
                <w:color w:val="auto"/>
                <w:szCs w:val="21"/>
                <w:highlight w:val="none"/>
              </w:rPr>
            </w:pPr>
            <w:r>
              <w:rPr>
                <w:rFonts w:hint="eastAsia" w:ascii="宋体" w:hAnsi="宋体" w:eastAsia="宋体"/>
                <w:color w:val="auto"/>
                <w:szCs w:val="21"/>
                <w:highlight w:val="none"/>
              </w:rPr>
              <w:t>投标函。</w:t>
            </w:r>
          </w:p>
        </w:tc>
        <w:tc>
          <w:tcPr>
            <w:tcW w:w="2475" w:type="dxa"/>
            <w:vAlign w:val="center"/>
          </w:tcPr>
          <w:p w14:paraId="12F7C3C3">
            <w:pPr>
              <w:snapToGrid w:val="0"/>
              <w:spacing w:line="4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见投标文件第</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页</w:t>
            </w:r>
          </w:p>
        </w:tc>
      </w:tr>
      <w:tr w14:paraId="67D53E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735" w:type="dxa"/>
            <w:vAlign w:val="center"/>
          </w:tcPr>
          <w:p w14:paraId="520C5557">
            <w:pPr>
              <w:snapToGrid w:val="0"/>
              <w:spacing w:line="4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3</w:t>
            </w:r>
          </w:p>
        </w:tc>
        <w:tc>
          <w:tcPr>
            <w:tcW w:w="3513" w:type="dxa"/>
            <w:vAlign w:val="center"/>
          </w:tcPr>
          <w:p w14:paraId="29ADED21">
            <w:pPr>
              <w:snapToGrid w:val="0"/>
              <w:spacing w:line="400" w:lineRule="exact"/>
              <w:rPr>
                <w:rFonts w:hint="eastAsia" w:ascii="宋体" w:hAnsi="宋体" w:eastAsia="宋体"/>
                <w:color w:val="auto"/>
                <w:szCs w:val="21"/>
                <w:highlight w:val="none"/>
              </w:rPr>
            </w:pPr>
            <w:r>
              <w:rPr>
                <w:rFonts w:hint="eastAsia" w:ascii="宋体" w:hAnsi="宋体" w:eastAsia="宋体"/>
                <w:color w:val="auto"/>
                <w:szCs w:val="21"/>
                <w:highlight w:val="none"/>
              </w:rPr>
              <w:t>投标文件满足采购文件的其它实质性要求。</w:t>
            </w:r>
          </w:p>
        </w:tc>
        <w:tc>
          <w:tcPr>
            <w:tcW w:w="2925" w:type="dxa"/>
            <w:vAlign w:val="center"/>
          </w:tcPr>
          <w:p w14:paraId="7F0BD058">
            <w:pPr>
              <w:snapToGrid w:val="0"/>
              <w:spacing w:line="400" w:lineRule="exac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采购文件其它实质性要求相应的材料（“★” 系指实质性要求条款，采购文件无其它实质性要求的，无需提供）。</w:t>
            </w:r>
          </w:p>
        </w:tc>
        <w:tc>
          <w:tcPr>
            <w:tcW w:w="2475" w:type="dxa"/>
            <w:vAlign w:val="center"/>
          </w:tcPr>
          <w:p w14:paraId="1B0D62C7">
            <w:pPr>
              <w:snapToGrid w:val="0"/>
              <w:spacing w:line="4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见投标文件第</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页</w:t>
            </w:r>
          </w:p>
        </w:tc>
      </w:tr>
    </w:tbl>
    <w:p w14:paraId="516F8AE4">
      <w:pPr>
        <w:snapToGrid w:val="0"/>
        <w:spacing w:before="120" w:line="360" w:lineRule="auto"/>
        <w:rPr>
          <w:rFonts w:hint="eastAsia" w:ascii="宋体" w:hAnsi="宋体" w:eastAsia="宋体"/>
          <w:color w:val="auto"/>
          <w:highlight w:val="none"/>
        </w:rPr>
      </w:pPr>
      <w:r>
        <w:rPr>
          <w:rFonts w:hint="eastAsia" w:ascii="宋体" w:hAnsi="宋体" w:eastAsia="宋体"/>
          <w:color w:val="auto"/>
          <w:highlight w:val="none"/>
        </w:rPr>
        <w:t>注：按本格式和要求提供。</w:t>
      </w:r>
    </w:p>
    <w:p w14:paraId="507294E5">
      <w:pPr>
        <w:jc w:val="center"/>
        <w:rPr>
          <w:rFonts w:hint="eastAsia" w:ascii="宋体" w:hAnsi="宋体" w:eastAsia="宋体"/>
          <w:b/>
          <w:color w:val="auto"/>
          <w:kern w:val="0"/>
          <w:sz w:val="32"/>
          <w:szCs w:val="32"/>
          <w:highlight w:val="none"/>
        </w:rPr>
      </w:pPr>
    </w:p>
    <w:p w14:paraId="483BE3FF">
      <w:pPr>
        <w:jc w:val="center"/>
        <w:rPr>
          <w:rFonts w:hint="eastAsia" w:ascii="宋体" w:hAnsi="宋体" w:eastAsia="宋体"/>
          <w:b/>
          <w:color w:val="auto"/>
          <w:kern w:val="0"/>
          <w:sz w:val="32"/>
          <w:szCs w:val="32"/>
          <w:highlight w:val="none"/>
        </w:rPr>
      </w:pPr>
      <w:r>
        <w:rPr>
          <w:rFonts w:hint="eastAsia" w:ascii="宋体" w:hAnsi="宋体" w:eastAsia="宋体"/>
          <w:b/>
          <w:color w:val="auto"/>
          <w:kern w:val="0"/>
          <w:sz w:val="32"/>
          <w:szCs w:val="32"/>
          <w:highlight w:val="none"/>
        </w:rPr>
        <w:t xml:space="preserve">            </w:t>
      </w:r>
    </w:p>
    <w:p w14:paraId="0703329F">
      <w:pPr>
        <w:jc w:val="center"/>
        <w:rPr>
          <w:rFonts w:hint="eastAsia" w:ascii="宋体" w:hAnsi="宋体" w:eastAsia="宋体"/>
          <w:b/>
          <w:color w:val="auto"/>
          <w:kern w:val="0"/>
          <w:sz w:val="32"/>
          <w:szCs w:val="32"/>
          <w:highlight w:val="none"/>
        </w:rPr>
      </w:pPr>
    </w:p>
    <w:p w14:paraId="4B1E3320">
      <w:pPr>
        <w:jc w:val="center"/>
        <w:rPr>
          <w:rFonts w:hint="eastAsia" w:ascii="宋体" w:hAnsi="宋体" w:eastAsia="宋体"/>
          <w:b/>
          <w:color w:val="auto"/>
          <w:kern w:val="0"/>
          <w:sz w:val="32"/>
          <w:szCs w:val="32"/>
          <w:highlight w:val="none"/>
        </w:rPr>
      </w:pPr>
    </w:p>
    <w:p w14:paraId="43CACC38">
      <w:pPr>
        <w:jc w:val="center"/>
        <w:rPr>
          <w:rFonts w:hint="eastAsia" w:ascii="宋体" w:hAnsi="宋体" w:eastAsia="宋体"/>
          <w:b/>
          <w:color w:val="auto"/>
          <w:kern w:val="0"/>
          <w:sz w:val="32"/>
          <w:szCs w:val="32"/>
          <w:highlight w:val="none"/>
        </w:rPr>
      </w:pPr>
    </w:p>
    <w:p w14:paraId="0CE4B0D9">
      <w:pPr>
        <w:jc w:val="center"/>
        <w:rPr>
          <w:rFonts w:hint="eastAsia" w:ascii="宋体" w:hAnsi="宋体" w:eastAsia="宋体"/>
          <w:b/>
          <w:color w:val="auto"/>
          <w:kern w:val="0"/>
          <w:sz w:val="32"/>
          <w:szCs w:val="32"/>
          <w:highlight w:val="none"/>
        </w:rPr>
      </w:pPr>
    </w:p>
    <w:p w14:paraId="3034A071">
      <w:pPr>
        <w:jc w:val="left"/>
        <w:rPr>
          <w:rFonts w:hint="eastAsia" w:ascii="宋体" w:hAnsi="宋体" w:eastAsia="宋体"/>
          <w:b/>
          <w:color w:val="auto"/>
          <w:highlight w:val="none"/>
        </w:rPr>
      </w:pPr>
    </w:p>
    <w:p w14:paraId="506F0B59">
      <w:pPr>
        <w:jc w:val="center"/>
        <w:rPr>
          <w:rFonts w:hint="eastAsia" w:ascii="宋体" w:hAnsi="宋体" w:eastAsia="宋体"/>
          <w:b/>
          <w:color w:val="auto"/>
          <w:kern w:val="0"/>
          <w:sz w:val="32"/>
          <w:szCs w:val="32"/>
          <w:highlight w:val="none"/>
        </w:rPr>
      </w:pPr>
    </w:p>
    <w:p w14:paraId="1CF4788D">
      <w:pPr>
        <w:jc w:val="center"/>
        <w:rPr>
          <w:rFonts w:hint="eastAsia" w:ascii="宋体" w:hAnsi="宋体" w:eastAsia="宋体"/>
          <w:b/>
          <w:color w:val="auto"/>
          <w:kern w:val="0"/>
          <w:sz w:val="32"/>
          <w:szCs w:val="32"/>
          <w:highlight w:val="none"/>
        </w:rPr>
      </w:pPr>
    </w:p>
    <w:p w14:paraId="3F6873A4">
      <w:pPr>
        <w:jc w:val="center"/>
        <w:rPr>
          <w:rFonts w:hint="eastAsia" w:ascii="宋体" w:hAnsi="宋体" w:eastAsia="宋体"/>
          <w:b/>
          <w:color w:val="auto"/>
          <w:kern w:val="0"/>
          <w:sz w:val="32"/>
          <w:szCs w:val="32"/>
          <w:highlight w:val="none"/>
        </w:rPr>
      </w:pPr>
    </w:p>
    <w:p w14:paraId="04B969BE">
      <w:pPr>
        <w:numPr>
          <w:ilvl w:val="0"/>
          <w:numId w:val="47"/>
        </w:numPr>
        <w:snapToGrid w:val="0"/>
        <w:spacing w:line="360" w:lineRule="auto"/>
        <w:jc w:val="center"/>
        <w:rPr>
          <w:rFonts w:hint="eastAsia" w:ascii="宋体" w:hAnsi="宋体" w:eastAsia="宋体"/>
          <w:b/>
          <w:color w:val="auto"/>
          <w:kern w:val="0"/>
          <w:sz w:val="24"/>
          <w:highlight w:val="none"/>
        </w:rPr>
      </w:pPr>
      <w:r>
        <w:rPr>
          <w:rFonts w:hint="eastAsia" w:ascii="宋体" w:hAnsi="宋体" w:eastAsia="宋体"/>
          <w:b/>
          <w:color w:val="auto"/>
          <w:kern w:val="0"/>
          <w:sz w:val="24"/>
          <w:highlight w:val="none"/>
        </w:rPr>
        <w:br w:type="page"/>
      </w:r>
      <w:r>
        <w:rPr>
          <w:rFonts w:hint="eastAsia" w:ascii="宋体" w:hAnsi="宋体" w:eastAsia="宋体"/>
          <w:b/>
          <w:color w:val="auto"/>
          <w:kern w:val="0"/>
          <w:sz w:val="24"/>
          <w:highlight w:val="none"/>
          <w:lang w:val="zh-CN"/>
        </w:rPr>
        <w:t>投标标的清单</w:t>
      </w:r>
    </w:p>
    <w:p w14:paraId="1CEA0491">
      <w:pPr>
        <w:pStyle w:val="37"/>
        <w:autoSpaceDE/>
        <w:autoSpaceDN/>
        <w:snapToGrid w:val="0"/>
        <w:rPr>
          <w:rFonts w:hint="eastAsia" w:ascii="宋体" w:hAnsi="宋体" w:eastAsia="宋体"/>
          <w:color w:val="auto"/>
          <w:highlight w:val="none"/>
        </w:rPr>
      </w:pPr>
    </w:p>
    <w:tbl>
      <w:tblPr>
        <w:tblStyle w:val="5"/>
        <w:tblW w:w="0" w:type="auto"/>
        <w:tblInd w:w="-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2370"/>
        <w:gridCol w:w="1770"/>
        <w:gridCol w:w="2610"/>
        <w:gridCol w:w="1260"/>
        <w:gridCol w:w="720"/>
      </w:tblGrid>
      <w:tr w14:paraId="48A06A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900" w:type="dxa"/>
            <w:vAlign w:val="center"/>
          </w:tcPr>
          <w:p w14:paraId="2FCB1260">
            <w:pPr>
              <w:snapToGrid w:val="0"/>
              <w:spacing w:line="400" w:lineRule="exact"/>
              <w:jc w:val="center"/>
              <w:rPr>
                <w:rFonts w:hint="eastAsia" w:ascii="宋体" w:hAnsi="宋体" w:eastAsia="宋体"/>
                <w:b/>
                <w:color w:val="auto"/>
                <w:szCs w:val="21"/>
                <w:highlight w:val="none"/>
              </w:rPr>
            </w:pPr>
            <w:r>
              <w:rPr>
                <w:rFonts w:hint="eastAsia" w:ascii="宋体" w:hAnsi="宋体" w:eastAsia="宋体"/>
                <w:b/>
                <w:color w:val="auto"/>
                <w:szCs w:val="21"/>
                <w:highlight w:val="none"/>
              </w:rPr>
              <w:t>序号</w:t>
            </w:r>
          </w:p>
        </w:tc>
        <w:tc>
          <w:tcPr>
            <w:tcW w:w="2370" w:type="dxa"/>
            <w:vAlign w:val="center"/>
          </w:tcPr>
          <w:p w14:paraId="6502CB40">
            <w:pPr>
              <w:snapToGrid w:val="0"/>
              <w:spacing w:line="400" w:lineRule="exact"/>
              <w:jc w:val="center"/>
              <w:rPr>
                <w:rFonts w:hint="eastAsia" w:ascii="宋体" w:hAnsi="宋体" w:eastAsia="宋体"/>
                <w:b/>
                <w:color w:val="auto"/>
                <w:szCs w:val="21"/>
                <w:highlight w:val="none"/>
              </w:rPr>
            </w:pPr>
            <w:r>
              <w:rPr>
                <w:rFonts w:hint="eastAsia" w:ascii="宋体" w:hAnsi="宋体" w:eastAsia="宋体"/>
                <w:b/>
                <w:color w:val="auto"/>
                <w:szCs w:val="21"/>
                <w:highlight w:val="none"/>
              </w:rPr>
              <w:t>名称</w:t>
            </w:r>
          </w:p>
        </w:tc>
        <w:tc>
          <w:tcPr>
            <w:tcW w:w="1770" w:type="dxa"/>
            <w:vAlign w:val="center"/>
          </w:tcPr>
          <w:p w14:paraId="57335F20">
            <w:pPr>
              <w:snapToGrid w:val="0"/>
              <w:spacing w:line="400" w:lineRule="exact"/>
              <w:jc w:val="center"/>
              <w:rPr>
                <w:rFonts w:hint="eastAsia" w:ascii="宋体" w:hAnsi="宋体" w:eastAsia="宋体"/>
                <w:b/>
                <w:color w:val="auto"/>
                <w:szCs w:val="21"/>
                <w:highlight w:val="none"/>
              </w:rPr>
            </w:pPr>
            <w:r>
              <w:rPr>
                <w:rFonts w:hint="eastAsia" w:ascii="宋体" w:hAnsi="宋体" w:eastAsia="宋体"/>
                <w:b/>
                <w:color w:val="auto"/>
                <w:szCs w:val="21"/>
                <w:highlight w:val="none"/>
              </w:rPr>
              <w:t>品牌（如有）</w:t>
            </w:r>
          </w:p>
        </w:tc>
        <w:tc>
          <w:tcPr>
            <w:tcW w:w="2610" w:type="dxa"/>
            <w:vAlign w:val="center"/>
          </w:tcPr>
          <w:p w14:paraId="29989990">
            <w:pPr>
              <w:snapToGrid w:val="0"/>
              <w:spacing w:line="400" w:lineRule="exact"/>
              <w:jc w:val="center"/>
              <w:rPr>
                <w:rFonts w:hint="eastAsia" w:ascii="宋体" w:hAnsi="宋体" w:eastAsia="宋体"/>
                <w:b/>
                <w:color w:val="auto"/>
                <w:szCs w:val="21"/>
                <w:highlight w:val="none"/>
              </w:rPr>
            </w:pPr>
            <w:r>
              <w:rPr>
                <w:rFonts w:hint="eastAsia" w:ascii="宋体" w:hAnsi="宋体" w:eastAsia="宋体"/>
                <w:b/>
                <w:color w:val="auto"/>
                <w:szCs w:val="21"/>
                <w:highlight w:val="none"/>
              </w:rPr>
              <w:t>规格型号</w:t>
            </w:r>
          </w:p>
        </w:tc>
        <w:tc>
          <w:tcPr>
            <w:tcW w:w="1260" w:type="dxa"/>
            <w:vAlign w:val="center"/>
          </w:tcPr>
          <w:p w14:paraId="0BE6FC10">
            <w:pPr>
              <w:snapToGrid w:val="0"/>
              <w:spacing w:line="400" w:lineRule="exact"/>
              <w:jc w:val="center"/>
              <w:rPr>
                <w:rFonts w:hint="eastAsia" w:ascii="宋体" w:hAnsi="宋体" w:eastAsia="宋体"/>
                <w:b/>
                <w:color w:val="auto"/>
                <w:szCs w:val="21"/>
                <w:highlight w:val="none"/>
              </w:rPr>
            </w:pPr>
            <w:r>
              <w:rPr>
                <w:rFonts w:hint="eastAsia" w:ascii="宋体" w:hAnsi="宋体" w:eastAsia="宋体"/>
                <w:b/>
                <w:color w:val="auto"/>
                <w:szCs w:val="21"/>
                <w:highlight w:val="none"/>
              </w:rPr>
              <w:t>数量/单位</w:t>
            </w:r>
          </w:p>
        </w:tc>
        <w:tc>
          <w:tcPr>
            <w:tcW w:w="720" w:type="dxa"/>
            <w:vAlign w:val="center"/>
          </w:tcPr>
          <w:p w14:paraId="2E7823AC">
            <w:pPr>
              <w:snapToGrid w:val="0"/>
              <w:spacing w:line="400" w:lineRule="exact"/>
              <w:jc w:val="center"/>
              <w:rPr>
                <w:rFonts w:hint="eastAsia" w:ascii="宋体" w:hAnsi="宋体" w:eastAsia="宋体"/>
                <w:b/>
                <w:color w:val="auto"/>
                <w:szCs w:val="21"/>
                <w:highlight w:val="none"/>
              </w:rPr>
            </w:pPr>
            <w:r>
              <w:rPr>
                <w:rFonts w:hint="eastAsia" w:ascii="宋体" w:hAnsi="宋体" w:eastAsia="宋体"/>
                <w:b/>
                <w:color w:val="auto"/>
                <w:szCs w:val="21"/>
                <w:highlight w:val="none"/>
              </w:rPr>
              <w:t>备注</w:t>
            </w:r>
          </w:p>
        </w:tc>
      </w:tr>
      <w:tr w14:paraId="0A800B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900" w:type="dxa"/>
            <w:vAlign w:val="center"/>
          </w:tcPr>
          <w:p w14:paraId="12EF9E79">
            <w:pPr>
              <w:snapToGrid w:val="0"/>
              <w:spacing w:line="4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1</w:t>
            </w:r>
          </w:p>
        </w:tc>
        <w:tc>
          <w:tcPr>
            <w:tcW w:w="2370" w:type="dxa"/>
            <w:vAlign w:val="center"/>
          </w:tcPr>
          <w:p w14:paraId="232147A9">
            <w:pPr>
              <w:pStyle w:val="169"/>
              <w:snapToGrid w:val="0"/>
              <w:spacing w:line="400" w:lineRule="exact"/>
              <w:jc w:val="center"/>
              <w:rPr>
                <w:rFonts w:hint="eastAsia" w:ascii="宋体" w:hAnsi="宋体" w:eastAsia="宋体"/>
                <w:b/>
                <w:color w:val="auto"/>
                <w:szCs w:val="21"/>
                <w:highlight w:val="none"/>
              </w:rPr>
            </w:pPr>
          </w:p>
        </w:tc>
        <w:tc>
          <w:tcPr>
            <w:tcW w:w="1770" w:type="dxa"/>
            <w:vAlign w:val="center"/>
          </w:tcPr>
          <w:p w14:paraId="0AD462DF">
            <w:pPr>
              <w:pStyle w:val="169"/>
              <w:snapToGrid w:val="0"/>
              <w:spacing w:line="400" w:lineRule="exact"/>
              <w:jc w:val="center"/>
              <w:rPr>
                <w:rFonts w:hint="eastAsia" w:ascii="宋体" w:hAnsi="宋体" w:eastAsia="宋体"/>
                <w:color w:val="auto"/>
                <w:szCs w:val="21"/>
                <w:highlight w:val="none"/>
              </w:rPr>
            </w:pPr>
          </w:p>
        </w:tc>
        <w:tc>
          <w:tcPr>
            <w:tcW w:w="2610" w:type="dxa"/>
            <w:vAlign w:val="center"/>
          </w:tcPr>
          <w:p w14:paraId="7084B9F0">
            <w:pPr>
              <w:snapToGrid w:val="0"/>
              <w:spacing w:line="400" w:lineRule="exact"/>
              <w:jc w:val="center"/>
              <w:rPr>
                <w:rFonts w:hint="eastAsia" w:ascii="宋体" w:hAnsi="宋体" w:eastAsia="宋体"/>
                <w:color w:val="auto"/>
                <w:szCs w:val="21"/>
                <w:highlight w:val="none"/>
              </w:rPr>
            </w:pPr>
          </w:p>
        </w:tc>
        <w:tc>
          <w:tcPr>
            <w:tcW w:w="1260" w:type="dxa"/>
            <w:vAlign w:val="center"/>
          </w:tcPr>
          <w:p w14:paraId="74CFB05F">
            <w:pPr>
              <w:pStyle w:val="169"/>
              <w:snapToGrid w:val="0"/>
              <w:spacing w:line="400" w:lineRule="exact"/>
              <w:jc w:val="center"/>
              <w:rPr>
                <w:rFonts w:hint="eastAsia" w:ascii="宋体" w:hAnsi="宋体" w:eastAsia="宋体"/>
                <w:color w:val="auto"/>
                <w:szCs w:val="21"/>
                <w:highlight w:val="none"/>
              </w:rPr>
            </w:pPr>
          </w:p>
        </w:tc>
        <w:tc>
          <w:tcPr>
            <w:tcW w:w="720" w:type="dxa"/>
            <w:vAlign w:val="center"/>
          </w:tcPr>
          <w:p w14:paraId="570D2A86">
            <w:pPr>
              <w:snapToGrid w:val="0"/>
              <w:spacing w:line="400" w:lineRule="exact"/>
              <w:jc w:val="center"/>
              <w:rPr>
                <w:rFonts w:hint="eastAsia" w:ascii="宋体" w:hAnsi="宋体" w:eastAsia="宋体"/>
                <w:color w:val="auto"/>
                <w:szCs w:val="21"/>
                <w:highlight w:val="none"/>
              </w:rPr>
            </w:pPr>
          </w:p>
        </w:tc>
      </w:tr>
      <w:tr w14:paraId="35ECBA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900" w:type="dxa"/>
            <w:vAlign w:val="center"/>
          </w:tcPr>
          <w:p w14:paraId="6FD50AA3">
            <w:pPr>
              <w:snapToGrid w:val="0"/>
              <w:spacing w:line="4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2</w:t>
            </w:r>
          </w:p>
        </w:tc>
        <w:tc>
          <w:tcPr>
            <w:tcW w:w="2370" w:type="dxa"/>
            <w:vAlign w:val="center"/>
          </w:tcPr>
          <w:p w14:paraId="10C3C21E">
            <w:pPr>
              <w:pStyle w:val="169"/>
              <w:snapToGrid w:val="0"/>
              <w:spacing w:line="400" w:lineRule="exact"/>
              <w:jc w:val="center"/>
              <w:rPr>
                <w:rFonts w:hint="eastAsia" w:ascii="宋体" w:hAnsi="宋体" w:eastAsia="宋体"/>
                <w:bCs/>
                <w:color w:val="auto"/>
                <w:szCs w:val="21"/>
                <w:highlight w:val="none"/>
              </w:rPr>
            </w:pPr>
          </w:p>
        </w:tc>
        <w:tc>
          <w:tcPr>
            <w:tcW w:w="1770" w:type="dxa"/>
            <w:vAlign w:val="center"/>
          </w:tcPr>
          <w:p w14:paraId="1AC1F361">
            <w:pPr>
              <w:pStyle w:val="169"/>
              <w:snapToGrid w:val="0"/>
              <w:spacing w:line="400" w:lineRule="exact"/>
              <w:jc w:val="center"/>
              <w:rPr>
                <w:rFonts w:hint="eastAsia" w:ascii="宋体" w:hAnsi="宋体" w:eastAsia="宋体"/>
                <w:color w:val="auto"/>
                <w:szCs w:val="21"/>
                <w:highlight w:val="none"/>
              </w:rPr>
            </w:pPr>
          </w:p>
        </w:tc>
        <w:tc>
          <w:tcPr>
            <w:tcW w:w="2610" w:type="dxa"/>
            <w:vAlign w:val="center"/>
          </w:tcPr>
          <w:p w14:paraId="7C8FE336">
            <w:pPr>
              <w:snapToGrid w:val="0"/>
              <w:spacing w:line="400" w:lineRule="exact"/>
              <w:jc w:val="center"/>
              <w:rPr>
                <w:rFonts w:hint="eastAsia" w:ascii="宋体" w:hAnsi="宋体" w:eastAsia="宋体"/>
                <w:color w:val="auto"/>
                <w:szCs w:val="21"/>
                <w:highlight w:val="none"/>
              </w:rPr>
            </w:pPr>
          </w:p>
        </w:tc>
        <w:tc>
          <w:tcPr>
            <w:tcW w:w="1260" w:type="dxa"/>
            <w:vAlign w:val="center"/>
          </w:tcPr>
          <w:p w14:paraId="6A066E4A">
            <w:pPr>
              <w:pStyle w:val="169"/>
              <w:snapToGrid w:val="0"/>
              <w:spacing w:line="400" w:lineRule="exact"/>
              <w:jc w:val="center"/>
              <w:rPr>
                <w:rFonts w:hint="eastAsia" w:ascii="宋体" w:hAnsi="宋体" w:eastAsia="宋体"/>
                <w:color w:val="auto"/>
                <w:szCs w:val="21"/>
                <w:highlight w:val="none"/>
              </w:rPr>
            </w:pPr>
          </w:p>
        </w:tc>
        <w:tc>
          <w:tcPr>
            <w:tcW w:w="720" w:type="dxa"/>
            <w:vAlign w:val="center"/>
          </w:tcPr>
          <w:p w14:paraId="29C532E3">
            <w:pPr>
              <w:snapToGrid w:val="0"/>
              <w:spacing w:line="400" w:lineRule="exact"/>
              <w:jc w:val="center"/>
              <w:rPr>
                <w:rFonts w:hint="eastAsia" w:ascii="宋体" w:hAnsi="宋体" w:eastAsia="宋体"/>
                <w:color w:val="auto"/>
                <w:szCs w:val="21"/>
                <w:highlight w:val="none"/>
              </w:rPr>
            </w:pPr>
          </w:p>
        </w:tc>
      </w:tr>
      <w:tr w14:paraId="6DFCC8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900" w:type="dxa"/>
            <w:vAlign w:val="center"/>
          </w:tcPr>
          <w:p w14:paraId="4CA4C262">
            <w:pPr>
              <w:snapToGrid w:val="0"/>
              <w:spacing w:line="4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3</w:t>
            </w:r>
          </w:p>
        </w:tc>
        <w:tc>
          <w:tcPr>
            <w:tcW w:w="2370" w:type="dxa"/>
            <w:vAlign w:val="center"/>
          </w:tcPr>
          <w:p w14:paraId="0988D501">
            <w:pPr>
              <w:pStyle w:val="169"/>
              <w:snapToGrid w:val="0"/>
              <w:spacing w:line="400" w:lineRule="exact"/>
              <w:jc w:val="center"/>
              <w:rPr>
                <w:rFonts w:hint="eastAsia" w:ascii="宋体" w:hAnsi="宋体" w:eastAsia="宋体"/>
                <w:bCs/>
                <w:color w:val="auto"/>
                <w:szCs w:val="21"/>
                <w:highlight w:val="none"/>
              </w:rPr>
            </w:pPr>
          </w:p>
        </w:tc>
        <w:tc>
          <w:tcPr>
            <w:tcW w:w="1770" w:type="dxa"/>
            <w:vAlign w:val="center"/>
          </w:tcPr>
          <w:p w14:paraId="16491BF8">
            <w:pPr>
              <w:pStyle w:val="169"/>
              <w:snapToGrid w:val="0"/>
              <w:spacing w:line="400" w:lineRule="exact"/>
              <w:jc w:val="center"/>
              <w:rPr>
                <w:rFonts w:hint="eastAsia" w:ascii="宋体" w:hAnsi="宋体" w:eastAsia="宋体"/>
                <w:color w:val="auto"/>
                <w:szCs w:val="21"/>
                <w:highlight w:val="none"/>
              </w:rPr>
            </w:pPr>
          </w:p>
        </w:tc>
        <w:tc>
          <w:tcPr>
            <w:tcW w:w="2610" w:type="dxa"/>
            <w:vAlign w:val="center"/>
          </w:tcPr>
          <w:p w14:paraId="7016FE55">
            <w:pPr>
              <w:snapToGrid w:val="0"/>
              <w:spacing w:line="400" w:lineRule="exact"/>
              <w:jc w:val="center"/>
              <w:rPr>
                <w:rFonts w:hint="eastAsia" w:ascii="宋体" w:hAnsi="宋体" w:eastAsia="宋体"/>
                <w:color w:val="auto"/>
                <w:szCs w:val="21"/>
                <w:highlight w:val="none"/>
              </w:rPr>
            </w:pPr>
          </w:p>
        </w:tc>
        <w:tc>
          <w:tcPr>
            <w:tcW w:w="1260" w:type="dxa"/>
            <w:vAlign w:val="center"/>
          </w:tcPr>
          <w:p w14:paraId="57B74C24">
            <w:pPr>
              <w:pStyle w:val="169"/>
              <w:snapToGrid w:val="0"/>
              <w:spacing w:line="400" w:lineRule="exact"/>
              <w:jc w:val="center"/>
              <w:rPr>
                <w:rFonts w:hint="eastAsia" w:ascii="宋体" w:hAnsi="宋体" w:eastAsia="宋体"/>
                <w:color w:val="auto"/>
                <w:szCs w:val="21"/>
                <w:highlight w:val="none"/>
              </w:rPr>
            </w:pPr>
          </w:p>
        </w:tc>
        <w:tc>
          <w:tcPr>
            <w:tcW w:w="720" w:type="dxa"/>
            <w:vAlign w:val="center"/>
          </w:tcPr>
          <w:p w14:paraId="558CE521">
            <w:pPr>
              <w:snapToGrid w:val="0"/>
              <w:spacing w:line="400" w:lineRule="exact"/>
              <w:jc w:val="center"/>
              <w:rPr>
                <w:rFonts w:hint="eastAsia" w:ascii="宋体" w:hAnsi="宋体" w:eastAsia="宋体"/>
                <w:color w:val="auto"/>
                <w:szCs w:val="21"/>
                <w:highlight w:val="none"/>
              </w:rPr>
            </w:pPr>
          </w:p>
        </w:tc>
      </w:tr>
      <w:tr w14:paraId="08682B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900" w:type="dxa"/>
            <w:vAlign w:val="center"/>
          </w:tcPr>
          <w:p w14:paraId="5FD2D876">
            <w:pPr>
              <w:snapToGrid w:val="0"/>
              <w:spacing w:line="4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4</w:t>
            </w:r>
          </w:p>
        </w:tc>
        <w:tc>
          <w:tcPr>
            <w:tcW w:w="2370" w:type="dxa"/>
            <w:vAlign w:val="center"/>
          </w:tcPr>
          <w:p w14:paraId="5AFC6452">
            <w:pPr>
              <w:pStyle w:val="169"/>
              <w:snapToGrid w:val="0"/>
              <w:spacing w:line="400" w:lineRule="exact"/>
              <w:jc w:val="center"/>
              <w:rPr>
                <w:rFonts w:hint="eastAsia" w:ascii="宋体" w:hAnsi="宋体" w:eastAsia="宋体"/>
                <w:color w:val="auto"/>
                <w:szCs w:val="21"/>
                <w:highlight w:val="none"/>
              </w:rPr>
            </w:pPr>
          </w:p>
        </w:tc>
        <w:tc>
          <w:tcPr>
            <w:tcW w:w="1770" w:type="dxa"/>
            <w:vAlign w:val="center"/>
          </w:tcPr>
          <w:p w14:paraId="7BAE3F41">
            <w:pPr>
              <w:pStyle w:val="169"/>
              <w:snapToGrid w:val="0"/>
              <w:spacing w:line="400" w:lineRule="exact"/>
              <w:jc w:val="center"/>
              <w:rPr>
                <w:rFonts w:hint="eastAsia" w:ascii="宋体" w:hAnsi="宋体" w:eastAsia="宋体"/>
                <w:color w:val="auto"/>
                <w:szCs w:val="21"/>
                <w:highlight w:val="none"/>
              </w:rPr>
            </w:pPr>
          </w:p>
        </w:tc>
        <w:tc>
          <w:tcPr>
            <w:tcW w:w="2610" w:type="dxa"/>
            <w:vAlign w:val="center"/>
          </w:tcPr>
          <w:p w14:paraId="4A2754EC">
            <w:pPr>
              <w:snapToGrid w:val="0"/>
              <w:spacing w:line="400" w:lineRule="exact"/>
              <w:jc w:val="center"/>
              <w:rPr>
                <w:rFonts w:hint="eastAsia" w:ascii="宋体" w:hAnsi="宋体" w:eastAsia="宋体"/>
                <w:color w:val="auto"/>
                <w:szCs w:val="21"/>
                <w:highlight w:val="none"/>
              </w:rPr>
            </w:pPr>
          </w:p>
        </w:tc>
        <w:tc>
          <w:tcPr>
            <w:tcW w:w="1260" w:type="dxa"/>
            <w:vAlign w:val="center"/>
          </w:tcPr>
          <w:p w14:paraId="65A0BB2A">
            <w:pPr>
              <w:pStyle w:val="169"/>
              <w:snapToGrid w:val="0"/>
              <w:spacing w:line="400" w:lineRule="exact"/>
              <w:jc w:val="center"/>
              <w:rPr>
                <w:rFonts w:hint="eastAsia" w:ascii="宋体" w:hAnsi="宋体" w:eastAsia="宋体"/>
                <w:color w:val="auto"/>
                <w:szCs w:val="21"/>
                <w:highlight w:val="none"/>
              </w:rPr>
            </w:pPr>
          </w:p>
        </w:tc>
        <w:tc>
          <w:tcPr>
            <w:tcW w:w="720" w:type="dxa"/>
            <w:vAlign w:val="center"/>
          </w:tcPr>
          <w:p w14:paraId="419C5BF2">
            <w:pPr>
              <w:snapToGrid w:val="0"/>
              <w:spacing w:line="400" w:lineRule="exact"/>
              <w:jc w:val="center"/>
              <w:rPr>
                <w:rFonts w:hint="eastAsia" w:ascii="宋体" w:hAnsi="宋体" w:eastAsia="宋体"/>
                <w:color w:val="auto"/>
                <w:szCs w:val="21"/>
                <w:highlight w:val="none"/>
              </w:rPr>
            </w:pPr>
          </w:p>
        </w:tc>
      </w:tr>
      <w:tr w14:paraId="0B9CA1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900" w:type="dxa"/>
            <w:vAlign w:val="center"/>
          </w:tcPr>
          <w:p w14:paraId="0C800072">
            <w:pPr>
              <w:snapToGrid w:val="0"/>
              <w:spacing w:line="4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5</w:t>
            </w:r>
          </w:p>
        </w:tc>
        <w:tc>
          <w:tcPr>
            <w:tcW w:w="2370" w:type="dxa"/>
            <w:vAlign w:val="center"/>
          </w:tcPr>
          <w:p w14:paraId="3EF53FC9">
            <w:pPr>
              <w:pStyle w:val="169"/>
              <w:snapToGrid w:val="0"/>
              <w:spacing w:line="400" w:lineRule="exact"/>
              <w:jc w:val="center"/>
              <w:rPr>
                <w:rFonts w:hint="eastAsia" w:ascii="宋体" w:hAnsi="宋体" w:eastAsia="宋体"/>
                <w:bCs/>
                <w:color w:val="auto"/>
                <w:szCs w:val="21"/>
                <w:highlight w:val="none"/>
              </w:rPr>
            </w:pPr>
          </w:p>
        </w:tc>
        <w:tc>
          <w:tcPr>
            <w:tcW w:w="1770" w:type="dxa"/>
            <w:vAlign w:val="center"/>
          </w:tcPr>
          <w:p w14:paraId="554E8879">
            <w:pPr>
              <w:pStyle w:val="169"/>
              <w:snapToGrid w:val="0"/>
              <w:spacing w:line="400" w:lineRule="exact"/>
              <w:jc w:val="center"/>
              <w:rPr>
                <w:rFonts w:hint="eastAsia" w:ascii="宋体" w:hAnsi="宋体" w:eastAsia="宋体"/>
                <w:color w:val="auto"/>
                <w:szCs w:val="21"/>
                <w:highlight w:val="none"/>
              </w:rPr>
            </w:pPr>
          </w:p>
        </w:tc>
        <w:tc>
          <w:tcPr>
            <w:tcW w:w="2610" w:type="dxa"/>
            <w:vAlign w:val="center"/>
          </w:tcPr>
          <w:p w14:paraId="6CA2D540">
            <w:pPr>
              <w:snapToGrid w:val="0"/>
              <w:spacing w:line="400" w:lineRule="exact"/>
              <w:jc w:val="center"/>
              <w:rPr>
                <w:rFonts w:hint="eastAsia" w:ascii="宋体" w:hAnsi="宋体" w:eastAsia="宋体"/>
                <w:color w:val="auto"/>
                <w:szCs w:val="21"/>
                <w:highlight w:val="none"/>
              </w:rPr>
            </w:pPr>
          </w:p>
        </w:tc>
        <w:tc>
          <w:tcPr>
            <w:tcW w:w="1260" w:type="dxa"/>
            <w:vAlign w:val="center"/>
          </w:tcPr>
          <w:p w14:paraId="02DFB650">
            <w:pPr>
              <w:pStyle w:val="169"/>
              <w:snapToGrid w:val="0"/>
              <w:spacing w:line="400" w:lineRule="exact"/>
              <w:jc w:val="center"/>
              <w:rPr>
                <w:rFonts w:hint="eastAsia" w:ascii="宋体" w:hAnsi="宋体" w:eastAsia="宋体"/>
                <w:color w:val="auto"/>
                <w:szCs w:val="21"/>
                <w:highlight w:val="none"/>
              </w:rPr>
            </w:pPr>
          </w:p>
        </w:tc>
        <w:tc>
          <w:tcPr>
            <w:tcW w:w="720" w:type="dxa"/>
            <w:vAlign w:val="center"/>
          </w:tcPr>
          <w:p w14:paraId="057C0A6A">
            <w:pPr>
              <w:snapToGrid w:val="0"/>
              <w:spacing w:line="400" w:lineRule="exact"/>
              <w:jc w:val="center"/>
              <w:rPr>
                <w:rFonts w:hint="eastAsia" w:ascii="宋体" w:hAnsi="宋体" w:eastAsia="宋体"/>
                <w:color w:val="auto"/>
                <w:szCs w:val="21"/>
                <w:highlight w:val="none"/>
              </w:rPr>
            </w:pPr>
          </w:p>
        </w:tc>
      </w:tr>
      <w:tr w14:paraId="5F1F6F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900" w:type="dxa"/>
            <w:vAlign w:val="center"/>
          </w:tcPr>
          <w:p w14:paraId="7D985B24">
            <w:pPr>
              <w:snapToGrid w:val="0"/>
              <w:spacing w:line="4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w:t>
            </w:r>
          </w:p>
        </w:tc>
        <w:tc>
          <w:tcPr>
            <w:tcW w:w="2370" w:type="dxa"/>
            <w:vAlign w:val="center"/>
          </w:tcPr>
          <w:p w14:paraId="5DFEAC70">
            <w:pPr>
              <w:snapToGrid w:val="0"/>
              <w:spacing w:line="400" w:lineRule="exact"/>
              <w:jc w:val="center"/>
              <w:rPr>
                <w:rFonts w:hint="eastAsia" w:ascii="宋体" w:hAnsi="宋体" w:eastAsia="宋体"/>
                <w:color w:val="auto"/>
                <w:szCs w:val="21"/>
                <w:highlight w:val="none"/>
              </w:rPr>
            </w:pPr>
          </w:p>
        </w:tc>
        <w:tc>
          <w:tcPr>
            <w:tcW w:w="1770" w:type="dxa"/>
            <w:vAlign w:val="center"/>
          </w:tcPr>
          <w:p w14:paraId="12AFB18E">
            <w:pPr>
              <w:snapToGrid w:val="0"/>
              <w:spacing w:line="400" w:lineRule="exact"/>
              <w:jc w:val="center"/>
              <w:rPr>
                <w:rFonts w:hint="eastAsia" w:ascii="宋体" w:hAnsi="宋体" w:eastAsia="宋体"/>
                <w:color w:val="auto"/>
                <w:szCs w:val="21"/>
                <w:highlight w:val="none"/>
              </w:rPr>
            </w:pPr>
          </w:p>
        </w:tc>
        <w:tc>
          <w:tcPr>
            <w:tcW w:w="2610" w:type="dxa"/>
            <w:vAlign w:val="center"/>
          </w:tcPr>
          <w:p w14:paraId="1FA7CD9D">
            <w:pPr>
              <w:snapToGrid w:val="0"/>
              <w:spacing w:line="400" w:lineRule="exact"/>
              <w:jc w:val="center"/>
              <w:rPr>
                <w:rFonts w:hint="eastAsia" w:ascii="宋体" w:hAnsi="宋体" w:eastAsia="宋体"/>
                <w:color w:val="auto"/>
                <w:szCs w:val="21"/>
                <w:highlight w:val="none"/>
              </w:rPr>
            </w:pPr>
          </w:p>
        </w:tc>
        <w:tc>
          <w:tcPr>
            <w:tcW w:w="1260" w:type="dxa"/>
            <w:vAlign w:val="center"/>
          </w:tcPr>
          <w:p w14:paraId="26A18805">
            <w:pPr>
              <w:snapToGrid w:val="0"/>
              <w:spacing w:line="400" w:lineRule="exact"/>
              <w:jc w:val="center"/>
              <w:rPr>
                <w:rFonts w:hint="eastAsia" w:ascii="宋体" w:hAnsi="宋体" w:eastAsia="宋体"/>
                <w:color w:val="auto"/>
                <w:szCs w:val="21"/>
                <w:highlight w:val="none"/>
              </w:rPr>
            </w:pPr>
          </w:p>
        </w:tc>
        <w:tc>
          <w:tcPr>
            <w:tcW w:w="720" w:type="dxa"/>
            <w:vAlign w:val="center"/>
          </w:tcPr>
          <w:p w14:paraId="7BAE3F92">
            <w:pPr>
              <w:snapToGrid w:val="0"/>
              <w:spacing w:line="400" w:lineRule="exact"/>
              <w:jc w:val="center"/>
              <w:rPr>
                <w:rFonts w:hint="eastAsia" w:ascii="宋体" w:hAnsi="宋体" w:eastAsia="宋体"/>
                <w:color w:val="auto"/>
                <w:szCs w:val="21"/>
                <w:highlight w:val="none"/>
              </w:rPr>
            </w:pPr>
          </w:p>
        </w:tc>
      </w:tr>
    </w:tbl>
    <w:p w14:paraId="41E8D141">
      <w:pPr>
        <w:snapToGrid w:val="0"/>
        <w:spacing w:before="120" w:line="360" w:lineRule="auto"/>
        <w:rPr>
          <w:rFonts w:hint="eastAsia" w:ascii="宋体" w:hAnsi="宋体" w:eastAsia="宋体"/>
          <w:color w:val="auto"/>
          <w:highlight w:val="none"/>
        </w:rPr>
      </w:pPr>
      <w:r>
        <w:rPr>
          <w:rFonts w:hint="eastAsia" w:ascii="宋体" w:hAnsi="宋体" w:eastAsia="宋体"/>
          <w:color w:val="auto"/>
          <w:highlight w:val="none"/>
        </w:rPr>
        <w:t>注：按本格式和要求提供。</w:t>
      </w:r>
    </w:p>
    <w:p w14:paraId="34B79387">
      <w:pPr>
        <w:jc w:val="center"/>
        <w:rPr>
          <w:rFonts w:hint="eastAsia" w:ascii="宋体" w:hAnsi="宋体" w:eastAsia="宋体"/>
          <w:b/>
          <w:color w:val="auto"/>
          <w:kern w:val="0"/>
          <w:sz w:val="32"/>
          <w:szCs w:val="32"/>
          <w:highlight w:val="none"/>
        </w:rPr>
      </w:pPr>
    </w:p>
    <w:p w14:paraId="5F7B2A5A">
      <w:pPr>
        <w:jc w:val="center"/>
        <w:rPr>
          <w:rFonts w:hint="eastAsia" w:ascii="宋体" w:hAnsi="宋体" w:eastAsia="宋体"/>
          <w:b/>
          <w:color w:val="auto"/>
          <w:kern w:val="0"/>
          <w:sz w:val="32"/>
          <w:szCs w:val="32"/>
          <w:highlight w:val="none"/>
        </w:rPr>
      </w:pPr>
    </w:p>
    <w:p w14:paraId="32F4F901">
      <w:pPr>
        <w:numPr>
          <w:ilvl w:val="0"/>
          <w:numId w:val="47"/>
        </w:numPr>
        <w:snapToGrid w:val="0"/>
        <w:spacing w:line="360" w:lineRule="auto"/>
        <w:jc w:val="center"/>
        <w:rPr>
          <w:rFonts w:hint="eastAsia" w:ascii="宋体" w:hAnsi="宋体" w:eastAsia="宋体"/>
          <w:b/>
          <w:color w:val="auto"/>
          <w:kern w:val="0"/>
          <w:sz w:val="24"/>
          <w:highlight w:val="none"/>
        </w:rPr>
      </w:pPr>
      <w:r>
        <w:rPr>
          <w:rFonts w:hint="eastAsia" w:ascii="宋体" w:hAnsi="宋体" w:eastAsia="宋体"/>
          <w:b/>
          <w:color w:val="auto"/>
          <w:kern w:val="0"/>
          <w:sz w:val="24"/>
          <w:highlight w:val="none"/>
        </w:rPr>
        <w:br w:type="page"/>
      </w:r>
      <w:r>
        <w:rPr>
          <w:rFonts w:hint="eastAsia" w:ascii="宋体" w:hAnsi="宋体" w:eastAsia="宋体"/>
          <w:b/>
          <w:color w:val="auto"/>
          <w:kern w:val="0"/>
          <w:sz w:val="24"/>
          <w:highlight w:val="none"/>
          <w:lang w:val="zh-CN"/>
        </w:rPr>
        <w:t>评标标准相应的商务技术资料</w:t>
      </w:r>
    </w:p>
    <w:p w14:paraId="7FE18A75">
      <w:pPr>
        <w:snapToGrid w:val="0"/>
        <w:spacing w:line="360" w:lineRule="auto"/>
        <w:jc w:val="left"/>
        <w:rPr>
          <w:rFonts w:hint="eastAsia" w:ascii="宋体" w:hAnsi="宋体" w:eastAsia="宋体"/>
          <w:b/>
          <w:color w:val="auto"/>
          <w:sz w:val="24"/>
          <w:highlight w:val="none"/>
        </w:rPr>
      </w:pPr>
    </w:p>
    <w:p w14:paraId="47A96E78">
      <w:pPr>
        <w:snapToGrid w:val="0"/>
        <w:spacing w:line="360" w:lineRule="auto"/>
        <w:jc w:val="center"/>
        <w:rPr>
          <w:rFonts w:hint="eastAsia" w:ascii="宋体" w:hAnsi="宋体" w:eastAsia="宋体"/>
          <w:b/>
          <w:color w:val="auto"/>
          <w:highlight w:val="none"/>
        </w:rPr>
      </w:pPr>
      <w:r>
        <w:rPr>
          <w:rFonts w:hint="eastAsia" w:ascii="宋体" w:hAnsi="宋体" w:eastAsia="宋体"/>
          <w:b/>
          <w:color w:val="auto"/>
          <w:highlight w:val="none"/>
        </w:rPr>
        <w:t>（按采购文件第四部分 评标办法前附表中“投标文件中评标标准相应的商务技术资料目录”提供资料。）</w:t>
      </w:r>
    </w:p>
    <w:p w14:paraId="1F83BE38">
      <w:pPr>
        <w:snapToGrid w:val="0"/>
        <w:spacing w:line="360" w:lineRule="auto"/>
        <w:jc w:val="center"/>
        <w:rPr>
          <w:rFonts w:hint="eastAsia" w:ascii="宋体" w:hAnsi="宋体" w:eastAsia="宋体"/>
          <w:b/>
          <w:color w:val="auto"/>
          <w:highlight w:val="none"/>
        </w:rPr>
      </w:pPr>
    </w:p>
    <w:p w14:paraId="62C99AF0">
      <w:pPr>
        <w:snapToGrid w:val="0"/>
        <w:spacing w:line="360" w:lineRule="auto"/>
        <w:jc w:val="center"/>
        <w:rPr>
          <w:rFonts w:hint="eastAsia" w:ascii="宋体" w:hAnsi="宋体" w:eastAsia="宋体"/>
          <w:b/>
          <w:color w:val="auto"/>
          <w:highlight w:val="none"/>
        </w:rPr>
      </w:pPr>
    </w:p>
    <w:p w14:paraId="5DA691D0">
      <w:pPr>
        <w:snapToGrid w:val="0"/>
        <w:spacing w:line="360" w:lineRule="auto"/>
        <w:jc w:val="center"/>
        <w:rPr>
          <w:rFonts w:hint="eastAsia" w:ascii="宋体" w:hAnsi="宋体" w:eastAsia="宋体"/>
          <w:b/>
          <w:color w:val="auto"/>
          <w:highlight w:val="none"/>
        </w:rPr>
      </w:pPr>
    </w:p>
    <w:p w14:paraId="0F0A3887">
      <w:pPr>
        <w:snapToGrid w:val="0"/>
        <w:spacing w:line="360" w:lineRule="auto"/>
        <w:ind w:left="640"/>
        <w:jc w:val="left"/>
        <w:rPr>
          <w:rFonts w:hint="eastAsia" w:ascii="宋体" w:hAnsi="宋体" w:eastAsia="宋体"/>
          <w:color w:val="auto"/>
          <w:szCs w:val="21"/>
          <w:highlight w:val="none"/>
        </w:rPr>
      </w:pPr>
    </w:p>
    <w:p w14:paraId="369147BD">
      <w:pPr>
        <w:snapToGrid w:val="0"/>
        <w:spacing w:line="360" w:lineRule="auto"/>
        <w:rPr>
          <w:rFonts w:hint="eastAsia" w:ascii="宋体" w:hAnsi="宋体" w:eastAsia="宋体"/>
          <w:b/>
          <w:color w:val="auto"/>
          <w:kern w:val="0"/>
          <w:sz w:val="24"/>
          <w:highlight w:val="none"/>
          <w:lang w:val="zh-CN"/>
        </w:rPr>
      </w:pPr>
    </w:p>
    <w:p w14:paraId="4C6F5F13">
      <w:pPr>
        <w:snapToGrid w:val="0"/>
        <w:spacing w:line="360" w:lineRule="auto"/>
        <w:rPr>
          <w:rFonts w:hint="eastAsia" w:ascii="宋体" w:hAnsi="宋体" w:eastAsia="宋体"/>
          <w:b/>
          <w:color w:val="auto"/>
          <w:kern w:val="0"/>
          <w:sz w:val="24"/>
          <w:highlight w:val="none"/>
          <w:lang w:val="zh-CN"/>
        </w:rPr>
      </w:pPr>
    </w:p>
    <w:p w14:paraId="72ECC3B6">
      <w:pPr>
        <w:snapToGrid w:val="0"/>
        <w:spacing w:line="360" w:lineRule="auto"/>
        <w:rPr>
          <w:rFonts w:hint="eastAsia" w:ascii="宋体" w:hAnsi="宋体" w:eastAsia="宋体"/>
          <w:b/>
          <w:color w:val="auto"/>
          <w:kern w:val="0"/>
          <w:sz w:val="24"/>
          <w:highlight w:val="none"/>
          <w:lang w:val="zh-CN"/>
        </w:rPr>
      </w:pPr>
    </w:p>
    <w:p w14:paraId="39AFE9A8">
      <w:pPr>
        <w:snapToGrid w:val="0"/>
        <w:spacing w:line="360" w:lineRule="auto"/>
        <w:rPr>
          <w:rFonts w:hint="eastAsia" w:ascii="宋体" w:hAnsi="宋体" w:eastAsia="宋体"/>
          <w:b/>
          <w:color w:val="auto"/>
          <w:kern w:val="0"/>
          <w:sz w:val="24"/>
          <w:highlight w:val="none"/>
          <w:lang w:val="zh-CN"/>
        </w:rPr>
      </w:pPr>
    </w:p>
    <w:p w14:paraId="1ABDEC66">
      <w:pPr>
        <w:snapToGrid w:val="0"/>
        <w:spacing w:line="360" w:lineRule="auto"/>
        <w:rPr>
          <w:rFonts w:hint="eastAsia" w:ascii="宋体" w:hAnsi="宋体" w:eastAsia="宋体"/>
          <w:b/>
          <w:color w:val="auto"/>
          <w:kern w:val="0"/>
          <w:sz w:val="24"/>
          <w:highlight w:val="none"/>
          <w:lang w:val="zh-CN"/>
        </w:rPr>
      </w:pPr>
    </w:p>
    <w:p w14:paraId="0B1E8A1C">
      <w:pPr>
        <w:snapToGrid w:val="0"/>
        <w:spacing w:line="360" w:lineRule="auto"/>
        <w:rPr>
          <w:rFonts w:hint="eastAsia" w:ascii="宋体" w:hAnsi="宋体" w:eastAsia="宋体"/>
          <w:b/>
          <w:color w:val="auto"/>
          <w:kern w:val="0"/>
          <w:sz w:val="24"/>
          <w:highlight w:val="none"/>
          <w:lang w:val="zh-CN"/>
        </w:rPr>
      </w:pPr>
    </w:p>
    <w:p w14:paraId="5B747E64">
      <w:pPr>
        <w:snapToGrid w:val="0"/>
        <w:spacing w:line="360" w:lineRule="auto"/>
        <w:rPr>
          <w:rFonts w:hint="eastAsia" w:ascii="宋体" w:hAnsi="宋体" w:eastAsia="宋体"/>
          <w:b/>
          <w:color w:val="auto"/>
          <w:kern w:val="0"/>
          <w:sz w:val="24"/>
          <w:highlight w:val="none"/>
          <w:lang w:val="zh-CN"/>
        </w:rPr>
      </w:pPr>
    </w:p>
    <w:p w14:paraId="76569F6C">
      <w:pPr>
        <w:snapToGrid w:val="0"/>
        <w:spacing w:line="360" w:lineRule="auto"/>
        <w:rPr>
          <w:rFonts w:hint="eastAsia" w:ascii="宋体" w:hAnsi="宋体" w:eastAsia="宋体"/>
          <w:b/>
          <w:color w:val="auto"/>
          <w:kern w:val="0"/>
          <w:sz w:val="24"/>
          <w:highlight w:val="none"/>
          <w:lang w:val="zh-CN"/>
        </w:rPr>
      </w:pPr>
    </w:p>
    <w:p w14:paraId="28ED479A">
      <w:pPr>
        <w:snapToGrid w:val="0"/>
        <w:spacing w:line="360" w:lineRule="auto"/>
        <w:jc w:val="center"/>
        <w:rPr>
          <w:rFonts w:hint="eastAsia" w:ascii="宋体" w:hAnsi="宋体" w:eastAsia="宋体"/>
          <w:b/>
          <w:color w:val="auto"/>
          <w:kern w:val="0"/>
          <w:sz w:val="24"/>
          <w:highlight w:val="none"/>
          <w:lang w:val="zh-CN"/>
        </w:rPr>
      </w:pPr>
      <w:r>
        <w:rPr>
          <w:rFonts w:hint="eastAsia" w:ascii="宋体" w:hAnsi="宋体" w:eastAsia="宋体"/>
          <w:b/>
          <w:color w:val="auto"/>
          <w:kern w:val="0"/>
          <w:sz w:val="24"/>
          <w:highlight w:val="none"/>
          <w:lang w:val="zh-CN"/>
        </w:rPr>
        <w:br w:type="page"/>
      </w:r>
      <w:r>
        <w:rPr>
          <w:rFonts w:hint="eastAsia" w:ascii="宋体" w:hAnsi="宋体" w:eastAsia="宋体"/>
          <w:b/>
          <w:color w:val="auto"/>
          <w:kern w:val="0"/>
          <w:sz w:val="24"/>
          <w:highlight w:val="none"/>
        </w:rPr>
        <w:t>六-1、</w:t>
      </w:r>
      <w:r>
        <w:rPr>
          <w:rFonts w:hint="eastAsia" w:ascii="宋体" w:hAnsi="宋体" w:eastAsia="宋体"/>
          <w:b/>
          <w:color w:val="auto"/>
          <w:kern w:val="0"/>
          <w:sz w:val="24"/>
          <w:highlight w:val="none"/>
          <w:lang w:val="zh-CN"/>
        </w:rPr>
        <w:t>商务</w:t>
      </w:r>
      <w:r>
        <w:rPr>
          <w:rFonts w:hint="eastAsia" w:ascii="宋体" w:hAnsi="宋体" w:eastAsia="宋体"/>
          <w:b/>
          <w:color w:val="auto"/>
          <w:kern w:val="0"/>
          <w:sz w:val="24"/>
          <w:highlight w:val="none"/>
        </w:rPr>
        <w:t>条款</w:t>
      </w:r>
      <w:r>
        <w:rPr>
          <w:rFonts w:hint="eastAsia" w:ascii="宋体" w:hAnsi="宋体" w:eastAsia="宋体"/>
          <w:b/>
          <w:color w:val="auto"/>
          <w:kern w:val="0"/>
          <w:sz w:val="24"/>
          <w:highlight w:val="none"/>
          <w:lang w:val="zh-CN"/>
        </w:rPr>
        <w:t>偏离表</w:t>
      </w:r>
    </w:p>
    <w:p w14:paraId="369D91B6">
      <w:pPr>
        <w:pStyle w:val="37"/>
        <w:autoSpaceDE/>
        <w:autoSpaceDN/>
        <w:snapToGrid w:val="0"/>
        <w:rPr>
          <w:rFonts w:hint="eastAsia" w:ascii="宋体" w:hAnsi="宋体" w:eastAsia="宋体"/>
          <w:color w:val="auto"/>
          <w:highlight w:val="none"/>
        </w:rPr>
      </w:pPr>
    </w:p>
    <w:tbl>
      <w:tblPr>
        <w:tblStyle w:val="5"/>
        <w:tblW w:w="0" w:type="auto"/>
        <w:tblInd w:w="19"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32"/>
        <w:gridCol w:w="4648"/>
        <w:gridCol w:w="2788"/>
        <w:gridCol w:w="1350"/>
      </w:tblGrid>
      <w:tr w14:paraId="284133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832" w:type="dxa"/>
            <w:vAlign w:val="center"/>
          </w:tcPr>
          <w:p w14:paraId="4375106B">
            <w:pPr>
              <w:snapToGrid w:val="0"/>
              <w:spacing w:line="400" w:lineRule="exact"/>
              <w:jc w:val="center"/>
              <w:rPr>
                <w:rFonts w:hint="eastAsia" w:ascii="宋体" w:hAnsi="宋体" w:eastAsia="宋体"/>
                <w:b/>
                <w:bCs/>
                <w:color w:val="auto"/>
                <w:szCs w:val="21"/>
                <w:highlight w:val="none"/>
              </w:rPr>
            </w:pPr>
            <w:r>
              <w:rPr>
                <w:rFonts w:hint="eastAsia" w:ascii="宋体" w:hAnsi="宋体" w:eastAsia="宋体"/>
                <w:b/>
                <w:bCs/>
                <w:color w:val="auto"/>
                <w:szCs w:val="21"/>
                <w:highlight w:val="none"/>
              </w:rPr>
              <w:t>序号</w:t>
            </w:r>
          </w:p>
        </w:tc>
        <w:tc>
          <w:tcPr>
            <w:tcW w:w="4648" w:type="dxa"/>
            <w:vAlign w:val="center"/>
          </w:tcPr>
          <w:p w14:paraId="6FE57FE6">
            <w:pPr>
              <w:snapToGrid w:val="0"/>
              <w:spacing w:line="400" w:lineRule="exact"/>
              <w:jc w:val="center"/>
              <w:rPr>
                <w:rFonts w:hint="eastAsia" w:ascii="宋体" w:hAnsi="宋体" w:eastAsia="宋体"/>
                <w:b/>
                <w:bCs/>
                <w:color w:val="auto"/>
                <w:szCs w:val="21"/>
                <w:highlight w:val="none"/>
              </w:rPr>
            </w:pPr>
            <w:r>
              <w:rPr>
                <w:rFonts w:hint="eastAsia" w:ascii="宋体" w:hAnsi="宋体" w:eastAsia="宋体"/>
                <w:b/>
                <w:bCs/>
                <w:color w:val="auto"/>
                <w:szCs w:val="21"/>
                <w:highlight w:val="none"/>
              </w:rPr>
              <w:t>采购文件章节及具体内容</w:t>
            </w:r>
          </w:p>
        </w:tc>
        <w:tc>
          <w:tcPr>
            <w:tcW w:w="2788" w:type="dxa"/>
            <w:vAlign w:val="center"/>
          </w:tcPr>
          <w:p w14:paraId="0B6502DC">
            <w:pPr>
              <w:snapToGrid w:val="0"/>
              <w:spacing w:line="400" w:lineRule="exact"/>
              <w:jc w:val="center"/>
              <w:rPr>
                <w:rFonts w:hint="eastAsia" w:ascii="宋体" w:hAnsi="宋体" w:eastAsia="宋体"/>
                <w:b/>
                <w:bCs/>
                <w:color w:val="auto"/>
                <w:szCs w:val="21"/>
                <w:highlight w:val="none"/>
              </w:rPr>
            </w:pPr>
            <w:r>
              <w:rPr>
                <w:rFonts w:hint="eastAsia" w:ascii="宋体" w:hAnsi="宋体" w:eastAsia="宋体"/>
                <w:b/>
                <w:bCs/>
                <w:color w:val="auto"/>
                <w:szCs w:val="21"/>
                <w:highlight w:val="none"/>
              </w:rPr>
              <w:t>投标文件章节及具体内容</w:t>
            </w:r>
          </w:p>
        </w:tc>
        <w:tc>
          <w:tcPr>
            <w:tcW w:w="1350" w:type="dxa"/>
            <w:vAlign w:val="center"/>
          </w:tcPr>
          <w:p w14:paraId="61B858AD">
            <w:pPr>
              <w:snapToGrid w:val="0"/>
              <w:spacing w:line="400" w:lineRule="exact"/>
              <w:jc w:val="center"/>
              <w:rPr>
                <w:rFonts w:hint="eastAsia" w:ascii="宋体" w:hAnsi="宋体" w:eastAsia="宋体"/>
                <w:b/>
                <w:bCs/>
                <w:color w:val="auto"/>
                <w:szCs w:val="21"/>
                <w:highlight w:val="none"/>
              </w:rPr>
            </w:pPr>
            <w:r>
              <w:rPr>
                <w:rFonts w:hint="eastAsia" w:ascii="宋体" w:hAnsi="宋体" w:eastAsia="宋体"/>
                <w:b/>
                <w:bCs/>
                <w:color w:val="auto"/>
                <w:szCs w:val="21"/>
                <w:highlight w:val="none"/>
              </w:rPr>
              <w:t>偏离说明</w:t>
            </w:r>
          </w:p>
        </w:tc>
      </w:tr>
      <w:tr w14:paraId="60B458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832" w:type="dxa"/>
            <w:vAlign w:val="center"/>
          </w:tcPr>
          <w:p w14:paraId="58D438C4">
            <w:pPr>
              <w:snapToGrid w:val="0"/>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1</w:t>
            </w:r>
          </w:p>
        </w:tc>
        <w:tc>
          <w:tcPr>
            <w:tcW w:w="4648" w:type="dxa"/>
            <w:vAlign w:val="center"/>
          </w:tcPr>
          <w:p w14:paraId="46E13CA0">
            <w:pPr>
              <w:snapToGrid w:val="0"/>
              <w:jc w:val="left"/>
              <w:rPr>
                <w:rFonts w:hint="eastAsia" w:ascii="宋体" w:hAnsi="宋体" w:eastAsia="宋体"/>
                <w:color w:val="auto"/>
                <w:szCs w:val="21"/>
                <w:highlight w:val="none"/>
              </w:rPr>
            </w:pPr>
            <w:r>
              <w:rPr>
                <w:rFonts w:hint="eastAsia" w:ascii="宋体" w:hAnsi="宋体" w:eastAsia="宋体"/>
                <w:color w:val="auto"/>
                <w:szCs w:val="21"/>
                <w:highlight w:val="none"/>
              </w:rPr>
              <w:t>履约保证金：</w:t>
            </w:r>
            <w:r>
              <w:rPr>
                <w:rFonts w:hint="eastAsia" w:ascii="宋体" w:hAnsi="宋体" w:eastAsia="宋体"/>
                <w:bCs/>
                <w:color w:val="auto"/>
                <w:kern w:val="0"/>
                <w:szCs w:val="21"/>
                <w:highlight w:val="none"/>
              </w:rPr>
              <w:t>第三部分 采购需求“商务要求”。</w:t>
            </w:r>
          </w:p>
        </w:tc>
        <w:tc>
          <w:tcPr>
            <w:tcW w:w="2788" w:type="dxa"/>
            <w:vAlign w:val="center"/>
          </w:tcPr>
          <w:p w14:paraId="6C6A4F5C">
            <w:pPr>
              <w:spacing w:line="400" w:lineRule="exact"/>
              <w:contextualSpacing/>
              <w:jc w:val="center"/>
              <w:rPr>
                <w:rFonts w:hint="eastAsia" w:ascii="宋体" w:hAnsi="宋体" w:eastAsia="宋体"/>
                <w:color w:val="auto"/>
                <w:szCs w:val="21"/>
                <w:highlight w:val="none"/>
              </w:rPr>
            </w:pPr>
          </w:p>
        </w:tc>
        <w:tc>
          <w:tcPr>
            <w:tcW w:w="1350" w:type="dxa"/>
            <w:vAlign w:val="center"/>
          </w:tcPr>
          <w:p w14:paraId="4D536808">
            <w:pPr>
              <w:spacing w:line="400" w:lineRule="exact"/>
              <w:contextualSpacing/>
              <w:jc w:val="center"/>
              <w:rPr>
                <w:rFonts w:hint="eastAsia" w:ascii="宋体" w:hAnsi="宋体" w:eastAsia="宋体"/>
                <w:color w:val="auto"/>
                <w:szCs w:val="21"/>
                <w:highlight w:val="none"/>
              </w:rPr>
            </w:pPr>
          </w:p>
        </w:tc>
      </w:tr>
      <w:tr w14:paraId="25D45F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832" w:type="dxa"/>
            <w:vAlign w:val="center"/>
          </w:tcPr>
          <w:p w14:paraId="6DC6873B">
            <w:pPr>
              <w:snapToGrid w:val="0"/>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2</w:t>
            </w:r>
          </w:p>
        </w:tc>
        <w:tc>
          <w:tcPr>
            <w:tcW w:w="4648" w:type="dxa"/>
            <w:vAlign w:val="center"/>
          </w:tcPr>
          <w:p w14:paraId="7C9D75BB">
            <w:pPr>
              <w:contextualSpacing/>
              <w:jc w:val="left"/>
              <w:rPr>
                <w:rFonts w:hint="eastAsia" w:ascii="宋体" w:hAnsi="宋体" w:eastAsia="宋体"/>
                <w:color w:val="auto"/>
                <w:szCs w:val="21"/>
                <w:highlight w:val="none"/>
              </w:rPr>
            </w:pPr>
            <w:r>
              <w:rPr>
                <w:rFonts w:hint="eastAsia" w:ascii="宋体" w:hAnsi="宋体" w:eastAsia="宋体"/>
                <w:color w:val="auto"/>
                <w:szCs w:val="21"/>
                <w:highlight w:val="none"/>
              </w:rPr>
              <w:t>付款方式：</w:t>
            </w:r>
            <w:r>
              <w:rPr>
                <w:rFonts w:hint="eastAsia" w:ascii="宋体" w:hAnsi="宋体" w:eastAsia="宋体"/>
                <w:bCs/>
                <w:color w:val="auto"/>
                <w:kern w:val="0"/>
                <w:szCs w:val="21"/>
                <w:highlight w:val="none"/>
              </w:rPr>
              <w:t>第三部分 采购需求“商务要求”。</w:t>
            </w:r>
          </w:p>
        </w:tc>
        <w:tc>
          <w:tcPr>
            <w:tcW w:w="2788" w:type="dxa"/>
            <w:vAlign w:val="center"/>
          </w:tcPr>
          <w:p w14:paraId="1D57427A">
            <w:pPr>
              <w:spacing w:line="400" w:lineRule="exact"/>
              <w:contextualSpacing/>
              <w:jc w:val="center"/>
              <w:rPr>
                <w:rFonts w:hint="eastAsia" w:ascii="宋体" w:hAnsi="宋体" w:eastAsia="宋体"/>
                <w:color w:val="auto"/>
                <w:szCs w:val="21"/>
                <w:highlight w:val="none"/>
              </w:rPr>
            </w:pPr>
          </w:p>
        </w:tc>
        <w:tc>
          <w:tcPr>
            <w:tcW w:w="1350" w:type="dxa"/>
            <w:vAlign w:val="center"/>
          </w:tcPr>
          <w:p w14:paraId="3172DFD1">
            <w:pPr>
              <w:spacing w:line="400" w:lineRule="exact"/>
              <w:contextualSpacing/>
              <w:jc w:val="center"/>
              <w:rPr>
                <w:rFonts w:hint="eastAsia" w:ascii="宋体" w:hAnsi="宋体" w:eastAsia="宋体"/>
                <w:color w:val="auto"/>
                <w:szCs w:val="21"/>
                <w:highlight w:val="none"/>
              </w:rPr>
            </w:pPr>
          </w:p>
        </w:tc>
      </w:tr>
      <w:tr w14:paraId="08A9BE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832" w:type="dxa"/>
            <w:vAlign w:val="center"/>
          </w:tcPr>
          <w:p w14:paraId="17B55594">
            <w:pPr>
              <w:snapToGrid w:val="0"/>
              <w:spacing w:line="400" w:lineRule="exact"/>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3</w:t>
            </w:r>
          </w:p>
        </w:tc>
        <w:tc>
          <w:tcPr>
            <w:tcW w:w="4648" w:type="dxa"/>
            <w:vAlign w:val="center"/>
          </w:tcPr>
          <w:p w14:paraId="13DA91A4">
            <w:pPr>
              <w:spacing w:line="400" w:lineRule="exact"/>
              <w:contextualSpacing/>
              <w:jc w:val="left"/>
              <w:rPr>
                <w:rFonts w:hint="eastAsia" w:ascii="宋体" w:hAnsi="宋体" w:eastAsia="宋体"/>
                <w:color w:val="auto"/>
                <w:szCs w:val="21"/>
                <w:highlight w:val="none"/>
              </w:rPr>
            </w:pPr>
            <w:r>
              <w:rPr>
                <w:rFonts w:hint="eastAsia" w:ascii="宋体" w:hAnsi="宋体" w:eastAsia="宋体"/>
                <w:color w:val="auto"/>
                <w:szCs w:val="21"/>
                <w:highlight w:val="none"/>
              </w:rPr>
              <w:t>交货地点、</w:t>
            </w:r>
            <w:r>
              <w:rPr>
                <w:rFonts w:hint="eastAsia" w:ascii="宋体" w:hAnsi="宋体" w:eastAsia="宋体"/>
                <w:color w:val="auto"/>
                <w:szCs w:val="27"/>
                <w:highlight w:val="none"/>
              </w:rPr>
              <w:t>合同履约期限（即</w:t>
            </w:r>
            <w:r>
              <w:rPr>
                <w:rFonts w:hint="eastAsia" w:ascii="宋体" w:hAnsi="宋体" w:eastAsia="宋体"/>
                <w:color w:val="auto"/>
                <w:szCs w:val="21"/>
                <w:highlight w:val="none"/>
              </w:rPr>
              <w:t>交货期限</w:t>
            </w:r>
            <w:r>
              <w:rPr>
                <w:rFonts w:hint="eastAsia" w:ascii="宋体" w:hAnsi="宋体" w:eastAsia="宋体"/>
                <w:color w:val="auto"/>
                <w:szCs w:val="27"/>
                <w:highlight w:val="none"/>
              </w:rPr>
              <w:t>）</w:t>
            </w:r>
            <w:r>
              <w:rPr>
                <w:rFonts w:hint="eastAsia" w:ascii="宋体" w:hAnsi="宋体" w:eastAsia="宋体"/>
                <w:color w:val="auto"/>
                <w:szCs w:val="21"/>
                <w:highlight w:val="none"/>
              </w:rPr>
              <w:t>：</w:t>
            </w:r>
            <w:r>
              <w:rPr>
                <w:rFonts w:hint="eastAsia" w:ascii="宋体" w:hAnsi="宋体" w:eastAsia="宋体"/>
                <w:bCs/>
                <w:color w:val="auto"/>
                <w:kern w:val="0"/>
                <w:szCs w:val="21"/>
                <w:highlight w:val="none"/>
              </w:rPr>
              <w:t>第三部分 采购需求“商务要求”。</w:t>
            </w:r>
          </w:p>
        </w:tc>
        <w:tc>
          <w:tcPr>
            <w:tcW w:w="2788" w:type="dxa"/>
            <w:vAlign w:val="center"/>
          </w:tcPr>
          <w:p w14:paraId="2EA6E8CA">
            <w:pPr>
              <w:spacing w:line="400" w:lineRule="exact"/>
              <w:contextualSpacing/>
              <w:jc w:val="center"/>
              <w:rPr>
                <w:rFonts w:hint="eastAsia" w:ascii="宋体" w:hAnsi="宋体" w:eastAsia="宋体"/>
                <w:color w:val="auto"/>
                <w:szCs w:val="21"/>
                <w:highlight w:val="none"/>
              </w:rPr>
            </w:pPr>
          </w:p>
        </w:tc>
        <w:tc>
          <w:tcPr>
            <w:tcW w:w="1350" w:type="dxa"/>
            <w:vAlign w:val="center"/>
          </w:tcPr>
          <w:p w14:paraId="66E9CF1A">
            <w:pPr>
              <w:spacing w:line="400" w:lineRule="exact"/>
              <w:contextualSpacing/>
              <w:jc w:val="center"/>
              <w:rPr>
                <w:rFonts w:hint="eastAsia" w:ascii="宋体" w:hAnsi="宋体" w:eastAsia="宋体"/>
                <w:color w:val="auto"/>
                <w:szCs w:val="21"/>
                <w:highlight w:val="none"/>
              </w:rPr>
            </w:pPr>
          </w:p>
        </w:tc>
      </w:tr>
      <w:tr w14:paraId="7FD356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832" w:type="dxa"/>
            <w:vAlign w:val="center"/>
          </w:tcPr>
          <w:p w14:paraId="3CBA3159">
            <w:pPr>
              <w:snapToGrid w:val="0"/>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4</w:t>
            </w:r>
          </w:p>
        </w:tc>
        <w:tc>
          <w:tcPr>
            <w:tcW w:w="4648" w:type="dxa"/>
            <w:vAlign w:val="center"/>
          </w:tcPr>
          <w:p w14:paraId="67950B31">
            <w:pPr>
              <w:contextualSpacing/>
              <w:jc w:val="left"/>
              <w:rPr>
                <w:rFonts w:hint="eastAsia" w:ascii="宋体" w:hAnsi="宋体" w:eastAsia="宋体"/>
                <w:color w:val="auto"/>
                <w:szCs w:val="21"/>
                <w:highlight w:val="none"/>
              </w:rPr>
            </w:pPr>
            <w:r>
              <w:rPr>
                <w:rFonts w:hint="eastAsia" w:ascii="宋体" w:hAnsi="宋体" w:eastAsia="宋体"/>
                <w:color w:val="auto"/>
                <w:szCs w:val="21"/>
                <w:highlight w:val="none"/>
              </w:rPr>
              <w:t>验收：</w:t>
            </w:r>
            <w:r>
              <w:rPr>
                <w:rFonts w:hint="eastAsia" w:ascii="宋体" w:hAnsi="宋体" w:eastAsia="宋体"/>
                <w:bCs/>
                <w:color w:val="auto"/>
                <w:kern w:val="0"/>
                <w:szCs w:val="21"/>
                <w:highlight w:val="none"/>
              </w:rPr>
              <w:t>第三部分 采购需求“商务要求”。</w:t>
            </w:r>
          </w:p>
        </w:tc>
        <w:tc>
          <w:tcPr>
            <w:tcW w:w="2788" w:type="dxa"/>
            <w:vAlign w:val="center"/>
          </w:tcPr>
          <w:p w14:paraId="6830DD5A">
            <w:pPr>
              <w:spacing w:line="400" w:lineRule="exact"/>
              <w:contextualSpacing/>
              <w:jc w:val="center"/>
              <w:rPr>
                <w:rFonts w:hint="eastAsia" w:ascii="宋体" w:hAnsi="宋体" w:eastAsia="宋体"/>
                <w:color w:val="auto"/>
                <w:szCs w:val="21"/>
                <w:highlight w:val="none"/>
              </w:rPr>
            </w:pPr>
          </w:p>
        </w:tc>
        <w:tc>
          <w:tcPr>
            <w:tcW w:w="1350" w:type="dxa"/>
            <w:vAlign w:val="center"/>
          </w:tcPr>
          <w:p w14:paraId="3124CE8E">
            <w:pPr>
              <w:spacing w:line="400" w:lineRule="exact"/>
              <w:contextualSpacing/>
              <w:jc w:val="center"/>
              <w:rPr>
                <w:rFonts w:hint="eastAsia" w:ascii="宋体" w:hAnsi="宋体" w:eastAsia="宋体"/>
                <w:color w:val="auto"/>
                <w:szCs w:val="21"/>
                <w:highlight w:val="none"/>
              </w:rPr>
            </w:pPr>
          </w:p>
        </w:tc>
      </w:tr>
      <w:tr w14:paraId="0F9A8A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832" w:type="dxa"/>
            <w:vAlign w:val="center"/>
          </w:tcPr>
          <w:p w14:paraId="41CDE433">
            <w:pPr>
              <w:contextualSpacing/>
              <w:jc w:val="center"/>
              <w:rPr>
                <w:rFonts w:hint="eastAsia" w:ascii="宋体" w:hAnsi="宋体" w:eastAsia="宋体"/>
                <w:color w:val="auto"/>
                <w:szCs w:val="21"/>
                <w:highlight w:val="none"/>
              </w:rPr>
            </w:pPr>
            <w:r>
              <w:rPr>
                <w:rFonts w:hint="eastAsia" w:ascii="宋体" w:hAnsi="宋体" w:eastAsia="宋体"/>
                <w:color w:val="auto"/>
                <w:szCs w:val="21"/>
                <w:highlight w:val="none"/>
              </w:rPr>
              <w:t>5</w:t>
            </w:r>
          </w:p>
        </w:tc>
        <w:tc>
          <w:tcPr>
            <w:tcW w:w="4648" w:type="dxa"/>
            <w:vAlign w:val="center"/>
          </w:tcPr>
          <w:p w14:paraId="0AAD43B1">
            <w:pPr>
              <w:contextualSpacing/>
              <w:rPr>
                <w:rFonts w:hint="eastAsia" w:ascii="宋体" w:hAnsi="宋体" w:eastAsia="宋体"/>
                <w:color w:val="auto"/>
                <w:szCs w:val="21"/>
                <w:highlight w:val="none"/>
              </w:rPr>
            </w:pPr>
            <w:r>
              <w:rPr>
                <w:rFonts w:hint="eastAsia" w:ascii="宋体" w:hAnsi="宋体" w:eastAsia="宋体"/>
                <w:color w:val="auto"/>
                <w:szCs w:val="21"/>
                <w:highlight w:val="none"/>
              </w:rPr>
              <w:t>质保期：</w:t>
            </w:r>
            <w:r>
              <w:rPr>
                <w:rFonts w:hint="eastAsia" w:ascii="宋体" w:hAnsi="宋体" w:eastAsia="宋体"/>
                <w:bCs/>
                <w:color w:val="auto"/>
                <w:kern w:val="0"/>
                <w:szCs w:val="21"/>
                <w:highlight w:val="none"/>
              </w:rPr>
              <w:t>第三部分 采购需求“商务要求”。</w:t>
            </w:r>
          </w:p>
        </w:tc>
        <w:tc>
          <w:tcPr>
            <w:tcW w:w="2788" w:type="dxa"/>
            <w:vAlign w:val="center"/>
          </w:tcPr>
          <w:p w14:paraId="7E40A6A1">
            <w:pPr>
              <w:spacing w:line="400" w:lineRule="exact"/>
              <w:contextualSpacing/>
              <w:jc w:val="center"/>
              <w:rPr>
                <w:rFonts w:hint="eastAsia" w:ascii="宋体" w:hAnsi="宋体" w:eastAsia="宋体"/>
                <w:color w:val="auto"/>
                <w:szCs w:val="21"/>
                <w:highlight w:val="none"/>
              </w:rPr>
            </w:pPr>
          </w:p>
        </w:tc>
        <w:tc>
          <w:tcPr>
            <w:tcW w:w="1350" w:type="dxa"/>
            <w:vAlign w:val="center"/>
          </w:tcPr>
          <w:p w14:paraId="51656D0E">
            <w:pPr>
              <w:spacing w:line="400" w:lineRule="exact"/>
              <w:contextualSpacing/>
              <w:jc w:val="center"/>
              <w:rPr>
                <w:rFonts w:hint="eastAsia" w:ascii="宋体" w:hAnsi="宋体" w:eastAsia="宋体"/>
                <w:color w:val="auto"/>
                <w:szCs w:val="21"/>
                <w:highlight w:val="none"/>
              </w:rPr>
            </w:pPr>
          </w:p>
        </w:tc>
      </w:tr>
      <w:tr w14:paraId="5A8573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832" w:type="dxa"/>
            <w:vAlign w:val="center"/>
          </w:tcPr>
          <w:p w14:paraId="37F04EE7">
            <w:pPr>
              <w:contextualSpacing/>
              <w:jc w:val="center"/>
              <w:rPr>
                <w:rFonts w:hint="eastAsia" w:ascii="宋体" w:hAnsi="宋体" w:eastAsia="宋体"/>
                <w:color w:val="auto"/>
                <w:szCs w:val="21"/>
                <w:highlight w:val="none"/>
              </w:rPr>
            </w:pPr>
            <w:r>
              <w:rPr>
                <w:rFonts w:hint="eastAsia" w:ascii="宋体" w:hAnsi="宋体" w:eastAsia="宋体"/>
                <w:color w:val="auto"/>
                <w:szCs w:val="21"/>
                <w:highlight w:val="none"/>
              </w:rPr>
              <w:t>6</w:t>
            </w:r>
          </w:p>
        </w:tc>
        <w:tc>
          <w:tcPr>
            <w:tcW w:w="4648" w:type="dxa"/>
            <w:vAlign w:val="center"/>
          </w:tcPr>
          <w:p w14:paraId="2F5169E5">
            <w:pPr>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售后服务要求</w:t>
            </w:r>
            <w:r>
              <w:rPr>
                <w:rFonts w:hint="eastAsia" w:ascii="宋体" w:hAnsi="宋体" w:eastAsia="宋体"/>
                <w:color w:val="auto"/>
                <w:szCs w:val="21"/>
                <w:highlight w:val="none"/>
              </w:rPr>
              <w:t>：</w:t>
            </w:r>
            <w:r>
              <w:rPr>
                <w:rFonts w:hint="eastAsia" w:ascii="宋体" w:hAnsi="宋体" w:eastAsia="宋体"/>
                <w:bCs/>
                <w:color w:val="auto"/>
                <w:kern w:val="0"/>
                <w:szCs w:val="21"/>
                <w:highlight w:val="none"/>
              </w:rPr>
              <w:t>第三部分 采购需求“商务要求”。</w:t>
            </w:r>
          </w:p>
        </w:tc>
        <w:tc>
          <w:tcPr>
            <w:tcW w:w="2788" w:type="dxa"/>
            <w:vAlign w:val="center"/>
          </w:tcPr>
          <w:p w14:paraId="686300F2">
            <w:pPr>
              <w:spacing w:line="400" w:lineRule="exact"/>
              <w:contextualSpacing/>
              <w:jc w:val="center"/>
              <w:rPr>
                <w:rFonts w:hint="eastAsia" w:ascii="宋体" w:hAnsi="宋体" w:eastAsia="宋体"/>
                <w:color w:val="auto"/>
                <w:szCs w:val="21"/>
                <w:highlight w:val="none"/>
              </w:rPr>
            </w:pPr>
          </w:p>
        </w:tc>
        <w:tc>
          <w:tcPr>
            <w:tcW w:w="1350" w:type="dxa"/>
            <w:vAlign w:val="center"/>
          </w:tcPr>
          <w:p w14:paraId="77CA0D74">
            <w:pPr>
              <w:spacing w:line="400" w:lineRule="exact"/>
              <w:contextualSpacing/>
              <w:jc w:val="center"/>
              <w:rPr>
                <w:rFonts w:hint="eastAsia" w:ascii="宋体" w:hAnsi="宋体" w:eastAsia="宋体"/>
                <w:color w:val="auto"/>
                <w:szCs w:val="21"/>
                <w:highlight w:val="none"/>
              </w:rPr>
            </w:pPr>
          </w:p>
        </w:tc>
      </w:tr>
      <w:tr w14:paraId="6BBB31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832" w:type="dxa"/>
            <w:vAlign w:val="center"/>
          </w:tcPr>
          <w:p w14:paraId="51CF45E7">
            <w:pPr>
              <w:spacing w:line="400" w:lineRule="exact"/>
              <w:contextualSpacing/>
              <w:jc w:val="center"/>
              <w:rPr>
                <w:rFonts w:hint="eastAsia" w:ascii="宋体" w:hAnsi="宋体" w:eastAsia="宋体"/>
                <w:color w:val="auto"/>
                <w:szCs w:val="21"/>
                <w:highlight w:val="none"/>
              </w:rPr>
            </w:pPr>
            <w:r>
              <w:rPr>
                <w:rFonts w:hint="eastAsia" w:ascii="宋体" w:hAnsi="宋体" w:eastAsia="宋体"/>
                <w:color w:val="auto"/>
                <w:szCs w:val="21"/>
                <w:highlight w:val="none"/>
              </w:rPr>
              <w:t>7</w:t>
            </w:r>
          </w:p>
        </w:tc>
        <w:tc>
          <w:tcPr>
            <w:tcW w:w="4648" w:type="dxa"/>
            <w:vAlign w:val="center"/>
          </w:tcPr>
          <w:p w14:paraId="07B4402C">
            <w:pPr>
              <w:spacing w:line="400" w:lineRule="exact"/>
              <w:contextualSpacing/>
              <w:jc w:val="left"/>
              <w:rPr>
                <w:rFonts w:hint="eastAsia" w:ascii="宋体" w:hAnsi="宋体" w:eastAsia="宋体"/>
                <w:color w:val="auto"/>
                <w:szCs w:val="21"/>
                <w:highlight w:val="none"/>
              </w:rPr>
            </w:pPr>
            <w:r>
              <w:rPr>
                <w:rFonts w:hint="eastAsia" w:ascii="宋体" w:hAnsi="宋体" w:eastAsia="宋体"/>
                <w:color w:val="auto"/>
                <w:szCs w:val="21"/>
                <w:highlight w:val="none"/>
              </w:rPr>
              <w:t>产品及服务质量保证：</w:t>
            </w:r>
            <w:r>
              <w:rPr>
                <w:rFonts w:hint="eastAsia" w:ascii="宋体" w:hAnsi="宋体" w:eastAsia="宋体"/>
                <w:bCs/>
                <w:color w:val="auto"/>
                <w:kern w:val="0"/>
                <w:szCs w:val="21"/>
                <w:highlight w:val="none"/>
              </w:rPr>
              <w:t>第三部分 采购需求“商务要求”。</w:t>
            </w:r>
          </w:p>
        </w:tc>
        <w:tc>
          <w:tcPr>
            <w:tcW w:w="2788" w:type="dxa"/>
            <w:vAlign w:val="center"/>
          </w:tcPr>
          <w:p w14:paraId="030345D5">
            <w:pPr>
              <w:spacing w:line="400" w:lineRule="exact"/>
              <w:contextualSpacing/>
              <w:jc w:val="center"/>
              <w:rPr>
                <w:rFonts w:hint="eastAsia" w:ascii="宋体" w:hAnsi="宋体" w:eastAsia="宋体"/>
                <w:color w:val="auto"/>
                <w:szCs w:val="21"/>
                <w:highlight w:val="none"/>
              </w:rPr>
            </w:pPr>
          </w:p>
        </w:tc>
        <w:tc>
          <w:tcPr>
            <w:tcW w:w="1350" w:type="dxa"/>
            <w:vAlign w:val="center"/>
          </w:tcPr>
          <w:p w14:paraId="37BD6E94">
            <w:pPr>
              <w:spacing w:line="400" w:lineRule="exact"/>
              <w:contextualSpacing/>
              <w:jc w:val="center"/>
              <w:rPr>
                <w:rFonts w:hint="eastAsia" w:ascii="宋体" w:hAnsi="宋体" w:eastAsia="宋体"/>
                <w:color w:val="auto"/>
                <w:szCs w:val="21"/>
                <w:highlight w:val="none"/>
              </w:rPr>
            </w:pPr>
          </w:p>
        </w:tc>
      </w:tr>
      <w:tr w14:paraId="58645D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832" w:type="dxa"/>
            <w:vAlign w:val="center"/>
          </w:tcPr>
          <w:p w14:paraId="42F8DCFD">
            <w:pPr>
              <w:spacing w:line="400" w:lineRule="exact"/>
              <w:contextualSpacing/>
              <w:jc w:val="center"/>
              <w:rPr>
                <w:rFonts w:hint="eastAsia" w:ascii="宋体" w:hAnsi="宋体" w:eastAsia="宋体"/>
                <w:color w:val="auto"/>
                <w:szCs w:val="21"/>
                <w:highlight w:val="none"/>
              </w:rPr>
            </w:pPr>
            <w:r>
              <w:rPr>
                <w:rFonts w:hint="eastAsia" w:ascii="宋体" w:hAnsi="宋体" w:eastAsia="宋体"/>
                <w:color w:val="auto"/>
                <w:szCs w:val="21"/>
                <w:highlight w:val="none"/>
              </w:rPr>
              <w:t>8</w:t>
            </w:r>
          </w:p>
        </w:tc>
        <w:tc>
          <w:tcPr>
            <w:tcW w:w="4648" w:type="dxa"/>
            <w:vAlign w:val="center"/>
          </w:tcPr>
          <w:p w14:paraId="095C478E">
            <w:pPr>
              <w:spacing w:line="440" w:lineRule="exact"/>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培训要求</w:t>
            </w:r>
            <w:r>
              <w:rPr>
                <w:rFonts w:hint="eastAsia" w:ascii="宋体" w:hAnsi="宋体" w:eastAsia="宋体"/>
                <w:color w:val="auto"/>
                <w:szCs w:val="21"/>
                <w:highlight w:val="none"/>
              </w:rPr>
              <w:t>：</w:t>
            </w:r>
            <w:r>
              <w:rPr>
                <w:rFonts w:hint="eastAsia" w:ascii="宋体" w:hAnsi="宋体" w:eastAsia="宋体"/>
                <w:bCs/>
                <w:color w:val="auto"/>
                <w:kern w:val="0"/>
                <w:szCs w:val="21"/>
                <w:highlight w:val="none"/>
              </w:rPr>
              <w:t>第三部分 采购需求“商务要求”。</w:t>
            </w:r>
          </w:p>
        </w:tc>
        <w:tc>
          <w:tcPr>
            <w:tcW w:w="2788" w:type="dxa"/>
            <w:vAlign w:val="center"/>
          </w:tcPr>
          <w:p w14:paraId="2D9FCD4A">
            <w:pPr>
              <w:spacing w:line="400" w:lineRule="exact"/>
              <w:contextualSpacing/>
              <w:jc w:val="center"/>
              <w:rPr>
                <w:rFonts w:hint="eastAsia" w:ascii="宋体" w:hAnsi="宋体" w:eastAsia="宋体"/>
                <w:color w:val="auto"/>
                <w:szCs w:val="21"/>
                <w:highlight w:val="none"/>
              </w:rPr>
            </w:pPr>
          </w:p>
        </w:tc>
        <w:tc>
          <w:tcPr>
            <w:tcW w:w="1350" w:type="dxa"/>
            <w:vAlign w:val="center"/>
          </w:tcPr>
          <w:p w14:paraId="1FAB7A91">
            <w:pPr>
              <w:spacing w:line="400" w:lineRule="exact"/>
              <w:contextualSpacing/>
              <w:jc w:val="center"/>
              <w:rPr>
                <w:rFonts w:hint="eastAsia" w:ascii="宋体" w:hAnsi="宋体" w:eastAsia="宋体"/>
                <w:color w:val="auto"/>
                <w:szCs w:val="21"/>
                <w:highlight w:val="none"/>
              </w:rPr>
            </w:pPr>
          </w:p>
        </w:tc>
      </w:tr>
      <w:tr w14:paraId="167950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832" w:type="dxa"/>
            <w:vAlign w:val="center"/>
          </w:tcPr>
          <w:p w14:paraId="2BD37099">
            <w:pPr>
              <w:spacing w:line="400" w:lineRule="exact"/>
              <w:contextualSpacing/>
              <w:jc w:val="center"/>
              <w:rPr>
                <w:rFonts w:hint="eastAsia" w:ascii="宋体" w:hAnsi="宋体" w:eastAsia="宋体"/>
                <w:color w:val="auto"/>
                <w:szCs w:val="21"/>
                <w:highlight w:val="none"/>
              </w:rPr>
            </w:pPr>
            <w:r>
              <w:rPr>
                <w:rFonts w:hint="eastAsia" w:ascii="宋体" w:hAnsi="宋体" w:eastAsia="宋体"/>
                <w:color w:val="auto"/>
                <w:szCs w:val="21"/>
                <w:highlight w:val="none"/>
              </w:rPr>
              <w:t>9</w:t>
            </w:r>
          </w:p>
        </w:tc>
        <w:tc>
          <w:tcPr>
            <w:tcW w:w="4648" w:type="dxa"/>
            <w:vAlign w:val="center"/>
          </w:tcPr>
          <w:p w14:paraId="769A1338">
            <w:pPr>
              <w:spacing w:line="400" w:lineRule="exact"/>
              <w:contextualSpacing/>
              <w:jc w:val="left"/>
              <w:rPr>
                <w:rFonts w:hint="eastAsia" w:ascii="宋体" w:hAnsi="宋体" w:eastAsia="宋体"/>
                <w:color w:val="auto"/>
                <w:szCs w:val="21"/>
                <w:highlight w:val="none"/>
              </w:rPr>
            </w:pPr>
            <w:r>
              <w:rPr>
                <w:rFonts w:hint="eastAsia" w:ascii="宋体" w:hAnsi="宋体" w:eastAsia="宋体"/>
                <w:color w:val="auto"/>
                <w:szCs w:val="21"/>
                <w:highlight w:val="none"/>
              </w:rPr>
              <w:t>其他要求：</w:t>
            </w:r>
            <w:r>
              <w:rPr>
                <w:rFonts w:hint="eastAsia" w:ascii="宋体" w:hAnsi="宋体" w:eastAsia="宋体"/>
                <w:bCs/>
                <w:color w:val="auto"/>
                <w:kern w:val="0"/>
                <w:szCs w:val="21"/>
                <w:highlight w:val="none"/>
              </w:rPr>
              <w:t>第三部分 采购需求“商务要求”。</w:t>
            </w:r>
          </w:p>
        </w:tc>
        <w:tc>
          <w:tcPr>
            <w:tcW w:w="2788" w:type="dxa"/>
            <w:vAlign w:val="center"/>
          </w:tcPr>
          <w:p w14:paraId="7E71581C">
            <w:pPr>
              <w:spacing w:line="400" w:lineRule="exact"/>
              <w:contextualSpacing/>
              <w:jc w:val="center"/>
              <w:rPr>
                <w:rFonts w:hint="eastAsia" w:ascii="宋体" w:hAnsi="宋体" w:eastAsia="宋体"/>
                <w:color w:val="auto"/>
                <w:szCs w:val="21"/>
                <w:highlight w:val="none"/>
              </w:rPr>
            </w:pPr>
          </w:p>
        </w:tc>
        <w:tc>
          <w:tcPr>
            <w:tcW w:w="1350" w:type="dxa"/>
            <w:vAlign w:val="center"/>
          </w:tcPr>
          <w:p w14:paraId="578C2D41">
            <w:pPr>
              <w:spacing w:line="400" w:lineRule="exact"/>
              <w:contextualSpacing/>
              <w:jc w:val="center"/>
              <w:rPr>
                <w:rFonts w:hint="eastAsia" w:ascii="宋体" w:hAnsi="宋体" w:eastAsia="宋体"/>
                <w:color w:val="auto"/>
                <w:szCs w:val="21"/>
                <w:highlight w:val="none"/>
              </w:rPr>
            </w:pPr>
          </w:p>
        </w:tc>
      </w:tr>
      <w:tr w14:paraId="0B76D9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832" w:type="dxa"/>
            <w:vAlign w:val="center"/>
          </w:tcPr>
          <w:p w14:paraId="79803958">
            <w:pPr>
              <w:spacing w:line="400" w:lineRule="exact"/>
              <w:contextualSpacing/>
              <w:jc w:val="center"/>
              <w:rPr>
                <w:rFonts w:hint="eastAsia" w:ascii="宋体" w:hAnsi="宋体" w:eastAsia="宋体"/>
                <w:color w:val="auto"/>
                <w:szCs w:val="21"/>
                <w:highlight w:val="none"/>
              </w:rPr>
            </w:pPr>
            <w:r>
              <w:rPr>
                <w:rFonts w:hint="eastAsia" w:ascii="宋体" w:hAnsi="宋体" w:eastAsia="宋体"/>
                <w:color w:val="auto"/>
                <w:szCs w:val="21"/>
                <w:highlight w:val="none"/>
              </w:rPr>
              <w:t>10</w:t>
            </w:r>
          </w:p>
        </w:tc>
        <w:tc>
          <w:tcPr>
            <w:tcW w:w="4648" w:type="dxa"/>
            <w:vAlign w:val="center"/>
          </w:tcPr>
          <w:p w14:paraId="5E072BAE">
            <w:pPr>
              <w:spacing w:line="400" w:lineRule="exact"/>
              <w:contextualSpacing/>
              <w:jc w:val="left"/>
              <w:rPr>
                <w:rFonts w:hint="eastAsia" w:ascii="宋体" w:hAnsi="宋体" w:eastAsia="宋体"/>
                <w:color w:val="auto"/>
                <w:szCs w:val="21"/>
                <w:highlight w:val="none"/>
              </w:rPr>
            </w:pPr>
            <w:r>
              <w:rPr>
                <w:rFonts w:hint="eastAsia" w:ascii="宋体" w:hAnsi="宋体" w:eastAsia="宋体"/>
                <w:color w:val="auto"/>
                <w:szCs w:val="21"/>
                <w:highlight w:val="none"/>
              </w:rPr>
              <w:t>投标报价：</w:t>
            </w:r>
            <w:r>
              <w:rPr>
                <w:rFonts w:hint="eastAsia" w:ascii="宋体" w:hAnsi="宋体" w:eastAsia="宋体"/>
                <w:bCs/>
                <w:color w:val="auto"/>
                <w:kern w:val="0"/>
                <w:szCs w:val="21"/>
                <w:highlight w:val="none"/>
              </w:rPr>
              <w:t>第三部分 采购需求“商务要求”。</w:t>
            </w:r>
          </w:p>
        </w:tc>
        <w:tc>
          <w:tcPr>
            <w:tcW w:w="2788" w:type="dxa"/>
            <w:vAlign w:val="center"/>
          </w:tcPr>
          <w:p w14:paraId="76B99A93">
            <w:pPr>
              <w:spacing w:line="400" w:lineRule="exact"/>
              <w:contextualSpacing/>
              <w:jc w:val="center"/>
              <w:rPr>
                <w:rFonts w:hint="eastAsia" w:ascii="宋体" w:hAnsi="宋体" w:eastAsia="宋体"/>
                <w:color w:val="auto"/>
                <w:szCs w:val="21"/>
                <w:highlight w:val="none"/>
              </w:rPr>
            </w:pPr>
          </w:p>
        </w:tc>
        <w:tc>
          <w:tcPr>
            <w:tcW w:w="1350" w:type="dxa"/>
            <w:vAlign w:val="center"/>
          </w:tcPr>
          <w:p w14:paraId="24A98D5B">
            <w:pPr>
              <w:spacing w:line="400" w:lineRule="exact"/>
              <w:contextualSpacing/>
              <w:jc w:val="center"/>
              <w:rPr>
                <w:rFonts w:hint="eastAsia" w:ascii="宋体" w:hAnsi="宋体" w:eastAsia="宋体"/>
                <w:color w:val="auto"/>
                <w:szCs w:val="21"/>
                <w:highlight w:val="none"/>
              </w:rPr>
            </w:pPr>
          </w:p>
        </w:tc>
      </w:tr>
      <w:tr w14:paraId="08DA91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832" w:type="dxa"/>
            <w:vAlign w:val="center"/>
          </w:tcPr>
          <w:p w14:paraId="17091480">
            <w:pPr>
              <w:snapToGrid w:val="0"/>
              <w:spacing w:line="400" w:lineRule="exact"/>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11</w:t>
            </w:r>
          </w:p>
        </w:tc>
        <w:tc>
          <w:tcPr>
            <w:tcW w:w="4648" w:type="dxa"/>
            <w:vAlign w:val="top"/>
          </w:tcPr>
          <w:p w14:paraId="68194683">
            <w:pPr>
              <w:snapToGrid w:val="0"/>
              <w:spacing w:line="400" w:lineRule="exact"/>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第二部分 供应商须知“17、投标有效期”第17.1款。</w:t>
            </w:r>
          </w:p>
        </w:tc>
        <w:tc>
          <w:tcPr>
            <w:tcW w:w="2788" w:type="dxa"/>
            <w:vAlign w:val="center"/>
          </w:tcPr>
          <w:p w14:paraId="6D7E4A52">
            <w:pPr>
              <w:spacing w:line="400" w:lineRule="exact"/>
              <w:contextualSpacing/>
              <w:jc w:val="center"/>
              <w:rPr>
                <w:rFonts w:hint="eastAsia" w:ascii="宋体" w:hAnsi="宋体" w:eastAsia="宋体"/>
                <w:color w:val="auto"/>
                <w:szCs w:val="21"/>
                <w:highlight w:val="none"/>
              </w:rPr>
            </w:pPr>
          </w:p>
        </w:tc>
        <w:tc>
          <w:tcPr>
            <w:tcW w:w="1350" w:type="dxa"/>
            <w:vAlign w:val="center"/>
          </w:tcPr>
          <w:p w14:paraId="7D608616">
            <w:pPr>
              <w:spacing w:line="400" w:lineRule="exact"/>
              <w:contextualSpacing/>
              <w:jc w:val="center"/>
              <w:rPr>
                <w:rFonts w:hint="eastAsia" w:ascii="宋体" w:hAnsi="宋体" w:eastAsia="宋体"/>
                <w:color w:val="auto"/>
                <w:szCs w:val="21"/>
                <w:highlight w:val="none"/>
              </w:rPr>
            </w:pPr>
          </w:p>
        </w:tc>
      </w:tr>
      <w:tr w14:paraId="277217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832" w:type="dxa"/>
            <w:vAlign w:val="center"/>
          </w:tcPr>
          <w:p w14:paraId="02D8E241">
            <w:pPr>
              <w:snapToGrid w:val="0"/>
              <w:spacing w:line="400" w:lineRule="exact"/>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12</w:t>
            </w:r>
          </w:p>
        </w:tc>
        <w:tc>
          <w:tcPr>
            <w:tcW w:w="4648" w:type="dxa"/>
            <w:vAlign w:val="top"/>
          </w:tcPr>
          <w:p w14:paraId="2E7DF788">
            <w:pPr>
              <w:snapToGrid w:val="0"/>
              <w:spacing w:line="400" w:lineRule="exact"/>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第二部分 供应商须知“25、合同的签订”第25.1款。</w:t>
            </w:r>
          </w:p>
        </w:tc>
        <w:tc>
          <w:tcPr>
            <w:tcW w:w="2788" w:type="dxa"/>
            <w:vAlign w:val="center"/>
          </w:tcPr>
          <w:p w14:paraId="4708FD8F">
            <w:pPr>
              <w:spacing w:line="400" w:lineRule="exact"/>
              <w:contextualSpacing/>
              <w:jc w:val="center"/>
              <w:rPr>
                <w:rFonts w:hint="eastAsia" w:ascii="宋体" w:hAnsi="宋体" w:eastAsia="宋体"/>
                <w:color w:val="auto"/>
                <w:szCs w:val="21"/>
                <w:highlight w:val="none"/>
              </w:rPr>
            </w:pPr>
          </w:p>
        </w:tc>
        <w:tc>
          <w:tcPr>
            <w:tcW w:w="1350" w:type="dxa"/>
            <w:vAlign w:val="center"/>
          </w:tcPr>
          <w:p w14:paraId="577CDD5D">
            <w:pPr>
              <w:spacing w:line="440" w:lineRule="exact"/>
              <w:jc w:val="center"/>
              <w:rPr>
                <w:rFonts w:hint="eastAsia" w:ascii="宋体" w:hAnsi="宋体" w:eastAsia="宋体"/>
                <w:bCs/>
                <w:color w:val="auto"/>
                <w:szCs w:val="21"/>
                <w:highlight w:val="none"/>
              </w:rPr>
            </w:pPr>
          </w:p>
        </w:tc>
      </w:tr>
      <w:tr w14:paraId="023B5B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832" w:type="dxa"/>
            <w:vAlign w:val="center"/>
          </w:tcPr>
          <w:p w14:paraId="6B2BAAA4">
            <w:pPr>
              <w:snapToGrid w:val="0"/>
              <w:spacing w:line="400" w:lineRule="exact"/>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13</w:t>
            </w:r>
          </w:p>
        </w:tc>
        <w:tc>
          <w:tcPr>
            <w:tcW w:w="4648" w:type="dxa"/>
            <w:vAlign w:val="top"/>
          </w:tcPr>
          <w:p w14:paraId="0E4A5BC8">
            <w:pPr>
              <w:snapToGrid w:val="0"/>
              <w:spacing w:line="400" w:lineRule="exact"/>
              <w:jc w:val="left"/>
              <w:rPr>
                <w:rFonts w:hint="eastAsia" w:ascii="宋体" w:hAnsi="宋体" w:eastAsia="宋体"/>
                <w:bCs/>
                <w:color w:val="auto"/>
                <w:kern w:val="0"/>
                <w:szCs w:val="21"/>
                <w:highlight w:val="none"/>
              </w:rPr>
            </w:pPr>
            <w:r>
              <w:rPr>
                <w:rFonts w:hint="eastAsia" w:ascii="宋体" w:hAnsi="宋体" w:eastAsia="宋体"/>
                <w:bCs/>
                <w:color w:val="auto"/>
                <w:kern w:val="0"/>
                <w:szCs w:val="21"/>
                <w:highlight w:val="none"/>
              </w:rPr>
              <w:t>第五部分 拟签订的合同文本“合同条款”。</w:t>
            </w:r>
          </w:p>
        </w:tc>
        <w:tc>
          <w:tcPr>
            <w:tcW w:w="2788" w:type="dxa"/>
            <w:vAlign w:val="center"/>
          </w:tcPr>
          <w:p w14:paraId="6242873A">
            <w:pPr>
              <w:spacing w:line="400" w:lineRule="exact"/>
              <w:contextualSpacing/>
              <w:jc w:val="center"/>
              <w:rPr>
                <w:rFonts w:hint="eastAsia" w:ascii="宋体" w:hAnsi="宋体" w:eastAsia="宋体"/>
                <w:color w:val="auto"/>
                <w:szCs w:val="21"/>
                <w:highlight w:val="none"/>
              </w:rPr>
            </w:pPr>
          </w:p>
        </w:tc>
        <w:tc>
          <w:tcPr>
            <w:tcW w:w="1350" w:type="dxa"/>
            <w:vAlign w:val="center"/>
          </w:tcPr>
          <w:p w14:paraId="420AAE7E">
            <w:pPr>
              <w:spacing w:line="400" w:lineRule="exact"/>
              <w:contextualSpacing/>
              <w:jc w:val="center"/>
              <w:rPr>
                <w:rFonts w:hint="eastAsia" w:ascii="宋体" w:hAnsi="宋体" w:eastAsia="宋体"/>
                <w:color w:val="auto"/>
                <w:szCs w:val="21"/>
                <w:highlight w:val="none"/>
              </w:rPr>
            </w:pPr>
          </w:p>
        </w:tc>
      </w:tr>
      <w:tr w14:paraId="3D65A2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832" w:type="dxa"/>
            <w:vAlign w:val="center"/>
          </w:tcPr>
          <w:p w14:paraId="59D7FCC2">
            <w:pPr>
              <w:snapToGrid w:val="0"/>
              <w:spacing w:line="400" w:lineRule="exact"/>
              <w:jc w:val="center"/>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w:t>
            </w:r>
          </w:p>
        </w:tc>
        <w:tc>
          <w:tcPr>
            <w:tcW w:w="4648" w:type="dxa"/>
            <w:vAlign w:val="top"/>
          </w:tcPr>
          <w:p w14:paraId="6CCACCB7">
            <w:pPr>
              <w:snapToGrid w:val="0"/>
              <w:spacing w:line="400" w:lineRule="exact"/>
              <w:jc w:val="center"/>
              <w:rPr>
                <w:rFonts w:hint="eastAsia" w:ascii="宋体" w:hAnsi="宋体" w:eastAsia="宋体"/>
                <w:bCs/>
                <w:color w:val="auto"/>
                <w:kern w:val="0"/>
                <w:szCs w:val="21"/>
                <w:highlight w:val="none"/>
              </w:rPr>
            </w:pPr>
          </w:p>
        </w:tc>
        <w:tc>
          <w:tcPr>
            <w:tcW w:w="2788" w:type="dxa"/>
            <w:vAlign w:val="center"/>
          </w:tcPr>
          <w:p w14:paraId="401F3162">
            <w:pPr>
              <w:spacing w:line="400" w:lineRule="exact"/>
              <w:contextualSpacing/>
              <w:jc w:val="center"/>
              <w:rPr>
                <w:rFonts w:hint="eastAsia" w:ascii="宋体" w:hAnsi="宋体" w:eastAsia="宋体"/>
                <w:color w:val="auto"/>
                <w:szCs w:val="21"/>
                <w:highlight w:val="none"/>
              </w:rPr>
            </w:pPr>
          </w:p>
        </w:tc>
        <w:tc>
          <w:tcPr>
            <w:tcW w:w="1350" w:type="dxa"/>
            <w:vAlign w:val="center"/>
          </w:tcPr>
          <w:p w14:paraId="3963E449">
            <w:pPr>
              <w:spacing w:line="440" w:lineRule="exact"/>
              <w:jc w:val="center"/>
              <w:rPr>
                <w:rFonts w:hint="eastAsia" w:ascii="宋体" w:hAnsi="宋体" w:eastAsia="宋体"/>
                <w:bCs/>
                <w:color w:val="auto"/>
                <w:szCs w:val="21"/>
                <w:highlight w:val="none"/>
              </w:rPr>
            </w:pPr>
          </w:p>
        </w:tc>
      </w:tr>
      <w:tr w14:paraId="0BB8B4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832" w:type="dxa"/>
            <w:vAlign w:val="top"/>
          </w:tcPr>
          <w:p w14:paraId="3DABD1C3">
            <w:pPr>
              <w:snapToGrid w:val="0"/>
              <w:spacing w:line="400" w:lineRule="exact"/>
              <w:jc w:val="center"/>
              <w:rPr>
                <w:rFonts w:hint="eastAsia" w:ascii="宋体" w:hAnsi="宋体" w:eastAsia="宋体"/>
                <w:color w:val="auto"/>
                <w:kern w:val="0"/>
                <w:szCs w:val="21"/>
                <w:highlight w:val="none"/>
              </w:rPr>
            </w:pPr>
          </w:p>
        </w:tc>
        <w:tc>
          <w:tcPr>
            <w:tcW w:w="4648" w:type="dxa"/>
            <w:vAlign w:val="top"/>
          </w:tcPr>
          <w:p w14:paraId="3FA0B840">
            <w:pPr>
              <w:snapToGrid w:val="0"/>
              <w:spacing w:line="400" w:lineRule="exact"/>
              <w:jc w:val="center"/>
              <w:rPr>
                <w:rFonts w:hint="eastAsia" w:ascii="宋体" w:hAnsi="宋体" w:eastAsia="宋体"/>
                <w:bCs/>
                <w:color w:val="auto"/>
                <w:kern w:val="0"/>
                <w:szCs w:val="21"/>
                <w:highlight w:val="none"/>
              </w:rPr>
            </w:pPr>
          </w:p>
        </w:tc>
        <w:tc>
          <w:tcPr>
            <w:tcW w:w="2788" w:type="dxa"/>
            <w:vAlign w:val="center"/>
          </w:tcPr>
          <w:p w14:paraId="03B33E74">
            <w:pPr>
              <w:spacing w:line="400" w:lineRule="exact"/>
              <w:contextualSpacing/>
              <w:jc w:val="center"/>
              <w:rPr>
                <w:rFonts w:hint="eastAsia" w:ascii="宋体" w:hAnsi="宋体" w:eastAsia="宋体"/>
                <w:color w:val="auto"/>
                <w:szCs w:val="21"/>
                <w:highlight w:val="none"/>
              </w:rPr>
            </w:pPr>
          </w:p>
        </w:tc>
        <w:tc>
          <w:tcPr>
            <w:tcW w:w="1350" w:type="dxa"/>
            <w:vAlign w:val="center"/>
          </w:tcPr>
          <w:p w14:paraId="1A044D31">
            <w:pPr>
              <w:spacing w:line="400" w:lineRule="exact"/>
              <w:contextualSpacing/>
              <w:jc w:val="center"/>
              <w:rPr>
                <w:rFonts w:hint="eastAsia" w:ascii="宋体" w:hAnsi="宋体" w:eastAsia="宋体"/>
                <w:color w:val="auto"/>
                <w:szCs w:val="21"/>
                <w:highlight w:val="none"/>
              </w:rPr>
            </w:pPr>
          </w:p>
        </w:tc>
      </w:tr>
      <w:tr w14:paraId="24D107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832" w:type="dxa"/>
            <w:vAlign w:val="top"/>
          </w:tcPr>
          <w:p w14:paraId="452F1C83">
            <w:pPr>
              <w:snapToGrid w:val="0"/>
              <w:spacing w:line="400" w:lineRule="exact"/>
              <w:jc w:val="center"/>
              <w:rPr>
                <w:rFonts w:hint="eastAsia" w:ascii="宋体" w:hAnsi="宋体" w:eastAsia="宋体"/>
                <w:color w:val="auto"/>
                <w:kern w:val="0"/>
                <w:szCs w:val="21"/>
                <w:highlight w:val="none"/>
              </w:rPr>
            </w:pPr>
          </w:p>
        </w:tc>
        <w:tc>
          <w:tcPr>
            <w:tcW w:w="4648" w:type="dxa"/>
            <w:vAlign w:val="top"/>
          </w:tcPr>
          <w:p w14:paraId="5B66D6C7">
            <w:pPr>
              <w:snapToGrid w:val="0"/>
              <w:spacing w:line="400" w:lineRule="exact"/>
              <w:jc w:val="center"/>
              <w:rPr>
                <w:rFonts w:hint="eastAsia" w:ascii="宋体" w:hAnsi="宋体" w:eastAsia="宋体"/>
                <w:bCs/>
                <w:color w:val="auto"/>
                <w:kern w:val="0"/>
                <w:szCs w:val="21"/>
                <w:highlight w:val="none"/>
              </w:rPr>
            </w:pPr>
          </w:p>
        </w:tc>
        <w:tc>
          <w:tcPr>
            <w:tcW w:w="2788" w:type="dxa"/>
            <w:vAlign w:val="center"/>
          </w:tcPr>
          <w:p w14:paraId="05383027">
            <w:pPr>
              <w:spacing w:line="400" w:lineRule="exact"/>
              <w:contextualSpacing/>
              <w:jc w:val="center"/>
              <w:rPr>
                <w:rFonts w:hint="eastAsia" w:ascii="宋体" w:hAnsi="宋体" w:eastAsia="宋体"/>
                <w:color w:val="auto"/>
                <w:szCs w:val="21"/>
                <w:highlight w:val="none"/>
              </w:rPr>
            </w:pPr>
          </w:p>
        </w:tc>
        <w:tc>
          <w:tcPr>
            <w:tcW w:w="1350" w:type="dxa"/>
            <w:vAlign w:val="center"/>
          </w:tcPr>
          <w:p w14:paraId="3B33364C">
            <w:pPr>
              <w:spacing w:line="400" w:lineRule="exact"/>
              <w:contextualSpacing/>
              <w:jc w:val="center"/>
              <w:rPr>
                <w:rFonts w:hint="eastAsia" w:ascii="宋体" w:hAnsi="宋体" w:eastAsia="宋体"/>
                <w:color w:val="auto"/>
                <w:szCs w:val="21"/>
                <w:highlight w:val="none"/>
              </w:rPr>
            </w:pPr>
          </w:p>
        </w:tc>
      </w:tr>
    </w:tbl>
    <w:p w14:paraId="6C9B1547">
      <w:pPr>
        <w:snapToGrid w:val="0"/>
        <w:spacing w:before="120" w:line="360" w:lineRule="auto"/>
        <w:rPr>
          <w:rFonts w:hint="eastAsia" w:ascii="宋体" w:hAnsi="宋体" w:eastAsia="宋体"/>
          <w:color w:val="auto"/>
          <w:highlight w:val="none"/>
        </w:rPr>
      </w:pPr>
      <w:r>
        <w:rPr>
          <w:rFonts w:hint="eastAsia" w:ascii="宋体" w:hAnsi="宋体" w:eastAsia="宋体"/>
          <w:color w:val="auto"/>
          <w:highlight w:val="none"/>
        </w:rPr>
        <w:t>供应商保证：除商务条款偏离表列出的偏离外，供应商响应采购文件的全部要求。</w:t>
      </w:r>
    </w:p>
    <w:p w14:paraId="442DB2CE">
      <w:pPr>
        <w:jc w:val="center"/>
        <w:rPr>
          <w:rFonts w:hint="eastAsia" w:ascii="宋体" w:hAnsi="宋体" w:eastAsia="宋体"/>
          <w:b/>
          <w:color w:val="auto"/>
          <w:kern w:val="0"/>
          <w:sz w:val="32"/>
          <w:szCs w:val="32"/>
          <w:highlight w:val="none"/>
        </w:rPr>
      </w:pPr>
    </w:p>
    <w:p w14:paraId="59871DE0">
      <w:pPr>
        <w:spacing w:line="360" w:lineRule="auto"/>
        <w:ind w:right="420"/>
        <w:rPr>
          <w:rFonts w:hint="eastAsia" w:ascii="宋体" w:hAnsi="宋体" w:eastAsia="宋体"/>
          <w:color w:val="auto"/>
          <w:highlight w:val="none"/>
        </w:rPr>
      </w:pPr>
      <w:r>
        <w:rPr>
          <w:rFonts w:hint="eastAsia" w:ascii="宋体" w:hAnsi="宋体" w:eastAsia="宋体"/>
          <w:color w:val="auto"/>
          <w:highlight w:val="none"/>
        </w:rPr>
        <w:t>注：按本格式和要求提供。</w:t>
      </w:r>
    </w:p>
    <w:p w14:paraId="48FEAA23">
      <w:pPr>
        <w:ind w:firstLine="1911" w:firstLineChars="595"/>
        <w:rPr>
          <w:rFonts w:hint="eastAsia" w:ascii="宋体" w:hAnsi="宋体" w:eastAsia="宋体"/>
          <w:b/>
          <w:bCs/>
          <w:color w:val="auto"/>
          <w:sz w:val="32"/>
          <w:szCs w:val="32"/>
          <w:highlight w:val="none"/>
        </w:rPr>
      </w:pPr>
    </w:p>
    <w:p w14:paraId="7793F38C">
      <w:pPr>
        <w:ind w:firstLine="1911" w:firstLineChars="595"/>
        <w:rPr>
          <w:rFonts w:hint="eastAsia" w:ascii="宋体" w:hAnsi="宋体" w:eastAsia="宋体"/>
          <w:b/>
          <w:bCs/>
          <w:color w:val="auto"/>
          <w:sz w:val="32"/>
          <w:szCs w:val="32"/>
          <w:highlight w:val="none"/>
        </w:rPr>
      </w:pPr>
    </w:p>
    <w:p w14:paraId="08BBD363">
      <w:pPr>
        <w:ind w:firstLine="1911" w:firstLineChars="595"/>
        <w:rPr>
          <w:rFonts w:hint="eastAsia" w:ascii="宋体" w:hAnsi="宋体" w:eastAsia="宋体"/>
          <w:b/>
          <w:bCs/>
          <w:color w:val="auto"/>
          <w:sz w:val="32"/>
          <w:szCs w:val="32"/>
          <w:highlight w:val="none"/>
        </w:rPr>
      </w:pPr>
    </w:p>
    <w:p w14:paraId="7F5E6CA6">
      <w:pPr>
        <w:ind w:firstLine="1911" w:firstLineChars="595"/>
        <w:rPr>
          <w:rFonts w:hint="eastAsia" w:ascii="宋体" w:hAnsi="宋体" w:eastAsia="宋体"/>
          <w:b/>
          <w:bCs/>
          <w:color w:val="auto"/>
          <w:sz w:val="32"/>
          <w:szCs w:val="32"/>
          <w:highlight w:val="none"/>
        </w:rPr>
      </w:pPr>
    </w:p>
    <w:p w14:paraId="3E2F248F">
      <w:pPr>
        <w:ind w:firstLine="1911" w:firstLineChars="595"/>
        <w:rPr>
          <w:rFonts w:hint="eastAsia" w:ascii="宋体" w:hAnsi="宋体" w:eastAsia="宋体"/>
          <w:b/>
          <w:bCs/>
          <w:color w:val="auto"/>
          <w:sz w:val="32"/>
          <w:szCs w:val="32"/>
          <w:highlight w:val="none"/>
        </w:rPr>
      </w:pPr>
    </w:p>
    <w:p w14:paraId="0F16C92C">
      <w:pPr>
        <w:snapToGrid w:val="0"/>
        <w:spacing w:line="360" w:lineRule="auto"/>
        <w:jc w:val="center"/>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br w:type="page"/>
      </w:r>
      <w:r>
        <w:rPr>
          <w:rFonts w:hint="eastAsia" w:ascii="宋体" w:hAnsi="宋体" w:eastAsia="宋体"/>
          <w:b/>
          <w:color w:val="auto"/>
          <w:kern w:val="0"/>
          <w:sz w:val="24"/>
          <w:highlight w:val="none"/>
        </w:rPr>
        <w:t>六-2、技术条款</w:t>
      </w:r>
      <w:r>
        <w:rPr>
          <w:rFonts w:hint="eastAsia" w:ascii="宋体" w:hAnsi="宋体" w:eastAsia="宋体"/>
          <w:b/>
          <w:color w:val="auto"/>
          <w:kern w:val="0"/>
          <w:sz w:val="24"/>
          <w:highlight w:val="none"/>
          <w:lang w:val="zh-CN"/>
        </w:rPr>
        <w:t>偏离表</w:t>
      </w:r>
    </w:p>
    <w:p w14:paraId="5BF29C1E">
      <w:pPr>
        <w:pStyle w:val="37"/>
        <w:autoSpaceDE/>
        <w:autoSpaceDN/>
        <w:snapToGrid w:val="0"/>
        <w:rPr>
          <w:rFonts w:hint="eastAsia" w:ascii="宋体" w:hAnsi="宋体" w:eastAsia="宋体"/>
          <w:color w:val="auto"/>
          <w:highlight w:val="none"/>
        </w:rPr>
      </w:pPr>
    </w:p>
    <w:p w14:paraId="3B16EAA8">
      <w:pPr>
        <w:snapToGrid w:val="0"/>
        <w:spacing w:line="360" w:lineRule="auto"/>
        <w:jc w:val="center"/>
        <w:rPr>
          <w:rFonts w:hint="eastAsia" w:ascii="宋体" w:hAnsi="宋体" w:eastAsia="宋体"/>
          <w:b/>
          <w:color w:val="auto"/>
          <w:highlight w:val="none"/>
        </w:rPr>
      </w:pPr>
      <w:r>
        <w:rPr>
          <w:rFonts w:hint="eastAsia" w:ascii="宋体" w:hAnsi="宋体" w:eastAsia="宋体"/>
          <w:b/>
          <w:color w:val="auto"/>
          <w:highlight w:val="none"/>
        </w:rPr>
        <w:t>（按采购文件第三部分 采购需求逐一响应。）</w:t>
      </w:r>
    </w:p>
    <w:p w14:paraId="229067B4">
      <w:pPr>
        <w:snapToGrid w:val="0"/>
        <w:spacing w:line="360" w:lineRule="auto"/>
        <w:jc w:val="center"/>
        <w:rPr>
          <w:rFonts w:hint="eastAsia" w:ascii="宋体" w:hAnsi="宋体" w:eastAsia="宋体"/>
          <w:b/>
          <w:color w:val="auto"/>
          <w:highlight w:val="none"/>
        </w:rPr>
      </w:pPr>
    </w:p>
    <w:p w14:paraId="2973949A">
      <w:pPr>
        <w:snapToGrid w:val="0"/>
        <w:spacing w:line="360" w:lineRule="auto"/>
        <w:jc w:val="center"/>
        <w:rPr>
          <w:rFonts w:hint="eastAsia" w:ascii="宋体" w:hAnsi="宋体" w:eastAsia="宋体"/>
          <w:b/>
          <w:color w:val="auto"/>
          <w:highlight w:val="none"/>
        </w:rPr>
      </w:pPr>
    </w:p>
    <w:p w14:paraId="55BFA63A">
      <w:pPr>
        <w:snapToGrid w:val="0"/>
        <w:spacing w:line="360" w:lineRule="auto"/>
        <w:jc w:val="center"/>
        <w:rPr>
          <w:rFonts w:hint="eastAsia" w:ascii="宋体" w:hAnsi="宋体" w:eastAsia="宋体"/>
          <w:b/>
          <w:color w:val="auto"/>
          <w:highlight w:val="none"/>
        </w:rPr>
      </w:pPr>
    </w:p>
    <w:p w14:paraId="48F3F321">
      <w:pPr>
        <w:snapToGrid w:val="0"/>
        <w:spacing w:line="360" w:lineRule="auto"/>
        <w:jc w:val="center"/>
        <w:rPr>
          <w:rFonts w:hint="eastAsia" w:ascii="宋体" w:hAnsi="宋体" w:eastAsia="宋体"/>
          <w:b/>
          <w:color w:val="auto"/>
          <w:highlight w:val="none"/>
        </w:rPr>
      </w:pPr>
    </w:p>
    <w:p w14:paraId="615F5B8D">
      <w:pPr>
        <w:snapToGrid w:val="0"/>
        <w:spacing w:line="360" w:lineRule="auto"/>
        <w:jc w:val="center"/>
        <w:rPr>
          <w:rFonts w:hint="eastAsia" w:ascii="宋体" w:hAnsi="宋体" w:eastAsia="宋体"/>
          <w:b/>
          <w:color w:val="auto"/>
          <w:highlight w:val="none"/>
        </w:rPr>
      </w:pPr>
    </w:p>
    <w:p w14:paraId="0FE45F38">
      <w:pPr>
        <w:snapToGrid w:val="0"/>
        <w:spacing w:line="360" w:lineRule="auto"/>
        <w:jc w:val="center"/>
        <w:rPr>
          <w:rFonts w:hint="eastAsia" w:ascii="宋体" w:hAnsi="宋体" w:eastAsia="宋体"/>
          <w:b/>
          <w:color w:val="auto"/>
          <w:highlight w:val="none"/>
        </w:rPr>
      </w:pPr>
    </w:p>
    <w:p w14:paraId="79B4D97C">
      <w:pPr>
        <w:snapToGrid w:val="0"/>
        <w:spacing w:line="360" w:lineRule="auto"/>
        <w:jc w:val="center"/>
        <w:rPr>
          <w:rFonts w:hint="eastAsia" w:ascii="宋体" w:hAnsi="宋体" w:eastAsia="宋体"/>
          <w:b/>
          <w:color w:val="auto"/>
          <w:kern w:val="0"/>
          <w:sz w:val="24"/>
          <w:highlight w:val="none"/>
          <w:lang w:val="zh-CN"/>
        </w:rPr>
      </w:pPr>
    </w:p>
    <w:p w14:paraId="78067A1E">
      <w:pPr>
        <w:snapToGrid w:val="0"/>
        <w:spacing w:line="360" w:lineRule="auto"/>
        <w:jc w:val="center"/>
        <w:rPr>
          <w:rFonts w:hint="eastAsia" w:ascii="宋体" w:hAnsi="宋体" w:eastAsia="宋体"/>
          <w:b/>
          <w:color w:val="auto"/>
          <w:highlight w:val="none"/>
        </w:rPr>
      </w:pPr>
    </w:p>
    <w:p w14:paraId="67C8EE9D">
      <w:pPr>
        <w:snapToGrid w:val="0"/>
        <w:spacing w:line="360" w:lineRule="auto"/>
        <w:jc w:val="center"/>
        <w:rPr>
          <w:rFonts w:hint="eastAsia" w:ascii="宋体" w:hAnsi="宋体" w:eastAsia="宋体"/>
          <w:b/>
          <w:color w:val="auto"/>
          <w:highlight w:val="none"/>
        </w:rPr>
      </w:pPr>
    </w:p>
    <w:p w14:paraId="20F09017">
      <w:pPr>
        <w:snapToGrid w:val="0"/>
        <w:spacing w:line="360" w:lineRule="auto"/>
        <w:jc w:val="center"/>
        <w:rPr>
          <w:rFonts w:hint="eastAsia" w:ascii="宋体" w:hAnsi="宋体" w:eastAsia="宋体"/>
          <w:b/>
          <w:color w:val="auto"/>
          <w:highlight w:val="none"/>
        </w:rPr>
      </w:pPr>
    </w:p>
    <w:p w14:paraId="0FE023DB">
      <w:pPr>
        <w:snapToGrid w:val="0"/>
        <w:spacing w:line="360" w:lineRule="auto"/>
        <w:jc w:val="center"/>
        <w:rPr>
          <w:rFonts w:hint="eastAsia" w:ascii="宋体" w:hAnsi="宋体" w:eastAsia="宋体"/>
          <w:b/>
          <w:color w:val="auto"/>
          <w:highlight w:val="none"/>
        </w:rPr>
      </w:pPr>
    </w:p>
    <w:p w14:paraId="3768449D">
      <w:pPr>
        <w:snapToGrid w:val="0"/>
        <w:spacing w:line="360" w:lineRule="auto"/>
        <w:jc w:val="center"/>
        <w:rPr>
          <w:rFonts w:hint="eastAsia" w:ascii="宋体" w:hAnsi="宋体" w:eastAsia="宋体"/>
          <w:b/>
          <w:color w:val="auto"/>
          <w:highlight w:val="none"/>
        </w:rPr>
      </w:pPr>
    </w:p>
    <w:p w14:paraId="38F79B78">
      <w:pPr>
        <w:snapToGrid w:val="0"/>
        <w:spacing w:line="360" w:lineRule="auto"/>
        <w:jc w:val="center"/>
        <w:rPr>
          <w:rFonts w:hint="eastAsia" w:ascii="宋体" w:hAnsi="宋体" w:eastAsia="宋体"/>
          <w:b/>
          <w:color w:val="auto"/>
          <w:highlight w:val="none"/>
        </w:rPr>
      </w:pPr>
    </w:p>
    <w:p w14:paraId="798D7E00">
      <w:pPr>
        <w:snapToGrid w:val="0"/>
        <w:spacing w:line="360" w:lineRule="auto"/>
        <w:jc w:val="center"/>
        <w:rPr>
          <w:rFonts w:hint="eastAsia" w:ascii="宋体" w:hAnsi="宋体" w:eastAsia="宋体"/>
          <w:b/>
          <w:color w:val="auto"/>
          <w:highlight w:val="none"/>
        </w:rPr>
      </w:pPr>
    </w:p>
    <w:p w14:paraId="4B09881C">
      <w:pPr>
        <w:snapToGrid w:val="0"/>
        <w:spacing w:line="360" w:lineRule="auto"/>
        <w:jc w:val="center"/>
        <w:rPr>
          <w:rFonts w:hint="eastAsia" w:ascii="宋体" w:hAnsi="宋体" w:eastAsia="宋体"/>
          <w:b/>
          <w:color w:val="auto"/>
          <w:highlight w:val="none"/>
        </w:rPr>
      </w:pPr>
    </w:p>
    <w:p w14:paraId="3444C327">
      <w:pPr>
        <w:snapToGrid w:val="0"/>
        <w:spacing w:line="360" w:lineRule="auto"/>
        <w:jc w:val="center"/>
        <w:rPr>
          <w:rFonts w:hint="eastAsia" w:ascii="宋体" w:hAnsi="宋体" w:eastAsia="宋体"/>
          <w:b/>
          <w:color w:val="auto"/>
          <w:highlight w:val="none"/>
        </w:rPr>
      </w:pPr>
    </w:p>
    <w:p w14:paraId="1F9CF87B">
      <w:pPr>
        <w:numPr>
          <w:ilvl w:val="0"/>
          <w:numId w:val="47"/>
        </w:numPr>
        <w:snapToGrid w:val="0"/>
        <w:spacing w:line="360" w:lineRule="auto"/>
        <w:jc w:val="center"/>
        <w:rPr>
          <w:rFonts w:hint="eastAsia" w:ascii="宋体" w:hAnsi="宋体" w:eastAsia="宋体"/>
          <w:b/>
          <w:color w:val="auto"/>
          <w:highlight w:val="none"/>
          <w:lang w:val="zh-CN"/>
        </w:rPr>
      </w:pPr>
      <w:r>
        <w:rPr>
          <w:rFonts w:hint="eastAsia" w:ascii="宋体" w:hAnsi="宋体" w:eastAsia="宋体"/>
          <w:b/>
          <w:color w:val="auto"/>
          <w:highlight w:val="none"/>
          <w:lang w:val="zh-CN"/>
        </w:rPr>
        <w:br w:type="page"/>
      </w:r>
      <w:r>
        <w:rPr>
          <w:rFonts w:hint="eastAsia" w:ascii="宋体" w:hAnsi="宋体" w:eastAsia="宋体"/>
          <w:b/>
          <w:color w:val="auto"/>
          <w:kern w:val="0"/>
          <w:sz w:val="24"/>
          <w:highlight w:val="none"/>
          <w:lang w:val="zh-CN"/>
        </w:rPr>
        <w:t>政府采购供应商廉洁自律承诺书</w:t>
      </w:r>
    </w:p>
    <w:p w14:paraId="26EC6C7A">
      <w:pPr>
        <w:snapToGrid w:val="0"/>
        <w:spacing w:line="360" w:lineRule="auto"/>
        <w:rPr>
          <w:rFonts w:hint="eastAsia" w:ascii="宋体" w:hAnsi="宋体" w:eastAsia="宋体"/>
          <w:color w:val="auto"/>
          <w:szCs w:val="21"/>
          <w:highlight w:val="none"/>
        </w:rPr>
      </w:pPr>
    </w:p>
    <w:p w14:paraId="25358446">
      <w:pPr>
        <w:snapToGrid w:val="0"/>
        <w:spacing w:line="360" w:lineRule="auto"/>
        <w:rPr>
          <w:rFonts w:hint="eastAsia" w:ascii="宋体" w:hAnsi="宋体" w:eastAsia="宋体"/>
          <w:b/>
          <w:bCs/>
          <w:color w:val="auto"/>
          <w:szCs w:val="21"/>
          <w:highlight w:val="none"/>
          <w:u w:val="single"/>
          <w:lang w:eastAsia="zh-CN"/>
        </w:rPr>
      </w:pPr>
      <w:r>
        <w:rPr>
          <w:rFonts w:hint="eastAsia" w:ascii="宋体" w:hAnsi="宋体" w:eastAsia="宋体"/>
          <w:b/>
          <w:bCs/>
          <w:color w:val="auto"/>
          <w:szCs w:val="21"/>
          <w:highlight w:val="none"/>
          <w:u w:val="single"/>
          <w:lang w:eastAsia="zh-CN"/>
        </w:rPr>
        <w:t>（</w:t>
      </w:r>
      <w:r>
        <w:rPr>
          <w:rFonts w:hint="eastAsia" w:ascii="宋体" w:hAnsi="宋体" w:eastAsia="宋体"/>
          <w:b/>
          <w:bCs/>
          <w:color w:val="auto"/>
          <w:szCs w:val="21"/>
          <w:highlight w:val="none"/>
          <w:u w:val="single"/>
        </w:rPr>
        <w:t>采购人、采购代理机构</w:t>
      </w:r>
      <w:r>
        <w:rPr>
          <w:rFonts w:hint="eastAsia" w:ascii="宋体" w:hAnsi="宋体" w:eastAsia="宋体"/>
          <w:b/>
          <w:bCs/>
          <w:color w:val="auto"/>
          <w:szCs w:val="21"/>
          <w:highlight w:val="none"/>
          <w:u w:val="single"/>
          <w:lang w:eastAsia="zh-CN"/>
        </w:rPr>
        <w:t>）</w:t>
      </w:r>
      <w:r>
        <w:rPr>
          <w:rFonts w:hint="eastAsia" w:ascii="宋体" w:hAnsi="宋体" w:eastAsia="宋体"/>
          <w:color w:val="auto"/>
          <w:kern w:val="0"/>
          <w:szCs w:val="21"/>
          <w:highlight w:val="none"/>
          <w:lang w:val="zh-CN"/>
        </w:rPr>
        <w:t>：</w:t>
      </w:r>
    </w:p>
    <w:p w14:paraId="7582C034">
      <w:pPr>
        <w:autoSpaceDE w:val="0"/>
        <w:autoSpaceDN w:val="0"/>
        <w:snapToGrid w:val="0"/>
        <w:spacing w:line="360" w:lineRule="auto"/>
        <w:ind w:firstLine="420" w:firstLineChars="200"/>
        <w:jc w:val="left"/>
        <w:rPr>
          <w:rFonts w:hint="eastAsia" w:ascii="宋体" w:hAnsi="宋体" w:eastAsia="宋体"/>
          <w:color w:val="auto"/>
          <w:kern w:val="0"/>
          <w:szCs w:val="21"/>
          <w:highlight w:val="none"/>
          <w:lang w:val="zh-CN"/>
        </w:rPr>
      </w:pPr>
      <w:r>
        <w:rPr>
          <w:rFonts w:hint="eastAsia" w:ascii="宋体" w:hAnsi="宋体" w:eastAsia="宋体"/>
          <w:color w:val="auto"/>
          <w:kern w:val="0"/>
          <w:szCs w:val="21"/>
          <w:highlight w:val="none"/>
          <w:lang w:val="zh-CN"/>
        </w:rPr>
        <w:t>我单位响应你</w:t>
      </w:r>
      <w:r>
        <w:rPr>
          <w:rFonts w:hint="eastAsia" w:ascii="宋体" w:hAnsi="宋体" w:eastAsia="宋体"/>
          <w:color w:val="auto"/>
          <w:szCs w:val="21"/>
          <w:highlight w:val="none"/>
        </w:rPr>
        <w:t>方</w:t>
      </w:r>
      <w:r>
        <w:rPr>
          <w:rFonts w:hint="eastAsia" w:ascii="宋体" w:hAnsi="宋体" w:eastAsia="宋体"/>
          <w:color w:val="auto"/>
          <w:kern w:val="0"/>
          <w:szCs w:val="21"/>
          <w:highlight w:val="none"/>
          <w:lang w:val="zh-CN"/>
        </w:rPr>
        <w:t>项目招标要求参加投标。在这次投标过程中和中标后，我们将严格遵守国家法律法规要求，并郑重承诺：</w:t>
      </w:r>
    </w:p>
    <w:p w14:paraId="2B3064A9">
      <w:pPr>
        <w:numPr>
          <w:ilvl w:val="0"/>
          <w:numId w:val="54"/>
        </w:numPr>
        <w:autoSpaceDE w:val="0"/>
        <w:autoSpaceDN w:val="0"/>
        <w:snapToGrid w:val="0"/>
        <w:spacing w:line="360" w:lineRule="auto"/>
        <w:ind w:firstLine="420" w:firstLineChars="200"/>
        <w:jc w:val="left"/>
        <w:rPr>
          <w:rFonts w:hint="eastAsia" w:ascii="宋体" w:hAnsi="宋体" w:eastAsia="宋体"/>
          <w:color w:val="auto"/>
          <w:kern w:val="0"/>
          <w:szCs w:val="21"/>
          <w:highlight w:val="none"/>
          <w:lang w:val="zh-CN"/>
        </w:rPr>
      </w:pPr>
      <w:r>
        <w:rPr>
          <w:rFonts w:hint="eastAsia" w:ascii="宋体" w:hAnsi="宋体" w:eastAsia="宋体"/>
          <w:color w:val="auto"/>
          <w:kern w:val="0"/>
          <w:szCs w:val="21"/>
          <w:highlight w:val="none"/>
          <w:lang w:val="zh-CN"/>
        </w:rPr>
        <w:t xml:space="preserve">不向项目有关人员及部门赠送礼金礼物、有价证券、回扣以及中介费、介绍费、咨询费等好处费； </w:t>
      </w:r>
    </w:p>
    <w:p w14:paraId="1649B3DA">
      <w:pPr>
        <w:numPr>
          <w:ilvl w:val="0"/>
          <w:numId w:val="54"/>
        </w:numPr>
        <w:autoSpaceDE w:val="0"/>
        <w:autoSpaceDN w:val="0"/>
        <w:snapToGrid w:val="0"/>
        <w:spacing w:line="360" w:lineRule="auto"/>
        <w:ind w:firstLine="420" w:firstLineChars="200"/>
        <w:jc w:val="left"/>
        <w:rPr>
          <w:rFonts w:hint="eastAsia" w:ascii="宋体" w:hAnsi="宋体" w:eastAsia="宋体"/>
          <w:color w:val="auto"/>
          <w:kern w:val="0"/>
          <w:szCs w:val="21"/>
          <w:highlight w:val="none"/>
          <w:lang w:val="zh-CN"/>
        </w:rPr>
      </w:pPr>
      <w:r>
        <w:rPr>
          <w:rFonts w:hint="eastAsia" w:ascii="宋体" w:hAnsi="宋体" w:eastAsia="宋体"/>
          <w:color w:val="auto"/>
          <w:kern w:val="0"/>
          <w:szCs w:val="21"/>
          <w:highlight w:val="none"/>
          <w:lang w:val="zh-CN"/>
        </w:rPr>
        <w:t xml:space="preserve">不为项目有关人员及部门报销应由你方单位或个人支付的费用； </w:t>
      </w:r>
    </w:p>
    <w:p w14:paraId="17325E43">
      <w:pPr>
        <w:numPr>
          <w:ilvl w:val="0"/>
          <w:numId w:val="54"/>
        </w:numPr>
        <w:autoSpaceDE w:val="0"/>
        <w:autoSpaceDN w:val="0"/>
        <w:snapToGrid w:val="0"/>
        <w:spacing w:line="360" w:lineRule="auto"/>
        <w:ind w:firstLine="420" w:firstLineChars="200"/>
        <w:jc w:val="left"/>
        <w:rPr>
          <w:rFonts w:hint="eastAsia" w:ascii="宋体" w:hAnsi="宋体" w:eastAsia="宋体"/>
          <w:color w:val="auto"/>
          <w:kern w:val="0"/>
          <w:szCs w:val="21"/>
          <w:highlight w:val="none"/>
          <w:lang w:val="zh-CN"/>
        </w:rPr>
      </w:pPr>
      <w:r>
        <w:rPr>
          <w:rFonts w:hint="eastAsia" w:ascii="宋体" w:hAnsi="宋体" w:eastAsia="宋体"/>
          <w:color w:val="auto"/>
          <w:kern w:val="0"/>
          <w:szCs w:val="21"/>
          <w:highlight w:val="none"/>
          <w:lang w:val="zh-CN"/>
        </w:rPr>
        <w:t xml:space="preserve">不向项目有关人员及部门提供有可能影响公正的宴请和健身娱乐等活动； </w:t>
      </w:r>
    </w:p>
    <w:p w14:paraId="25D374A0">
      <w:pPr>
        <w:numPr>
          <w:ilvl w:val="0"/>
          <w:numId w:val="54"/>
        </w:numPr>
        <w:autoSpaceDE w:val="0"/>
        <w:autoSpaceDN w:val="0"/>
        <w:snapToGrid w:val="0"/>
        <w:spacing w:line="360" w:lineRule="auto"/>
        <w:ind w:firstLine="420" w:firstLineChars="200"/>
        <w:jc w:val="left"/>
        <w:rPr>
          <w:rFonts w:hint="eastAsia" w:ascii="宋体" w:hAnsi="宋体" w:eastAsia="宋体"/>
          <w:color w:val="auto"/>
          <w:kern w:val="0"/>
          <w:szCs w:val="21"/>
          <w:highlight w:val="none"/>
          <w:lang w:val="zh-CN"/>
        </w:rPr>
      </w:pPr>
      <w:r>
        <w:rPr>
          <w:rFonts w:hint="eastAsia" w:ascii="宋体" w:hAnsi="宋体" w:eastAsia="宋体"/>
          <w:color w:val="auto"/>
          <w:kern w:val="0"/>
          <w:szCs w:val="21"/>
          <w:highlight w:val="none"/>
          <w:lang w:val="zh-CN"/>
        </w:rPr>
        <w:t>不为项目有关人员及部门出国（境）、旅游等提供方便；</w:t>
      </w:r>
    </w:p>
    <w:p w14:paraId="01250332">
      <w:pPr>
        <w:numPr>
          <w:ilvl w:val="0"/>
          <w:numId w:val="54"/>
        </w:numPr>
        <w:autoSpaceDE w:val="0"/>
        <w:autoSpaceDN w:val="0"/>
        <w:snapToGrid w:val="0"/>
        <w:spacing w:line="360" w:lineRule="auto"/>
        <w:ind w:firstLine="420" w:firstLineChars="200"/>
        <w:jc w:val="left"/>
        <w:rPr>
          <w:rFonts w:hint="eastAsia" w:ascii="宋体" w:hAnsi="宋体" w:eastAsia="宋体"/>
          <w:color w:val="auto"/>
          <w:kern w:val="0"/>
          <w:szCs w:val="21"/>
          <w:highlight w:val="none"/>
          <w:lang w:val="zh-CN"/>
        </w:rPr>
      </w:pPr>
      <w:r>
        <w:rPr>
          <w:rFonts w:hint="eastAsia" w:ascii="宋体" w:hAnsi="宋体" w:eastAsia="宋体"/>
          <w:color w:val="auto"/>
          <w:kern w:val="0"/>
          <w:szCs w:val="21"/>
          <w:highlight w:val="none"/>
          <w:lang w:val="zh-CN"/>
        </w:rPr>
        <w:t>不为项目有关人员个人装修住房、婚丧嫁娶、配偶子女工作安排等提供好处；</w:t>
      </w:r>
    </w:p>
    <w:p w14:paraId="5DC3BB10">
      <w:pPr>
        <w:numPr>
          <w:ilvl w:val="0"/>
          <w:numId w:val="54"/>
        </w:numPr>
        <w:autoSpaceDE w:val="0"/>
        <w:autoSpaceDN w:val="0"/>
        <w:snapToGrid w:val="0"/>
        <w:spacing w:line="360" w:lineRule="auto"/>
        <w:ind w:firstLine="420" w:firstLineChars="200"/>
        <w:jc w:val="left"/>
        <w:rPr>
          <w:rFonts w:hint="eastAsia" w:ascii="宋体" w:hAnsi="宋体" w:eastAsia="宋体"/>
          <w:color w:val="auto"/>
          <w:kern w:val="0"/>
          <w:szCs w:val="21"/>
          <w:highlight w:val="none"/>
          <w:lang w:val="zh-CN"/>
        </w:rPr>
      </w:pPr>
      <w:r>
        <w:rPr>
          <w:rFonts w:hint="eastAsia" w:ascii="宋体" w:hAnsi="宋体" w:eastAsia="宋体"/>
          <w:color w:val="auto"/>
          <w:kern w:val="0"/>
          <w:szCs w:val="21"/>
          <w:highlight w:val="none"/>
          <w:lang w:val="zh-CN"/>
        </w:rPr>
        <w:t>严格遵守《</w:t>
      </w:r>
      <w:r>
        <w:rPr>
          <w:rFonts w:hint="eastAsia" w:ascii="宋体" w:hAnsi="宋体" w:eastAsia="宋体"/>
          <w:color w:val="auto"/>
          <w:szCs w:val="21"/>
          <w:highlight w:val="none"/>
          <w:lang w:val="zh-CN"/>
        </w:rPr>
        <w:t>中华人民共和国</w:t>
      </w:r>
      <w:r>
        <w:rPr>
          <w:rFonts w:hint="eastAsia" w:ascii="宋体" w:hAnsi="宋体" w:eastAsia="宋体"/>
          <w:color w:val="auto"/>
          <w:kern w:val="0"/>
          <w:szCs w:val="21"/>
          <w:highlight w:val="none"/>
          <w:lang w:val="zh-CN"/>
        </w:rPr>
        <w:t>政府采购法》、</w:t>
      </w:r>
      <w:r>
        <w:rPr>
          <w:rFonts w:hint="eastAsia" w:ascii="宋体" w:hAnsi="宋体" w:eastAsia="宋体"/>
          <w:color w:val="auto"/>
          <w:szCs w:val="21"/>
          <w:highlight w:val="none"/>
          <w:lang w:val="zh-CN"/>
        </w:rPr>
        <w:t>《中华人民共和国民法典》</w:t>
      </w:r>
      <w:r>
        <w:rPr>
          <w:rFonts w:hint="eastAsia" w:ascii="宋体" w:hAnsi="宋体" w:eastAsia="宋体"/>
          <w:color w:val="auto"/>
          <w:kern w:val="0"/>
          <w:szCs w:val="21"/>
          <w:highlight w:val="none"/>
          <w:lang w:val="zh-CN"/>
        </w:rPr>
        <w:t xml:space="preserve">等法律法规，诚实守信，合法经营，坚决抵制各种违法违纪行为。 </w:t>
      </w:r>
    </w:p>
    <w:p w14:paraId="48DF05BF">
      <w:pPr>
        <w:autoSpaceDE w:val="0"/>
        <w:autoSpaceDN w:val="0"/>
        <w:snapToGrid w:val="0"/>
        <w:spacing w:line="360" w:lineRule="auto"/>
        <w:ind w:firstLine="420" w:firstLineChars="200"/>
        <w:jc w:val="left"/>
        <w:rPr>
          <w:rFonts w:hint="eastAsia" w:ascii="宋体" w:hAnsi="宋体" w:eastAsia="宋体"/>
          <w:color w:val="auto"/>
          <w:kern w:val="0"/>
          <w:szCs w:val="21"/>
          <w:highlight w:val="none"/>
          <w:lang w:val="zh-CN"/>
        </w:rPr>
      </w:pPr>
      <w:r>
        <w:rPr>
          <w:rFonts w:hint="eastAsia" w:ascii="宋体" w:hAnsi="宋体" w:eastAsia="宋体"/>
          <w:color w:val="auto"/>
          <w:kern w:val="0"/>
          <w:szCs w:val="21"/>
          <w:highlight w:val="none"/>
          <w:lang w:val="zh-CN"/>
        </w:rPr>
        <w:t>如违反上述承诺，你</w:t>
      </w:r>
      <w:r>
        <w:rPr>
          <w:rFonts w:hint="eastAsia" w:ascii="宋体" w:hAnsi="宋体" w:eastAsia="宋体"/>
          <w:color w:val="auto"/>
          <w:szCs w:val="21"/>
          <w:highlight w:val="none"/>
        </w:rPr>
        <w:t>方</w:t>
      </w:r>
      <w:r>
        <w:rPr>
          <w:rFonts w:hint="eastAsia" w:ascii="宋体" w:hAnsi="宋体" w:eastAsia="宋体"/>
          <w:color w:val="auto"/>
          <w:kern w:val="0"/>
          <w:szCs w:val="21"/>
          <w:highlight w:val="none"/>
          <w:lang w:val="zh-CN"/>
        </w:rPr>
        <w:t>有权立即取消我单位投标、中标（或在建项目的建设资格），有权拒绝我单位在一定时期内进入你</w:t>
      </w:r>
      <w:r>
        <w:rPr>
          <w:rFonts w:hint="eastAsia" w:ascii="宋体" w:hAnsi="宋体" w:eastAsia="宋体"/>
          <w:color w:val="auto"/>
          <w:szCs w:val="21"/>
          <w:highlight w:val="none"/>
        </w:rPr>
        <w:t>方</w:t>
      </w:r>
      <w:r>
        <w:rPr>
          <w:rFonts w:hint="eastAsia" w:ascii="宋体" w:hAnsi="宋体" w:eastAsia="宋体"/>
          <w:color w:val="auto"/>
          <w:kern w:val="0"/>
          <w:szCs w:val="21"/>
          <w:highlight w:val="none"/>
          <w:lang w:val="zh-CN"/>
        </w:rPr>
        <w:t>进行项目建设或其他经营活动，并通报</w:t>
      </w:r>
      <w:r>
        <w:rPr>
          <w:rFonts w:hint="eastAsia" w:ascii="宋体" w:hAnsi="宋体" w:eastAsia="宋体"/>
          <w:color w:val="auto"/>
          <w:kern w:val="0"/>
          <w:szCs w:val="21"/>
          <w:highlight w:val="none"/>
        </w:rPr>
        <w:t>政府采购监督管理机构</w:t>
      </w:r>
      <w:r>
        <w:rPr>
          <w:rFonts w:hint="eastAsia" w:ascii="宋体" w:hAnsi="宋体" w:eastAsia="宋体"/>
          <w:color w:val="auto"/>
          <w:kern w:val="0"/>
          <w:szCs w:val="21"/>
          <w:highlight w:val="none"/>
          <w:lang w:val="zh-CN"/>
        </w:rPr>
        <w:t>。由此引起的相应损失均由我单位承担。</w:t>
      </w:r>
    </w:p>
    <w:p w14:paraId="189EA092">
      <w:pPr>
        <w:autoSpaceDE w:val="0"/>
        <w:autoSpaceDN w:val="0"/>
        <w:snapToGrid w:val="0"/>
        <w:spacing w:line="360" w:lineRule="auto"/>
        <w:ind w:left="2"/>
        <w:jc w:val="left"/>
        <w:rPr>
          <w:rFonts w:hint="eastAsia" w:ascii="宋体" w:hAnsi="宋体" w:eastAsia="宋体"/>
          <w:color w:val="auto"/>
          <w:kern w:val="0"/>
          <w:sz w:val="24"/>
          <w:highlight w:val="none"/>
          <w:lang w:val="zh-CN"/>
        </w:rPr>
      </w:pPr>
    </w:p>
    <w:p w14:paraId="3951436C">
      <w:pPr>
        <w:autoSpaceDE w:val="0"/>
        <w:autoSpaceDN w:val="0"/>
        <w:snapToGrid w:val="0"/>
        <w:spacing w:line="360" w:lineRule="auto"/>
        <w:ind w:left="2"/>
        <w:jc w:val="left"/>
        <w:rPr>
          <w:rFonts w:hint="eastAsia" w:ascii="宋体" w:hAnsi="宋体" w:eastAsia="宋体"/>
          <w:color w:val="auto"/>
          <w:kern w:val="0"/>
          <w:sz w:val="24"/>
          <w:highlight w:val="none"/>
          <w:lang w:val="zh-CN"/>
        </w:rPr>
      </w:pPr>
    </w:p>
    <w:p w14:paraId="10FFD52A">
      <w:pPr>
        <w:autoSpaceDE w:val="0"/>
        <w:autoSpaceDN w:val="0"/>
        <w:snapToGrid w:val="0"/>
        <w:spacing w:line="360" w:lineRule="auto"/>
        <w:ind w:left="2"/>
        <w:jc w:val="left"/>
        <w:rPr>
          <w:rFonts w:hint="eastAsia" w:ascii="宋体" w:hAnsi="宋体" w:eastAsia="宋体"/>
          <w:color w:val="auto"/>
          <w:kern w:val="0"/>
          <w:sz w:val="24"/>
          <w:highlight w:val="none"/>
          <w:lang w:val="zh-CN"/>
        </w:rPr>
      </w:pPr>
    </w:p>
    <w:p w14:paraId="4365DAAC">
      <w:pPr>
        <w:autoSpaceDE w:val="0"/>
        <w:autoSpaceDN w:val="0"/>
        <w:snapToGrid w:val="0"/>
        <w:spacing w:line="360" w:lineRule="auto"/>
        <w:ind w:right="1120"/>
        <w:jc w:val="left"/>
        <w:rPr>
          <w:rFonts w:hint="eastAsia" w:ascii="宋体" w:hAnsi="宋体" w:eastAsia="宋体"/>
          <w:color w:val="auto"/>
          <w:kern w:val="0"/>
          <w:szCs w:val="21"/>
          <w:highlight w:val="none"/>
          <w:lang w:val="zh-CN"/>
        </w:rPr>
      </w:pPr>
      <w:r>
        <w:rPr>
          <w:rFonts w:hint="eastAsia" w:ascii="宋体" w:hAnsi="宋体" w:eastAsia="宋体"/>
          <w:color w:val="auto"/>
          <w:kern w:val="0"/>
          <w:szCs w:val="21"/>
          <w:highlight w:val="none"/>
          <w:lang w:val="zh-CN"/>
        </w:rPr>
        <w:t xml:space="preserve">供应商名称（公章）：                                                                                                                                                                                                               </w:t>
      </w:r>
    </w:p>
    <w:p w14:paraId="7B8738E7">
      <w:pPr>
        <w:snapToGrid w:val="0"/>
        <w:spacing w:line="360" w:lineRule="auto"/>
        <w:rPr>
          <w:rFonts w:hint="eastAsia" w:ascii="宋体" w:hAnsi="宋体" w:eastAsia="宋体"/>
          <w:color w:val="auto"/>
          <w:kern w:val="0"/>
          <w:szCs w:val="21"/>
          <w:highlight w:val="none"/>
          <w:lang w:val="zh-CN"/>
        </w:rPr>
      </w:pPr>
      <w:r>
        <w:rPr>
          <w:rFonts w:hint="eastAsia" w:ascii="宋体" w:hAnsi="宋体" w:eastAsia="宋体"/>
          <w:color w:val="auto"/>
          <w:kern w:val="0"/>
          <w:szCs w:val="21"/>
          <w:highlight w:val="none"/>
          <w:lang w:val="zh-CN"/>
        </w:rPr>
        <w:t>日期：   年   月   日</w:t>
      </w:r>
    </w:p>
    <w:p w14:paraId="2AC844E6">
      <w:pPr>
        <w:snapToGrid w:val="0"/>
        <w:spacing w:line="360" w:lineRule="auto"/>
        <w:jc w:val="center"/>
        <w:rPr>
          <w:rFonts w:hint="eastAsia" w:ascii="宋体" w:hAnsi="宋体" w:eastAsia="宋体"/>
          <w:color w:val="auto"/>
          <w:kern w:val="0"/>
          <w:szCs w:val="21"/>
          <w:highlight w:val="none"/>
          <w:lang w:val="zh-CN"/>
        </w:rPr>
      </w:pPr>
    </w:p>
    <w:p w14:paraId="3FC655D5">
      <w:pPr>
        <w:snapToGrid w:val="0"/>
        <w:spacing w:line="360" w:lineRule="auto"/>
        <w:ind w:right="420"/>
        <w:rPr>
          <w:rFonts w:hint="eastAsia" w:ascii="宋体" w:hAnsi="宋体" w:eastAsia="宋体"/>
          <w:color w:val="auto"/>
          <w:kern w:val="0"/>
          <w:szCs w:val="21"/>
          <w:highlight w:val="none"/>
          <w:lang w:val="zh-CN"/>
        </w:rPr>
      </w:pPr>
    </w:p>
    <w:p w14:paraId="1D528BC2">
      <w:pPr>
        <w:snapToGrid w:val="0"/>
        <w:spacing w:line="360" w:lineRule="auto"/>
        <w:ind w:right="420"/>
        <w:rPr>
          <w:rFonts w:hint="eastAsia" w:ascii="宋体" w:hAnsi="宋体" w:eastAsia="宋体"/>
          <w:color w:val="auto"/>
          <w:kern w:val="0"/>
          <w:szCs w:val="21"/>
          <w:highlight w:val="none"/>
          <w:lang w:val="zh-CN"/>
        </w:rPr>
      </w:pPr>
    </w:p>
    <w:p w14:paraId="5A5EA74E">
      <w:pPr>
        <w:snapToGrid w:val="0"/>
        <w:spacing w:line="360" w:lineRule="auto"/>
        <w:ind w:right="420"/>
        <w:rPr>
          <w:rFonts w:hint="eastAsia" w:ascii="宋体" w:hAnsi="宋体" w:eastAsia="宋体"/>
          <w:color w:val="auto"/>
          <w:kern w:val="0"/>
          <w:szCs w:val="21"/>
          <w:highlight w:val="none"/>
          <w:lang w:val="zh-CN"/>
        </w:rPr>
      </w:pPr>
    </w:p>
    <w:p w14:paraId="1A6D7430">
      <w:pPr>
        <w:snapToGrid w:val="0"/>
        <w:spacing w:line="360" w:lineRule="auto"/>
        <w:ind w:right="420"/>
        <w:rPr>
          <w:rFonts w:hint="eastAsia" w:ascii="宋体" w:hAnsi="宋体" w:eastAsia="宋体"/>
          <w:color w:val="auto"/>
          <w:kern w:val="0"/>
          <w:szCs w:val="21"/>
          <w:highlight w:val="none"/>
          <w:lang w:val="zh-CN"/>
        </w:rPr>
      </w:pPr>
    </w:p>
    <w:p w14:paraId="58AF19C7">
      <w:pPr>
        <w:snapToGrid w:val="0"/>
        <w:spacing w:line="360" w:lineRule="auto"/>
        <w:ind w:right="420"/>
        <w:rPr>
          <w:rFonts w:hint="eastAsia" w:ascii="宋体" w:hAnsi="宋体" w:eastAsia="宋体"/>
          <w:color w:val="auto"/>
          <w:kern w:val="0"/>
          <w:szCs w:val="21"/>
          <w:highlight w:val="none"/>
          <w:lang w:val="zh-CN"/>
        </w:rPr>
      </w:pPr>
    </w:p>
    <w:p w14:paraId="2BBDED17">
      <w:pPr>
        <w:snapToGrid w:val="0"/>
        <w:spacing w:line="360" w:lineRule="auto"/>
        <w:ind w:right="420"/>
        <w:rPr>
          <w:rFonts w:hint="eastAsia" w:ascii="宋体" w:hAnsi="宋体" w:eastAsia="宋体"/>
          <w:color w:val="auto"/>
          <w:kern w:val="0"/>
          <w:szCs w:val="21"/>
          <w:highlight w:val="none"/>
          <w:lang w:val="zh-CN"/>
        </w:rPr>
      </w:pPr>
    </w:p>
    <w:p w14:paraId="2D65AE76">
      <w:pPr>
        <w:snapToGrid w:val="0"/>
        <w:spacing w:line="360" w:lineRule="auto"/>
        <w:ind w:right="420"/>
        <w:rPr>
          <w:rFonts w:hint="eastAsia" w:ascii="宋体" w:hAnsi="宋体" w:eastAsia="宋体"/>
          <w:color w:val="auto"/>
          <w:kern w:val="0"/>
          <w:szCs w:val="21"/>
          <w:highlight w:val="none"/>
          <w:lang w:val="zh-CN"/>
        </w:rPr>
      </w:pPr>
      <w:r>
        <w:rPr>
          <w:rFonts w:hint="eastAsia" w:ascii="宋体" w:hAnsi="宋体" w:eastAsia="宋体"/>
          <w:color w:val="auto"/>
          <w:kern w:val="0"/>
          <w:szCs w:val="21"/>
          <w:highlight w:val="none"/>
          <w:lang w:val="zh-CN"/>
        </w:rPr>
        <w:t>注：按本格式和要求提供。</w:t>
      </w:r>
    </w:p>
    <w:p w14:paraId="7574D397">
      <w:pPr>
        <w:spacing w:line="360" w:lineRule="auto"/>
        <w:jc w:val="center"/>
        <w:rPr>
          <w:rFonts w:hint="eastAsia" w:ascii="宋体" w:hAnsi="宋体" w:eastAsia="宋体"/>
          <w:color w:val="auto"/>
          <w:kern w:val="0"/>
          <w:szCs w:val="21"/>
          <w:highlight w:val="none"/>
          <w:lang w:val="zh-CN"/>
        </w:rPr>
        <w:sectPr>
          <w:headerReference r:id="rId11" w:type="first"/>
          <w:footerReference r:id="rId13" w:type="first"/>
          <w:headerReference r:id="rId10" w:type="default"/>
          <w:footerReference r:id="rId12" w:type="default"/>
          <w:pgSz w:w="11906" w:h="16838"/>
          <w:pgMar w:top="1134" w:right="1134" w:bottom="1134" w:left="1134" w:header="851" w:footer="992" w:gutter="0"/>
          <w:pgBorders>
            <w:top w:val="none" w:sz="0" w:space="0"/>
            <w:left w:val="none" w:sz="0" w:space="0"/>
            <w:bottom w:val="none" w:sz="0" w:space="0"/>
            <w:right w:val="none" w:sz="0" w:space="0"/>
          </w:pgBorders>
          <w:cols w:space="720" w:num="1"/>
          <w:titlePg/>
          <w:docGrid w:linePitch="312" w:charSpace="0"/>
        </w:sectPr>
      </w:pPr>
    </w:p>
    <w:p w14:paraId="76807B79">
      <w:pPr>
        <w:snapToGrid w:val="0"/>
        <w:spacing w:line="360" w:lineRule="auto"/>
        <w:jc w:val="center"/>
        <w:outlineLvl w:val="0"/>
        <w:rPr>
          <w:rFonts w:hint="eastAsia" w:ascii="宋体" w:hAnsi="宋体" w:eastAsia="宋体"/>
          <w:b/>
          <w:color w:val="auto"/>
          <w:kern w:val="0"/>
          <w:sz w:val="36"/>
          <w:szCs w:val="36"/>
          <w:highlight w:val="none"/>
        </w:rPr>
      </w:pPr>
      <w:bookmarkStart w:id="497" w:name="_Toc23512"/>
      <w:bookmarkEnd w:id="497"/>
      <w:bookmarkStart w:id="498" w:name="_Toc10889"/>
      <w:r>
        <w:rPr>
          <w:rFonts w:hint="eastAsia" w:ascii="宋体" w:hAnsi="宋体" w:eastAsia="宋体"/>
          <w:b/>
          <w:color w:val="auto"/>
          <w:kern w:val="0"/>
          <w:sz w:val="36"/>
          <w:szCs w:val="36"/>
          <w:highlight w:val="none"/>
        </w:rPr>
        <w:t>报价文件部分</w:t>
      </w:r>
      <w:bookmarkEnd w:id="498"/>
    </w:p>
    <w:p w14:paraId="6B8DE6BD">
      <w:pPr>
        <w:pStyle w:val="37"/>
        <w:autoSpaceDE/>
        <w:autoSpaceDN/>
        <w:snapToGrid w:val="0"/>
        <w:ind w:firstLine="0"/>
        <w:jc w:val="center"/>
        <w:rPr>
          <w:rFonts w:hint="eastAsia" w:ascii="宋体" w:hAnsi="宋体" w:eastAsia="宋体"/>
          <w:color w:val="auto"/>
          <w:sz w:val="36"/>
          <w:highlight w:val="none"/>
        </w:rPr>
      </w:pPr>
    </w:p>
    <w:p w14:paraId="1BD08777">
      <w:pPr>
        <w:snapToGrid w:val="0"/>
        <w:spacing w:line="360" w:lineRule="auto"/>
        <w:jc w:val="center"/>
        <w:outlineLvl w:val="0"/>
        <w:rPr>
          <w:rFonts w:hint="eastAsia" w:ascii="宋体" w:hAnsi="宋体" w:eastAsia="宋体"/>
          <w:b/>
          <w:color w:val="auto"/>
          <w:kern w:val="0"/>
          <w:sz w:val="36"/>
          <w:szCs w:val="36"/>
          <w:highlight w:val="none"/>
        </w:rPr>
      </w:pPr>
      <w:bookmarkStart w:id="499" w:name="_Toc16728"/>
      <w:bookmarkEnd w:id="499"/>
      <w:bookmarkStart w:id="500" w:name="_Toc7578"/>
      <w:r>
        <w:rPr>
          <w:rFonts w:hint="eastAsia" w:ascii="宋体" w:hAnsi="宋体" w:eastAsia="宋体"/>
          <w:b/>
          <w:color w:val="auto"/>
          <w:kern w:val="0"/>
          <w:sz w:val="36"/>
          <w:szCs w:val="36"/>
          <w:highlight w:val="none"/>
        </w:rPr>
        <w:t>目录</w:t>
      </w:r>
      <w:bookmarkEnd w:id="500"/>
    </w:p>
    <w:p w14:paraId="555B8A99">
      <w:pPr>
        <w:snapToGrid w:val="0"/>
        <w:spacing w:line="360" w:lineRule="auto"/>
        <w:jc w:val="center"/>
        <w:rPr>
          <w:rFonts w:hint="eastAsia" w:ascii="宋体" w:hAnsi="宋体" w:eastAsia="宋体"/>
          <w:b/>
          <w:color w:val="auto"/>
          <w:kern w:val="0"/>
          <w:sz w:val="36"/>
          <w:szCs w:val="36"/>
          <w:highlight w:val="none"/>
        </w:rPr>
      </w:pPr>
    </w:p>
    <w:p w14:paraId="3681C511">
      <w:pPr>
        <w:numPr>
          <w:ilvl w:val="0"/>
          <w:numId w:val="55"/>
        </w:numPr>
        <w:snapToGrid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开标一览表（报价表）…………………………………………………………………（页码）</w:t>
      </w:r>
    </w:p>
    <w:p w14:paraId="535DA581">
      <w:pPr>
        <w:numPr>
          <w:ilvl w:val="0"/>
          <w:numId w:val="55"/>
        </w:numPr>
        <w:snapToGrid w:val="0"/>
        <w:spacing w:line="360" w:lineRule="auto"/>
        <w:rPr>
          <w:rFonts w:hint="eastAsia" w:ascii="宋体" w:hAnsi="宋体" w:eastAsia="宋体"/>
          <w:color w:val="auto"/>
          <w:sz w:val="24"/>
          <w:highlight w:val="none"/>
        </w:rPr>
      </w:pPr>
      <w:r>
        <w:rPr>
          <w:rFonts w:hint="eastAsia" w:ascii="宋体" w:hAnsi="宋体"/>
          <w:color w:val="auto"/>
          <w:sz w:val="24"/>
          <w:highlight w:val="none"/>
          <w:lang w:val="en-US" w:eastAsia="zh-CN"/>
        </w:rPr>
        <w:t>中小企业</w:t>
      </w:r>
      <w:r>
        <w:rPr>
          <w:rFonts w:hint="eastAsia" w:ascii="宋体" w:hAnsi="宋体" w:eastAsia="宋体"/>
          <w:color w:val="auto"/>
          <w:sz w:val="24"/>
          <w:highlight w:val="none"/>
        </w:rPr>
        <w:t>声明函（如有）…………………………………………………………（页码）</w:t>
      </w:r>
    </w:p>
    <w:p w14:paraId="11BB95BE">
      <w:pPr>
        <w:numPr>
          <w:ilvl w:val="0"/>
          <w:numId w:val="55"/>
        </w:numPr>
        <w:snapToGrid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残疾人福利性单位声明函（如有）……………………………………………………（页码）</w:t>
      </w:r>
    </w:p>
    <w:p w14:paraId="306C9A04">
      <w:pPr>
        <w:numPr>
          <w:ilvl w:val="0"/>
          <w:numId w:val="55"/>
        </w:numPr>
        <w:snapToGrid w:val="0"/>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由省级以上监狱管理局、戒毒管理局（含新疆生产建设兵团）出具的属于监狱企业的证明文件（如有）………………………………………………………………………………（页码）</w:t>
      </w:r>
    </w:p>
    <w:p w14:paraId="1EDB9681">
      <w:pPr>
        <w:snapToGrid w:val="0"/>
        <w:spacing w:line="360" w:lineRule="auto"/>
        <w:ind w:right="480"/>
        <w:jc w:val="center"/>
        <w:rPr>
          <w:rFonts w:hint="eastAsia" w:ascii="宋体" w:hAnsi="宋体" w:eastAsia="宋体"/>
          <w:b/>
          <w:color w:val="auto"/>
          <w:kern w:val="0"/>
          <w:sz w:val="32"/>
          <w:szCs w:val="32"/>
          <w:highlight w:val="none"/>
        </w:rPr>
      </w:pPr>
    </w:p>
    <w:p w14:paraId="20C47D31">
      <w:pPr>
        <w:snapToGrid w:val="0"/>
        <w:spacing w:line="360" w:lineRule="auto"/>
        <w:ind w:right="480"/>
        <w:jc w:val="center"/>
        <w:rPr>
          <w:rFonts w:hint="eastAsia" w:ascii="宋体" w:hAnsi="宋体" w:eastAsia="宋体"/>
          <w:b/>
          <w:color w:val="auto"/>
          <w:kern w:val="0"/>
          <w:sz w:val="32"/>
          <w:szCs w:val="32"/>
          <w:highlight w:val="none"/>
        </w:rPr>
      </w:pPr>
    </w:p>
    <w:p w14:paraId="51CB14FC">
      <w:pPr>
        <w:snapToGrid w:val="0"/>
        <w:spacing w:line="360" w:lineRule="auto"/>
        <w:ind w:right="480"/>
        <w:jc w:val="center"/>
        <w:rPr>
          <w:rFonts w:hint="eastAsia" w:ascii="宋体" w:hAnsi="宋体" w:eastAsia="宋体"/>
          <w:b/>
          <w:color w:val="auto"/>
          <w:kern w:val="0"/>
          <w:sz w:val="32"/>
          <w:szCs w:val="32"/>
          <w:highlight w:val="none"/>
        </w:rPr>
      </w:pPr>
    </w:p>
    <w:p w14:paraId="13240255">
      <w:pPr>
        <w:snapToGrid w:val="0"/>
        <w:spacing w:line="360" w:lineRule="auto"/>
        <w:ind w:right="480"/>
        <w:jc w:val="center"/>
        <w:rPr>
          <w:rFonts w:hint="eastAsia" w:ascii="宋体" w:hAnsi="宋体" w:eastAsia="宋体"/>
          <w:b/>
          <w:color w:val="auto"/>
          <w:kern w:val="0"/>
          <w:sz w:val="32"/>
          <w:szCs w:val="32"/>
          <w:highlight w:val="none"/>
        </w:rPr>
      </w:pPr>
    </w:p>
    <w:p w14:paraId="0A65CDDB">
      <w:pPr>
        <w:snapToGrid w:val="0"/>
        <w:spacing w:line="360" w:lineRule="auto"/>
        <w:ind w:right="480"/>
        <w:jc w:val="center"/>
        <w:rPr>
          <w:rFonts w:hint="eastAsia" w:ascii="宋体" w:hAnsi="宋体" w:eastAsia="宋体"/>
          <w:b/>
          <w:color w:val="auto"/>
          <w:kern w:val="0"/>
          <w:sz w:val="32"/>
          <w:szCs w:val="32"/>
          <w:highlight w:val="none"/>
        </w:rPr>
      </w:pPr>
    </w:p>
    <w:p w14:paraId="625CC8DA">
      <w:pPr>
        <w:snapToGrid w:val="0"/>
        <w:spacing w:line="360" w:lineRule="auto"/>
        <w:ind w:right="480"/>
        <w:jc w:val="center"/>
        <w:rPr>
          <w:rFonts w:hint="eastAsia" w:ascii="宋体" w:hAnsi="宋体" w:eastAsia="宋体"/>
          <w:b/>
          <w:color w:val="auto"/>
          <w:kern w:val="0"/>
          <w:sz w:val="32"/>
          <w:szCs w:val="32"/>
          <w:highlight w:val="none"/>
        </w:rPr>
      </w:pPr>
    </w:p>
    <w:p w14:paraId="335C6CFB">
      <w:pPr>
        <w:snapToGrid w:val="0"/>
        <w:spacing w:line="360" w:lineRule="auto"/>
        <w:ind w:right="480"/>
        <w:jc w:val="center"/>
        <w:rPr>
          <w:rFonts w:hint="eastAsia" w:ascii="宋体" w:hAnsi="宋体" w:eastAsia="宋体"/>
          <w:b/>
          <w:color w:val="auto"/>
          <w:kern w:val="0"/>
          <w:sz w:val="32"/>
          <w:szCs w:val="32"/>
          <w:highlight w:val="none"/>
        </w:rPr>
      </w:pPr>
    </w:p>
    <w:p w14:paraId="2EEDDF51">
      <w:pPr>
        <w:snapToGrid w:val="0"/>
        <w:spacing w:line="360" w:lineRule="auto"/>
        <w:ind w:right="480"/>
        <w:jc w:val="center"/>
        <w:rPr>
          <w:rFonts w:hint="eastAsia" w:ascii="宋体" w:hAnsi="宋体" w:eastAsia="宋体"/>
          <w:b/>
          <w:color w:val="auto"/>
          <w:kern w:val="0"/>
          <w:sz w:val="32"/>
          <w:szCs w:val="32"/>
          <w:highlight w:val="none"/>
        </w:rPr>
      </w:pPr>
    </w:p>
    <w:p w14:paraId="742A57FD">
      <w:pPr>
        <w:snapToGrid w:val="0"/>
        <w:spacing w:line="360" w:lineRule="auto"/>
        <w:ind w:right="480"/>
        <w:jc w:val="center"/>
        <w:rPr>
          <w:rFonts w:hint="eastAsia" w:ascii="宋体" w:hAnsi="宋体" w:eastAsia="宋体"/>
          <w:b/>
          <w:color w:val="auto"/>
          <w:kern w:val="0"/>
          <w:sz w:val="32"/>
          <w:szCs w:val="32"/>
          <w:highlight w:val="none"/>
        </w:rPr>
      </w:pPr>
    </w:p>
    <w:p w14:paraId="76A6E5B2">
      <w:pPr>
        <w:snapToGrid w:val="0"/>
        <w:spacing w:line="360" w:lineRule="auto"/>
        <w:ind w:right="480"/>
        <w:jc w:val="center"/>
        <w:rPr>
          <w:rFonts w:hint="eastAsia" w:ascii="宋体" w:hAnsi="宋体" w:eastAsia="宋体"/>
          <w:b/>
          <w:color w:val="auto"/>
          <w:kern w:val="0"/>
          <w:sz w:val="32"/>
          <w:szCs w:val="32"/>
          <w:highlight w:val="none"/>
        </w:rPr>
      </w:pPr>
    </w:p>
    <w:p w14:paraId="2925EB02">
      <w:pPr>
        <w:snapToGrid w:val="0"/>
        <w:spacing w:line="360" w:lineRule="auto"/>
        <w:ind w:right="480"/>
        <w:jc w:val="center"/>
        <w:rPr>
          <w:rFonts w:hint="eastAsia" w:ascii="宋体" w:hAnsi="宋体" w:eastAsia="宋体"/>
          <w:b/>
          <w:color w:val="auto"/>
          <w:kern w:val="0"/>
          <w:sz w:val="32"/>
          <w:szCs w:val="32"/>
          <w:highlight w:val="none"/>
        </w:rPr>
      </w:pPr>
    </w:p>
    <w:p w14:paraId="23C03421">
      <w:pPr>
        <w:pStyle w:val="170"/>
        <w:keepNext w:val="0"/>
        <w:pageBreakBefore w:val="0"/>
        <w:tabs>
          <w:tab w:val="clear" w:pos="720"/>
        </w:tabs>
        <w:snapToGrid w:val="0"/>
        <w:spacing w:before="120" w:after="120"/>
        <w:ind w:firstLine="643"/>
        <w:outlineLvl w:val="9"/>
        <w:rPr>
          <w:rFonts w:hint="eastAsia" w:ascii="宋体" w:hAnsi="宋体" w:eastAsia="宋体"/>
          <w:color w:val="auto"/>
          <w:kern w:val="2"/>
          <w:sz w:val="32"/>
          <w:szCs w:val="32"/>
          <w:highlight w:val="none"/>
        </w:rPr>
        <w:sectPr>
          <w:headerReference r:id="rId15" w:type="first"/>
          <w:footerReference r:id="rId17" w:type="first"/>
          <w:headerReference r:id="rId14" w:type="default"/>
          <w:footerReference r:id="rId16" w:type="default"/>
          <w:pgSz w:w="11906" w:h="16838"/>
          <w:pgMar w:top="1134" w:right="1134" w:bottom="1134" w:left="1134" w:header="851" w:footer="992" w:gutter="0"/>
          <w:pgBorders>
            <w:top w:val="none" w:sz="0" w:space="0"/>
            <w:left w:val="none" w:sz="0" w:space="0"/>
            <w:bottom w:val="none" w:sz="0" w:space="0"/>
            <w:right w:val="none" w:sz="0" w:space="0"/>
          </w:pgBorders>
          <w:cols w:space="720" w:num="1"/>
          <w:titlePg/>
          <w:docGrid w:linePitch="312" w:charSpace="0"/>
        </w:sectPr>
      </w:pPr>
    </w:p>
    <w:p w14:paraId="1F544DCE">
      <w:pPr>
        <w:numPr>
          <w:ilvl w:val="0"/>
          <w:numId w:val="56"/>
        </w:numPr>
        <w:snapToGrid w:val="0"/>
        <w:spacing w:line="360" w:lineRule="auto"/>
        <w:ind w:firstLine="0"/>
        <w:jc w:val="center"/>
        <w:rPr>
          <w:rFonts w:hint="eastAsia" w:ascii="宋体" w:hAnsi="宋体" w:eastAsia="宋体"/>
          <w:b/>
          <w:color w:val="auto"/>
          <w:kern w:val="0"/>
          <w:sz w:val="24"/>
          <w:highlight w:val="none"/>
          <w:lang w:val="zh-CN"/>
        </w:rPr>
      </w:pPr>
      <w:r>
        <w:rPr>
          <w:rFonts w:hint="eastAsia" w:ascii="宋体" w:hAnsi="宋体" w:eastAsia="宋体"/>
          <w:b/>
          <w:color w:val="auto"/>
          <w:kern w:val="0"/>
          <w:sz w:val="24"/>
          <w:highlight w:val="none"/>
          <w:lang w:val="zh-CN"/>
        </w:rPr>
        <w:t>开标一览表（报价表）</w:t>
      </w:r>
    </w:p>
    <w:p w14:paraId="26A28D6A">
      <w:pPr>
        <w:snapToGrid w:val="0"/>
        <w:spacing w:line="360" w:lineRule="auto"/>
        <w:rPr>
          <w:rFonts w:hint="eastAsia" w:ascii="宋体" w:hAnsi="宋体" w:eastAsia="宋体"/>
          <w:color w:val="auto"/>
          <w:szCs w:val="21"/>
          <w:highlight w:val="none"/>
        </w:rPr>
      </w:pPr>
    </w:p>
    <w:p w14:paraId="0ABD87E6">
      <w:pPr>
        <w:snapToGrid w:val="0"/>
        <w:spacing w:line="360" w:lineRule="auto"/>
        <w:rPr>
          <w:rFonts w:hint="eastAsia" w:ascii="宋体" w:hAnsi="宋体" w:eastAsia="宋体"/>
          <w:b/>
          <w:bCs/>
          <w:color w:val="auto"/>
          <w:szCs w:val="21"/>
          <w:highlight w:val="none"/>
          <w:u w:val="single"/>
          <w:lang w:eastAsia="zh-CN"/>
        </w:rPr>
      </w:pPr>
      <w:r>
        <w:rPr>
          <w:rFonts w:hint="eastAsia" w:ascii="宋体" w:hAnsi="宋体" w:eastAsia="宋体"/>
          <w:b/>
          <w:bCs/>
          <w:color w:val="auto"/>
          <w:szCs w:val="21"/>
          <w:highlight w:val="none"/>
          <w:u w:val="single"/>
          <w:lang w:eastAsia="zh-CN"/>
        </w:rPr>
        <w:t>（</w:t>
      </w:r>
      <w:r>
        <w:rPr>
          <w:rFonts w:hint="eastAsia" w:ascii="宋体" w:hAnsi="宋体" w:eastAsia="宋体"/>
          <w:b/>
          <w:bCs/>
          <w:color w:val="auto"/>
          <w:szCs w:val="21"/>
          <w:highlight w:val="none"/>
          <w:u w:val="single"/>
        </w:rPr>
        <w:t>采购人、采购代理机构</w:t>
      </w:r>
      <w:r>
        <w:rPr>
          <w:rFonts w:hint="eastAsia" w:ascii="宋体" w:hAnsi="宋体" w:eastAsia="宋体"/>
          <w:b/>
          <w:bCs/>
          <w:color w:val="auto"/>
          <w:szCs w:val="21"/>
          <w:highlight w:val="none"/>
          <w:u w:val="single"/>
          <w:lang w:eastAsia="zh-CN"/>
        </w:rPr>
        <w:t>）</w:t>
      </w:r>
      <w:r>
        <w:rPr>
          <w:rFonts w:hint="eastAsia" w:ascii="宋体" w:hAnsi="宋体" w:eastAsia="宋体"/>
          <w:color w:val="auto"/>
          <w:kern w:val="0"/>
          <w:szCs w:val="21"/>
          <w:highlight w:val="none"/>
          <w:lang w:val="zh-CN"/>
        </w:rPr>
        <w:t>：</w:t>
      </w:r>
    </w:p>
    <w:p w14:paraId="3E790CE8">
      <w:pPr>
        <w:snapToGrid w:val="0"/>
        <w:spacing w:line="360" w:lineRule="auto"/>
        <w:ind w:firstLine="482"/>
        <w:rPr>
          <w:rFonts w:hint="eastAsia" w:ascii="宋体" w:hAnsi="宋体" w:eastAsia="宋体"/>
          <w:color w:val="auto"/>
          <w:kern w:val="0"/>
          <w:szCs w:val="21"/>
          <w:highlight w:val="none"/>
          <w:lang w:val="zh-CN"/>
        </w:rPr>
      </w:pPr>
      <w:r>
        <w:rPr>
          <w:rFonts w:hint="eastAsia" w:ascii="宋体" w:hAnsi="宋体" w:eastAsia="宋体"/>
          <w:color w:val="auto"/>
          <w:kern w:val="0"/>
          <w:szCs w:val="21"/>
          <w:highlight w:val="none"/>
          <w:lang w:val="zh-CN"/>
        </w:rPr>
        <w:t>按你方采购文件要求，我们，本投标文件签字方，谨此向你方发出要约如下：如你方接受本投标，我方承诺按照如下开标一览表（报价表）的价格完成</w:t>
      </w:r>
      <w:r>
        <w:rPr>
          <w:rFonts w:hint="eastAsia" w:ascii="宋体" w:hAnsi="宋体" w:eastAsia="宋体"/>
          <w:color w:val="auto"/>
          <w:szCs w:val="21"/>
          <w:highlight w:val="none"/>
        </w:rPr>
        <w:t>（项目名称：</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w:t>
      </w:r>
      <w:r>
        <w:rPr>
          <w:rFonts w:hint="eastAsia" w:ascii="宋体" w:hAnsi="宋体" w:eastAsia="宋体"/>
          <w:color w:val="auto"/>
          <w:kern w:val="0"/>
          <w:szCs w:val="21"/>
          <w:highlight w:val="none"/>
        </w:rPr>
        <w:t>项目</w:t>
      </w:r>
      <w:r>
        <w:rPr>
          <w:rFonts w:hint="eastAsia" w:ascii="宋体" w:hAnsi="宋体" w:eastAsia="宋体"/>
          <w:color w:val="auto"/>
          <w:szCs w:val="21"/>
          <w:highlight w:val="none"/>
        </w:rPr>
        <w:t>编号：</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】的实施</w:t>
      </w:r>
      <w:r>
        <w:rPr>
          <w:rFonts w:hint="eastAsia" w:ascii="宋体" w:hAnsi="宋体" w:eastAsia="宋体"/>
          <w:color w:val="auto"/>
          <w:kern w:val="0"/>
          <w:szCs w:val="21"/>
          <w:highlight w:val="none"/>
          <w:lang w:val="zh-CN"/>
        </w:rPr>
        <w:t>。</w:t>
      </w:r>
    </w:p>
    <w:p w14:paraId="5531A269">
      <w:pPr>
        <w:spacing w:line="360" w:lineRule="auto"/>
        <w:jc w:val="right"/>
        <w:rPr>
          <w:rFonts w:hint="eastAsia" w:ascii="宋体" w:hAnsi="宋体" w:eastAsia="宋体"/>
          <w:b/>
          <w:color w:val="auto"/>
          <w:kern w:val="0"/>
          <w:szCs w:val="21"/>
          <w:highlight w:val="none"/>
          <w:lang w:val="zh-CN"/>
        </w:rPr>
      </w:pPr>
      <w:r>
        <w:rPr>
          <w:rFonts w:hint="eastAsia" w:ascii="宋体" w:hAnsi="宋体" w:eastAsia="宋体"/>
          <w:b/>
          <w:color w:val="auto"/>
          <w:kern w:val="0"/>
          <w:szCs w:val="21"/>
          <w:highlight w:val="none"/>
          <w:lang w:val="zh-CN"/>
        </w:rPr>
        <w:t>（单位：人民币</w:t>
      </w:r>
      <w:r>
        <w:rPr>
          <w:rFonts w:hint="eastAsia" w:ascii="宋体" w:hAnsi="宋体" w:eastAsia="宋体"/>
          <w:b/>
          <w:color w:val="auto"/>
          <w:kern w:val="0"/>
          <w:szCs w:val="21"/>
          <w:highlight w:val="none"/>
        </w:rPr>
        <w:t xml:space="preserve"> </w:t>
      </w:r>
      <w:r>
        <w:rPr>
          <w:rFonts w:hint="eastAsia" w:ascii="宋体" w:hAnsi="宋体" w:eastAsia="宋体"/>
          <w:b/>
          <w:color w:val="auto"/>
          <w:kern w:val="0"/>
          <w:szCs w:val="21"/>
          <w:highlight w:val="none"/>
          <w:lang w:val="zh-CN"/>
        </w:rPr>
        <w:t>元）</w:t>
      </w:r>
    </w:p>
    <w:tbl>
      <w:tblPr>
        <w:tblStyle w:val="5"/>
        <w:tblW w:w="0" w:type="auto"/>
        <w:tblInd w:w="-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247"/>
        <w:gridCol w:w="1311"/>
        <w:gridCol w:w="1559"/>
        <w:gridCol w:w="1276"/>
        <w:gridCol w:w="1984"/>
        <w:gridCol w:w="2300"/>
      </w:tblGrid>
      <w:tr w14:paraId="1AF525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57" w:hRule="atLeast"/>
        </w:trPr>
        <w:tc>
          <w:tcPr>
            <w:tcW w:w="1247" w:type="dxa"/>
            <w:vAlign w:val="center"/>
          </w:tcPr>
          <w:p w14:paraId="34EEA3D7">
            <w:pPr>
              <w:pStyle w:val="39"/>
              <w:widowControl/>
              <w:spacing w:line="400" w:lineRule="exact"/>
              <w:ind w:firstLine="0" w:firstLineChars="0"/>
              <w:jc w:val="center"/>
              <w:rPr>
                <w:rFonts w:hint="eastAsia" w:ascii="宋体" w:hAnsi="宋体" w:eastAsia="宋体"/>
                <w:b/>
                <w:bCs/>
                <w:color w:val="auto"/>
                <w:sz w:val="21"/>
                <w:highlight w:val="none"/>
              </w:rPr>
            </w:pPr>
            <w:r>
              <w:rPr>
                <w:rFonts w:hint="eastAsia" w:ascii="宋体" w:hAnsi="宋体" w:eastAsia="宋体"/>
                <w:b/>
                <w:bCs/>
                <w:color w:val="auto"/>
                <w:sz w:val="21"/>
                <w:highlight w:val="none"/>
              </w:rPr>
              <w:t>标项号</w:t>
            </w:r>
          </w:p>
        </w:tc>
        <w:tc>
          <w:tcPr>
            <w:tcW w:w="1311" w:type="dxa"/>
            <w:vAlign w:val="center"/>
          </w:tcPr>
          <w:p w14:paraId="589630C0">
            <w:pPr>
              <w:pStyle w:val="39"/>
              <w:widowControl/>
              <w:spacing w:line="400" w:lineRule="exact"/>
              <w:ind w:firstLine="0" w:firstLineChars="0"/>
              <w:jc w:val="center"/>
              <w:rPr>
                <w:rFonts w:hint="eastAsia" w:ascii="宋体" w:hAnsi="宋体" w:eastAsia="宋体"/>
                <w:b/>
                <w:bCs/>
                <w:color w:val="auto"/>
                <w:sz w:val="21"/>
                <w:highlight w:val="none"/>
              </w:rPr>
            </w:pPr>
            <w:r>
              <w:rPr>
                <w:rFonts w:hint="eastAsia" w:ascii="宋体" w:hAnsi="宋体" w:eastAsia="宋体"/>
                <w:b/>
                <w:bCs/>
                <w:color w:val="auto"/>
                <w:sz w:val="21"/>
                <w:highlight w:val="none"/>
              </w:rPr>
              <w:t>采购标的名称</w:t>
            </w:r>
          </w:p>
        </w:tc>
        <w:tc>
          <w:tcPr>
            <w:tcW w:w="1559" w:type="dxa"/>
            <w:vAlign w:val="center"/>
          </w:tcPr>
          <w:p w14:paraId="21335BCC">
            <w:pPr>
              <w:pStyle w:val="39"/>
              <w:widowControl/>
              <w:spacing w:line="400" w:lineRule="exact"/>
              <w:ind w:firstLine="0" w:firstLineChars="0"/>
              <w:jc w:val="center"/>
              <w:rPr>
                <w:rFonts w:hint="eastAsia" w:ascii="宋体" w:hAnsi="宋体" w:eastAsia="宋体"/>
                <w:b/>
                <w:bCs/>
                <w:color w:val="auto"/>
                <w:sz w:val="21"/>
                <w:highlight w:val="none"/>
              </w:rPr>
            </w:pPr>
            <w:r>
              <w:rPr>
                <w:rFonts w:hint="eastAsia" w:ascii="宋体" w:hAnsi="宋体" w:eastAsia="宋体"/>
                <w:b/>
                <w:bCs/>
                <w:color w:val="auto"/>
                <w:sz w:val="21"/>
                <w:highlight w:val="none"/>
              </w:rPr>
              <w:t>产地品牌</w:t>
            </w:r>
          </w:p>
        </w:tc>
        <w:tc>
          <w:tcPr>
            <w:tcW w:w="1276" w:type="dxa"/>
            <w:vAlign w:val="center"/>
          </w:tcPr>
          <w:p w14:paraId="70525509">
            <w:pPr>
              <w:pStyle w:val="39"/>
              <w:widowControl/>
              <w:spacing w:line="400" w:lineRule="exact"/>
              <w:ind w:firstLine="0" w:firstLineChars="0"/>
              <w:jc w:val="center"/>
              <w:rPr>
                <w:rFonts w:hint="eastAsia" w:ascii="宋体" w:hAnsi="宋体" w:eastAsia="宋体"/>
                <w:b/>
                <w:bCs/>
                <w:color w:val="auto"/>
                <w:sz w:val="21"/>
                <w:highlight w:val="none"/>
              </w:rPr>
            </w:pPr>
            <w:r>
              <w:rPr>
                <w:rFonts w:hint="eastAsia" w:ascii="宋体" w:hAnsi="宋体" w:eastAsia="宋体"/>
                <w:b/>
                <w:bCs/>
                <w:color w:val="auto"/>
                <w:sz w:val="21"/>
                <w:highlight w:val="none"/>
              </w:rPr>
              <w:t>规格、型号</w:t>
            </w:r>
          </w:p>
        </w:tc>
        <w:tc>
          <w:tcPr>
            <w:tcW w:w="1984" w:type="dxa"/>
            <w:vAlign w:val="center"/>
          </w:tcPr>
          <w:p w14:paraId="37F1DDE1">
            <w:pPr>
              <w:widowControl/>
              <w:spacing w:line="400" w:lineRule="exact"/>
              <w:jc w:val="center"/>
              <w:rPr>
                <w:rFonts w:hint="eastAsia" w:ascii="宋体" w:hAnsi="宋体" w:eastAsia="宋体"/>
                <w:b/>
                <w:bCs/>
                <w:color w:val="auto"/>
                <w:highlight w:val="none"/>
              </w:rPr>
            </w:pPr>
            <w:r>
              <w:rPr>
                <w:rFonts w:hint="eastAsia" w:ascii="宋体" w:hAnsi="宋体" w:eastAsia="宋体"/>
                <w:b/>
                <w:bCs/>
                <w:color w:val="auto"/>
                <w:highlight w:val="none"/>
              </w:rPr>
              <w:t>投标报价单价</w:t>
            </w:r>
          </w:p>
          <w:p w14:paraId="5BD85302">
            <w:pPr>
              <w:widowControl/>
              <w:spacing w:line="400" w:lineRule="exact"/>
              <w:jc w:val="center"/>
              <w:rPr>
                <w:rFonts w:hint="eastAsia" w:ascii="宋体" w:hAnsi="宋体" w:eastAsia="宋体"/>
                <w:b/>
                <w:bCs/>
                <w:color w:val="auto"/>
                <w:highlight w:val="none"/>
              </w:rPr>
            </w:pPr>
            <w:r>
              <w:rPr>
                <w:rFonts w:hint="eastAsia" w:ascii="宋体" w:hAnsi="宋体" w:eastAsia="宋体"/>
                <w:b/>
                <w:bCs/>
                <w:color w:val="auto"/>
                <w:highlight w:val="none"/>
              </w:rPr>
              <w:t>（不含税人民币：元/吨）</w:t>
            </w:r>
          </w:p>
        </w:tc>
        <w:tc>
          <w:tcPr>
            <w:tcW w:w="2300" w:type="dxa"/>
            <w:vAlign w:val="center"/>
          </w:tcPr>
          <w:p w14:paraId="4FFDDDB5">
            <w:pPr>
              <w:widowControl/>
              <w:spacing w:line="400" w:lineRule="exact"/>
              <w:jc w:val="center"/>
              <w:rPr>
                <w:rFonts w:hint="eastAsia" w:ascii="宋体" w:hAnsi="宋体" w:eastAsia="宋体"/>
                <w:b/>
                <w:bCs/>
                <w:color w:val="auto"/>
                <w:highlight w:val="none"/>
              </w:rPr>
            </w:pPr>
            <w:r>
              <w:rPr>
                <w:rFonts w:hint="eastAsia" w:ascii="宋体" w:hAnsi="宋体" w:eastAsia="宋体"/>
                <w:b/>
                <w:bCs/>
                <w:color w:val="auto"/>
                <w:highlight w:val="none"/>
              </w:rPr>
              <w:t>税费单价</w:t>
            </w:r>
          </w:p>
          <w:p w14:paraId="7A374D94">
            <w:pPr>
              <w:widowControl/>
              <w:spacing w:line="400" w:lineRule="exact"/>
              <w:jc w:val="center"/>
              <w:rPr>
                <w:rFonts w:hint="eastAsia" w:ascii="宋体" w:hAnsi="宋体" w:eastAsia="宋体"/>
                <w:b/>
                <w:bCs/>
                <w:color w:val="auto"/>
                <w:highlight w:val="none"/>
              </w:rPr>
            </w:pPr>
            <w:r>
              <w:rPr>
                <w:rFonts w:hint="eastAsia" w:ascii="宋体" w:hAnsi="宋体" w:eastAsia="宋体"/>
                <w:b/>
                <w:bCs/>
                <w:color w:val="auto"/>
                <w:highlight w:val="none"/>
              </w:rPr>
              <w:t>（人民币：元/吨）</w:t>
            </w:r>
          </w:p>
        </w:tc>
      </w:tr>
      <w:tr w14:paraId="72FB80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247" w:type="dxa"/>
            <w:vAlign w:val="center"/>
          </w:tcPr>
          <w:p w14:paraId="7B53ADF7">
            <w:pPr>
              <w:widowControl/>
              <w:spacing w:line="400" w:lineRule="exact"/>
              <w:jc w:val="center"/>
              <w:rPr>
                <w:rFonts w:hint="eastAsia" w:ascii="宋体" w:hAnsi="宋体" w:eastAsia="宋体"/>
                <w:b/>
                <w:bCs/>
                <w:color w:val="auto"/>
                <w:spacing w:val="-4"/>
                <w:highlight w:val="none"/>
              </w:rPr>
            </w:pPr>
          </w:p>
        </w:tc>
        <w:tc>
          <w:tcPr>
            <w:tcW w:w="1311" w:type="dxa"/>
            <w:vAlign w:val="center"/>
          </w:tcPr>
          <w:p w14:paraId="6559F253">
            <w:pPr>
              <w:widowControl/>
              <w:spacing w:line="400" w:lineRule="exact"/>
              <w:jc w:val="center"/>
              <w:rPr>
                <w:rFonts w:hint="eastAsia" w:ascii="宋体" w:hAnsi="宋体" w:eastAsia="宋体"/>
                <w:b/>
                <w:bCs/>
                <w:color w:val="auto"/>
                <w:spacing w:val="-4"/>
                <w:highlight w:val="none"/>
              </w:rPr>
            </w:pPr>
          </w:p>
        </w:tc>
        <w:tc>
          <w:tcPr>
            <w:tcW w:w="1559" w:type="dxa"/>
            <w:vAlign w:val="center"/>
          </w:tcPr>
          <w:p w14:paraId="19EE199E">
            <w:pPr>
              <w:widowControl/>
              <w:spacing w:line="400" w:lineRule="exact"/>
              <w:jc w:val="center"/>
              <w:rPr>
                <w:rFonts w:hint="eastAsia" w:ascii="宋体" w:hAnsi="宋体" w:eastAsia="宋体"/>
                <w:color w:val="auto"/>
                <w:highlight w:val="none"/>
              </w:rPr>
            </w:pPr>
          </w:p>
        </w:tc>
        <w:tc>
          <w:tcPr>
            <w:tcW w:w="1276" w:type="dxa"/>
            <w:vAlign w:val="center"/>
          </w:tcPr>
          <w:p w14:paraId="038097D2">
            <w:pPr>
              <w:widowControl/>
              <w:spacing w:line="400" w:lineRule="exact"/>
              <w:rPr>
                <w:rFonts w:hint="eastAsia" w:ascii="宋体" w:hAnsi="宋体" w:eastAsia="宋体"/>
                <w:color w:val="auto"/>
                <w:highlight w:val="none"/>
              </w:rPr>
            </w:pPr>
          </w:p>
        </w:tc>
        <w:tc>
          <w:tcPr>
            <w:tcW w:w="1984" w:type="dxa"/>
            <w:vAlign w:val="center"/>
          </w:tcPr>
          <w:p w14:paraId="38F226CA">
            <w:pPr>
              <w:widowControl/>
              <w:spacing w:line="400" w:lineRule="exact"/>
              <w:rPr>
                <w:rFonts w:hint="eastAsia" w:ascii="宋体" w:hAnsi="宋体" w:eastAsia="宋体"/>
                <w:color w:val="auto"/>
                <w:highlight w:val="none"/>
              </w:rPr>
            </w:pPr>
          </w:p>
        </w:tc>
        <w:tc>
          <w:tcPr>
            <w:tcW w:w="2300" w:type="dxa"/>
            <w:vAlign w:val="center"/>
          </w:tcPr>
          <w:p w14:paraId="295B356A">
            <w:pPr>
              <w:widowControl/>
              <w:spacing w:line="400" w:lineRule="exact"/>
              <w:rPr>
                <w:rFonts w:hint="eastAsia" w:ascii="宋体" w:hAnsi="宋体" w:eastAsia="宋体"/>
                <w:color w:val="auto"/>
                <w:highlight w:val="none"/>
              </w:rPr>
            </w:pPr>
          </w:p>
        </w:tc>
      </w:tr>
      <w:tr w14:paraId="76D76A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1247" w:type="dxa"/>
            <w:vAlign w:val="center"/>
          </w:tcPr>
          <w:p w14:paraId="0EB247F6">
            <w:pPr>
              <w:widowControl/>
              <w:spacing w:line="400" w:lineRule="exact"/>
              <w:jc w:val="center"/>
              <w:rPr>
                <w:rFonts w:hint="eastAsia" w:ascii="宋体" w:hAnsi="宋体" w:eastAsia="宋体"/>
                <w:b/>
                <w:bCs/>
                <w:color w:val="auto"/>
                <w:spacing w:val="-4"/>
                <w:highlight w:val="none"/>
              </w:rPr>
            </w:pPr>
          </w:p>
        </w:tc>
        <w:tc>
          <w:tcPr>
            <w:tcW w:w="1311" w:type="dxa"/>
            <w:vAlign w:val="center"/>
          </w:tcPr>
          <w:p w14:paraId="6EEDCE55">
            <w:pPr>
              <w:widowControl/>
              <w:spacing w:line="400" w:lineRule="exact"/>
              <w:jc w:val="center"/>
              <w:rPr>
                <w:rFonts w:hint="eastAsia" w:ascii="宋体" w:hAnsi="宋体" w:eastAsia="宋体"/>
                <w:b/>
                <w:bCs/>
                <w:color w:val="auto"/>
                <w:spacing w:val="-4"/>
                <w:highlight w:val="none"/>
              </w:rPr>
            </w:pPr>
          </w:p>
        </w:tc>
        <w:tc>
          <w:tcPr>
            <w:tcW w:w="1559" w:type="dxa"/>
            <w:vAlign w:val="center"/>
          </w:tcPr>
          <w:p w14:paraId="261A2267">
            <w:pPr>
              <w:widowControl/>
              <w:spacing w:line="400" w:lineRule="exact"/>
              <w:jc w:val="center"/>
              <w:rPr>
                <w:rFonts w:hint="eastAsia" w:ascii="宋体" w:hAnsi="宋体" w:eastAsia="宋体"/>
                <w:color w:val="auto"/>
                <w:highlight w:val="none"/>
              </w:rPr>
            </w:pPr>
          </w:p>
        </w:tc>
        <w:tc>
          <w:tcPr>
            <w:tcW w:w="1276" w:type="dxa"/>
            <w:vAlign w:val="center"/>
          </w:tcPr>
          <w:p w14:paraId="634D9D85">
            <w:pPr>
              <w:widowControl/>
              <w:spacing w:line="400" w:lineRule="exact"/>
              <w:rPr>
                <w:rFonts w:hint="eastAsia" w:ascii="宋体" w:hAnsi="宋体" w:eastAsia="宋体"/>
                <w:color w:val="auto"/>
                <w:highlight w:val="none"/>
              </w:rPr>
            </w:pPr>
          </w:p>
        </w:tc>
        <w:tc>
          <w:tcPr>
            <w:tcW w:w="1984" w:type="dxa"/>
            <w:vAlign w:val="center"/>
          </w:tcPr>
          <w:p w14:paraId="5150CB56">
            <w:pPr>
              <w:widowControl/>
              <w:spacing w:line="400" w:lineRule="exact"/>
              <w:rPr>
                <w:rFonts w:hint="eastAsia" w:ascii="宋体" w:hAnsi="宋体" w:eastAsia="宋体"/>
                <w:color w:val="auto"/>
                <w:highlight w:val="none"/>
              </w:rPr>
            </w:pPr>
          </w:p>
        </w:tc>
        <w:tc>
          <w:tcPr>
            <w:tcW w:w="2300" w:type="dxa"/>
            <w:vAlign w:val="center"/>
          </w:tcPr>
          <w:p w14:paraId="02919AF7">
            <w:pPr>
              <w:widowControl/>
              <w:spacing w:line="400" w:lineRule="exact"/>
              <w:rPr>
                <w:rFonts w:hint="eastAsia" w:ascii="宋体" w:hAnsi="宋体" w:eastAsia="宋体"/>
                <w:color w:val="auto"/>
                <w:highlight w:val="none"/>
              </w:rPr>
            </w:pPr>
          </w:p>
        </w:tc>
      </w:tr>
      <w:tr w14:paraId="34F58B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4117" w:type="dxa"/>
            <w:gridSpan w:val="3"/>
            <w:vAlign w:val="center"/>
          </w:tcPr>
          <w:p w14:paraId="1E08E80E">
            <w:pPr>
              <w:widowControl/>
              <w:spacing w:line="400" w:lineRule="exact"/>
              <w:jc w:val="center"/>
              <w:rPr>
                <w:rFonts w:hint="eastAsia" w:ascii="宋体" w:hAnsi="宋体" w:eastAsia="宋体"/>
                <w:b/>
                <w:bCs/>
                <w:color w:val="auto"/>
                <w:highlight w:val="none"/>
              </w:rPr>
            </w:pPr>
            <w:r>
              <w:rPr>
                <w:rFonts w:hint="eastAsia" w:ascii="宋体" w:hAnsi="宋体" w:eastAsia="宋体"/>
                <w:b/>
                <w:bCs/>
                <w:color w:val="auto"/>
                <w:highlight w:val="none"/>
              </w:rPr>
              <w:t>投标报价</w:t>
            </w:r>
            <w:r>
              <w:rPr>
                <w:rFonts w:hint="eastAsia" w:ascii="宋体" w:hAnsi="宋体"/>
                <w:b/>
                <w:bCs/>
                <w:color w:val="auto"/>
                <w:highlight w:val="none"/>
                <w:lang w:val="en-US" w:eastAsia="zh-CN"/>
              </w:rPr>
              <w:t>总</w:t>
            </w:r>
            <w:r>
              <w:rPr>
                <w:rFonts w:hint="eastAsia" w:ascii="宋体" w:hAnsi="宋体" w:eastAsia="宋体"/>
                <w:b/>
                <w:bCs/>
                <w:color w:val="auto"/>
                <w:highlight w:val="none"/>
              </w:rPr>
              <w:t>价</w:t>
            </w:r>
          </w:p>
          <w:p w14:paraId="468BD9EB">
            <w:pPr>
              <w:widowControl/>
              <w:spacing w:line="400" w:lineRule="exact"/>
              <w:jc w:val="center"/>
              <w:rPr>
                <w:rFonts w:hint="eastAsia" w:ascii="宋体" w:hAnsi="宋体" w:eastAsia="宋体"/>
                <w:b/>
                <w:bCs/>
                <w:color w:val="auto"/>
                <w:highlight w:val="none"/>
              </w:rPr>
            </w:pPr>
            <w:r>
              <w:rPr>
                <w:rFonts w:hint="eastAsia" w:ascii="宋体" w:hAnsi="宋体" w:eastAsia="宋体"/>
                <w:b/>
                <w:bCs/>
                <w:color w:val="auto"/>
                <w:highlight w:val="none"/>
              </w:rPr>
              <w:t>（含税人民币：元）</w:t>
            </w:r>
          </w:p>
        </w:tc>
        <w:tc>
          <w:tcPr>
            <w:tcW w:w="5560" w:type="dxa"/>
            <w:gridSpan w:val="3"/>
            <w:vAlign w:val="center"/>
          </w:tcPr>
          <w:p w14:paraId="3ECF2314">
            <w:pPr>
              <w:pStyle w:val="39"/>
              <w:widowControl/>
              <w:spacing w:line="400" w:lineRule="exact"/>
              <w:ind w:left="0" w:leftChars="0" w:firstLine="0" w:firstLineChars="0"/>
              <w:rPr>
                <w:rFonts w:hint="eastAsia" w:ascii="宋体" w:hAnsi="宋体" w:eastAsia="宋体"/>
                <w:color w:val="auto"/>
                <w:sz w:val="21"/>
                <w:highlight w:val="none"/>
                <w:lang w:val="en-US" w:eastAsia="zh-CN"/>
              </w:rPr>
            </w:pPr>
            <w:r>
              <w:rPr>
                <w:rFonts w:hint="eastAsia" w:ascii="宋体" w:hAnsi="宋体" w:eastAsia="宋体"/>
                <w:color w:val="auto"/>
                <w:sz w:val="21"/>
                <w:highlight w:val="none"/>
                <w:lang w:val="en-US" w:eastAsia="zh-CN"/>
              </w:rPr>
              <w:t>次氯酸钠：</w:t>
            </w:r>
          </w:p>
          <w:p w14:paraId="04AB4A47">
            <w:pPr>
              <w:rPr>
                <w:rFonts w:hint="eastAsia" w:ascii="宋体" w:hAnsi="宋体" w:eastAsia="宋体"/>
                <w:color w:val="auto"/>
                <w:sz w:val="21"/>
                <w:highlight w:val="none"/>
                <w:lang w:val="en-US" w:eastAsia="zh-CN"/>
              </w:rPr>
            </w:pPr>
            <w:r>
              <w:rPr>
                <w:rFonts w:hint="eastAsia" w:ascii="宋体" w:hAnsi="宋体" w:eastAsia="宋体"/>
                <w:color w:val="auto"/>
                <w:sz w:val="21"/>
                <w:highlight w:val="none"/>
                <w:lang w:val="en-US" w:eastAsia="zh-CN"/>
              </w:rPr>
              <w:t>氢氧化钠：</w:t>
            </w:r>
          </w:p>
        </w:tc>
      </w:tr>
      <w:tr w14:paraId="5535AC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4117" w:type="dxa"/>
            <w:gridSpan w:val="3"/>
            <w:vAlign w:val="center"/>
          </w:tcPr>
          <w:p w14:paraId="6CDAFFD8">
            <w:pPr>
              <w:pStyle w:val="39"/>
              <w:widowControl/>
              <w:spacing w:line="400" w:lineRule="exact"/>
              <w:ind w:firstLine="0" w:firstLineChars="0"/>
              <w:jc w:val="center"/>
              <w:rPr>
                <w:rFonts w:hint="eastAsia" w:ascii="宋体" w:hAnsi="宋体" w:eastAsia="宋体"/>
                <w:b/>
                <w:bCs/>
                <w:color w:val="auto"/>
                <w:sz w:val="21"/>
                <w:highlight w:val="none"/>
              </w:rPr>
            </w:pPr>
            <w:r>
              <w:rPr>
                <w:rFonts w:hint="eastAsia" w:ascii="宋体" w:hAnsi="宋体" w:eastAsia="宋体"/>
                <w:b/>
                <w:bCs/>
                <w:color w:val="auto"/>
                <w:sz w:val="21"/>
                <w:highlight w:val="none"/>
              </w:rPr>
              <w:t>投标声明</w:t>
            </w:r>
          </w:p>
        </w:tc>
        <w:tc>
          <w:tcPr>
            <w:tcW w:w="5560" w:type="dxa"/>
            <w:gridSpan w:val="3"/>
            <w:vAlign w:val="center"/>
          </w:tcPr>
          <w:p w14:paraId="442FC698">
            <w:pPr>
              <w:widowControl/>
              <w:spacing w:line="400" w:lineRule="exact"/>
              <w:rPr>
                <w:rFonts w:hint="eastAsia" w:ascii="宋体" w:hAnsi="宋体" w:eastAsia="宋体"/>
                <w:color w:val="auto"/>
                <w:highlight w:val="none"/>
              </w:rPr>
            </w:pPr>
          </w:p>
          <w:p w14:paraId="2A803661">
            <w:pPr>
              <w:pStyle w:val="39"/>
              <w:widowControl/>
              <w:spacing w:line="400" w:lineRule="exact"/>
              <w:ind w:firstLine="420"/>
              <w:jc w:val="center"/>
              <w:rPr>
                <w:rFonts w:hint="eastAsia" w:ascii="宋体" w:hAnsi="宋体" w:eastAsia="宋体"/>
                <w:color w:val="auto"/>
                <w:sz w:val="21"/>
                <w:highlight w:val="none"/>
              </w:rPr>
            </w:pPr>
          </w:p>
        </w:tc>
      </w:tr>
    </w:tbl>
    <w:p w14:paraId="0062FCB5">
      <w:pPr>
        <w:snapToGrid w:val="0"/>
        <w:spacing w:before="120" w:line="360" w:lineRule="auto"/>
        <w:ind w:firstLine="422" w:firstLineChars="200"/>
        <w:rPr>
          <w:rFonts w:hint="eastAsia" w:ascii="宋体" w:hAnsi="宋体" w:eastAsia="宋体"/>
          <w:b/>
          <w:color w:val="auto"/>
          <w:kern w:val="0"/>
          <w:szCs w:val="21"/>
          <w:highlight w:val="none"/>
          <w:lang w:val="zh-CN"/>
        </w:rPr>
      </w:pPr>
      <w:r>
        <w:rPr>
          <w:rFonts w:hint="eastAsia" w:ascii="宋体" w:hAnsi="宋体" w:eastAsia="宋体"/>
          <w:b/>
          <w:color w:val="auto"/>
          <w:kern w:val="0"/>
          <w:szCs w:val="21"/>
          <w:highlight w:val="none"/>
          <w:lang w:val="zh-CN"/>
        </w:rPr>
        <w:t>注：</w:t>
      </w:r>
      <w:r>
        <w:rPr>
          <w:rFonts w:hint="eastAsia" w:ascii="宋体" w:hAnsi="宋体" w:eastAsia="宋体"/>
          <w:color w:val="auto"/>
          <w:kern w:val="0"/>
          <w:szCs w:val="21"/>
          <w:highlight w:val="none"/>
          <w:lang w:val="zh-CN"/>
        </w:rPr>
        <w:t>1、供应商需按本表格式填写。</w:t>
      </w:r>
    </w:p>
    <w:p w14:paraId="113BA356">
      <w:pPr>
        <w:snapToGrid w:val="0"/>
        <w:spacing w:line="360" w:lineRule="auto"/>
        <w:ind w:firstLine="420" w:firstLineChars="200"/>
        <w:rPr>
          <w:rFonts w:hint="eastAsia" w:ascii="宋体" w:hAnsi="宋体" w:eastAsia="宋体"/>
          <w:color w:val="auto"/>
          <w:kern w:val="0"/>
          <w:szCs w:val="21"/>
          <w:highlight w:val="none"/>
          <w:lang w:val="zh-CN"/>
        </w:rPr>
      </w:pPr>
      <w:r>
        <w:rPr>
          <w:rFonts w:hint="eastAsia" w:ascii="宋体" w:hAnsi="宋体" w:eastAsia="宋体"/>
          <w:color w:val="auto"/>
          <w:kern w:val="0"/>
          <w:szCs w:val="21"/>
          <w:highlight w:val="none"/>
          <w:lang w:val="zh-CN"/>
        </w:rPr>
        <w:t>2、有关本项目实施所涉及的一切费用均计入</w:t>
      </w:r>
      <w:r>
        <w:rPr>
          <w:rFonts w:hint="eastAsia" w:ascii="宋体" w:hAnsi="宋体" w:eastAsia="宋体"/>
          <w:color w:val="auto"/>
          <w:kern w:val="0"/>
          <w:szCs w:val="21"/>
          <w:highlight w:val="none"/>
        </w:rPr>
        <w:t>投标报价</w:t>
      </w:r>
      <w:r>
        <w:rPr>
          <w:rFonts w:hint="eastAsia" w:ascii="宋体" w:hAnsi="宋体" w:eastAsia="宋体"/>
          <w:color w:val="auto"/>
          <w:kern w:val="0"/>
          <w:szCs w:val="21"/>
          <w:highlight w:val="none"/>
          <w:lang w:val="zh-CN"/>
        </w:rPr>
        <w:t>。</w:t>
      </w:r>
      <w:r>
        <w:rPr>
          <w:rFonts w:hint="eastAsia" w:ascii="宋体" w:hAnsi="宋体" w:eastAsia="宋体"/>
          <w:b/>
          <w:color w:val="auto"/>
          <w:kern w:val="0"/>
          <w:szCs w:val="21"/>
          <w:highlight w:val="none"/>
          <w:lang w:val="zh-CN"/>
        </w:rPr>
        <w:t>采购人将以合同形式有偿取得货物或服务，不接受供应商给予的赠品、回扣或者与采购无关的其他商品、服务</w:t>
      </w:r>
      <w:r>
        <w:rPr>
          <w:rFonts w:hint="eastAsia" w:ascii="宋体" w:hAnsi="宋体" w:eastAsia="宋体"/>
          <w:color w:val="auto"/>
          <w:kern w:val="0"/>
          <w:szCs w:val="21"/>
          <w:highlight w:val="none"/>
          <w:lang w:val="zh-CN"/>
        </w:rPr>
        <w:t>。</w:t>
      </w:r>
      <w:r>
        <w:rPr>
          <w:rFonts w:hint="eastAsia" w:ascii="宋体" w:hAnsi="宋体" w:eastAsia="宋体"/>
          <w:b/>
          <w:color w:val="auto"/>
          <w:kern w:val="0"/>
          <w:szCs w:val="21"/>
          <w:highlight w:val="none"/>
          <w:lang w:val="zh-CN"/>
        </w:rPr>
        <w:t>不得出现“0元”、“免费赠送”等形式的无偿报价，</w:t>
      </w:r>
      <w:r>
        <w:rPr>
          <w:rFonts w:hint="eastAsia" w:ascii="宋体" w:hAnsi="宋体" w:eastAsia="宋体"/>
          <w:b/>
          <w:color w:val="auto"/>
          <w:kern w:val="0"/>
          <w:szCs w:val="21"/>
          <w:highlight w:val="none"/>
        </w:rPr>
        <w:t>否则视为</w:t>
      </w:r>
      <w:r>
        <w:rPr>
          <w:rFonts w:hint="eastAsia" w:ascii="宋体" w:hAnsi="宋体" w:eastAsia="宋体"/>
          <w:b/>
          <w:color w:val="auto"/>
          <w:szCs w:val="21"/>
          <w:highlight w:val="none"/>
        </w:rPr>
        <w:t>投标文件含有采购人不能接受的附加条件，投标无效</w:t>
      </w:r>
      <w:r>
        <w:rPr>
          <w:rFonts w:hint="eastAsia" w:ascii="宋体" w:hAnsi="宋体" w:eastAsia="宋体"/>
          <w:b/>
          <w:color w:val="auto"/>
          <w:kern w:val="0"/>
          <w:szCs w:val="21"/>
          <w:highlight w:val="none"/>
          <w:lang w:val="zh-CN"/>
        </w:rPr>
        <w:t>；采购内容未包含在《开标一览表（报价表）》名称栏中，供应商不能作出合理解释的，</w:t>
      </w:r>
      <w:r>
        <w:rPr>
          <w:rFonts w:hint="eastAsia" w:ascii="宋体" w:hAnsi="宋体" w:eastAsia="宋体"/>
          <w:b/>
          <w:color w:val="auto"/>
          <w:kern w:val="0"/>
          <w:szCs w:val="21"/>
          <w:highlight w:val="none"/>
        </w:rPr>
        <w:t>视为</w:t>
      </w:r>
      <w:r>
        <w:rPr>
          <w:rFonts w:hint="eastAsia" w:ascii="宋体" w:hAnsi="宋体" w:eastAsia="宋体"/>
          <w:b/>
          <w:color w:val="auto"/>
          <w:szCs w:val="21"/>
          <w:highlight w:val="none"/>
        </w:rPr>
        <w:t>投标文件含有采购人不能接受的附加条件的，投标无效。</w:t>
      </w:r>
    </w:p>
    <w:p w14:paraId="30BF334D">
      <w:pPr>
        <w:snapToGrid w:val="0"/>
        <w:spacing w:line="360" w:lineRule="auto"/>
        <w:ind w:firstLine="420" w:firstLineChars="200"/>
        <w:rPr>
          <w:rFonts w:hint="eastAsia" w:ascii="宋体" w:hAnsi="宋体" w:eastAsia="宋体"/>
          <w:color w:val="auto"/>
          <w:kern w:val="0"/>
          <w:szCs w:val="21"/>
          <w:highlight w:val="none"/>
          <w:lang w:val="zh-CN"/>
        </w:rPr>
      </w:pPr>
      <w:r>
        <w:rPr>
          <w:rFonts w:hint="eastAsia" w:ascii="宋体" w:hAnsi="宋体" w:eastAsia="宋体"/>
          <w:color w:val="auto"/>
          <w:kern w:val="0"/>
          <w:szCs w:val="21"/>
          <w:highlight w:val="none"/>
          <w:lang w:val="zh-CN"/>
        </w:rPr>
        <w:t>3、特别提示：采购代理机构将对项目名称和项目编号，中标供应商名称、地址和中标金额，主要中标标的名称、品牌（如有）、规格型号、数量、单价等予以公示。</w:t>
      </w:r>
    </w:p>
    <w:p w14:paraId="33DC3AB7">
      <w:pPr>
        <w:snapToGrid w:val="0"/>
        <w:spacing w:line="360" w:lineRule="auto"/>
        <w:ind w:firstLine="422" w:firstLineChars="200"/>
        <w:rPr>
          <w:rFonts w:hint="eastAsia" w:ascii="宋体" w:hAnsi="宋体" w:eastAsia="宋体"/>
          <w:b/>
          <w:bCs/>
          <w:color w:val="auto"/>
          <w:kern w:val="0"/>
          <w:szCs w:val="21"/>
          <w:highlight w:val="none"/>
          <w:lang w:val="zh-CN"/>
        </w:rPr>
      </w:pPr>
      <w:r>
        <w:rPr>
          <w:rFonts w:hint="eastAsia" w:ascii="宋体" w:hAnsi="宋体" w:eastAsia="宋体"/>
          <w:b/>
          <w:bCs/>
          <w:color w:val="auto"/>
          <w:kern w:val="0"/>
          <w:szCs w:val="21"/>
          <w:highlight w:val="none"/>
          <w:lang w:val="zh-CN"/>
        </w:rPr>
        <w:t>4、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9F75B70">
      <w:pPr>
        <w:autoSpaceDE w:val="0"/>
        <w:autoSpaceDN w:val="0"/>
        <w:snapToGrid w:val="0"/>
        <w:spacing w:line="360" w:lineRule="auto"/>
        <w:ind w:right="1120"/>
        <w:jc w:val="left"/>
        <w:rPr>
          <w:rFonts w:hint="eastAsia" w:ascii="宋体" w:hAnsi="宋体" w:eastAsia="宋体"/>
          <w:color w:val="auto"/>
          <w:kern w:val="0"/>
          <w:szCs w:val="21"/>
          <w:highlight w:val="none"/>
          <w:lang w:val="zh-CN"/>
        </w:rPr>
      </w:pPr>
    </w:p>
    <w:p w14:paraId="73BBC7E5">
      <w:pPr>
        <w:autoSpaceDE w:val="0"/>
        <w:autoSpaceDN w:val="0"/>
        <w:snapToGrid w:val="0"/>
        <w:spacing w:line="360" w:lineRule="auto"/>
        <w:ind w:right="1120"/>
        <w:jc w:val="left"/>
        <w:rPr>
          <w:rFonts w:hint="eastAsia" w:ascii="宋体" w:hAnsi="宋体" w:eastAsia="宋体"/>
          <w:color w:val="auto"/>
          <w:kern w:val="0"/>
          <w:szCs w:val="21"/>
          <w:highlight w:val="none"/>
          <w:lang w:val="zh-CN"/>
        </w:rPr>
      </w:pPr>
      <w:r>
        <w:rPr>
          <w:rFonts w:hint="eastAsia" w:ascii="宋体" w:hAnsi="宋体" w:eastAsia="宋体"/>
          <w:color w:val="auto"/>
          <w:kern w:val="0"/>
          <w:szCs w:val="21"/>
          <w:highlight w:val="none"/>
          <w:lang w:val="zh-CN"/>
        </w:rPr>
        <w:t xml:space="preserve">供应商名称（公章）：                                                                                                                                                                                                               </w:t>
      </w:r>
    </w:p>
    <w:p w14:paraId="1FDAE717">
      <w:pPr>
        <w:snapToGrid w:val="0"/>
        <w:spacing w:line="360" w:lineRule="auto"/>
        <w:rPr>
          <w:rFonts w:hint="eastAsia" w:ascii="宋体" w:hAnsi="宋体" w:eastAsia="宋体"/>
          <w:color w:val="auto"/>
          <w:kern w:val="0"/>
          <w:szCs w:val="21"/>
          <w:highlight w:val="none"/>
          <w:lang w:val="zh-CN"/>
        </w:rPr>
      </w:pPr>
      <w:r>
        <w:rPr>
          <w:rFonts w:hint="eastAsia" w:ascii="宋体" w:hAnsi="宋体" w:eastAsia="宋体"/>
          <w:color w:val="auto"/>
          <w:kern w:val="0"/>
          <w:szCs w:val="21"/>
          <w:highlight w:val="none"/>
          <w:lang w:val="zh-CN"/>
        </w:rPr>
        <w:t>日期：   年   月   日</w:t>
      </w:r>
    </w:p>
    <w:p w14:paraId="76E3C400">
      <w:pPr>
        <w:snapToGrid w:val="0"/>
        <w:spacing w:line="360" w:lineRule="auto"/>
        <w:jc w:val="center"/>
        <w:rPr>
          <w:rFonts w:hint="eastAsia" w:ascii="宋体" w:hAnsi="宋体" w:eastAsia="宋体"/>
          <w:color w:val="auto"/>
          <w:kern w:val="0"/>
          <w:szCs w:val="21"/>
          <w:highlight w:val="none"/>
          <w:lang w:val="zh-CN"/>
        </w:rPr>
      </w:pPr>
    </w:p>
    <w:p w14:paraId="76C7DC79">
      <w:pPr>
        <w:spacing w:line="360" w:lineRule="auto"/>
        <w:rPr>
          <w:rFonts w:hint="eastAsia" w:ascii="宋体" w:hAnsi="宋体" w:eastAsia="宋体"/>
          <w:color w:val="auto"/>
          <w:kern w:val="0"/>
          <w:szCs w:val="21"/>
          <w:highlight w:val="none"/>
          <w:lang w:val="zh-CN"/>
        </w:rPr>
      </w:pPr>
      <w:r>
        <w:rPr>
          <w:rFonts w:hint="eastAsia" w:ascii="宋体" w:hAnsi="宋体" w:eastAsia="宋体"/>
          <w:color w:val="auto"/>
          <w:kern w:val="0"/>
          <w:szCs w:val="21"/>
          <w:highlight w:val="none"/>
          <w:lang w:val="zh-CN"/>
        </w:rPr>
        <w:t>注：按本格式和要求提供。</w:t>
      </w:r>
    </w:p>
    <w:p w14:paraId="41ECAAA0">
      <w:pPr>
        <w:pStyle w:val="170"/>
        <w:keepNext w:val="0"/>
        <w:pageBreakBefore w:val="0"/>
        <w:tabs>
          <w:tab w:val="clear" w:pos="720"/>
        </w:tabs>
        <w:snapToGrid w:val="0"/>
        <w:spacing w:before="120" w:after="120"/>
        <w:ind w:firstLine="643"/>
        <w:outlineLvl w:val="9"/>
        <w:rPr>
          <w:rFonts w:hint="eastAsia" w:ascii="宋体" w:hAnsi="宋体" w:eastAsia="宋体"/>
          <w:color w:val="auto"/>
          <w:kern w:val="2"/>
          <w:sz w:val="32"/>
          <w:szCs w:val="32"/>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titlePg/>
          <w:docGrid w:linePitch="312" w:charSpace="0"/>
        </w:sectPr>
      </w:pPr>
    </w:p>
    <w:p w14:paraId="2E8497DD">
      <w:pPr>
        <w:numPr>
          <w:ilvl w:val="0"/>
          <w:numId w:val="56"/>
        </w:numPr>
        <w:snapToGrid w:val="0"/>
        <w:spacing w:line="360" w:lineRule="auto"/>
        <w:ind w:firstLine="0"/>
        <w:jc w:val="center"/>
        <w:rPr>
          <w:rFonts w:hint="eastAsia" w:ascii="宋体" w:hAnsi="宋体" w:eastAsia="宋体"/>
          <w:b/>
          <w:color w:val="auto"/>
          <w:kern w:val="0"/>
          <w:sz w:val="24"/>
          <w:highlight w:val="none"/>
          <w:lang w:val="zh-CN"/>
        </w:rPr>
      </w:pPr>
      <w:bookmarkStart w:id="501" w:name="_Hlk101259491"/>
      <w:bookmarkEnd w:id="501"/>
      <w:r>
        <w:rPr>
          <w:rFonts w:hint="eastAsia" w:ascii="宋体" w:hAnsi="宋体" w:eastAsia="宋体"/>
          <w:b/>
          <w:color w:val="auto"/>
          <w:kern w:val="0"/>
          <w:sz w:val="24"/>
          <w:highlight w:val="none"/>
          <w:lang w:val="zh-CN"/>
        </w:rPr>
        <w:t>中小企业声明函（如有）</w:t>
      </w:r>
    </w:p>
    <w:p w14:paraId="13414227">
      <w:pPr>
        <w:snapToGrid w:val="0"/>
        <w:spacing w:line="360" w:lineRule="auto"/>
        <w:ind w:firstLine="422" w:firstLineChars="200"/>
        <w:jc w:val="left"/>
        <w:rPr>
          <w:rFonts w:hint="eastAsia" w:ascii="宋体" w:hAnsi="宋体" w:eastAsia="宋体"/>
          <w:b/>
          <w:color w:val="auto"/>
          <w:szCs w:val="21"/>
          <w:highlight w:val="none"/>
        </w:rPr>
      </w:pPr>
    </w:p>
    <w:p w14:paraId="76A1EE64">
      <w:pPr>
        <w:snapToGrid w:val="0"/>
        <w:spacing w:line="360" w:lineRule="auto"/>
        <w:ind w:firstLine="422" w:firstLineChars="200"/>
        <w:jc w:val="left"/>
        <w:rPr>
          <w:rFonts w:hint="eastAsia" w:ascii="宋体" w:hAnsi="宋体" w:eastAsia="宋体"/>
          <w:b/>
          <w:color w:val="auto"/>
          <w:szCs w:val="21"/>
          <w:highlight w:val="none"/>
        </w:rPr>
      </w:pPr>
      <w:r>
        <w:rPr>
          <w:rFonts w:hint="eastAsia" w:ascii="宋体" w:hAnsi="宋体" w:eastAsia="宋体"/>
          <w:b/>
          <w:color w:val="auto"/>
          <w:szCs w:val="21"/>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5749F7E5">
      <w:pPr>
        <w:pStyle w:val="170"/>
        <w:keepNext w:val="0"/>
        <w:pageBreakBefore w:val="0"/>
        <w:tabs>
          <w:tab w:val="clear" w:pos="720"/>
        </w:tabs>
        <w:snapToGrid w:val="0"/>
        <w:spacing w:before="120" w:after="120"/>
        <w:ind w:firstLine="643"/>
        <w:outlineLvl w:val="9"/>
        <w:rPr>
          <w:rFonts w:hint="eastAsia" w:ascii="宋体" w:hAnsi="宋体" w:eastAsia="宋体"/>
          <w:b w:val="0"/>
          <w:color w:val="auto"/>
          <w:sz w:val="32"/>
          <w:szCs w:val="32"/>
          <w:highlight w:val="none"/>
        </w:rPr>
      </w:pPr>
    </w:p>
    <w:p w14:paraId="0B50A6D7">
      <w:pPr>
        <w:spacing w:line="360" w:lineRule="auto"/>
        <w:ind w:right="420" w:firstLine="3614" w:firstLineChars="1000"/>
        <w:rPr>
          <w:rFonts w:hint="eastAsia" w:ascii="宋体" w:hAnsi="宋体" w:eastAsia="宋体"/>
          <w:b/>
          <w:color w:val="auto"/>
          <w:kern w:val="0"/>
          <w:sz w:val="36"/>
          <w:szCs w:val="36"/>
          <w:highlight w:val="none"/>
        </w:rPr>
      </w:pPr>
    </w:p>
    <w:p w14:paraId="3C01DC73">
      <w:pPr>
        <w:spacing w:line="360" w:lineRule="auto"/>
        <w:ind w:right="420" w:firstLine="3614" w:firstLineChars="1000"/>
        <w:rPr>
          <w:rFonts w:hint="eastAsia" w:ascii="宋体" w:hAnsi="宋体" w:eastAsia="宋体"/>
          <w:b/>
          <w:color w:val="auto"/>
          <w:kern w:val="0"/>
          <w:sz w:val="36"/>
          <w:szCs w:val="36"/>
          <w:highlight w:val="none"/>
        </w:rPr>
      </w:pPr>
    </w:p>
    <w:p w14:paraId="4BF74CB9">
      <w:pPr>
        <w:spacing w:line="360" w:lineRule="auto"/>
        <w:ind w:right="420" w:firstLine="3614" w:firstLineChars="1000"/>
        <w:rPr>
          <w:rFonts w:hint="eastAsia" w:ascii="宋体" w:hAnsi="宋体" w:eastAsia="宋体"/>
          <w:b/>
          <w:color w:val="auto"/>
          <w:kern w:val="0"/>
          <w:sz w:val="36"/>
          <w:szCs w:val="36"/>
          <w:highlight w:val="none"/>
        </w:rPr>
      </w:pPr>
    </w:p>
    <w:p w14:paraId="2EE16406">
      <w:pPr>
        <w:spacing w:line="360" w:lineRule="auto"/>
        <w:ind w:right="420" w:firstLine="3614" w:firstLineChars="1000"/>
        <w:rPr>
          <w:rFonts w:hint="eastAsia" w:ascii="宋体" w:hAnsi="宋体" w:eastAsia="宋体"/>
          <w:b/>
          <w:color w:val="auto"/>
          <w:kern w:val="0"/>
          <w:sz w:val="36"/>
          <w:szCs w:val="36"/>
          <w:highlight w:val="none"/>
        </w:rPr>
      </w:pPr>
    </w:p>
    <w:p w14:paraId="03D3CA2E">
      <w:pPr>
        <w:spacing w:line="360" w:lineRule="auto"/>
        <w:ind w:right="420" w:firstLine="3614" w:firstLineChars="1000"/>
        <w:rPr>
          <w:rFonts w:hint="eastAsia" w:ascii="宋体" w:hAnsi="宋体" w:eastAsia="宋体"/>
          <w:b/>
          <w:color w:val="auto"/>
          <w:kern w:val="0"/>
          <w:sz w:val="36"/>
          <w:szCs w:val="36"/>
          <w:highlight w:val="none"/>
        </w:rPr>
      </w:pPr>
    </w:p>
    <w:p w14:paraId="668BDDE9">
      <w:pPr>
        <w:spacing w:line="360" w:lineRule="auto"/>
        <w:ind w:right="420" w:firstLine="3614" w:firstLineChars="1000"/>
        <w:rPr>
          <w:rFonts w:hint="eastAsia" w:ascii="宋体" w:hAnsi="宋体" w:eastAsia="宋体"/>
          <w:b/>
          <w:color w:val="auto"/>
          <w:kern w:val="0"/>
          <w:sz w:val="36"/>
          <w:szCs w:val="36"/>
          <w:highlight w:val="none"/>
        </w:rPr>
      </w:pPr>
    </w:p>
    <w:p w14:paraId="350060EA">
      <w:pPr>
        <w:spacing w:line="360" w:lineRule="auto"/>
        <w:ind w:right="420" w:firstLine="3614" w:firstLineChars="1000"/>
        <w:rPr>
          <w:rFonts w:hint="eastAsia" w:ascii="宋体" w:hAnsi="宋体" w:eastAsia="宋体"/>
          <w:b/>
          <w:color w:val="auto"/>
          <w:kern w:val="0"/>
          <w:sz w:val="36"/>
          <w:szCs w:val="36"/>
          <w:highlight w:val="none"/>
        </w:rPr>
      </w:pPr>
    </w:p>
    <w:p w14:paraId="26B81118">
      <w:pPr>
        <w:spacing w:line="360" w:lineRule="auto"/>
        <w:ind w:right="420" w:firstLine="3614" w:firstLineChars="1000"/>
        <w:rPr>
          <w:rFonts w:hint="eastAsia" w:ascii="宋体" w:hAnsi="宋体" w:eastAsia="宋体"/>
          <w:b/>
          <w:color w:val="auto"/>
          <w:kern w:val="0"/>
          <w:sz w:val="36"/>
          <w:szCs w:val="36"/>
          <w:highlight w:val="none"/>
        </w:rPr>
      </w:pPr>
    </w:p>
    <w:p w14:paraId="150DA602">
      <w:pPr>
        <w:spacing w:line="360" w:lineRule="auto"/>
        <w:ind w:right="420" w:firstLine="3614" w:firstLineChars="1000"/>
        <w:rPr>
          <w:rFonts w:hint="eastAsia" w:ascii="宋体" w:hAnsi="宋体" w:eastAsia="宋体"/>
          <w:b/>
          <w:color w:val="auto"/>
          <w:kern w:val="0"/>
          <w:sz w:val="36"/>
          <w:szCs w:val="36"/>
          <w:highlight w:val="none"/>
        </w:rPr>
      </w:pPr>
    </w:p>
    <w:p w14:paraId="052EFEE1">
      <w:pPr>
        <w:spacing w:line="360" w:lineRule="auto"/>
        <w:ind w:right="420" w:firstLine="3614" w:firstLineChars="1000"/>
        <w:rPr>
          <w:rFonts w:hint="eastAsia" w:ascii="宋体" w:hAnsi="宋体" w:eastAsia="宋体"/>
          <w:b/>
          <w:color w:val="auto"/>
          <w:kern w:val="0"/>
          <w:sz w:val="36"/>
          <w:szCs w:val="36"/>
          <w:highlight w:val="none"/>
        </w:rPr>
      </w:pPr>
    </w:p>
    <w:p w14:paraId="6478C3C4">
      <w:pPr>
        <w:spacing w:line="360" w:lineRule="auto"/>
        <w:ind w:right="420" w:firstLine="3614" w:firstLineChars="1000"/>
        <w:rPr>
          <w:rFonts w:hint="eastAsia" w:ascii="宋体" w:hAnsi="宋体" w:eastAsia="宋体"/>
          <w:b/>
          <w:color w:val="auto"/>
          <w:kern w:val="0"/>
          <w:sz w:val="36"/>
          <w:szCs w:val="36"/>
          <w:highlight w:val="none"/>
        </w:rPr>
      </w:pPr>
    </w:p>
    <w:p w14:paraId="44F2ED26">
      <w:pPr>
        <w:spacing w:line="360" w:lineRule="auto"/>
        <w:ind w:right="420" w:firstLine="3614" w:firstLineChars="1000"/>
        <w:rPr>
          <w:rFonts w:hint="eastAsia" w:ascii="宋体" w:hAnsi="宋体" w:eastAsia="宋体"/>
          <w:b/>
          <w:color w:val="auto"/>
          <w:kern w:val="0"/>
          <w:sz w:val="36"/>
          <w:szCs w:val="36"/>
          <w:highlight w:val="none"/>
        </w:rPr>
      </w:pPr>
    </w:p>
    <w:p w14:paraId="65865187">
      <w:pPr>
        <w:spacing w:line="360" w:lineRule="auto"/>
        <w:ind w:right="420" w:firstLine="3614" w:firstLineChars="1000"/>
        <w:rPr>
          <w:rFonts w:hint="eastAsia" w:ascii="宋体" w:hAnsi="宋体" w:eastAsia="宋体"/>
          <w:b/>
          <w:color w:val="auto"/>
          <w:kern w:val="0"/>
          <w:sz w:val="36"/>
          <w:szCs w:val="36"/>
          <w:highlight w:val="none"/>
        </w:rPr>
      </w:pPr>
    </w:p>
    <w:p w14:paraId="148A2CF9">
      <w:pPr>
        <w:spacing w:line="360" w:lineRule="auto"/>
        <w:ind w:right="420" w:firstLine="3614" w:firstLineChars="1000"/>
        <w:rPr>
          <w:rFonts w:hint="eastAsia" w:ascii="宋体" w:hAnsi="宋体" w:eastAsia="宋体"/>
          <w:b/>
          <w:color w:val="auto"/>
          <w:kern w:val="0"/>
          <w:sz w:val="36"/>
          <w:szCs w:val="36"/>
          <w:highlight w:val="none"/>
        </w:rPr>
      </w:pPr>
    </w:p>
    <w:p w14:paraId="4437690C">
      <w:pPr>
        <w:spacing w:line="360" w:lineRule="auto"/>
        <w:ind w:right="420" w:firstLine="3614" w:firstLineChars="1000"/>
        <w:rPr>
          <w:rFonts w:hint="eastAsia" w:ascii="宋体" w:hAnsi="宋体" w:eastAsia="宋体"/>
          <w:b/>
          <w:color w:val="auto"/>
          <w:kern w:val="0"/>
          <w:sz w:val="36"/>
          <w:szCs w:val="36"/>
          <w:highlight w:val="none"/>
        </w:rPr>
      </w:pPr>
    </w:p>
    <w:p w14:paraId="5CE62970">
      <w:pPr>
        <w:spacing w:line="360" w:lineRule="auto"/>
        <w:ind w:right="420" w:firstLine="3614" w:firstLineChars="1000"/>
        <w:rPr>
          <w:rFonts w:hint="eastAsia" w:ascii="宋体" w:hAnsi="宋体" w:eastAsia="宋体"/>
          <w:b/>
          <w:color w:val="auto"/>
          <w:kern w:val="0"/>
          <w:sz w:val="36"/>
          <w:szCs w:val="36"/>
          <w:highlight w:val="none"/>
        </w:rPr>
      </w:pPr>
    </w:p>
    <w:p w14:paraId="6522A30B">
      <w:pPr>
        <w:snapToGrid w:val="0"/>
        <w:spacing w:line="360" w:lineRule="auto"/>
        <w:jc w:val="center"/>
        <w:rPr>
          <w:rFonts w:hint="eastAsia" w:ascii="宋体" w:hAnsi="宋体" w:eastAsia="宋体"/>
          <w:b/>
          <w:color w:val="auto"/>
          <w:kern w:val="0"/>
          <w:sz w:val="24"/>
          <w:highlight w:val="none"/>
          <w:lang w:val="zh-CN"/>
        </w:rPr>
      </w:pPr>
      <w:bookmarkStart w:id="502" w:name="_Toc465665161"/>
      <w:bookmarkEnd w:id="502"/>
      <w:r>
        <w:rPr>
          <w:rFonts w:hint="eastAsia" w:ascii="宋体" w:hAnsi="宋体" w:eastAsia="宋体"/>
          <w:b/>
          <w:color w:val="auto"/>
          <w:kern w:val="0"/>
          <w:sz w:val="24"/>
          <w:highlight w:val="none"/>
          <w:lang w:val="zh-CN"/>
        </w:rPr>
        <w:br w:type="page"/>
      </w:r>
      <w:r>
        <w:rPr>
          <w:rFonts w:hint="eastAsia" w:ascii="宋体" w:hAnsi="宋体" w:eastAsia="宋体"/>
          <w:b/>
          <w:color w:val="auto"/>
          <w:kern w:val="0"/>
          <w:sz w:val="28"/>
          <w:szCs w:val="28"/>
          <w:highlight w:val="none"/>
          <w:lang w:val="zh-CN"/>
        </w:rPr>
        <w:t>附件</w:t>
      </w:r>
    </w:p>
    <w:p w14:paraId="39629B19">
      <w:pPr>
        <w:snapToGrid w:val="0"/>
        <w:spacing w:line="360" w:lineRule="auto"/>
        <w:rPr>
          <w:rFonts w:hint="eastAsia" w:ascii="宋体" w:hAnsi="宋体" w:eastAsia="宋体"/>
          <w:b/>
          <w:color w:val="auto"/>
          <w:spacing w:val="6"/>
          <w:szCs w:val="32"/>
          <w:highlight w:val="none"/>
        </w:rPr>
      </w:pPr>
    </w:p>
    <w:p w14:paraId="563AB5C9">
      <w:pPr>
        <w:snapToGrid w:val="0"/>
        <w:spacing w:line="360" w:lineRule="auto"/>
        <w:rPr>
          <w:rFonts w:hint="eastAsia" w:ascii="宋体" w:hAnsi="宋体" w:eastAsia="宋体"/>
          <w:b/>
          <w:color w:val="auto"/>
          <w:spacing w:val="6"/>
          <w:szCs w:val="32"/>
          <w:highlight w:val="none"/>
        </w:rPr>
      </w:pPr>
      <w:r>
        <w:rPr>
          <w:rFonts w:hint="eastAsia" w:ascii="宋体" w:hAnsi="宋体" w:eastAsia="宋体"/>
          <w:b/>
          <w:color w:val="auto"/>
          <w:spacing w:val="6"/>
          <w:szCs w:val="32"/>
          <w:highlight w:val="none"/>
        </w:rPr>
        <w:t>附件1：</w:t>
      </w:r>
    </w:p>
    <w:p w14:paraId="27841B5B">
      <w:pPr>
        <w:snapToGrid w:val="0"/>
        <w:spacing w:line="360" w:lineRule="auto"/>
        <w:jc w:val="center"/>
        <w:rPr>
          <w:rFonts w:hint="eastAsia" w:ascii="宋体" w:hAnsi="宋体" w:eastAsia="宋体"/>
          <w:b/>
          <w:color w:val="auto"/>
          <w:spacing w:val="6"/>
          <w:sz w:val="24"/>
          <w:highlight w:val="none"/>
        </w:rPr>
      </w:pPr>
      <w:bookmarkStart w:id="503" w:name="OLE_LINK13"/>
      <w:bookmarkStart w:id="504" w:name="OLE_LINK14"/>
      <w:r>
        <w:rPr>
          <w:rFonts w:hint="eastAsia" w:ascii="宋体" w:hAnsi="宋体" w:eastAsia="宋体"/>
          <w:b/>
          <w:color w:val="auto"/>
          <w:spacing w:val="6"/>
          <w:sz w:val="24"/>
          <w:highlight w:val="none"/>
        </w:rPr>
        <w:t>残疾人福利性单位声明函</w:t>
      </w:r>
    </w:p>
    <w:bookmarkEnd w:id="503"/>
    <w:bookmarkEnd w:id="504"/>
    <w:p w14:paraId="099EE136">
      <w:pPr>
        <w:snapToGrid w:val="0"/>
        <w:spacing w:line="360" w:lineRule="auto"/>
        <w:rPr>
          <w:rFonts w:hint="eastAsia" w:ascii="宋体" w:hAnsi="宋体" w:eastAsia="宋体"/>
          <w:b/>
          <w:color w:val="auto"/>
          <w:spacing w:val="6"/>
          <w:szCs w:val="30"/>
          <w:highlight w:val="none"/>
        </w:rPr>
      </w:pPr>
    </w:p>
    <w:p w14:paraId="1136D0E8">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olor w:val="auto"/>
          <w:highlight w:val="none"/>
          <w:u w:val="single"/>
        </w:rPr>
        <w:t>（采购人）</w:t>
      </w:r>
      <w:r>
        <w:rPr>
          <w:rFonts w:hint="eastAsia" w:ascii="宋体" w:hAnsi="宋体" w:eastAsia="宋体"/>
          <w:color w:val="auto"/>
          <w:highlight w:val="none"/>
        </w:rPr>
        <w:t>单位的</w:t>
      </w:r>
      <w:r>
        <w:rPr>
          <w:rFonts w:hint="eastAsia" w:ascii="宋体" w:hAnsi="宋体" w:eastAsia="宋体"/>
          <w:color w:val="auto"/>
          <w:highlight w:val="none"/>
          <w:u w:val="single"/>
        </w:rPr>
        <w:t xml:space="preserve">   （项目名称）   </w:t>
      </w:r>
      <w:r>
        <w:rPr>
          <w:rFonts w:hint="eastAsia" w:ascii="宋体" w:hAnsi="宋体" w:eastAsia="宋体"/>
          <w:color w:val="auto"/>
          <w:highlight w:val="none"/>
        </w:rPr>
        <w:t>项目采购活动提供本单位制造的货物（由本单位承担工程/提供服务），或者提供其他残疾人福利性单位制造的货物（不包括使用非残疾人福利性单位注册商标的货物）。</w:t>
      </w:r>
    </w:p>
    <w:p w14:paraId="6D09F4F8">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本单位对上述声明的真实性负责。如有虚假，将依法承担相应责任。</w:t>
      </w:r>
    </w:p>
    <w:p w14:paraId="1D83AF3B">
      <w:pPr>
        <w:snapToGrid w:val="0"/>
        <w:spacing w:line="360" w:lineRule="auto"/>
        <w:ind w:firstLine="420" w:firstLineChars="200"/>
        <w:rPr>
          <w:rFonts w:hint="eastAsia" w:ascii="宋体" w:hAnsi="宋体" w:eastAsia="宋体"/>
          <w:color w:val="auto"/>
          <w:highlight w:val="none"/>
        </w:rPr>
      </w:pPr>
    </w:p>
    <w:p w14:paraId="4C6784F8">
      <w:pPr>
        <w:tabs>
          <w:tab w:val="left" w:pos="4860"/>
        </w:tabs>
        <w:snapToGrid w:val="0"/>
        <w:spacing w:line="360" w:lineRule="auto"/>
        <w:rPr>
          <w:rFonts w:hint="eastAsia" w:ascii="宋体" w:hAnsi="宋体" w:eastAsia="宋体"/>
          <w:color w:val="auto"/>
          <w:kern w:val="0"/>
          <w:highlight w:val="none"/>
          <w:lang w:val="zh-CN"/>
        </w:rPr>
      </w:pPr>
      <w:r>
        <w:rPr>
          <w:rFonts w:hint="eastAsia" w:ascii="宋体" w:hAnsi="宋体" w:eastAsia="宋体"/>
          <w:color w:val="auto"/>
          <w:kern w:val="0"/>
          <w:highlight w:val="none"/>
          <w:lang w:val="zh-CN"/>
        </w:rPr>
        <w:t>供应商名称（公章）</w:t>
      </w:r>
      <w:r>
        <w:rPr>
          <w:rFonts w:hint="eastAsia" w:ascii="宋体" w:hAnsi="宋体" w:eastAsia="宋体"/>
          <w:color w:val="auto"/>
          <w:highlight w:val="none"/>
        </w:rPr>
        <w:t>：</w:t>
      </w:r>
    </w:p>
    <w:p w14:paraId="1F13C205">
      <w:pPr>
        <w:tabs>
          <w:tab w:val="left" w:pos="4860"/>
        </w:tabs>
        <w:snapToGrid w:val="0"/>
        <w:spacing w:line="360" w:lineRule="auto"/>
        <w:rPr>
          <w:rFonts w:hint="eastAsia" w:ascii="宋体" w:hAnsi="宋体" w:eastAsia="宋体"/>
          <w:color w:val="auto"/>
          <w:kern w:val="0"/>
          <w:szCs w:val="21"/>
          <w:highlight w:val="none"/>
          <w:lang w:val="zh-CN"/>
        </w:rPr>
      </w:pPr>
      <w:r>
        <w:rPr>
          <w:rFonts w:hint="eastAsia" w:ascii="宋体" w:hAnsi="宋体" w:eastAsia="宋体"/>
          <w:color w:val="auto"/>
          <w:kern w:val="0"/>
          <w:szCs w:val="21"/>
          <w:highlight w:val="none"/>
          <w:lang w:val="zh-CN"/>
        </w:rPr>
        <w:t>日期：   年   月   日</w:t>
      </w:r>
    </w:p>
    <w:p w14:paraId="04DCDF57">
      <w:pPr>
        <w:snapToGrid w:val="0"/>
        <w:spacing w:line="360" w:lineRule="auto"/>
        <w:ind w:firstLine="420" w:firstLineChars="200"/>
        <w:rPr>
          <w:rFonts w:hint="eastAsia" w:ascii="宋体" w:hAnsi="宋体" w:eastAsia="宋体"/>
          <w:color w:val="auto"/>
          <w:highlight w:val="none"/>
        </w:rPr>
      </w:pPr>
    </w:p>
    <w:p w14:paraId="2E47662B">
      <w:pPr>
        <w:snapToGrid w:val="0"/>
        <w:spacing w:line="360" w:lineRule="auto"/>
        <w:ind w:firstLine="420" w:firstLineChars="200"/>
        <w:rPr>
          <w:rFonts w:hint="eastAsia" w:ascii="宋体" w:hAnsi="宋体" w:eastAsia="宋体"/>
          <w:color w:val="auto"/>
          <w:highlight w:val="none"/>
        </w:rPr>
      </w:pPr>
    </w:p>
    <w:p w14:paraId="36FE823B">
      <w:pPr>
        <w:snapToGrid w:val="0"/>
        <w:spacing w:line="360" w:lineRule="auto"/>
        <w:ind w:firstLine="420" w:firstLineChars="200"/>
        <w:rPr>
          <w:rFonts w:hint="eastAsia" w:ascii="宋体" w:hAnsi="宋体" w:eastAsia="宋体"/>
          <w:color w:val="auto"/>
          <w:highlight w:val="none"/>
        </w:rPr>
      </w:pPr>
    </w:p>
    <w:p w14:paraId="15C5D5A4">
      <w:pPr>
        <w:snapToGrid w:val="0"/>
        <w:spacing w:line="360" w:lineRule="auto"/>
        <w:ind w:firstLine="420" w:firstLineChars="200"/>
        <w:rPr>
          <w:rFonts w:hint="eastAsia" w:ascii="宋体" w:hAnsi="宋体" w:eastAsia="宋体"/>
          <w:color w:val="auto"/>
          <w:highlight w:val="none"/>
        </w:rPr>
      </w:pPr>
    </w:p>
    <w:p w14:paraId="63729D5B">
      <w:pPr>
        <w:rPr>
          <w:rFonts w:hint="eastAsia" w:ascii="宋体" w:hAnsi="宋体" w:eastAsia="宋体"/>
          <w:b/>
          <w:color w:val="auto"/>
          <w:spacing w:val="6"/>
          <w:szCs w:val="32"/>
          <w:highlight w:val="none"/>
        </w:rPr>
      </w:pPr>
      <w:bookmarkStart w:id="505" w:name="_Toc1212"/>
      <w:bookmarkEnd w:id="505"/>
      <w:bookmarkStart w:id="506" w:name="_Toc10227"/>
      <w:r>
        <w:rPr>
          <w:rFonts w:hint="eastAsia" w:ascii="宋体" w:hAnsi="宋体" w:eastAsia="宋体"/>
          <w:b/>
          <w:color w:val="auto"/>
          <w:spacing w:val="6"/>
          <w:szCs w:val="32"/>
          <w:highlight w:val="none"/>
        </w:rPr>
        <w:br w:type="page"/>
      </w:r>
    </w:p>
    <w:p w14:paraId="23F06C8B">
      <w:pPr>
        <w:snapToGrid w:val="0"/>
        <w:spacing w:line="360" w:lineRule="auto"/>
        <w:jc w:val="left"/>
        <w:outlineLvl w:val="0"/>
        <w:rPr>
          <w:rFonts w:hint="eastAsia" w:ascii="宋体" w:hAnsi="宋体" w:eastAsia="宋体"/>
          <w:b/>
          <w:color w:val="auto"/>
          <w:spacing w:val="6"/>
          <w:szCs w:val="32"/>
          <w:highlight w:val="none"/>
        </w:rPr>
      </w:pPr>
      <w:r>
        <w:rPr>
          <w:rFonts w:hint="eastAsia" w:ascii="宋体" w:hAnsi="宋体" w:eastAsia="宋体"/>
          <w:b/>
          <w:color w:val="auto"/>
          <w:spacing w:val="6"/>
          <w:szCs w:val="32"/>
          <w:highlight w:val="none"/>
        </w:rPr>
        <w:t>附件</w:t>
      </w:r>
      <w:r>
        <w:rPr>
          <w:rFonts w:hint="eastAsia" w:ascii="宋体" w:hAnsi="宋体"/>
          <w:b/>
          <w:color w:val="auto"/>
          <w:spacing w:val="6"/>
          <w:szCs w:val="32"/>
          <w:highlight w:val="none"/>
          <w:lang w:val="en-US" w:eastAsia="zh-CN"/>
        </w:rPr>
        <w:t>2</w:t>
      </w:r>
      <w:r>
        <w:rPr>
          <w:rFonts w:hint="eastAsia" w:ascii="宋体" w:hAnsi="宋体" w:eastAsia="宋体"/>
          <w:b/>
          <w:color w:val="auto"/>
          <w:spacing w:val="6"/>
          <w:szCs w:val="32"/>
          <w:highlight w:val="none"/>
        </w:rPr>
        <w:t>：</w:t>
      </w:r>
      <w:bookmarkEnd w:id="506"/>
    </w:p>
    <w:p w14:paraId="227F54F1">
      <w:pPr>
        <w:snapToGrid w:val="0"/>
        <w:spacing w:line="360" w:lineRule="auto"/>
        <w:jc w:val="center"/>
        <w:outlineLvl w:val="0"/>
        <w:rPr>
          <w:rFonts w:hint="eastAsia" w:ascii="宋体" w:hAnsi="宋体" w:eastAsia="宋体"/>
          <w:b/>
          <w:color w:val="auto"/>
          <w:sz w:val="28"/>
          <w:szCs w:val="28"/>
          <w:highlight w:val="none"/>
        </w:rPr>
      </w:pPr>
      <w:bookmarkStart w:id="507" w:name="_Toc10871"/>
      <w:bookmarkEnd w:id="507"/>
      <w:bookmarkStart w:id="508" w:name="_Toc10167"/>
      <w:r>
        <w:rPr>
          <w:rFonts w:hint="eastAsia" w:ascii="宋体" w:hAnsi="宋体" w:eastAsia="宋体"/>
          <w:b/>
          <w:color w:val="auto"/>
          <w:sz w:val="28"/>
          <w:szCs w:val="28"/>
          <w:highlight w:val="none"/>
        </w:rPr>
        <w:t>中小企业声明函（货物）</w:t>
      </w:r>
      <w:bookmarkEnd w:id="508"/>
    </w:p>
    <w:p w14:paraId="78A90294">
      <w:pPr>
        <w:snapToGrid w:val="0"/>
        <w:spacing w:line="360" w:lineRule="auto"/>
        <w:ind w:firstLine="420" w:firstLineChars="200"/>
        <w:rPr>
          <w:rFonts w:hint="eastAsia" w:ascii="宋体" w:hAnsi="宋体" w:eastAsia="宋体"/>
          <w:color w:val="auto"/>
          <w:szCs w:val="21"/>
          <w:highlight w:val="none"/>
        </w:rPr>
      </w:pPr>
    </w:p>
    <w:p w14:paraId="3390A0D2">
      <w:pPr>
        <w:snapToGrid w:val="0"/>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 xml:space="preserve">本公司（联合体）郑重声明，根据《政府采购促进中小企业发展管理办法》（财库﹝2020﹞46 号）的规定，本公司（联合体）参加 </w:t>
      </w:r>
      <w:r>
        <w:rPr>
          <w:rFonts w:hint="eastAsia" w:ascii="宋体" w:hAnsi="宋体" w:eastAsia="宋体"/>
          <w:color w:val="auto"/>
          <w:szCs w:val="21"/>
          <w:highlight w:val="none"/>
          <w:u w:val="single"/>
        </w:rPr>
        <w:t xml:space="preserve">（采购人） </w:t>
      </w:r>
      <w:r>
        <w:rPr>
          <w:rFonts w:hint="eastAsia" w:ascii="宋体" w:hAnsi="宋体" w:eastAsia="宋体"/>
          <w:color w:val="auto"/>
          <w:szCs w:val="21"/>
          <w:highlight w:val="none"/>
        </w:rPr>
        <w:t xml:space="preserve">的 </w:t>
      </w:r>
      <w:r>
        <w:rPr>
          <w:rFonts w:hint="eastAsia" w:ascii="宋体" w:hAnsi="宋体" w:eastAsia="宋体"/>
          <w:color w:val="auto"/>
          <w:szCs w:val="21"/>
          <w:highlight w:val="none"/>
          <w:u w:val="single"/>
        </w:rPr>
        <w:t>（项目名称）</w:t>
      </w:r>
      <w:r>
        <w:rPr>
          <w:rFonts w:hint="eastAsia" w:ascii="宋体" w:hAnsi="宋体" w:eastAsia="宋体"/>
          <w:color w:val="auto"/>
          <w:szCs w:val="21"/>
          <w:highlight w:val="none"/>
        </w:rPr>
        <w:t xml:space="preserve"> 采购活动，提供的货物全部由符合政策要求的中小企业制造。相关企业（含联合体中的中小企业、签订分包意向协议的中小企业）的具体情况如下：</w:t>
      </w:r>
    </w:p>
    <w:p w14:paraId="1AB67545">
      <w:pPr>
        <w:numPr>
          <w:ilvl w:val="0"/>
          <w:numId w:val="57"/>
        </w:numPr>
        <w:tabs>
          <w:tab w:val="clear" w:pos="0"/>
        </w:tabs>
        <w:snapToGrid w:val="0"/>
        <w:spacing w:line="360" w:lineRule="auto"/>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 xml:space="preserve"> ，属于 </w:t>
      </w:r>
      <w:r>
        <w:rPr>
          <w:rFonts w:hint="eastAsia" w:ascii="宋体" w:hAnsi="宋体" w:eastAsia="宋体"/>
          <w:color w:val="auto"/>
          <w:szCs w:val="21"/>
          <w:highlight w:val="none"/>
          <w:u w:val="single"/>
        </w:rPr>
        <w:t>（工业）</w:t>
      </w:r>
      <w:r>
        <w:rPr>
          <w:rFonts w:hint="eastAsia" w:ascii="宋体" w:hAnsi="宋体" w:eastAsia="宋体"/>
          <w:color w:val="auto"/>
          <w:szCs w:val="21"/>
          <w:highlight w:val="none"/>
        </w:rPr>
        <w:t>行业 ；制造商为</w:t>
      </w:r>
      <w:r>
        <w:rPr>
          <w:rFonts w:hint="eastAsia" w:ascii="宋体" w:hAnsi="宋体" w:eastAsia="宋体"/>
          <w:color w:val="auto"/>
          <w:szCs w:val="21"/>
          <w:highlight w:val="none"/>
          <w:u w:val="single"/>
        </w:rPr>
        <w:t xml:space="preserve"> （企业名称）</w:t>
      </w:r>
      <w:r>
        <w:rPr>
          <w:rFonts w:hint="eastAsia" w:ascii="宋体" w:hAnsi="宋体" w:eastAsia="宋体"/>
          <w:color w:val="auto"/>
          <w:szCs w:val="21"/>
          <w:highlight w:val="none"/>
        </w:rPr>
        <w:t xml:space="preserve"> ，从业人员</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人，营业收入为</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万元，资产总额为</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万元，属于</w:t>
      </w:r>
      <w:r>
        <w:rPr>
          <w:rFonts w:hint="eastAsia" w:ascii="宋体" w:hAnsi="宋体" w:eastAsia="宋体"/>
          <w:color w:val="auto"/>
          <w:szCs w:val="21"/>
          <w:highlight w:val="none"/>
          <w:u w:val="single"/>
        </w:rPr>
        <w:t xml:space="preserve"> （中型企业、小型企业、微型企业）</w:t>
      </w:r>
      <w:r>
        <w:rPr>
          <w:rFonts w:hint="eastAsia" w:ascii="宋体" w:hAnsi="宋体" w:eastAsia="宋体"/>
          <w:color w:val="auto"/>
          <w:szCs w:val="21"/>
          <w:highlight w:val="none"/>
        </w:rPr>
        <w:t xml:space="preserve"> ；</w:t>
      </w:r>
    </w:p>
    <w:p w14:paraId="2A05BAFF">
      <w:pPr>
        <w:snapToGrid w:val="0"/>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w:t>
      </w:r>
    </w:p>
    <w:p w14:paraId="146E1AC9">
      <w:pPr>
        <w:snapToGrid w:val="0"/>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以上企业，不属于大企业的分支机构，不存在控股股东为大企业的情形，也不存在与大企业的负责人为同一人的情形。</w:t>
      </w:r>
    </w:p>
    <w:p w14:paraId="56DE4B67">
      <w:pPr>
        <w:snapToGrid w:val="0"/>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本企业对上述声明内容的真实性负责。如有虚假，将依法承担相应责任。</w:t>
      </w:r>
    </w:p>
    <w:p w14:paraId="2D988745">
      <w:pPr>
        <w:snapToGrid w:val="0"/>
        <w:spacing w:line="360" w:lineRule="auto"/>
        <w:rPr>
          <w:rFonts w:hint="eastAsia" w:ascii="宋体" w:hAnsi="宋体" w:eastAsia="宋体"/>
          <w:color w:val="auto"/>
          <w:kern w:val="0"/>
          <w:szCs w:val="21"/>
          <w:highlight w:val="none"/>
          <w:lang w:val="zh-CN"/>
        </w:rPr>
      </w:pPr>
    </w:p>
    <w:p w14:paraId="3E9EAC33">
      <w:pPr>
        <w:snapToGrid w:val="0"/>
        <w:spacing w:line="360" w:lineRule="auto"/>
        <w:rPr>
          <w:rFonts w:hint="eastAsia" w:ascii="宋体" w:hAnsi="宋体" w:eastAsia="宋体"/>
          <w:color w:val="auto"/>
          <w:kern w:val="0"/>
          <w:szCs w:val="21"/>
          <w:highlight w:val="none"/>
          <w:lang w:val="zh-CN"/>
        </w:rPr>
      </w:pPr>
    </w:p>
    <w:p w14:paraId="7C2B58CE">
      <w:pPr>
        <w:snapToGrid w:val="0"/>
        <w:spacing w:line="360" w:lineRule="auto"/>
        <w:rPr>
          <w:rFonts w:hint="eastAsia" w:ascii="宋体" w:hAnsi="宋体" w:eastAsia="宋体"/>
          <w:color w:val="auto"/>
          <w:kern w:val="0"/>
          <w:szCs w:val="21"/>
          <w:highlight w:val="none"/>
          <w:lang w:val="zh-CN"/>
        </w:rPr>
      </w:pPr>
      <w:r>
        <w:rPr>
          <w:rFonts w:hint="eastAsia" w:ascii="宋体" w:hAnsi="宋体" w:eastAsia="宋体"/>
          <w:color w:val="auto"/>
          <w:kern w:val="0"/>
          <w:szCs w:val="21"/>
          <w:highlight w:val="none"/>
          <w:lang w:val="zh-CN"/>
        </w:rPr>
        <w:t>供应商名称（公章）：</w:t>
      </w:r>
    </w:p>
    <w:p w14:paraId="068422E1">
      <w:pPr>
        <w:snapToGrid w:val="0"/>
        <w:spacing w:line="360" w:lineRule="auto"/>
        <w:rPr>
          <w:rFonts w:hint="eastAsia" w:ascii="宋体" w:hAnsi="宋体" w:eastAsia="宋体"/>
          <w:color w:val="auto"/>
          <w:kern w:val="0"/>
          <w:szCs w:val="21"/>
          <w:highlight w:val="none"/>
          <w:lang w:val="zh-CN"/>
        </w:rPr>
      </w:pPr>
      <w:r>
        <w:rPr>
          <w:rFonts w:hint="eastAsia" w:ascii="宋体" w:hAnsi="宋体" w:eastAsia="宋体"/>
          <w:color w:val="auto"/>
          <w:kern w:val="0"/>
          <w:szCs w:val="21"/>
          <w:highlight w:val="none"/>
          <w:lang w:val="zh-CN"/>
        </w:rPr>
        <w:t>日期</w:t>
      </w:r>
      <w:r>
        <w:rPr>
          <w:rFonts w:hint="eastAsia" w:ascii="宋体" w:hAnsi="宋体" w:eastAsia="宋体"/>
          <w:color w:val="auto"/>
          <w:kern w:val="0"/>
          <w:szCs w:val="21"/>
          <w:highlight w:val="none"/>
        </w:rPr>
        <w:t xml:space="preserve">：  年  </w:t>
      </w:r>
      <w:r>
        <w:rPr>
          <w:rFonts w:hint="eastAsia" w:ascii="宋体" w:hAnsi="宋体" w:eastAsia="宋体"/>
          <w:color w:val="auto"/>
          <w:kern w:val="0"/>
          <w:szCs w:val="21"/>
          <w:highlight w:val="none"/>
          <w:lang w:val="zh-CN"/>
        </w:rPr>
        <w:t>月</w:t>
      </w:r>
      <w:r>
        <w:rPr>
          <w:rFonts w:hint="eastAsia" w:ascii="宋体" w:hAnsi="宋体" w:eastAsia="宋体"/>
          <w:color w:val="auto"/>
          <w:kern w:val="0"/>
          <w:szCs w:val="21"/>
          <w:highlight w:val="none"/>
        </w:rPr>
        <w:t xml:space="preserve">   </w:t>
      </w:r>
      <w:r>
        <w:rPr>
          <w:rFonts w:hint="eastAsia" w:ascii="宋体" w:hAnsi="宋体" w:eastAsia="宋体"/>
          <w:color w:val="auto"/>
          <w:kern w:val="0"/>
          <w:szCs w:val="21"/>
          <w:highlight w:val="none"/>
          <w:lang w:val="zh-CN"/>
        </w:rPr>
        <w:t>日</w:t>
      </w:r>
    </w:p>
    <w:p w14:paraId="117D8D1D">
      <w:pPr>
        <w:snapToGrid w:val="0"/>
        <w:spacing w:line="360" w:lineRule="auto"/>
        <w:ind w:firstLine="420" w:firstLineChars="200"/>
        <w:rPr>
          <w:rFonts w:hint="eastAsia" w:ascii="宋体" w:hAnsi="宋体" w:eastAsia="宋体"/>
          <w:color w:val="auto"/>
          <w:szCs w:val="21"/>
          <w:highlight w:val="none"/>
        </w:rPr>
      </w:pPr>
    </w:p>
    <w:p w14:paraId="5255EDB7">
      <w:pPr>
        <w:snapToGrid w:val="0"/>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注：</w:t>
      </w:r>
    </w:p>
    <w:p w14:paraId="175DFA76">
      <w:pPr>
        <w:numPr>
          <w:ilvl w:val="0"/>
          <w:numId w:val="58"/>
        </w:numPr>
        <w:snapToGrid w:val="0"/>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E9A8E58">
      <w:pPr>
        <w:numPr>
          <w:ilvl w:val="0"/>
          <w:numId w:val="58"/>
        </w:numPr>
        <w:snapToGrid w:val="0"/>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3424451">
      <w:pPr>
        <w:numPr>
          <w:ilvl w:val="0"/>
          <w:numId w:val="58"/>
        </w:numPr>
        <w:snapToGrid w:val="0"/>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如接受联合体投标的项目，所有联合体参与方均需提供本表。有多个标项的，须按每个标项分别填写。</w:t>
      </w:r>
    </w:p>
    <w:p w14:paraId="1CB695B6">
      <w:pPr>
        <w:widowControl w:val="0"/>
        <w:numPr>
          <w:ilvl w:val="0"/>
          <w:numId w:val="0"/>
        </w:numPr>
        <w:jc w:val="both"/>
        <w:rPr>
          <w:rFonts w:hint="eastAsia" w:ascii="宋体" w:hAnsi="宋体" w:eastAsia="宋体"/>
          <w:b/>
          <w:bCs/>
          <w:color w:val="auto"/>
          <w:kern w:val="0"/>
          <w:szCs w:val="21"/>
          <w:highlight w:val="none"/>
        </w:rPr>
      </w:pPr>
    </w:p>
    <w:sectPr>
      <w:headerReference r:id="rId18" w:type="default"/>
      <w:footerReference r:id="rId19" w:type="default"/>
      <w:pgSz w:w="11907" w:h="16840"/>
      <w:pgMar w:top="1304" w:right="1588" w:bottom="1304" w:left="1588" w:header="720" w:footer="720" w:gutter="0"/>
      <w:pgBorders>
        <w:top w:val="none" w:sz="0" w:space="0"/>
        <w:left w:val="none" w:sz="0" w:space="0"/>
        <w:bottom w:val="none" w:sz="0" w:space="0"/>
        <w:right w:val="none" w:sz="0" w:space="0"/>
      </w:pgBorders>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ì.">
    <w:altName w:val="Segoe Print"/>
    <w:panose1 w:val="00000000000000000000"/>
    <w:charset w:val="00"/>
    <w:family w:val="auto"/>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A5E88">
    <w:pPr>
      <w:pStyle w:val="51"/>
      <w:tabs>
        <w:tab w:val="clear" w:pos="4153"/>
        <w:tab w:val="clear" w:pos="8306"/>
      </w:tabs>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CB105">
    <w:pPr>
      <w:pStyle w:val="51"/>
      <w:tabs>
        <w:tab w:val="clear" w:pos="4153"/>
        <w:tab w:val="clear" w:pos="8306"/>
      </w:tabs>
      <w:ind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_x0000_s2058"/>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2E74705F">
                          <w:pPr>
                            <w:pStyle w:val="51"/>
                            <w:tabs>
                              <w:tab w:val="clear" w:pos="4153"/>
                              <w:tab w:val="clear" w:pos="8306"/>
                            </w:tabs>
                          </w:pPr>
                          <w:r>
                            <w:fldChar w:fldCharType="begin"/>
                          </w:r>
                          <w:r>
                            <w:instrText xml:space="preserve"> PAGE  \* MERGEFORMAT </w:instrText>
                          </w:r>
                          <w:r>
                            <w:fldChar w:fldCharType="separate"/>
                          </w:r>
                          <w:r>
                            <w:t>38</w:t>
                          </w:r>
                          <w:r>
                            <w:fldChar w:fldCharType="end"/>
                          </w:r>
                        </w:p>
                        <w:p w14:paraId="3A3EE59B"/>
                      </w:txbxContent>
                    </wps:txbx>
                    <wps:bodyPr rot="0" vert="horz" wrap="square" lIns="91440" tIns="45720" rIns="91440" bIns="45720" anchor="t" anchorCtr="0"/>
                  </wps:wsp>
                </a:graphicData>
              </a:graphic>
            </wp:anchor>
          </w:drawing>
        </mc:Choice>
        <mc:Fallback>
          <w:pict>
            <v:rect id="_x0000_s2058"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K8Fxee7AQAAhgMAAA4AAAAAAAAAAQAgAAAAIgEAAGRycy9lMm9Eb2MueG1sUEsFBgAA&#10;AAAGAAYAWQEAAE8FAAAAAA==&#10;">
              <v:fill on="f" focussize="0,0"/>
              <v:stroke on="f"/>
              <v:imagedata o:title=""/>
              <o:lock v:ext="edit" aspectratio="f"/>
              <v:textbox>
                <w:txbxContent>
                  <w:p w14:paraId="2E74705F">
                    <w:pPr>
                      <w:pStyle w:val="51"/>
                      <w:tabs>
                        <w:tab w:val="clear" w:pos="4153"/>
                        <w:tab w:val="clear" w:pos="8306"/>
                      </w:tabs>
                    </w:pPr>
                    <w:r>
                      <w:fldChar w:fldCharType="begin"/>
                    </w:r>
                    <w:r>
                      <w:instrText xml:space="preserve"> PAGE  \* MERGEFORMAT </w:instrText>
                    </w:r>
                    <w:r>
                      <w:fldChar w:fldCharType="separate"/>
                    </w:r>
                    <w:r>
                      <w:t>38</w:t>
                    </w:r>
                    <w:r>
                      <w:fldChar w:fldCharType="end"/>
                    </w:r>
                  </w:p>
                  <w:p w14:paraId="3A3EE59B"/>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3B651">
    <w:pPr>
      <w:pStyle w:val="51"/>
      <w:tabs>
        <w:tab w:val="clear" w:pos="4153"/>
        <w:tab w:val="clear" w:pos="8306"/>
      </w:tabs>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2057"/>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4EF48533">
                          <w:pPr>
                            <w:pStyle w:val="51"/>
                            <w:tabs>
                              <w:tab w:val="clear" w:pos="4153"/>
                              <w:tab w:val="clear" w:pos="8306"/>
                            </w:tabs>
                          </w:pPr>
                          <w:r>
                            <w:fldChar w:fldCharType="begin"/>
                          </w:r>
                          <w:r>
                            <w:instrText xml:space="preserve"> PAGE  \* MERGEFORMAT </w:instrText>
                          </w:r>
                          <w:r>
                            <w:fldChar w:fldCharType="separate"/>
                          </w:r>
                          <w:r>
                            <w:t>32</w:t>
                          </w:r>
                          <w:r>
                            <w:fldChar w:fldCharType="end"/>
                          </w:r>
                        </w:p>
                        <w:p w14:paraId="478D2303"/>
                      </w:txbxContent>
                    </wps:txbx>
                    <wps:bodyPr rot="0" vert="horz" wrap="square" lIns="91440" tIns="45720" rIns="91440" bIns="45720" anchor="t" anchorCtr="0"/>
                  </wps:wsp>
                </a:graphicData>
              </a:graphic>
            </wp:anchor>
          </w:drawing>
        </mc:Choice>
        <mc:Fallback>
          <w:pict>
            <v:rect id="_x0000_s2057"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CVg9iu7AQAAhgMAAA4AAAAAAAAAAQAgAAAAIgEAAGRycy9lMm9Eb2MueG1sUEsFBgAA&#10;AAAGAAYAWQEAAE8FAAAAAA==&#10;">
              <v:fill on="f" focussize="0,0"/>
              <v:stroke on="f"/>
              <v:imagedata o:title=""/>
              <o:lock v:ext="edit" aspectratio="f"/>
              <v:textbox>
                <w:txbxContent>
                  <w:p w14:paraId="4EF48533">
                    <w:pPr>
                      <w:pStyle w:val="51"/>
                      <w:tabs>
                        <w:tab w:val="clear" w:pos="4153"/>
                        <w:tab w:val="clear" w:pos="8306"/>
                      </w:tabs>
                    </w:pPr>
                    <w:r>
                      <w:fldChar w:fldCharType="begin"/>
                    </w:r>
                    <w:r>
                      <w:instrText xml:space="preserve"> PAGE  \* MERGEFORMAT </w:instrText>
                    </w:r>
                    <w:r>
                      <w:fldChar w:fldCharType="separate"/>
                    </w:r>
                    <w:r>
                      <w:t>32</w:t>
                    </w:r>
                    <w:r>
                      <w:fldChar w:fldCharType="end"/>
                    </w:r>
                  </w:p>
                  <w:p w14:paraId="478D2303"/>
                </w:txbxContent>
              </v:textbox>
            </v:rect>
          </w:pict>
        </mc:Fallback>
      </mc:AlternateContent>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8B654">
    <w:pPr>
      <w:pStyle w:val="51"/>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_x0000_s206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067B687">
                          <w:pPr>
                            <w:pStyle w:val="51"/>
                            <w:tabs>
                              <w:tab w:val="clear" w:pos="4153"/>
                              <w:tab w:val="clear" w:pos="8306"/>
                            </w:tabs>
                          </w:pPr>
                          <w:r>
                            <w:fldChar w:fldCharType="begin"/>
                          </w:r>
                          <w:r>
                            <w:instrText xml:space="preserve"> PAGE  \* MERGEFORMAT </w:instrText>
                          </w:r>
                          <w:r>
                            <w:fldChar w:fldCharType="separate"/>
                          </w:r>
                          <w:r>
                            <w:t>18</w:t>
                          </w:r>
                          <w:r>
                            <w:fldChar w:fldCharType="end"/>
                          </w:r>
                        </w:p>
                        <w:p w14:paraId="5F69503F"/>
                      </w:txbxContent>
                    </wps:txbx>
                    <wps:bodyPr rot="0" vert="horz" wrap="square" lIns="91440" tIns="45720" rIns="91440" bIns="45720" anchor="t" anchorCtr="0"/>
                  </wps:wsp>
                </a:graphicData>
              </a:graphic>
            </wp:anchor>
          </w:drawing>
        </mc:Choice>
        <mc:Fallback>
          <w:pict>
            <v:rect id="_x0000_s2060"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KG6BHLoBAACGAwAADgAAAAAAAAABACAAAAAiAQAAZHJzL2Uyb0RvYy54bWxQSwUGAAAA&#10;AAYABgBZAQAATgUAAAAA&#10;">
              <v:fill on="f" focussize="0,0"/>
              <v:stroke on="f"/>
              <v:imagedata o:title=""/>
              <o:lock v:ext="edit" aspectratio="f"/>
              <v:textbox>
                <w:txbxContent>
                  <w:p w14:paraId="7067B687">
                    <w:pPr>
                      <w:pStyle w:val="51"/>
                      <w:tabs>
                        <w:tab w:val="clear" w:pos="4153"/>
                        <w:tab w:val="clear" w:pos="8306"/>
                      </w:tabs>
                    </w:pPr>
                    <w:r>
                      <w:fldChar w:fldCharType="begin"/>
                    </w:r>
                    <w:r>
                      <w:instrText xml:space="preserve"> PAGE  \* MERGEFORMAT </w:instrText>
                    </w:r>
                    <w:r>
                      <w:fldChar w:fldCharType="separate"/>
                    </w:r>
                    <w:r>
                      <w:t>18</w:t>
                    </w:r>
                    <w:r>
                      <w:fldChar w:fldCharType="end"/>
                    </w:r>
                  </w:p>
                  <w:p w14:paraId="5F69503F"/>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419D2">
    <w:pPr>
      <w:pStyle w:val="51"/>
      <w:framePr w:wrap="around" w:vAnchor="text" w:hAnchor="margin" w:xAlign="right" w:y="1"/>
      <w:tabs>
        <w:tab w:val="clear" w:pos="4153"/>
        <w:tab w:val="clear" w:pos="8306"/>
      </w:tabs>
    </w:pPr>
    <w:r>
      <w:fldChar w:fldCharType="begin"/>
    </w:r>
    <w:r>
      <w:rPr>
        <w:rStyle w:val="69"/>
      </w:rPr>
      <w:instrText xml:space="preserve">PAGE  </w:instrText>
    </w:r>
    <w:r>
      <w:fldChar w:fldCharType="separate"/>
    </w:r>
    <w:r>
      <w:rPr>
        <w:rStyle w:val="69"/>
      </w:rPr>
      <w:t>7</w:t>
    </w:r>
    <w:r>
      <w:fldChar w:fldCharType="end"/>
    </w:r>
  </w:p>
  <w:p w14:paraId="063EABE5">
    <w:pPr>
      <w:pStyle w:val="51"/>
      <w:tabs>
        <w:tab w:val="clear" w:pos="4153"/>
        <w:tab w:val="clear" w:pos="8306"/>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A8AF">
    <w:pPr>
      <w:pStyle w:val="51"/>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_x0000_s205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3251DFB4">
                          <w:pPr>
                            <w:pStyle w:val="51"/>
                            <w:tabs>
                              <w:tab w:val="clear" w:pos="4153"/>
                              <w:tab w:val="clear" w:pos="8306"/>
                            </w:tabs>
                          </w:pPr>
                          <w:r>
                            <w:fldChar w:fldCharType="begin"/>
                          </w:r>
                          <w:r>
                            <w:instrText xml:space="preserve"> PAGE  \* MERGEFORMAT </w:instrText>
                          </w:r>
                          <w:r>
                            <w:fldChar w:fldCharType="separate"/>
                          </w:r>
                          <w:r>
                            <w:t>1</w:t>
                          </w:r>
                          <w:r>
                            <w:fldChar w:fldCharType="end"/>
                          </w:r>
                        </w:p>
                        <w:p w14:paraId="356456B4"/>
                      </w:txbxContent>
                    </wps:txbx>
                    <wps:bodyPr rot="0" vert="horz" wrap="square" lIns="91440" tIns="45720" rIns="91440" bIns="45720" anchor="t" anchorCtr="0"/>
                  </wps:wsp>
                </a:graphicData>
              </a:graphic>
            </wp:anchor>
          </w:drawing>
        </mc:Choice>
        <mc:Fallback>
          <w:pict>
            <v:rect id="_x0000_s205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IEeTxu7AQAAhgMAAA4AAAAAAAAAAQAgAAAAIgEAAGRycy9lMm9Eb2MueG1sUEsFBgAA&#10;AAAGAAYAWQEAAE8FAAAAAA==&#10;">
              <v:fill on="f" focussize="0,0"/>
              <v:stroke on="f"/>
              <v:imagedata o:title=""/>
              <o:lock v:ext="edit" aspectratio="f"/>
              <v:textbox>
                <w:txbxContent>
                  <w:p w14:paraId="3251DFB4">
                    <w:pPr>
                      <w:pStyle w:val="51"/>
                      <w:tabs>
                        <w:tab w:val="clear" w:pos="4153"/>
                        <w:tab w:val="clear" w:pos="8306"/>
                      </w:tabs>
                    </w:pPr>
                    <w:r>
                      <w:fldChar w:fldCharType="begin"/>
                    </w:r>
                    <w:r>
                      <w:instrText xml:space="preserve"> PAGE  \* MERGEFORMAT </w:instrText>
                    </w:r>
                    <w:r>
                      <w:fldChar w:fldCharType="separate"/>
                    </w:r>
                    <w:r>
                      <w:t>1</w:t>
                    </w:r>
                    <w:r>
                      <w:fldChar w:fldCharType="end"/>
                    </w:r>
                  </w:p>
                  <w:p w14:paraId="356456B4"/>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DC88A">
    <w:pPr>
      <w:pStyle w:val="51"/>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_x0000_s2064"/>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33352C1C">
                          <w:pPr>
                            <w:pStyle w:val="51"/>
                            <w:tabs>
                              <w:tab w:val="clear" w:pos="4153"/>
                              <w:tab w:val="clear" w:pos="8306"/>
                            </w:tabs>
                          </w:pPr>
                          <w:r>
                            <w:fldChar w:fldCharType="begin"/>
                          </w:r>
                          <w:r>
                            <w:instrText xml:space="preserve"> PAGE  \* MERGEFORMAT </w:instrText>
                          </w:r>
                          <w:r>
                            <w:fldChar w:fldCharType="separate"/>
                          </w:r>
                          <w:r>
                            <w:t>51</w:t>
                          </w:r>
                          <w:r>
                            <w:fldChar w:fldCharType="end"/>
                          </w:r>
                        </w:p>
                        <w:p w14:paraId="1DD453AA"/>
                      </w:txbxContent>
                    </wps:txbx>
                    <wps:bodyPr rot="0" vert="horz" wrap="square" lIns="91440" tIns="45720" rIns="91440" bIns="45720" anchor="t" anchorCtr="0"/>
                  </wps:wsp>
                </a:graphicData>
              </a:graphic>
            </wp:anchor>
          </w:drawing>
        </mc:Choice>
        <mc:Fallback>
          <w:pict>
            <v:rect id="_x0000_s2064"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EtwlOy7AQAAhgMAAA4AAAAAAAAAAQAgAAAAIgEAAGRycy9lMm9Eb2MueG1sUEsFBgAA&#10;AAAGAAYAWQEAAE8FAAAAAA==&#10;">
              <v:fill on="f" focussize="0,0"/>
              <v:stroke on="f"/>
              <v:imagedata o:title=""/>
              <o:lock v:ext="edit" aspectratio="f"/>
              <v:textbox>
                <w:txbxContent>
                  <w:p w14:paraId="33352C1C">
                    <w:pPr>
                      <w:pStyle w:val="51"/>
                      <w:tabs>
                        <w:tab w:val="clear" w:pos="4153"/>
                        <w:tab w:val="clear" w:pos="8306"/>
                      </w:tabs>
                    </w:pPr>
                    <w:r>
                      <w:fldChar w:fldCharType="begin"/>
                    </w:r>
                    <w:r>
                      <w:instrText xml:space="preserve"> PAGE  \* MERGEFORMAT </w:instrText>
                    </w:r>
                    <w:r>
                      <w:fldChar w:fldCharType="separate"/>
                    </w:r>
                    <w:r>
                      <w:t>51</w:t>
                    </w:r>
                    <w:r>
                      <w:fldChar w:fldCharType="end"/>
                    </w:r>
                  </w:p>
                  <w:p w14:paraId="1DD453AA"/>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62AA8">
    <w:pPr>
      <w:pStyle w:val="51"/>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_x0000_s2063"/>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D2DE0A6">
                          <w:pPr>
                            <w:pStyle w:val="51"/>
                            <w:tabs>
                              <w:tab w:val="clear" w:pos="4153"/>
                              <w:tab w:val="clear" w:pos="8306"/>
                            </w:tabs>
                          </w:pPr>
                          <w:r>
                            <w:fldChar w:fldCharType="begin"/>
                          </w:r>
                          <w:r>
                            <w:instrText xml:space="preserve"> PAGE  \* MERGEFORMAT </w:instrText>
                          </w:r>
                          <w:r>
                            <w:fldChar w:fldCharType="separate"/>
                          </w:r>
                          <w:r>
                            <w:t>45</w:t>
                          </w:r>
                          <w:r>
                            <w:fldChar w:fldCharType="end"/>
                          </w:r>
                        </w:p>
                        <w:p w14:paraId="2D9B405A"/>
                      </w:txbxContent>
                    </wps:txbx>
                    <wps:bodyPr rot="0" vert="horz" wrap="square" lIns="91440" tIns="45720" rIns="91440" bIns="45720" anchor="t" anchorCtr="0"/>
                  </wps:wsp>
                </a:graphicData>
              </a:graphic>
            </wp:anchor>
          </w:drawing>
        </mc:Choice>
        <mc:Fallback>
          <w:pict>
            <v:rect id="_x0000_s2063"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Cv66Pa7AQAAhwMAAA4AAAAAAAAAAQAgAAAAIgEAAGRycy9lMm9Eb2MueG1sUEsFBgAA&#10;AAAGAAYAWQEAAE8FAAAAAA==&#10;">
              <v:fill on="f" focussize="0,0"/>
              <v:stroke on="f"/>
              <v:imagedata o:title=""/>
              <o:lock v:ext="edit" aspectratio="f"/>
              <v:textbox>
                <w:txbxContent>
                  <w:p w14:paraId="7D2DE0A6">
                    <w:pPr>
                      <w:pStyle w:val="51"/>
                      <w:tabs>
                        <w:tab w:val="clear" w:pos="4153"/>
                        <w:tab w:val="clear" w:pos="8306"/>
                      </w:tabs>
                    </w:pPr>
                    <w:r>
                      <w:fldChar w:fldCharType="begin"/>
                    </w:r>
                    <w:r>
                      <w:instrText xml:space="preserve"> PAGE  \* MERGEFORMAT </w:instrText>
                    </w:r>
                    <w:r>
                      <w:fldChar w:fldCharType="separate"/>
                    </w:r>
                    <w:r>
                      <w:t>45</w:t>
                    </w:r>
                    <w:r>
                      <w:fldChar w:fldCharType="end"/>
                    </w:r>
                  </w:p>
                  <w:p w14:paraId="2D9B405A"/>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183F1">
    <w:pPr>
      <w:pStyle w:val="51"/>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_x0000_s2066"/>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E369588">
                          <w:pPr>
                            <w:pStyle w:val="51"/>
                            <w:tabs>
                              <w:tab w:val="clear" w:pos="4153"/>
                              <w:tab w:val="clear" w:pos="8306"/>
                            </w:tabs>
                          </w:pPr>
                          <w:r>
                            <w:fldChar w:fldCharType="begin"/>
                          </w:r>
                          <w:r>
                            <w:instrText xml:space="preserve"> PAGE  \* MERGEFORMAT </w:instrText>
                          </w:r>
                          <w:r>
                            <w:fldChar w:fldCharType="separate"/>
                          </w:r>
                          <w:r>
                            <w:t>67</w:t>
                          </w:r>
                          <w:r>
                            <w:fldChar w:fldCharType="end"/>
                          </w:r>
                        </w:p>
                        <w:p w14:paraId="520D423D"/>
                      </w:txbxContent>
                    </wps:txbx>
                    <wps:bodyPr rot="0" vert="horz" wrap="square" lIns="91440" tIns="45720" rIns="91440" bIns="45720" anchor="t" anchorCtr="0"/>
                  </wps:wsp>
                </a:graphicData>
              </a:graphic>
            </wp:anchor>
          </w:drawing>
        </mc:Choice>
        <mc:Fallback>
          <w:pict>
            <v:rect id="_x0000_s2066"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G7X7SC7AQAAhwMAAA4AAAAAAAAAAQAgAAAAIgEAAGRycy9lMm9Eb2MueG1sUEsFBgAA&#10;AAAGAAYAWQEAAE8FAAAAAA==&#10;">
              <v:fill on="f" focussize="0,0"/>
              <v:stroke on="f"/>
              <v:imagedata o:title=""/>
              <o:lock v:ext="edit" aspectratio="f"/>
              <v:textbox>
                <w:txbxContent>
                  <w:p w14:paraId="7E369588">
                    <w:pPr>
                      <w:pStyle w:val="51"/>
                      <w:tabs>
                        <w:tab w:val="clear" w:pos="4153"/>
                        <w:tab w:val="clear" w:pos="8306"/>
                      </w:tabs>
                    </w:pPr>
                    <w:r>
                      <w:fldChar w:fldCharType="begin"/>
                    </w:r>
                    <w:r>
                      <w:instrText xml:space="preserve"> PAGE  \* MERGEFORMAT </w:instrText>
                    </w:r>
                    <w:r>
                      <w:fldChar w:fldCharType="separate"/>
                    </w:r>
                    <w:r>
                      <w:t>67</w:t>
                    </w:r>
                    <w:r>
                      <w:fldChar w:fldCharType="end"/>
                    </w:r>
                  </w:p>
                  <w:p w14:paraId="520D423D"/>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BD0E7">
    <w:pPr>
      <w:pStyle w:val="51"/>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_x0000_s2065"/>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67AC65AA">
                          <w:pPr>
                            <w:pStyle w:val="51"/>
                            <w:tabs>
                              <w:tab w:val="clear" w:pos="4153"/>
                              <w:tab w:val="clear" w:pos="8306"/>
                            </w:tabs>
                          </w:pPr>
                          <w:r>
                            <w:fldChar w:fldCharType="begin"/>
                          </w:r>
                          <w:r>
                            <w:instrText xml:space="preserve"> PAGE  \* MERGEFORMAT </w:instrText>
                          </w:r>
                          <w:r>
                            <w:fldChar w:fldCharType="separate"/>
                          </w:r>
                          <w:r>
                            <w:t>53</w:t>
                          </w:r>
                          <w:r>
                            <w:fldChar w:fldCharType="end"/>
                          </w:r>
                        </w:p>
                        <w:p w14:paraId="4EE3A0CB"/>
                      </w:txbxContent>
                    </wps:txbx>
                    <wps:bodyPr rot="0" vert="horz" wrap="square" lIns="91440" tIns="45720" rIns="91440" bIns="45720" anchor="t" anchorCtr="0"/>
                  </wps:wsp>
                </a:graphicData>
              </a:graphic>
            </wp:anchor>
          </w:drawing>
        </mc:Choice>
        <mc:Fallback>
          <w:pict>
            <v:rect id="_x0000_s2065"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FHA1Um7AQAAhwMAAA4AAAAAAAAAAQAgAAAAIgEAAGRycy9lMm9Eb2MueG1sUEsFBgAA&#10;AAAGAAYAWQEAAE8FAAAAAA==&#10;">
              <v:fill on="f" focussize="0,0"/>
              <v:stroke on="f"/>
              <v:imagedata o:title=""/>
              <o:lock v:ext="edit" aspectratio="f"/>
              <v:textbox>
                <w:txbxContent>
                  <w:p w14:paraId="67AC65AA">
                    <w:pPr>
                      <w:pStyle w:val="51"/>
                      <w:tabs>
                        <w:tab w:val="clear" w:pos="4153"/>
                        <w:tab w:val="clear" w:pos="8306"/>
                      </w:tabs>
                    </w:pPr>
                    <w:r>
                      <w:fldChar w:fldCharType="begin"/>
                    </w:r>
                    <w:r>
                      <w:instrText xml:space="preserve"> PAGE  \* MERGEFORMAT </w:instrText>
                    </w:r>
                    <w:r>
                      <w:fldChar w:fldCharType="separate"/>
                    </w:r>
                    <w:r>
                      <w:t>53</w:t>
                    </w:r>
                    <w:r>
                      <w:fldChar w:fldCharType="end"/>
                    </w:r>
                  </w:p>
                  <w:p w14:paraId="4EE3A0CB"/>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3A361">
    <w:pPr>
      <w:pStyle w:val="53"/>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F2E78">
    <w:pPr>
      <w:pStyle w:val="53"/>
      <w:pBdr>
        <w:bottom w:val="none" w:color="000000" w:sz="0" w:space="1"/>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8F87F">
    <w:pPr>
      <w:pStyle w:val="53"/>
      <w:pBdr>
        <w:bottom w:val="none" w:color="000000" w:sz="0" w:space="1"/>
      </w:pBdr>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01794">
    <w:pPr>
      <w:pStyle w:val="53"/>
      <w:pBdr>
        <w:bottom w:val="none" w:color="000000" w:sz="0" w:space="1"/>
      </w:pBdr>
      <w:tabs>
        <w:tab w:val="clear" w:pos="4153"/>
        <w:tab w:val="clear"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3E38E">
    <w:pPr>
      <w:pStyle w:val="53"/>
      <w:pBdr>
        <w:bottom w:val="none" w:color="000000" w:sz="0" w:space="1"/>
      </w:pBdr>
      <w:tabs>
        <w:tab w:val="clear" w:pos="4153"/>
        <w:tab w:val="clear" w:pos="830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8CBDE">
    <w:pPr>
      <w:pStyle w:val="53"/>
      <w:pBdr>
        <w:bottom w:val="none" w:color="000000" w:sz="0" w:space="1"/>
      </w:pBdr>
      <w:tabs>
        <w:tab w:val="clear" w:pos="4153"/>
        <w:tab w:val="clear" w:pos="830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F8D22">
    <w:pPr>
      <w:pStyle w:val="53"/>
      <w:tabs>
        <w:tab w:val="clear" w:pos="4153"/>
        <w:tab w:val="clear" w:pos="8306"/>
      </w:tabs>
      <w:jc w:val="both"/>
      <w:rPr>
        <w:rFonts w:hint="eastAsia"/>
        <w:sz w:val="21"/>
        <w:szCs w:val="21"/>
      </w:rPr>
    </w:pPr>
    <w:r>
      <w:rPr>
        <w:rFonts w:hint="eastAsia"/>
        <w:sz w:val="21"/>
        <w:szCs w:val="21"/>
      </w:rPr>
      <w:t>政府采购公开招标采购文件                                                       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F5EC4"/>
    <w:multiLevelType w:val="singleLevel"/>
    <w:tmpl w:val="B83F5EC4"/>
    <w:lvl w:ilvl="0" w:tentative="0">
      <w:start w:val="1"/>
      <w:numFmt w:val="decimal"/>
      <w:suff w:val="nothing"/>
      <w:lvlText w:val="%1、"/>
      <w:lvlJc w:val="left"/>
    </w:lvl>
  </w:abstractNum>
  <w:abstractNum w:abstractNumId="1">
    <w:nsid w:val="F018C277"/>
    <w:multiLevelType w:val="singleLevel"/>
    <w:tmpl w:val="F018C277"/>
    <w:lvl w:ilvl="0" w:tentative="0">
      <w:start w:val="1"/>
      <w:numFmt w:val="decimal"/>
      <w:suff w:val="nothing"/>
      <w:lvlText w:val="%1、"/>
      <w:lvlJc w:val="left"/>
      <w:pPr>
        <w:tabs>
          <w:tab w:val="left" w:pos="0"/>
        </w:tabs>
        <w:ind w:left="0" w:firstLine="403"/>
      </w:pPr>
      <w:rPr>
        <w:rFonts w:ascii="Arial" w:hAnsi="Arial" w:eastAsia="宋体"/>
      </w:rPr>
    </w:lvl>
  </w:abstractNum>
  <w:abstractNum w:abstractNumId="2">
    <w:nsid w:val="00000002"/>
    <w:multiLevelType w:val="singleLevel"/>
    <w:tmpl w:val="00000002"/>
    <w:lvl w:ilvl="0" w:tentative="0">
      <w:start w:val="1"/>
      <w:numFmt w:val="decimal"/>
      <w:suff w:val="nothing"/>
      <w:lvlText w:val="10.%1 "/>
      <w:lvlJc w:val="left"/>
      <w:pPr>
        <w:ind w:left="0" w:firstLine="400"/>
      </w:pPr>
    </w:lvl>
  </w:abstractNum>
  <w:abstractNum w:abstractNumId="3">
    <w:nsid w:val="00000003"/>
    <w:multiLevelType w:val="singleLevel"/>
    <w:tmpl w:val="00000003"/>
    <w:lvl w:ilvl="0" w:tentative="0">
      <w:start w:val="1"/>
      <w:numFmt w:val="decimal"/>
      <w:suff w:val="nothing"/>
      <w:lvlText w:val="14.%1 "/>
      <w:lvlJc w:val="left"/>
      <w:pPr>
        <w:ind w:left="0" w:firstLine="400"/>
      </w:pPr>
    </w:lvl>
  </w:abstractNum>
  <w:abstractNum w:abstractNumId="4">
    <w:nsid w:val="00000004"/>
    <w:multiLevelType w:val="singleLevel"/>
    <w:tmpl w:val="00000004"/>
    <w:lvl w:ilvl="0" w:tentative="0">
      <w:start w:val="1"/>
      <w:numFmt w:val="decimal"/>
      <w:suff w:val="nothing"/>
      <w:lvlText w:val="6.%1 "/>
      <w:lvlJc w:val="left"/>
      <w:pPr>
        <w:ind w:left="0" w:firstLine="400"/>
      </w:pPr>
    </w:lvl>
  </w:abstractNum>
  <w:abstractNum w:abstractNumId="5">
    <w:nsid w:val="00000006"/>
    <w:multiLevelType w:val="singleLevel"/>
    <w:tmpl w:val="00000006"/>
    <w:lvl w:ilvl="0" w:tentative="0">
      <w:start w:val="1"/>
      <w:numFmt w:val="decimal"/>
      <w:suff w:val="nothing"/>
      <w:lvlText w:val="11.1.%1 "/>
      <w:lvlJc w:val="left"/>
      <w:pPr>
        <w:ind w:left="0" w:firstLine="400"/>
      </w:pPr>
    </w:lvl>
  </w:abstractNum>
  <w:abstractNum w:abstractNumId="6">
    <w:nsid w:val="00000007"/>
    <w:multiLevelType w:val="singleLevel"/>
    <w:tmpl w:val="00000007"/>
    <w:lvl w:ilvl="0" w:tentative="0">
      <w:start w:val="1"/>
      <w:numFmt w:val="decimal"/>
      <w:suff w:val="nothing"/>
      <w:lvlText w:val="4.3.2.%1 "/>
      <w:lvlJc w:val="left"/>
      <w:pPr>
        <w:ind w:left="0" w:firstLine="400"/>
      </w:pPr>
    </w:lvl>
  </w:abstractNum>
  <w:abstractNum w:abstractNumId="7">
    <w:nsid w:val="00000008"/>
    <w:multiLevelType w:val="singleLevel"/>
    <w:tmpl w:val="00000008"/>
    <w:lvl w:ilvl="0" w:tentative="0">
      <w:start w:val="1"/>
      <w:numFmt w:val="decimal"/>
      <w:suff w:val="nothing"/>
      <w:lvlText w:val="4.2.%1 "/>
      <w:lvlJc w:val="left"/>
      <w:pPr>
        <w:ind w:left="0" w:firstLine="400"/>
      </w:pPr>
    </w:lvl>
  </w:abstractNum>
  <w:abstractNum w:abstractNumId="8">
    <w:nsid w:val="0000000B"/>
    <w:multiLevelType w:val="singleLevel"/>
    <w:tmpl w:val="0000000B"/>
    <w:lvl w:ilvl="0" w:tentative="0">
      <w:start w:val="1"/>
      <w:numFmt w:val="decimal"/>
      <w:suff w:val="nothing"/>
      <w:lvlText w:val="3.4.%1 "/>
      <w:lvlJc w:val="left"/>
      <w:pPr>
        <w:ind w:left="0" w:firstLine="400"/>
      </w:pPr>
    </w:lvl>
  </w:abstractNum>
  <w:abstractNum w:abstractNumId="9">
    <w:nsid w:val="00000012"/>
    <w:multiLevelType w:val="singleLevel"/>
    <w:tmpl w:val="00000012"/>
    <w:lvl w:ilvl="0" w:tentative="0">
      <w:start w:val="1"/>
      <w:numFmt w:val="decimal"/>
      <w:suff w:val="nothing"/>
      <w:lvlText w:val="3.2.%1 "/>
      <w:lvlJc w:val="left"/>
      <w:pPr>
        <w:ind w:left="0" w:firstLine="400"/>
      </w:pPr>
    </w:lvl>
  </w:abstractNum>
  <w:abstractNum w:abstractNumId="10">
    <w:nsid w:val="00000013"/>
    <w:multiLevelType w:val="singleLevel"/>
    <w:tmpl w:val="00000013"/>
    <w:lvl w:ilvl="0" w:tentative="0">
      <w:start w:val="1"/>
      <w:numFmt w:val="decimal"/>
      <w:suff w:val="nothing"/>
      <w:lvlText w:val="30.%1 "/>
      <w:lvlJc w:val="left"/>
      <w:pPr>
        <w:ind w:left="0" w:firstLine="400"/>
      </w:pPr>
    </w:lvl>
  </w:abstractNum>
  <w:abstractNum w:abstractNumId="11">
    <w:nsid w:val="00000014"/>
    <w:multiLevelType w:val="singleLevel"/>
    <w:tmpl w:val="00000014"/>
    <w:lvl w:ilvl="0" w:tentative="0">
      <w:start w:val="1"/>
      <w:numFmt w:val="decimal"/>
      <w:suff w:val="nothing"/>
      <w:lvlText w:val="11.%1 "/>
      <w:lvlJc w:val="left"/>
      <w:pPr>
        <w:ind w:left="0" w:firstLine="400"/>
      </w:pPr>
    </w:lvl>
  </w:abstractNum>
  <w:abstractNum w:abstractNumId="12">
    <w:nsid w:val="00000015"/>
    <w:multiLevelType w:val="singleLevel"/>
    <w:tmpl w:val="00000015"/>
    <w:lvl w:ilvl="0" w:tentative="0">
      <w:start w:val="1"/>
      <w:numFmt w:val="decimal"/>
      <w:suff w:val="nothing"/>
      <w:lvlText w:val="4.%1 "/>
      <w:lvlJc w:val="left"/>
      <w:pPr>
        <w:ind w:left="0" w:firstLine="400"/>
      </w:pPr>
    </w:lvl>
  </w:abstractNum>
  <w:abstractNum w:abstractNumId="13">
    <w:nsid w:val="00000018"/>
    <w:multiLevelType w:val="singleLevel"/>
    <w:tmpl w:val="00000018"/>
    <w:lvl w:ilvl="0" w:tentative="0">
      <w:start w:val="1"/>
      <w:numFmt w:val="decimal"/>
      <w:suff w:val="nothing"/>
      <w:lvlText w:val="3.%1 "/>
      <w:lvlJc w:val="left"/>
      <w:pPr>
        <w:ind w:left="0" w:firstLine="400"/>
      </w:pPr>
    </w:lvl>
  </w:abstractNum>
  <w:abstractNum w:abstractNumId="14">
    <w:nsid w:val="0000001A"/>
    <w:multiLevelType w:val="singleLevel"/>
    <w:tmpl w:val="0000001A"/>
    <w:lvl w:ilvl="0" w:tentative="0">
      <w:start w:val="1"/>
      <w:numFmt w:val="decimal"/>
      <w:suff w:val="nothing"/>
      <w:lvlText w:val="4.4.%1 "/>
      <w:lvlJc w:val="left"/>
      <w:pPr>
        <w:ind w:left="0" w:firstLine="400"/>
      </w:pPr>
    </w:lvl>
  </w:abstractNum>
  <w:abstractNum w:abstractNumId="15">
    <w:nsid w:val="0000001C"/>
    <w:multiLevelType w:val="singleLevel"/>
    <w:tmpl w:val="0000001C"/>
    <w:lvl w:ilvl="0" w:tentative="0">
      <w:start w:val="1"/>
      <w:numFmt w:val="chineseCounting"/>
      <w:suff w:val="nothing"/>
      <w:lvlText w:val="%1、"/>
      <w:lvlJc w:val="left"/>
      <w:pPr>
        <w:ind w:left="210" w:firstLine="420"/>
      </w:pPr>
      <w:rPr>
        <w:rFonts w:hint="eastAsia"/>
      </w:rPr>
    </w:lvl>
  </w:abstractNum>
  <w:abstractNum w:abstractNumId="16">
    <w:nsid w:val="0000001E"/>
    <w:multiLevelType w:val="singleLevel"/>
    <w:tmpl w:val="0000001E"/>
    <w:lvl w:ilvl="0" w:tentative="0">
      <w:start w:val="1"/>
      <w:numFmt w:val="chineseCounting"/>
      <w:suff w:val="nothing"/>
      <w:lvlText w:val="%1、"/>
      <w:lvlJc w:val="left"/>
    </w:lvl>
  </w:abstractNum>
  <w:abstractNum w:abstractNumId="17">
    <w:nsid w:val="0000001F"/>
    <w:multiLevelType w:val="singleLevel"/>
    <w:tmpl w:val="0000001F"/>
    <w:lvl w:ilvl="0" w:tentative="0">
      <w:start w:val="1"/>
      <w:numFmt w:val="chineseCounting"/>
      <w:suff w:val="nothing"/>
      <w:lvlText w:val="%1、"/>
      <w:lvlJc w:val="left"/>
      <w:pPr>
        <w:ind w:left="0" w:firstLine="420"/>
      </w:pPr>
      <w:rPr>
        <w:rFonts w:hint="eastAsia"/>
      </w:rPr>
    </w:lvl>
  </w:abstractNum>
  <w:abstractNum w:abstractNumId="18">
    <w:nsid w:val="00000020"/>
    <w:multiLevelType w:val="singleLevel"/>
    <w:tmpl w:val="00000020"/>
    <w:lvl w:ilvl="0" w:tentative="0">
      <w:start w:val="1"/>
      <w:numFmt w:val="decimal"/>
      <w:suff w:val="nothing"/>
      <w:lvlText w:val="%1、"/>
      <w:lvlJc w:val="left"/>
    </w:lvl>
  </w:abstractNum>
  <w:abstractNum w:abstractNumId="19">
    <w:nsid w:val="00000024"/>
    <w:multiLevelType w:val="singleLevel"/>
    <w:tmpl w:val="00000024"/>
    <w:lvl w:ilvl="0" w:tentative="0">
      <w:start w:val="1"/>
      <w:numFmt w:val="decimal"/>
      <w:suff w:val="nothing"/>
      <w:lvlText w:val="5.1.%1 "/>
      <w:lvlJc w:val="left"/>
      <w:pPr>
        <w:ind w:left="0" w:firstLine="400"/>
      </w:pPr>
    </w:lvl>
  </w:abstractNum>
  <w:abstractNum w:abstractNumId="20">
    <w:nsid w:val="00000025"/>
    <w:multiLevelType w:val="singleLevel"/>
    <w:tmpl w:val="00000025"/>
    <w:lvl w:ilvl="0" w:tentative="0">
      <w:start w:val="1"/>
      <w:numFmt w:val="decimal"/>
      <w:suff w:val="nothing"/>
      <w:lvlText w:val="18.%1 "/>
      <w:lvlJc w:val="left"/>
      <w:pPr>
        <w:ind w:left="0" w:firstLine="400"/>
      </w:pPr>
    </w:lvl>
  </w:abstractNum>
  <w:abstractNum w:abstractNumId="21">
    <w:nsid w:val="00000028"/>
    <w:multiLevelType w:val="singleLevel"/>
    <w:tmpl w:val="00000028"/>
    <w:lvl w:ilvl="0" w:tentative="0">
      <w:start w:val="1"/>
      <w:numFmt w:val="decimal"/>
      <w:suff w:val="nothing"/>
      <w:lvlText w:val="13.%1 "/>
      <w:lvlJc w:val="left"/>
      <w:pPr>
        <w:ind w:left="0" w:firstLine="400"/>
      </w:pPr>
    </w:lvl>
  </w:abstractNum>
  <w:abstractNum w:abstractNumId="22">
    <w:nsid w:val="00000029"/>
    <w:multiLevelType w:val="singleLevel"/>
    <w:tmpl w:val="00000029"/>
    <w:lvl w:ilvl="0" w:tentative="0">
      <w:start w:val="1"/>
      <w:numFmt w:val="chineseCounting"/>
      <w:suff w:val="nothing"/>
      <w:lvlText w:val="%1、"/>
      <w:lvlJc w:val="left"/>
      <w:pPr>
        <w:ind w:left="0" w:firstLine="420"/>
      </w:pPr>
      <w:rPr>
        <w:rFonts w:hint="eastAsia"/>
      </w:rPr>
    </w:lvl>
  </w:abstractNum>
  <w:abstractNum w:abstractNumId="23">
    <w:nsid w:val="0000002D"/>
    <w:multiLevelType w:val="singleLevel"/>
    <w:tmpl w:val="0000002D"/>
    <w:lvl w:ilvl="0" w:tentative="0">
      <w:start w:val="1"/>
      <w:numFmt w:val="decimal"/>
      <w:suff w:val="nothing"/>
      <w:lvlText w:val="%1、"/>
      <w:lvlJc w:val="left"/>
    </w:lvl>
  </w:abstractNum>
  <w:abstractNum w:abstractNumId="24">
    <w:nsid w:val="0000002F"/>
    <w:multiLevelType w:val="singleLevel"/>
    <w:tmpl w:val="0000002F"/>
    <w:lvl w:ilvl="0" w:tentative="0">
      <w:start w:val="1"/>
      <w:numFmt w:val="decimal"/>
      <w:suff w:val="nothing"/>
      <w:lvlText w:val="5.%1 "/>
      <w:lvlJc w:val="left"/>
      <w:pPr>
        <w:ind w:left="0" w:firstLine="400"/>
      </w:pPr>
    </w:lvl>
  </w:abstractNum>
  <w:abstractNum w:abstractNumId="25">
    <w:nsid w:val="00000032"/>
    <w:multiLevelType w:val="singleLevel"/>
    <w:tmpl w:val="00000032"/>
    <w:lvl w:ilvl="0" w:tentative="0">
      <w:start w:val="1"/>
      <w:numFmt w:val="decimal"/>
      <w:suff w:val="nothing"/>
      <w:lvlText w:val="12.%1 "/>
      <w:lvlJc w:val="left"/>
      <w:pPr>
        <w:ind w:left="0" w:firstLine="400"/>
      </w:pPr>
    </w:lvl>
  </w:abstractNum>
  <w:abstractNum w:abstractNumId="26">
    <w:nsid w:val="00000036"/>
    <w:multiLevelType w:val="singleLevel"/>
    <w:tmpl w:val="00000036"/>
    <w:lvl w:ilvl="0" w:tentative="0">
      <w:start w:val="1"/>
      <w:numFmt w:val="decimal"/>
      <w:suff w:val="nothing"/>
      <w:lvlText w:val="11.2.%1 "/>
      <w:lvlJc w:val="left"/>
      <w:pPr>
        <w:ind w:left="0" w:firstLine="400"/>
      </w:pPr>
    </w:lvl>
  </w:abstractNum>
  <w:abstractNum w:abstractNumId="27">
    <w:nsid w:val="00000037"/>
    <w:multiLevelType w:val="singleLevel"/>
    <w:tmpl w:val="00000037"/>
    <w:lvl w:ilvl="0" w:tentative="0">
      <w:start w:val="1"/>
      <w:numFmt w:val="decimal"/>
      <w:suff w:val="nothing"/>
      <w:lvlText w:val="17.%1 "/>
      <w:lvlJc w:val="left"/>
      <w:pPr>
        <w:ind w:left="0" w:firstLine="400"/>
      </w:pPr>
    </w:lvl>
  </w:abstractNum>
  <w:abstractNum w:abstractNumId="28">
    <w:nsid w:val="00000038"/>
    <w:multiLevelType w:val="singleLevel"/>
    <w:tmpl w:val="00000038"/>
    <w:lvl w:ilvl="0" w:tentative="0">
      <w:start w:val="1"/>
      <w:numFmt w:val="decimal"/>
      <w:suff w:val="nothing"/>
      <w:lvlText w:val="（%1）"/>
      <w:lvlJc w:val="left"/>
    </w:lvl>
  </w:abstractNum>
  <w:abstractNum w:abstractNumId="29">
    <w:nsid w:val="0000003B"/>
    <w:multiLevelType w:val="singleLevel"/>
    <w:tmpl w:val="0000003B"/>
    <w:lvl w:ilvl="0" w:tentative="0">
      <w:start w:val="1"/>
      <w:numFmt w:val="decimal"/>
      <w:suff w:val="nothing"/>
      <w:lvlText w:val="25.%1 "/>
      <w:lvlJc w:val="left"/>
      <w:pPr>
        <w:ind w:left="0" w:firstLine="400"/>
      </w:pPr>
    </w:lvl>
  </w:abstractNum>
  <w:abstractNum w:abstractNumId="30">
    <w:nsid w:val="0000003C"/>
    <w:multiLevelType w:val="singleLevel"/>
    <w:tmpl w:val="0000003C"/>
    <w:lvl w:ilvl="0" w:tentative="0">
      <w:start w:val="1"/>
      <w:numFmt w:val="decimal"/>
      <w:suff w:val="nothing"/>
      <w:lvlText w:val="4.3.%1 "/>
      <w:lvlJc w:val="left"/>
      <w:pPr>
        <w:ind w:left="0" w:firstLine="400"/>
      </w:pPr>
    </w:lvl>
  </w:abstractNum>
  <w:abstractNum w:abstractNumId="31">
    <w:nsid w:val="0000003D"/>
    <w:multiLevelType w:val="singleLevel"/>
    <w:tmpl w:val="0000003D"/>
    <w:lvl w:ilvl="0" w:tentative="0">
      <w:start w:val="1"/>
      <w:numFmt w:val="decimal"/>
      <w:suff w:val="nothing"/>
      <w:lvlText w:val="5.%1 "/>
      <w:lvlJc w:val="left"/>
      <w:pPr>
        <w:ind w:left="0" w:firstLine="400"/>
      </w:pPr>
    </w:lvl>
  </w:abstractNum>
  <w:abstractNum w:abstractNumId="32">
    <w:nsid w:val="00000042"/>
    <w:multiLevelType w:val="singleLevel"/>
    <w:tmpl w:val="00000042"/>
    <w:lvl w:ilvl="0" w:tentative="0">
      <w:start w:val="1"/>
      <w:numFmt w:val="decimal"/>
      <w:suff w:val="nothing"/>
      <w:lvlText w:val="28.%1 "/>
      <w:lvlJc w:val="left"/>
      <w:pPr>
        <w:ind w:left="0" w:firstLine="400"/>
      </w:pPr>
    </w:lvl>
  </w:abstractNum>
  <w:abstractNum w:abstractNumId="33">
    <w:nsid w:val="00000043"/>
    <w:multiLevelType w:val="singleLevel"/>
    <w:tmpl w:val="00000043"/>
    <w:lvl w:ilvl="0" w:tentative="0">
      <w:start w:val="1"/>
      <w:numFmt w:val="decimal"/>
      <w:suff w:val="nothing"/>
      <w:lvlText w:val="2.2.%1 "/>
      <w:lvlJc w:val="left"/>
      <w:pPr>
        <w:ind w:left="0" w:firstLine="400"/>
      </w:pPr>
    </w:lvl>
  </w:abstractNum>
  <w:abstractNum w:abstractNumId="34">
    <w:nsid w:val="00000046"/>
    <w:multiLevelType w:val="singleLevel"/>
    <w:tmpl w:val="00000046"/>
    <w:lvl w:ilvl="0" w:tentative="0">
      <w:start w:val="1"/>
      <w:numFmt w:val="decimal"/>
      <w:suff w:val="nothing"/>
      <w:lvlText w:val="2.3.%1 "/>
      <w:lvlJc w:val="left"/>
      <w:pPr>
        <w:ind w:left="0" w:firstLine="400"/>
      </w:pPr>
    </w:lvl>
  </w:abstractNum>
  <w:abstractNum w:abstractNumId="35">
    <w:nsid w:val="0000004A"/>
    <w:multiLevelType w:val="singleLevel"/>
    <w:tmpl w:val="0000004A"/>
    <w:lvl w:ilvl="0" w:tentative="0">
      <w:start w:val="1"/>
      <w:numFmt w:val="decimal"/>
      <w:suff w:val="nothing"/>
      <w:lvlText w:val="2.%1 "/>
      <w:lvlJc w:val="left"/>
      <w:pPr>
        <w:ind w:left="0" w:firstLine="400"/>
      </w:pPr>
    </w:lvl>
  </w:abstractNum>
  <w:abstractNum w:abstractNumId="36">
    <w:nsid w:val="0000004B"/>
    <w:multiLevelType w:val="singleLevel"/>
    <w:tmpl w:val="0000004B"/>
    <w:lvl w:ilvl="0" w:tentative="0">
      <w:start w:val="1"/>
      <w:numFmt w:val="chineseCounting"/>
      <w:suff w:val="nothing"/>
      <w:lvlText w:val="%1、"/>
      <w:lvlJc w:val="left"/>
      <w:pPr>
        <w:ind w:left="0" w:firstLine="420"/>
      </w:pPr>
      <w:rPr>
        <w:rFonts w:hint="eastAsia"/>
      </w:rPr>
    </w:lvl>
  </w:abstractNum>
  <w:abstractNum w:abstractNumId="37">
    <w:nsid w:val="0000004C"/>
    <w:multiLevelType w:val="singleLevel"/>
    <w:tmpl w:val="0000004C"/>
    <w:lvl w:ilvl="0" w:tentative="0">
      <w:start w:val="1"/>
      <w:numFmt w:val="chineseCounting"/>
      <w:suff w:val="nothing"/>
      <w:lvlText w:val="%1、"/>
      <w:lvlJc w:val="left"/>
      <w:pPr>
        <w:ind w:left="0" w:firstLine="420"/>
      </w:pPr>
      <w:rPr>
        <w:rFonts w:hint="eastAsia"/>
      </w:rPr>
    </w:lvl>
  </w:abstractNum>
  <w:abstractNum w:abstractNumId="38">
    <w:nsid w:val="0000004E"/>
    <w:multiLevelType w:val="singleLevel"/>
    <w:tmpl w:val="0000004E"/>
    <w:lvl w:ilvl="0" w:tentative="0">
      <w:start w:val="1"/>
      <w:numFmt w:val="decimal"/>
      <w:suff w:val="nothing"/>
      <w:lvlText w:val="19.%1 "/>
      <w:lvlJc w:val="left"/>
      <w:pPr>
        <w:ind w:left="0" w:firstLine="400"/>
      </w:pPr>
    </w:lvl>
  </w:abstractNum>
  <w:abstractNum w:abstractNumId="39">
    <w:nsid w:val="0000004F"/>
    <w:multiLevelType w:val="singleLevel"/>
    <w:tmpl w:val="0000004F"/>
    <w:lvl w:ilvl="0" w:tentative="0">
      <w:start w:val="1"/>
      <w:numFmt w:val="decimal"/>
      <w:suff w:val="nothing"/>
      <w:lvlText w:val="3.4.1.%1 "/>
      <w:lvlJc w:val="left"/>
      <w:pPr>
        <w:ind w:left="0" w:firstLine="400"/>
      </w:pPr>
    </w:lvl>
  </w:abstractNum>
  <w:abstractNum w:abstractNumId="40">
    <w:nsid w:val="00000051"/>
    <w:multiLevelType w:val="singleLevel"/>
    <w:tmpl w:val="00000051"/>
    <w:lvl w:ilvl="0" w:tentative="0">
      <w:start w:val="1"/>
      <w:numFmt w:val="chineseCounting"/>
      <w:suff w:val="nothing"/>
      <w:lvlText w:val="%1、"/>
      <w:lvlJc w:val="left"/>
      <w:pPr>
        <w:ind w:left="0" w:firstLine="420"/>
      </w:pPr>
      <w:rPr>
        <w:rFonts w:hint="eastAsia"/>
      </w:rPr>
    </w:lvl>
  </w:abstractNum>
  <w:abstractNum w:abstractNumId="41">
    <w:nsid w:val="00000053"/>
    <w:multiLevelType w:val="singleLevel"/>
    <w:tmpl w:val="00000053"/>
    <w:lvl w:ilvl="0" w:tentative="0">
      <w:start w:val="1"/>
      <w:numFmt w:val="decimal"/>
      <w:suff w:val="nothing"/>
      <w:lvlText w:val="3.3.%1 "/>
      <w:lvlJc w:val="left"/>
      <w:pPr>
        <w:ind w:left="0" w:firstLine="400"/>
      </w:pPr>
    </w:lvl>
  </w:abstractNum>
  <w:abstractNum w:abstractNumId="42">
    <w:nsid w:val="00000055"/>
    <w:multiLevelType w:val="singleLevel"/>
    <w:tmpl w:val="00000055"/>
    <w:lvl w:ilvl="0" w:tentative="0">
      <w:start w:val="1"/>
      <w:numFmt w:val="decimal"/>
      <w:suff w:val="nothing"/>
      <w:lvlText w:val="%1、"/>
      <w:lvlJc w:val="left"/>
    </w:lvl>
  </w:abstractNum>
  <w:abstractNum w:abstractNumId="43">
    <w:nsid w:val="00000056"/>
    <w:multiLevelType w:val="singleLevel"/>
    <w:tmpl w:val="00000056"/>
    <w:lvl w:ilvl="0" w:tentative="0">
      <w:start w:val="1"/>
      <w:numFmt w:val="decimal"/>
      <w:suff w:val="nothing"/>
      <w:lvlText w:val="4.%1 "/>
      <w:lvlJc w:val="left"/>
      <w:pPr>
        <w:ind w:left="0" w:firstLine="400"/>
      </w:pPr>
    </w:lvl>
  </w:abstractNum>
  <w:abstractNum w:abstractNumId="44">
    <w:nsid w:val="00000057"/>
    <w:multiLevelType w:val="singleLevel"/>
    <w:tmpl w:val="00000057"/>
    <w:lvl w:ilvl="0" w:tentative="0">
      <w:start w:val="1"/>
      <w:numFmt w:val="decimal"/>
      <w:suff w:val="nothing"/>
      <w:lvlText w:val="11.3.%1 "/>
      <w:lvlJc w:val="left"/>
      <w:pPr>
        <w:ind w:left="0" w:firstLine="400"/>
      </w:pPr>
    </w:lvl>
  </w:abstractNum>
  <w:abstractNum w:abstractNumId="45">
    <w:nsid w:val="00000058"/>
    <w:multiLevelType w:val="singleLevel"/>
    <w:tmpl w:val="00000058"/>
    <w:lvl w:ilvl="0" w:tentative="0">
      <w:start w:val="1"/>
      <w:numFmt w:val="decimal"/>
      <w:suff w:val="nothing"/>
      <w:lvlText w:val="23.%1 "/>
      <w:lvlJc w:val="left"/>
      <w:pPr>
        <w:ind w:left="0" w:firstLine="400"/>
      </w:pPr>
    </w:lvl>
  </w:abstractNum>
  <w:abstractNum w:abstractNumId="46">
    <w:nsid w:val="0000005D"/>
    <w:multiLevelType w:val="singleLevel"/>
    <w:tmpl w:val="0000005D"/>
    <w:lvl w:ilvl="0" w:tentative="0">
      <w:start w:val="1"/>
      <w:numFmt w:val="decimal"/>
      <w:suff w:val="nothing"/>
      <w:lvlText w:val="3.4.%1 "/>
      <w:lvlJc w:val="left"/>
      <w:pPr>
        <w:ind w:left="0" w:firstLine="400"/>
      </w:pPr>
    </w:lvl>
  </w:abstractNum>
  <w:abstractNum w:abstractNumId="47">
    <w:nsid w:val="0000005E"/>
    <w:multiLevelType w:val="singleLevel"/>
    <w:tmpl w:val="0000005E"/>
    <w:lvl w:ilvl="0" w:tentative="0">
      <w:start w:val="1"/>
      <w:numFmt w:val="decimal"/>
      <w:suff w:val="nothing"/>
      <w:lvlText w:val="20.%1 "/>
      <w:lvlJc w:val="left"/>
      <w:pPr>
        <w:ind w:left="0" w:firstLine="400"/>
      </w:pPr>
    </w:lvl>
  </w:abstractNum>
  <w:abstractNum w:abstractNumId="48">
    <w:nsid w:val="0000005F"/>
    <w:multiLevelType w:val="singleLevel"/>
    <w:tmpl w:val="0000005F"/>
    <w:lvl w:ilvl="0" w:tentative="0">
      <w:start w:val="1"/>
      <w:numFmt w:val="decimal"/>
      <w:suff w:val="nothing"/>
      <w:lvlText w:val="3.%1 "/>
      <w:lvlJc w:val="left"/>
      <w:pPr>
        <w:ind w:left="0" w:firstLine="400"/>
      </w:pPr>
    </w:lvl>
  </w:abstractNum>
  <w:abstractNum w:abstractNumId="49">
    <w:nsid w:val="00000060"/>
    <w:multiLevelType w:val="singleLevel"/>
    <w:tmpl w:val="00000060"/>
    <w:lvl w:ilvl="0" w:tentative="0">
      <w:start w:val="1"/>
      <w:numFmt w:val="decimal"/>
      <w:suff w:val="nothing"/>
      <w:lvlText w:val="2.1.%1 "/>
      <w:lvlJc w:val="left"/>
      <w:pPr>
        <w:ind w:left="0" w:firstLine="400"/>
      </w:pPr>
    </w:lvl>
  </w:abstractNum>
  <w:abstractNum w:abstractNumId="50">
    <w:nsid w:val="00000064"/>
    <w:multiLevelType w:val="singleLevel"/>
    <w:tmpl w:val="00000064"/>
    <w:lvl w:ilvl="0" w:tentative="0">
      <w:start w:val="1"/>
      <w:numFmt w:val="decimal"/>
      <w:suff w:val="nothing"/>
      <w:lvlText w:val="4.%1 "/>
      <w:lvlJc w:val="left"/>
      <w:pPr>
        <w:ind w:left="0" w:firstLine="400"/>
      </w:pPr>
    </w:lvl>
  </w:abstractNum>
  <w:abstractNum w:abstractNumId="51">
    <w:nsid w:val="00000065"/>
    <w:multiLevelType w:val="singleLevel"/>
    <w:tmpl w:val="00000065"/>
    <w:lvl w:ilvl="0" w:tentative="0">
      <w:start w:val="1"/>
      <w:numFmt w:val="decimal"/>
      <w:suff w:val="nothing"/>
      <w:lvlText w:val="（%1）"/>
      <w:lvlJc w:val="left"/>
      <w:pPr>
        <w:ind w:left="0" w:firstLine="400"/>
      </w:pPr>
    </w:lvl>
  </w:abstractNum>
  <w:abstractNum w:abstractNumId="52">
    <w:nsid w:val="00000068"/>
    <w:multiLevelType w:val="singleLevel"/>
    <w:tmpl w:val="00000068"/>
    <w:lvl w:ilvl="0" w:tentative="0">
      <w:start w:val="1"/>
      <w:numFmt w:val="chineseCounting"/>
      <w:suff w:val="nothing"/>
      <w:lvlText w:val="（%1）"/>
      <w:lvlJc w:val="left"/>
      <w:pPr>
        <w:ind w:left="0" w:firstLine="420"/>
      </w:pPr>
      <w:rPr>
        <w:rFonts w:hint="eastAsia"/>
      </w:rPr>
    </w:lvl>
  </w:abstractNum>
  <w:abstractNum w:abstractNumId="53">
    <w:nsid w:val="00000069"/>
    <w:multiLevelType w:val="singleLevel"/>
    <w:tmpl w:val="00000069"/>
    <w:lvl w:ilvl="0" w:tentative="0">
      <w:start w:val="1"/>
      <w:numFmt w:val="decimal"/>
      <w:suff w:val="nothing"/>
      <w:lvlText w:val="7.%1 "/>
      <w:lvlJc w:val="left"/>
      <w:pPr>
        <w:ind w:left="0" w:firstLine="400"/>
      </w:pPr>
    </w:lvl>
  </w:abstractNum>
  <w:abstractNum w:abstractNumId="54">
    <w:nsid w:val="0000006C"/>
    <w:multiLevelType w:val="singleLevel"/>
    <w:tmpl w:val="0000006C"/>
    <w:lvl w:ilvl="0" w:tentative="0">
      <w:start w:val="1"/>
      <w:numFmt w:val="decimal"/>
      <w:suff w:val="nothing"/>
      <w:lvlText w:val="2.%1 "/>
      <w:lvlJc w:val="left"/>
      <w:pPr>
        <w:ind w:left="0" w:firstLine="400"/>
      </w:pPr>
    </w:lvl>
  </w:abstractNum>
  <w:abstractNum w:abstractNumId="55">
    <w:nsid w:val="0000006E"/>
    <w:multiLevelType w:val="singleLevel"/>
    <w:tmpl w:val="0000006E"/>
    <w:lvl w:ilvl="0" w:tentative="0">
      <w:start w:val="5"/>
      <w:numFmt w:val="decimal"/>
      <w:suff w:val="nothing"/>
      <w:lvlText w:val="%1、"/>
      <w:lvlJc w:val="left"/>
    </w:lvl>
  </w:abstractNum>
  <w:abstractNum w:abstractNumId="56">
    <w:nsid w:val="1C3668A6"/>
    <w:multiLevelType w:val="multilevel"/>
    <w:tmpl w:val="1C3668A6"/>
    <w:lvl w:ilvl="0" w:tentative="0">
      <w:start w:val="1"/>
      <w:numFmt w:val="decimal"/>
      <w:lvlText w:val="(%1)"/>
      <w:lvlJc w:val="left"/>
      <w:pPr>
        <w:ind w:left="405" w:hanging="405"/>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pStyle w:val="145"/>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65F09DA"/>
    <w:multiLevelType w:val="multilevel"/>
    <w:tmpl w:val="665F09DA"/>
    <w:lvl w:ilvl="0" w:tentative="0">
      <w:start w:val="1"/>
      <w:numFmt w:val="chineseCountingThousand"/>
      <w:suff w:val="nothing"/>
      <w:lvlText w:val="第%1章"/>
      <w:lvlJc w:val="left"/>
      <w:pPr>
        <w:ind w:left="0" w:firstLine="0"/>
      </w:pPr>
      <w:rPr>
        <w:rFonts w:hint="eastAsia"/>
      </w:rPr>
    </w:lvl>
    <w:lvl w:ilvl="1" w:tentative="0">
      <w:start w:val="1"/>
      <w:numFmt w:val="decimal"/>
      <w:suff w:val="nothing"/>
      <w:lvlText w:val="%1.%2"/>
      <w:lvlJc w:val="left"/>
      <w:pPr>
        <w:ind w:left="0" w:firstLine="0"/>
      </w:pPr>
      <w:rPr>
        <w:rFonts w:hint="eastAsia" w:ascii="Times New Roman" w:hAnsi="Times New Roman"/>
        <w:b w:val="0"/>
        <w:bCs w:val="0"/>
        <w:i w:val="0"/>
        <w:iCs w:val="0"/>
        <w:vanish/>
        <w:color w:val="000000"/>
        <w:spacing w:val="0"/>
        <w:u w:val="none"/>
        <w:vertAlign w:val="baseline"/>
      </w:rPr>
    </w:lvl>
    <w:lvl w:ilvl="2" w:tentative="0">
      <w:start w:val="1"/>
      <w:numFmt w:val="decimal"/>
      <w:suff w:val="nothing"/>
      <w:lvlText w:val="%1.%2.%3"/>
      <w:lvlJc w:val="left"/>
      <w:pPr>
        <w:ind w:left="0" w:firstLine="0"/>
      </w:pPr>
      <w:rPr>
        <w:rFonts w:hint="eastAsia" w:ascii="Times New Roman" w:hAnsi="Times New Roman"/>
        <w:b w:val="0"/>
        <w:bCs w:val="0"/>
        <w:i w:val="0"/>
        <w:iCs w:val="0"/>
        <w:vanish/>
        <w:color w:val="000000"/>
        <w:spacing w:val="0"/>
        <w:u w:val="none"/>
        <w:vertAlign w:val="baseline"/>
      </w:rPr>
    </w:lvl>
    <w:lvl w:ilvl="3" w:tentative="0">
      <w:start w:val="1"/>
      <w:numFmt w:val="decimal"/>
      <w:pStyle w:val="95"/>
      <w:suff w:val="nothing"/>
      <w:lvlText w:val="%1.%2.%3.%4"/>
      <w:lvlJc w:val="left"/>
      <w:pPr>
        <w:ind w:left="0" w:firstLine="0"/>
      </w:pPr>
      <w:rPr>
        <w:rFonts w:hint="eastAsia" w:ascii="Times New Roman" w:hAnsi="Times New Roman"/>
        <w:b w:val="0"/>
        <w:bCs w:val="0"/>
        <w:i w:val="0"/>
        <w:iCs w:val="0"/>
        <w:vanish/>
        <w:color w:val="000000"/>
        <w:spacing w:val="0"/>
        <w:u w:val="none"/>
        <w:vertAlign w:val="baseline"/>
      </w:rPr>
    </w:lvl>
    <w:lvl w:ilvl="4" w:tentative="0">
      <w:start w:val="1"/>
      <w:numFmt w:val="decimal"/>
      <w:suff w:val="nothing"/>
      <w:lvlText w:val="表%1-%5"/>
      <w:lvlJc w:val="left"/>
      <w:pPr>
        <w:ind w:left="0" w:firstLine="0"/>
      </w:pPr>
      <w:rPr>
        <w:rFonts w:hint="eastAsia"/>
      </w:rPr>
    </w:lvl>
    <w:lvl w:ilvl="5" w:tentative="0">
      <w:start w:val="1"/>
      <w:numFmt w:val="decimal"/>
      <w:pStyle w:val="96"/>
      <w:suff w:val="nothing"/>
      <w:lvlText w:val="图%1-%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57"/>
  </w:num>
  <w:num w:numId="2">
    <w:abstractNumId w:val="56"/>
  </w:num>
  <w:num w:numId="3">
    <w:abstractNumId w:val="37"/>
  </w:num>
  <w:num w:numId="4">
    <w:abstractNumId w:val="54"/>
  </w:num>
  <w:num w:numId="5">
    <w:abstractNumId w:val="48"/>
  </w:num>
  <w:num w:numId="6">
    <w:abstractNumId w:val="9"/>
  </w:num>
  <w:num w:numId="7">
    <w:abstractNumId w:val="41"/>
  </w:num>
  <w:num w:numId="8">
    <w:abstractNumId w:val="46"/>
  </w:num>
  <w:num w:numId="9">
    <w:abstractNumId w:val="12"/>
  </w:num>
  <w:num w:numId="10">
    <w:abstractNumId w:val="30"/>
  </w:num>
  <w:num w:numId="11">
    <w:abstractNumId w:val="6"/>
  </w:num>
  <w:num w:numId="12">
    <w:abstractNumId w:val="51"/>
  </w:num>
  <w:num w:numId="13">
    <w:abstractNumId w:val="14"/>
  </w:num>
  <w:num w:numId="14">
    <w:abstractNumId w:val="31"/>
  </w:num>
  <w:num w:numId="15">
    <w:abstractNumId w:val="19"/>
  </w:num>
  <w:num w:numId="16">
    <w:abstractNumId w:val="4"/>
  </w:num>
  <w:num w:numId="17">
    <w:abstractNumId w:val="2"/>
  </w:num>
  <w:num w:numId="18">
    <w:abstractNumId w:val="11"/>
  </w:num>
  <w:num w:numId="19">
    <w:abstractNumId w:val="5"/>
  </w:num>
  <w:num w:numId="20">
    <w:abstractNumId w:val="26"/>
  </w:num>
  <w:num w:numId="21">
    <w:abstractNumId w:val="44"/>
  </w:num>
  <w:num w:numId="22">
    <w:abstractNumId w:val="25"/>
  </w:num>
  <w:num w:numId="23">
    <w:abstractNumId w:val="21"/>
  </w:num>
  <w:num w:numId="24">
    <w:abstractNumId w:val="3"/>
  </w:num>
  <w:num w:numId="25">
    <w:abstractNumId w:val="27"/>
  </w:num>
  <w:num w:numId="26">
    <w:abstractNumId w:val="20"/>
  </w:num>
  <w:num w:numId="27">
    <w:abstractNumId w:val="38"/>
  </w:num>
  <w:num w:numId="28">
    <w:abstractNumId w:val="47"/>
  </w:num>
  <w:num w:numId="29">
    <w:abstractNumId w:val="45"/>
  </w:num>
  <w:num w:numId="30">
    <w:abstractNumId w:val="29"/>
  </w:num>
  <w:num w:numId="31">
    <w:abstractNumId w:val="32"/>
  </w:num>
  <w:num w:numId="32">
    <w:abstractNumId w:val="10"/>
  </w:num>
  <w:num w:numId="33">
    <w:abstractNumId w:val="15"/>
  </w:num>
  <w:num w:numId="34">
    <w:abstractNumId w:val="0"/>
  </w:num>
  <w:num w:numId="35">
    <w:abstractNumId w:val="22"/>
  </w:num>
  <w:num w:numId="36">
    <w:abstractNumId w:val="13"/>
  </w:num>
  <w:num w:numId="37">
    <w:abstractNumId w:val="8"/>
  </w:num>
  <w:num w:numId="38">
    <w:abstractNumId w:val="39"/>
  </w:num>
  <w:num w:numId="39">
    <w:abstractNumId w:val="43"/>
  </w:num>
  <w:num w:numId="40">
    <w:abstractNumId w:val="7"/>
  </w:num>
  <w:num w:numId="41">
    <w:abstractNumId w:val="55"/>
  </w:num>
  <w:num w:numId="42">
    <w:abstractNumId w:val="24"/>
  </w:num>
  <w:num w:numId="43">
    <w:abstractNumId w:val="53"/>
  </w:num>
  <w:num w:numId="44">
    <w:abstractNumId w:val="40"/>
  </w:num>
  <w:num w:numId="45">
    <w:abstractNumId w:val="52"/>
  </w:num>
  <w:num w:numId="46">
    <w:abstractNumId w:val="18"/>
  </w:num>
  <w:num w:numId="47">
    <w:abstractNumId w:val="36"/>
  </w:num>
  <w:num w:numId="48">
    <w:abstractNumId w:val="23"/>
  </w:num>
  <w:num w:numId="49">
    <w:abstractNumId w:val="35"/>
  </w:num>
  <w:num w:numId="50">
    <w:abstractNumId w:val="49"/>
  </w:num>
  <w:num w:numId="51">
    <w:abstractNumId w:val="33"/>
  </w:num>
  <w:num w:numId="52">
    <w:abstractNumId w:val="34"/>
  </w:num>
  <w:num w:numId="53">
    <w:abstractNumId w:val="50"/>
  </w:num>
  <w:num w:numId="54">
    <w:abstractNumId w:val="16"/>
  </w:num>
  <w:num w:numId="55">
    <w:abstractNumId w:val="28"/>
  </w:num>
  <w:num w:numId="56">
    <w:abstractNumId w:val="17"/>
  </w:num>
  <w:num w:numId="57">
    <w:abstractNumId w:val="1"/>
  </w:num>
  <w:num w:numId="5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1"/>
  </w:compat>
  <w:rsids>
    <w:rsidRoot w:val="00000000"/>
    <w:rsid w:val="009444C8"/>
    <w:rsid w:val="00F5341F"/>
    <w:rsid w:val="00FD38BE"/>
    <w:rsid w:val="02387B58"/>
    <w:rsid w:val="02D36DFE"/>
    <w:rsid w:val="04F25C61"/>
    <w:rsid w:val="05492C0D"/>
    <w:rsid w:val="06D80E87"/>
    <w:rsid w:val="0BE07639"/>
    <w:rsid w:val="0CFB7C85"/>
    <w:rsid w:val="0D4C4A2E"/>
    <w:rsid w:val="0E880B4A"/>
    <w:rsid w:val="0EFC3981"/>
    <w:rsid w:val="10E24D48"/>
    <w:rsid w:val="11506CC9"/>
    <w:rsid w:val="11E35E9B"/>
    <w:rsid w:val="137D4E72"/>
    <w:rsid w:val="13830FE4"/>
    <w:rsid w:val="14507790"/>
    <w:rsid w:val="14795A57"/>
    <w:rsid w:val="15B07207"/>
    <w:rsid w:val="15BD469A"/>
    <w:rsid w:val="15D13EA0"/>
    <w:rsid w:val="15D31197"/>
    <w:rsid w:val="177C20EF"/>
    <w:rsid w:val="179B3F36"/>
    <w:rsid w:val="17C739EE"/>
    <w:rsid w:val="189217F9"/>
    <w:rsid w:val="18FF4D05"/>
    <w:rsid w:val="19CB4BB8"/>
    <w:rsid w:val="1A446818"/>
    <w:rsid w:val="1BA500C9"/>
    <w:rsid w:val="1BC83406"/>
    <w:rsid w:val="1C6C216D"/>
    <w:rsid w:val="1EB30C1C"/>
    <w:rsid w:val="1F770DE5"/>
    <w:rsid w:val="1F842F28"/>
    <w:rsid w:val="1FC5379E"/>
    <w:rsid w:val="20DD4E32"/>
    <w:rsid w:val="21521B0A"/>
    <w:rsid w:val="21D4351E"/>
    <w:rsid w:val="22266AF2"/>
    <w:rsid w:val="24CD76F9"/>
    <w:rsid w:val="24FD0D5F"/>
    <w:rsid w:val="2ABC7FF4"/>
    <w:rsid w:val="2AC450FA"/>
    <w:rsid w:val="2B083239"/>
    <w:rsid w:val="2B494676"/>
    <w:rsid w:val="2BC06835"/>
    <w:rsid w:val="2BD14565"/>
    <w:rsid w:val="2DAF3E40"/>
    <w:rsid w:val="2E836101"/>
    <w:rsid w:val="2F191EB9"/>
    <w:rsid w:val="2F961D80"/>
    <w:rsid w:val="2FF11021"/>
    <w:rsid w:val="31824746"/>
    <w:rsid w:val="32B55A55"/>
    <w:rsid w:val="32C26F97"/>
    <w:rsid w:val="33F24326"/>
    <w:rsid w:val="35605087"/>
    <w:rsid w:val="36294A38"/>
    <w:rsid w:val="37697EB7"/>
    <w:rsid w:val="376A4579"/>
    <w:rsid w:val="389D0BD0"/>
    <w:rsid w:val="38B340C6"/>
    <w:rsid w:val="393379D8"/>
    <w:rsid w:val="39761CB6"/>
    <w:rsid w:val="3B334AF7"/>
    <w:rsid w:val="3B336BEB"/>
    <w:rsid w:val="3D0F66A9"/>
    <w:rsid w:val="3D2512BE"/>
    <w:rsid w:val="3D97201F"/>
    <w:rsid w:val="3E2E6510"/>
    <w:rsid w:val="3E5860D2"/>
    <w:rsid w:val="3F3D74FE"/>
    <w:rsid w:val="3F5C0382"/>
    <w:rsid w:val="40F42C5D"/>
    <w:rsid w:val="414E39B2"/>
    <w:rsid w:val="41CB79C5"/>
    <w:rsid w:val="439E6F93"/>
    <w:rsid w:val="44BD69EB"/>
    <w:rsid w:val="47062500"/>
    <w:rsid w:val="4765195B"/>
    <w:rsid w:val="48DC7E55"/>
    <w:rsid w:val="49AA3104"/>
    <w:rsid w:val="4B151CBC"/>
    <w:rsid w:val="4BFE2F8A"/>
    <w:rsid w:val="4D0C050F"/>
    <w:rsid w:val="4D4C08F2"/>
    <w:rsid w:val="4DAC11B6"/>
    <w:rsid w:val="50C17863"/>
    <w:rsid w:val="50E515EC"/>
    <w:rsid w:val="52BC6534"/>
    <w:rsid w:val="55036C44"/>
    <w:rsid w:val="560C332E"/>
    <w:rsid w:val="56A417B8"/>
    <w:rsid w:val="57082DF9"/>
    <w:rsid w:val="576F0714"/>
    <w:rsid w:val="57CC79A3"/>
    <w:rsid w:val="58C85D7A"/>
    <w:rsid w:val="58D802B9"/>
    <w:rsid w:val="5D0D455B"/>
    <w:rsid w:val="5D4B0BE0"/>
    <w:rsid w:val="5E197573"/>
    <w:rsid w:val="5E636240"/>
    <w:rsid w:val="5E884EA8"/>
    <w:rsid w:val="5EBC2F9D"/>
    <w:rsid w:val="5F7E063F"/>
    <w:rsid w:val="603C2706"/>
    <w:rsid w:val="607D065B"/>
    <w:rsid w:val="6280650B"/>
    <w:rsid w:val="6299419B"/>
    <w:rsid w:val="62C21041"/>
    <w:rsid w:val="62E2045A"/>
    <w:rsid w:val="63133D3B"/>
    <w:rsid w:val="64EC6567"/>
    <w:rsid w:val="65F8567D"/>
    <w:rsid w:val="660109D5"/>
    <w:rsid w:val="66240E2C"/>
    <w:rsid w:val="66E74E22"/>
    <w:rsid w:val="67DD63C9"/>
    <w:rsid w:val="682A2C53"/>
    <w:rsid w:val="693B4C9B"/>
    <w:rsid w:val="696A2AE4"/>
    <w:rsid w:val="69B17C2E"/>
    <w:rsid w:val="6A4B56BB"/>
    <w:rsid w:val="6ACE3AA8"/>
    <w:rsid w:val="6B2D142D"/>
    <w:rsid w:val="6C424E4E"/>
    <w:rsid w:val="6CBE13CE"/>
    <w:rsid w:val="6D8201E8"/>
    <w:rsid w:val="728346D7"/>
    <w:rsid w:val="74B658DC"/>
    <w:rsid w:val="74F3598D"/>
    <w:rsid w:val="775C05F8"/>
    <w:rsid w:val="78083E95"/>
    <w:rsid w:val="790920EA"/>
    <w:rsid w:val="7B40663D"/>
    <w:rsid w:val="7C4D6FA2"/>
    <w:rsid w:val="7ECB4DA6"/>
    <w:rsid w:val="7F7449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Cs w:val="21"/>
    </w:rPr>
  </w:style>
  <w:style w:type="paragraph" w:styleId="3">
    <w:name w:val="toc 1"/>
    <w:basedOn w:val="1"/>
    <w:next w:val="1"/>
    <w:qFormat/>
    <w:uiPriority w:val="0"/>
  </w:style>
  <w:style w:type="paragraph" w:styleId="4">
    <w:name w:val="toc 2"/>
    <w:basedOn w:val="1"/>
    <w:next w:val="1"/>
    <w:qFormat/>
    <w:uiPriority w:val="0"/>
    <w:pPr>
      <w:ind w:left="420" w:leftChars="200"/>
    </w:pPr>
  </w:style>
  <w:style w:type="paragraph" w:customStyle="1" w:styleId="7">
    <w:name w:val="标题 11"/>
    <w:basedOn w:val="1"/>
    <w:link w:val="19"/>
    <w:qFormat/>
    <w:uiPriority w:val="0"/>
    <w:pPr>
      <w:keepNext/>
      <w:keepLines/>
      <w:spacing w:line="400" w:lineRule="exact"/>
      <w:jc w:val="center"/>
      <w:outlineLvl w:val="0"/>
    </w:pPr>
    <w:rPr>
      <w:b/>
      <w:bCs/>
      <w:kern w:val="44"/>
      <w:sz w:val="44"/>
      <w:szCs w:val="44"/>
    </w:rPr>
  </w:style>
  <w:style w:type="paragraph" w:customStyle="1" w:styleId="8">
    <w:name w:val="标题 21"/>
    <w:basedOn w:val="1"/>
    <w:link w:val="20"/>
    <w:qFormat/>
    <w:uiPriority w:val="0"/>
    <w:pPr>
      <w:keepNext/>
      <w:jc w:val="center"/>
      <w:outlineLvl w:val="1"/>
    </w:pPr>
    <w:rPr>
      <w:rFonts w:ascii="Cambria" w:hAnsi="Cambria"/>
      <w:b/>
      <w:bCs/>
      <w:sz w:val="30"/>
      <w:szCs w:val="32"/>
    </w:rPr>
  </w:style>
  <w:style w:type="paragraph" w:customStyle="1" w:styleId="9">
    <w:name w:val="标题 31"/>
    <w:basedOn w:val="1"/>
    <w:link w:val="21"/>
    <w:qFormat/>
    <w:uiPriority w:val="0"/>
    <w:pPr>
      <w:keepNext/>
      <w:tabs>
        <w:tab w:val="left" w:pos="720"/>
      </w:tabs>
      <w:spacing w:line="240" w:lineRule="atLeast"/>
      <w:ind w:left="720" w:hanging="720"/>
      <w:jc w:val="center"/>
      <w:outlineLvl w:val="2"/>
    </w:pPr>
    <w:rPr>
      <w:b/>
      <w:bCs/>
      <w:kern w:val="0"/>
      <w:sz w:val="32"/>
      <w:szCs w:val="32"/>
    </w:rPr>
  </w:style>
  <w:style w:type="paragraph" w:customStyle="1" w:styleId="10">
    <w:name w:val="标题 41"/>
    <w:basedOn w:val="1"/>
    <w:link w:val="22"/>
    <w:qFormat/>
    <w:uiPriority w:val="0"/>
    <w:pPr>
      <w:keepNext/>
      <w:keepLines/>
      <w:spacing w:before="280" w:after="290" w:line="374" w:lineRule="auto"/>
      <w:outlineLvl w:val="3"/>
    </w:pPr>
    <w:rPr>
      <w:rFonts w:ascii="Cambria" w:hAnsi="Cambria"/>
      <w:b/>
      <w:bCs/>
      <w:kern w:val="0"/>
      <w:sz w:val="28"/>
      <w:szCs w:val="28"/>
    </w:rPr>
  </w:style>
  <w:style w:type="paragraph" w:customStyle="1" w:styleId="11">
    <w:name w:val="标题 51"/>
    <w:basedOn w:val="1"/>
    <w:link w:val="23"/>
    <w:qFormat/>
    <w:uiPriority w:val="0"/>
    <w:pPr>
      <w:keepNext/>
      <w:keepLines/>
      <w:spacing w:line="372" w:lineRule="auto"/>
      <w:ind w:left="1008" w:hanging="1008"/>
      <w:outlineLvl w:val="4"/>
    </w:pPr>
    <w:rPr>
      <w:rFonts w:ascii="Calibri" w:hAnsi="Calibri" w:eastAsia="宋体"/>
      <w:b/>
      <w:sz w:val="28"/>
      <w:szCs w:val="22"/>
    </w:rPr>
  </w:style>
  <w:style w:type="paragraph" w:customStyle="1" w:styleId="12">
    <w:name w:val="标题 61"/>
    <w:basedOn w:val="1"/>
    <w:link w:val="24"/>
    <w:qFormat/>
    <w:uiPriority w:val="0"/>
    <w:pPr>
      <w:keepNext/>
      <w:keepLines/>
      <w:spacing w:line="317" w:lineRule="auto"/>
      <w:ind w:left="1151" w:hanging="1151"/>
      <w:outlineLvl w:val="5"/>
    </w:pPr>
    <w:rPr>
      <w:rFonts w:ascii="Arial" w:hAnsi="Arial" w:eastAsia="黑体"/>
      <w:b/>
      <w:sz w:val="24"/>
      <w:szCs w:val="22"/>
    </w:rPr>
  </w:style>
  <w:style w:type="paragraph" w:customStyle="1" w:styleId="13">
    <w:name w:val="标题 71"/>
    <w:basedOn w:val="1"/>
    <w:link w:val="25"/>
    <w:qFormat/>
    <w:uiPriority w:val="0"/>
    <w:pPr>
      <w:keepNext/>
      <w:keepLines/>
      <w:spacing w:line="317" w:lineRule="auto"/>
      <w:ind w:left="1296" w:hanging="1296"/>
      <w:outlineLvl w:val="6"/>
    </w:pPr>
    <w:rPr>
      <w:rFonts w:ascii="Calibri" w:hAnsi="Calibri" w:eastAsia="宋体"/>
      <w:b/>
      <w:sz w:val="24"/>
      <w:szCs w:val="22"/>
    </w:rPr>
  </w:style>
  <w:style w:type="paragraph" w:customStyle="1" w:styleId="14">
    <w:name w:val="标题 81"/>
    <w:basedOn w:val="1"/>
    <w:link w:val="26"/>
    <w:qFormat/>
    <w:uiPriority w:val="0"/>
    <w:pPr>
      <w:keepNext/>
      <w:keepLines/>
      <w:spacing w:line="317" w:lineRule="auto"/>
      <w:ind w:left="1440" w:hanging="1440"/>
      <w:outlineLvl w:val="7"/>
    </w:pPr>
    <w:rPr>
      <w:rFonts w:ascii="Arial" w:hAnsi="Arial" w:eastAsia="黑体"/>
      <w:sz w:val="24"/>
      <w:szCs w:val="22"/>
    </w:rPr>
  </w:style>
  <w:style w:type="paragraph" w:customStyle="1" w:styleId="15">
    <w:name w:val="标题 91"/>
    <w:basedOn w:val="1"/>
    <w:link w:val="27"/>
    <w:qFormat/>
    <w:uiPriority w:val="0"/>
    <w:pPr>
      <w:keepNext/>
      <w:keepLines/>
      <w:spacing w:line="317" w:lineRule="auto"/>
      <w:ind w:left="1583" w:hanging="1583"/>
      <w:outlineLvl w:val="8"/>
    </w:pPr>
    <w:rPr>
      <w:rFonts w:ascii="Arial" w:hAnsi="Arial" w:eastAsia="黑体"/>
      <w:szCs w:val="22"/>
    </w:rPr>
  </w:style>
  <w:style w:type="character" w:customStyle="1" w:styleId="16">
    <w:name w:val="默认段落字体1"/>
    <w:link w:val="1"/>
    <w:qFormat/>
    <w:uiPriority w:val="0"/>
  </w:style>
  <w:style w:type="table" w:customStyle="1" w:styleId="17">
    <w:name w:val="普通表格1"/>
    <w:qFormat/>
    <w:uiPriority w:val="0"/>
  </w:style>
  <w:style w:type="paragraph" w:customStyle="1" w:styleId="18">
    <w:name w:val="_Style 3"/>
    <w:basedOn w:val="1"/>
    <w:qFormat/>
    <w:uiPriority w:val="0"/>
    <w:pPr>
      <w:ind w:firstLine="420" w:firstLineChars="200"/>
    </w:pPr>
    <w:rPr>
      <w:rFonts w:eastAsia="仿宋_GB2312"/>
      <w:sz w:val="28"/>
    </w:rPr>
  </w:style>
  <w:style w:type="character" w:customStyle="1" w:styleId="19">
    <w:name w:val="标题 1 Char"/>
    <w:link w:val="7"/>
    <w:qFormat/>
    <w:uiPriority w:val="0"/>
    <w:rPr>
      <w:b/>
      <w:bCs/>
      <w:kern w:val="44"/>
      <w:sz w:val="44"/>
      <w:szCs w:val="44"/>
    </w:rPr>
  </w:style>
  <w:style w:type="character" w:customStyle="1" w:styleId="20">
    <w:name w:val="标题 2 Char"/>
    <w:link w:val="8"/>
    <w:qFormat/>
    <w:uiPriority w:val="0"/>
    <w:rPr>
      <w:rFonts w:ascii="Cambria" w:hAnsi="Cambria"/>
      <w:b/>
      <w:bCs/>
      <w:kern w:val="2"/>
      <w:sz w:val="30"/>
      <w:szCs w:val="32"/>
    </w:rPr>
  </w:style>
  <w:style w:type="character" w:customStyle="1" w:styleId="21">
    <w:name w:val="标题 3 Char"/>
    <w:link w:val="9"/>
    <w:qFormat/>
    <w:uiPriority w:val="0"/>
    <w:rPr>
      <w:b/>
      <w:bCs/>
      <w:sz w:val="32"/>
      <w:szCs w:val="32"/>
    </w:rPr>
  </w:style>
  <w:style w:type="character" w:customStyle="1" w:styleId="22">
    <w:name w:val="标题 4 Char"/>
    <w:link w:val="10"/>
    <w:qFormat/>
    <w:uiPriority w:val="0"/>
    <w:rPr>
      <w:rFonts w:ascii="Cambria" w:hAnsi="Cambria" w:eastAsia="宋体"/>
      <w:b/>
      <w:bCs/>
      <w:sz w:val="28"/>
      <w:szCs w:val="28"/>
    </w:rPr>
  </w:style>
  <w:style w:type="character" w:customStyle="1" w:styleId="23">
    <w:name w:val="标题 5 Char"/>
    <w:link w:val="11"/>
    <w:semiHidden/>
    <w:qFormat/>
    <w:uiPriority w:val="0"/>
    <w:rPr>
      <w:rFonts w:ascii="Calibri" w:hAnsi="Calibri" w:eastAsia="宋体"/>
      <w:b/>
      <w:kern w:val="2"/>
      <w:sz w:val="28"/>
      <w:szCs w:val="22"/>
    </w:rPr>
  </w:style>
  <w:style w:type="character" w:customStyle="1" w:styleId="24">
    <w:name w:val="标题 6 Char"/>
    <w:link w:val="12"/>
    <w:semiHidden/>
    <w:qFormat/>
    <w:uiPriority w:val="0"/>
    <w:rPr>
      <w:rFonts w:ascii="Arial" w:hAnsi="Arial" w:eastAsia="黑体"/>
      <w:b/>
      <w:kern w:val="2"/>
      <w:sz w:val="24"/>
      <w:szCs w:val="22"/>
    </w:rPr>
  </w:style>
  <w:style w:type="character" w:customStyle="1" w:styleId="25">
    <w:name w:val="标题 7 Char"/>
    <w:link w:val="13"/>
    <w:semiHidden/>
    <w:qFormat/>
    <w:uiPriority w:val="0"/>
    <w:rPr>
      <w:rFonts w:ascii="Calibri" w:hAnsi="Calibri" w:eastAsia="宋体"/>
      <w:b/>
      <w:kern w:val="2"/>
      <w:sz w:val="24"/>
      <w:szCs w:val="22"/>
    </w:rPr>
  </w:style>
  <w:style w:type="character" w:customStyle="1" w:styleId="26">
    <w:name w:val="标题 8 Char"/>
    <w:link w:val="14"/>
    <w:semiHidden/>
    <w:qFormat/>
    <w:uiPriority w:val="0"/>
    <w:rPr>
      <w:rFonts w:ascii="Arial" w:hAnsi="Arial" w:eastAsia="黑体"/>
      <w:kern w:val="2"/>
      <w:sz w:val="24"/>
      <w:szCs w:val="22"/>
    </w:rPr>
  </w:style>
  <w:style w:type="character" w:customStyle="1" w:styleId="27">
    <w:name w:val="标题 9 Char"/>
    <w:link w:val="15"/>
    <w:semiHidden/>
    <w:qFormat/>
    <w:uiPriority w:val="0"/>
    <w:rPr>
      <w:rFonts w:ascii="Arial" w:hAnsi="Arial" w:eastAsia="黑体"/>
      <w:kern w:val="2"/>
      <w:sz w:val="21"/>
      <w:szCs w:val="22"/>
    </w:rPr>
  </w:style>
  <w:style w:type="paragraph" w:customStyle="1" w:styleId="28">
    <w:name w:val="正文缩进1"/>
    <w:basedOn w:val="1"/>
    <w:link w:val="29"/>
    <w:qFormat/>
    <w:uiPriority w:val="0"/>
    <w:pPr>
      <w:widowControl/>
      <w:snapToGrid w:val="0"/>
      <w:spacing w:line="480" w:lineRule="exact"/>
      <w:ind w:firstLine="567"/>
    </w:pPr>
    <w:rPr>
      <w:rFonts w:ascii="宋体"/>
      <w:color w:val="000000"/>
      <w:kern w:val="28"/>
      <w:sz w:val="28"/>
    </w:rPr>
  </w:style>
  <w:style w:type="character" w:customStyle="1" w:styleId="29">
    <w:name w:val="正文缩进 Char"/>
    <w:link w:val="28"/>
    <w:qFormat/>
    <w:uiPriority w:val="0"/>
    <w:rPr>
      <w:rFonts w:ascii="宋体" w:eastAsia="宋体"/>
      <w:color w:val="000000"/>
      <w:kern w:val="28"/>
      <w:sz w:val="28"/>
      <w:lang w:val="en-US" w:eastAsia="zh-CN" w:bidi="ar-SA"/>
    </w:rPr>
  </w:style>
  <w:style w:type="paragraph" w:customStyle="1" w:styleId="30">
    <w:name w:val="文档结构图1"/>
    <w:basedOn w:val="1"/>
    <w:link w:val="31"/>
    <w:qFormat/>
    <w:uiPriority w:val="0"/>
    <w:pPr>
      <w:shd w:val="clear" w:color="auto" w:fill="000080"/>
    </w:pPr>
    <w:rPr>
      <w:kern w:val="0"/>
      <w:sz w:val="2"/>
    </w:rPr>
  </w:style>
  <w:style w:type="character" w:customStyle="1" w:styleId="31">
    <w:name w:val="文档结构图 Char"/>
    <w:link w:val="30"/>
    <w:qFormat/>
    <w:uiPriority w:val="0"/>
    <w:rPr>
      <w:sz w:val="2"/>
    </w:rPr>
  </w:style>
  <w:style w:type="paragraph" w:customStyle="1" w:styleId="32">
    <w:name w:val="引文目录标题1"/>
    <w:basedOn w:val="1"/>
    <w:qFormat/>
    <w:uiPriority w:val="0"/>
    <w:pPr>
      <w:spacing w:before="120"/>
    </w:pPr>
    <w:rPr>
      <w:rFonts w:ascii="Arial" w:hAnsi="Arial"/>
      <w:sz w:val="24"/>
      <w:szCs w:val="24"/>
    </w:rPr>
  </w:style>
  <w:style w:type="paragraph" w:customStyle="1" w:styleId="33">
    <w:name w:val="批注文字1"/>
    <w:basedOn w:val="1"/>
    <w:link w:val="34"/>
    <w:qFormat/>
    <w:uiPriority w:val="0"/>
    <w:pPr>
      <w:jc w:val="left"/>
    </w:pPr>
  </w:style>
  <w:style w:type="character" w:customStyle="1" w:styleId="34">
    <w:name w:val="批注文字 Char"/>
    <w:link w:val="33"/>
    <w:qFormat/>
    <w:uiPriority w:val="0"/>
    <w:rPr>
      <w:rFonts w:ascii="Times New Roman" w:hAnsi="Times New Roman" w:eastAsia="宋体"/>
      <w:kern w:val="2"/>
      <w:sz w:val="21"/>
    </w:rPr>
  </w:style>
  <w:style w:type="paragraph" w:customStyle="1" w:styleId="35">
    <w:name w:val="正文文本1"/>
    <w:basedOn w:val="1"/>
    <w:link w:val="36"/>
    <w:qFormat/>
    <w:uiPriority w:val="0"/>
    <w:rPr>
      <w:kern w:val="0"/>
      <w:sz w:val="20"/>
    </w:rPr>
  </w:style>
  <w:style w:type="character" w:customStyle="1" w:styleId="36">
    <w:name w:val="正文文本 Char"/>
    <w:link w:val="35"/>
    <w:qFormat/>
    <w:uiPriority w:val="0"/>
    <w:rPr>
      <w:sz w:val="20"/>
      <w:szCs w:val="20"/>
    </w:rPr>
  </w:style>
  <w:style w:type="paragraph" w:customStyle="1" w:styleId="37">
    <w:name w:val="正文首行缩进1"/>
    <w:basedOn w:val="35"/>
    <w:link w:val="38"/>
    <w:qFormat/>
    <w:uiPriority w:val="0"/>
    <w:pPr>
      <w:spacing w:after="120"/>
      <w:ind w:firstLine="420" w:firstLineChars="100"/>
    </w:pPr>
    <w:rPr>
      <w:kern w:val="2"/>
      <w:sz w:val="21"/>
    </w:rPr>
  </w:style>
  <w:style w:type="character" w:customStyle="1" w:styleId="38">
    <w:name w:val="正文首行缩进 Char"/>
    <w:link w:val="37"/>
    <w:qFormat/>
    <w:uiPriority w:val="0"/>
    <w:rPr>
      <w:kern w:val="2"/>
      <w:sz w:val="21"/>
      <w:szCs w:val="20"/>
    </w:rPr>
  </w:style>
  <w:style w:type="paragraph" w:customStyle="1" w:styleId="39">
    <w:name w:val="正文文本缩进1"/>
    <w:basedOn w:val="1"/>
    <w:link w:val="40"/>
    <w:qFormat/>
    <w:uiPriority w:val="0"/>
    <w:pPr>
      <w:spacing w:line="380" w:lineRule="exact"/>
      <w:ind w:firstLine="480"/>
    </w:pPr>
    <w:rPr>
      <w:kern w:val="0"/>
      <w:sz w:val="20"/>
    </w:rPr>
  </w:style>
  <w:style w:type="character" w:customStyle="1" w:styleId="40">
    <w:name w:val="正文文本缩进 Char"/>
    <w:link w:val="39"/>
    <w:qFormat/>
    <w:uiPriority w:val="0"/>
    <w:rPr>
      <w:sz w:val="20"/>
      <w:szCs w:val="20"/>
    </w:rPr>
  </w:style>
  <w:style w:type="paragraph" w:customStyle="1" w:styleId="41">
    <w:name w:val="文本块1"/>
    <w:basedOn w:val="1"/>
    <w:qFormat/>
    <w:uiPriority w:val="0"/>
    <w:pPr>
      <w:snapToGrid w:val="0"/>
      <w:spacing w:line="360" w:lineRule="auto"/>
      <w:ind w:left="567" w:leftChars="270" w:right="-315" w:rightChars="-150" w:firstLine="480" w:firstLineChars="200"/>
    </w:pPr>
    <w:rPr>
      <w:rFonts w:ascii="宋体"/>
      <w:sz w:val="24"/>
      <w:szCs w:val="24"/>
    </w:rPr>
  </w:style>
  <w:style w:type="paragraph" w:customStyle="1" w:styleId="42">
    <w:name w:val="目录 31"/>
    <w:basedOn w:val="1"/>
    <w:qFormat/>
    <w:uiPriority w:val="0"/>
    <w:pPr>
      <w:ind w:left="840" w:leftChars="400"/>
    </w:pPr>
  </w:style>
  <w:style w:type="paragraph" w:customStyle="1" w:styleId="43">
    <w:name w:val="纯文本11"/>
    <w:basedOn w:val="1"/>
    <w:link w:val="44"/>
    <w:qFormat/>
    <w:uiPriority w:val="0"/>
    <w:rPr>
      <w:rFonts w:ascii="宋体" w:hAnsi="Courier New"/>
      <w:kern w:val="0"/>
      <w:szCs w:val="21"/>
    </w:rPr>
  </w:style>
  <w:style w:type="character" w:customStyle="1" w:styleId="44">
    <w:name w:val="纯文本 Char"/>
    <w:link w:val="43"/>
    <w:qFormat/>
    <w:uiPriority w:val="0"/>
    <w:rPr>
      <w:rFonts w:ascii="宋体" w:hAnsi="Courier New"/>
      <w:sz w:val="21"/>
      <w:szCs w:val="21"/>
    </w:rPr>
  </w:style>
  <w:style w:type="paragraph" w:customStyle="1" w:styleId="45">
    <w:name w:val="日期1"/>
    <w:basedOn w:val="1"/>
    <w:link w:val="46"/>
    <w:qFormat/>
    <w:uiPriority w:val="0"/>
    <w:rPr>
      <w:sz w:val="28"/>
    </w:rPr>
  </w:style>
  <w:style w:type="character" w:customStyle="1" w:styleId="46">
    <w:name w:val="日期 Char"/>
    <w:link w:val="45"/>
    <w:qFormat/>
    <w:uiPriority w:val="0"/>
    <w:rPr>
      <w:kern w:val="2"/>
      <w:sz w:val="28"/>
    </w:rPr>
  </w:style>
  <w:style w:type="paragraph" w:customStyle="1" w:styleId="47">
    <w:name w:val="正文文本缩进 21"/>
    <w:basedOn w:val="1"/>
    <w:link w:val="48"/>
    <w:qFormat/>
    <w:uiPriority w:val="0"/>
    <w:pPr>
      <w:tabs>
        <w:tab w:val="left" w:pos="240"/>
        <w:tab w:val="left" w:pos="480"/>
      </w:tabs>
      <w:ind w:left="630" w:leftChars="300"/>
    </w:pPr>
    <w:rPr>
      <w:kern w:val="0"/>
      <w:sz w:val="20"/>
    </w:rPr>
  </w:style>
  <w:style w:type="character" w:customStyle="1" w:styleId="48">
    <w:name w:val="正文文本缩进 2 Char"/>
    <w:link w:val="47"/>
    <w:qFormat/>
    <w:uiPriority w:val="0"/>
    <w:rPr>
      <w:sz w:val="20"/>
      <w:szCs w:val="20"/>
    </w:rPr>
  </w:style>
  <w:style w:type="paragraph" w:customStyle="1" w:styleId="49">
    <w:name w:val="批注框文本1"/>
    <w:basedOn w:val="1"/>
    <w:link w:val="50"/>
    <w:qFormat/>
    <w:uiPriority w:val="0"/>
    <w:rPr>
      <w:sz w:val="18"/>
      <w:szCs w:val="18"/>
    </w:rPr>
  </w:style>
  <w:style w:type="character" w:customStyle="1" w:styleId="50">
    <w:name w:val="批注框文本 Char"/>
    <w:link w:val="49"/>
    <w:qFormat/>
    <w:uiPriority w:val="0"/>
    <w:rPr>
      <w:rFonts w:ascii="Times New Roman" w:hAnsi="Times New Roman" w:eastAsia="宋体"/>
      <w:kern w:val="2"/>
      <w:sz w:val="18"/>
      <w:szCs w:val="18"/>
    </w:rPr>
  </w:style>
  <w:style w:type="paragraph" w:customStyle="1" w:styleId="51">
    <w:name w:val="页脚1"/>
    <w:basedOn w:val="1"/>
    <w:link w:val="52"/>
    <w:qFormat/>
    <w:uiPriority w:val="0"/>
    <w:pPr>
      <w:tabs>
        <w:tab w:val="center" w:pos="4153"/>
        <w:tab w:val="right" w:pos="8306"/>
      </w:tabs>
      <w:snapToGrid w:val="0"/>
      <w:jc w:val="left"/>
    </w:pPr>
    <w:rPr>
      <w:kern w:val="0"/>
      <w:sz w:val="18"/>
      <w:szCs w:val="18"/>
    </w:rPr>
  </w:style>
  <w:style w:type="character" w:customStyle="1" w:styleId="52">
    <w:name w:val="页脚 Char"/>
    <w:link w:val="51"/>
    <w:qFormat/>
    <w:uiPriority w:val="0"/>
    <w:rPr>
      <w:sz w:val="18"/>
      <w:szCs w:val="18"/>
    </w:rPr>
  </w:style>
  <w:style w:type="paragraph" w:customStyle="1" w:styleId="53">
    <w:name w:val="页眉1"/>
    <w:basedOn w:val="1"/>
    <w:link w:val="54"/>
    <w:qFormat/>
    <w:uiPriority w:val="0"/>
    <w:pPr>
      <w:pBdr>
        <w:bottom w:val="single" w:color="000000" w:sz="6" w:space="1"/>
      </w:pBdr>
      <w:tabs>
        <w:tab w:val="center" w:pos="4153"/>
        <w:tab w:val="right" w:pos="8306"/>
      </w:tabs>
      <w:snapToGrid w:val="0"/>
      <w:jc w:val="center"/>
    </w:pPr>
    <w:rPr>
      <w:kern w:val="0"/>
      <w:sz w:val="18"/>
      <w:szCs w:val="18"/>
    </w:rPr>
  </w:style>
  <w:style w:type="character" w:customStyle="1" w:styleId="54">
    <w:name w:val="页眉 Char"/>
    <w:link w:val="53"/>
    <w:qFormat/>
    <w:uiPriority w:val="0"/>
    <w:rPr>
      <w:sz w:val="18"/>
      <w:szCs w:val="18"/>
    </w:rPr>
  </w:style>
  <w:style w:type="paragraph" w:customStyle="1" w:styleId="55">
    <w:name w:val="目录 11"/>
    <w:basedOn w:val="1"/>
    <w:qFormat/>
    <w:uiPriority w:val="0"/>
    <w:rPr>
      <w:sz w:val="24"/>
    </w:rPr>
  </w:style>
  <w:style w:type="paragraph" w:customStyle="1" w:styleId="56">
    <w:name w:val="目录 61"/>
    <w:basedOn w:val="1"/>
    <w:qFormat/>
    <w:uiPriority w:val="0"/>
    <w:pPr>
      <w:ind w:left="2100" w:leftChars="1000"/>
    </w:pPr>
  </w:style>
  <w:style w:type="paragraph" w:customStyle="1" w:styleId="57">
    <w:name w:val="正文文本缩进 31"/>
    <w:basedOn w:val="1"/>
    <w:link w:val="58"/>
    <w:qFormat/>
    <w:uiPriority w:val="0"/>
    <w:pPr>
      <w:spacing w:after="120"/>
      <w:ind w:left="420" w:leftChars="200"/>
    </w:pPr>
    <w:rPr>
      <w:sz w:val="16"/>
      <w:szCs w:val="16"/>
    </w:rPr>
  </w:style>
  <w:style w:type="character" w:customStyle="1" w:styleId="58">
    <w:name w:val="正文文本缩进 3 Char"/>
    <w:link w:val="57"/>
    <w:qFormat/>
    <w:uiPriority w:val="0"/>
    <w:rPr>
      <w:kern w:val="2"/>
      <w:sz w:val="16"/>
      <w:szCs w:val="16"/>
    </w:rPr>
  </w:style>
  <w:style w:type="paragraph" w:customStyle="1" w:styleId="59">
    <w:name w:val="目录 21"/>
    <w:basedOn w:val="1"/>
    <w:qFormat/>
    <w:uiPriority w:val="0"/>
    <w:pPr>
      <w:ind w:left="420" w:leftChars="200"/>
    </w:pPr>
  </w:style>
  <w:style w:type="paragraph" w:customStyle="1" w:styleId="60">
    <w:name w:val="正文文本 21"/>
    <w:basedOn w:val="1"/>
    <w:link w:val="61"/>
    <w:qFormat/>
    <w:uiPriority w:val="0"/>
    <w:pPr>
      <w:spacing w:after="120" w:line="480" w:lineRule="auto"/>
    </w:pPr>
    <w:rPr>
      <w:kern w:val="0"/>
      <w:sz w:val="20"/>
    </w:rPr>
  </w:style>
  <w:style w:type="character" w:customStyle="1" w:styleId="61">
    <w:name w:val="正文文本 2 Char"/>
    <w:link w:val="60"/>
    <w:qFormat/>
    <w:uiPriority w:val="0"/>
    <w:rPr>
      <w:sz w:val="20"/>
      <w:szCs w:val="20"/>
    </w:rPr>
  </w:style>
  <w:style w:type="paragraph" w:customStyle="1" w:styleId="62">
    <w:name w:val="普通(网站)11"/>
    <w:basedOn w:val="1"/>
    <w:link w:val="63"/>
    <w:qFormat/>
    <w:uiPriority w:val="0"/>
    <w:pPr>
      <w:widowControl/>
      <w:spacing w:before="100" w:beforeAutospacing="1" w:after="100" w:afterAutospacing="1"/>
      <w:jc w:val="left"/>
    </w:pPr>
    <w:rPr>
      <w:rFonts w:ascii="Arial Unicode MS" w:hAnsi="Arial Unicode MS" w:eastAsia="Arial Unicode MS"/>
      <w:kern w:val="0"/>
      <w:sz w:val="24"/>
      <w:szCs w:val="24"/>
    </w:rPr>
  </w:style>
  <w:style w:type="character" w:customStyle="1" w:styleId="63">
    <w:name w:val="普通(网站) Char"/>
    <w:link w:val="62"/>
    <w:qFormat/>
    <w:uiPriority w:val="0"/>
    <w:rPr>
      <w:rFonts w:ascii="Arial Unicode MS" w:hAnsi="Arial Unicode MS" w:eastAsia="Arial Unicode MS"/>
      <w:sz w:val="24"/>
      <w:szCs w:val="24"/>
    </w:rPr>
  </w:style>
  <w:style w:type="paragraph" w:customStyle="1" w:styleId="64">
    <w:name w:val="批注主题1"/>
    <w:basedOn w:val="33"/>
    <w:link w:val="65"/>
    <w:qFormat/>
    <w:uiPriority w:val="0"/>
    <w:rPr>
      <w:b/>
      <w:bCs/>
    </w:rPr>
  </w:style>
  <w:style w:type="character" w:customStyle="1" w:styleId="65">
    <w:name w:val="批注主题 Char"/>
    <w:link w:val="64"/>
    <w:qFormat/>
    <w:uiPriority w:val="0"/>
    <w:rPr>
      <w:b/>
      <w:bCs/>
    </w:rPr>
  </w:style>
  <w:style w:type="paragraph" w:customStyle="1" w:styleId="66">
    <w:name w:val="正文首行缩进 21"/>
    <w:basedOn w:val="39"/>
    <w:qFormat/>
    <w:uiPriority w:val="0"/>
    <w:pPr>
      <w:widowControl/>
      <w:tabs>
        <w:tab w:val="left" w:pos="0"/>
        <w:tab w:val="left" w:pos="1260"/>
        <w:tab w:val="left" w:pos="1365"/>
      </w:tabs>
      <w:ind w:left="200" w:firstLine="200" w:firstLineChars="200"/>
      <w:jc w:val="left"/>
    </w:pPr>
  </w:style>
  <w:style w:type="table" w:customStyle="1" w:styleId="67">
    <w:name w:val="网格型1"/>
    <w:basedOn w:val="17"/>
    <w:qFormat/>
    <w:uiPriority w:val="0"/>
    <w:rPr>
      <w:rFonts w:ascii="Calibri" w:hAnsi="Calibri" w:eastAsia="宋体"/>
      <w:kern w:val="2"/>
      <w:sz w:val="21"/>
      <w:szCs w:val="22"/>
    </w:rPr>
  </w:style>
  <w:style w:type="character" w:customStyle="1" w:styleId="68">
    <w:name w:val="要点1"/>
    <w:link w:val="1"/>
    <w:qFormat/>
    <w:uiPriority w:val="0"/>
    <w:rPr>
      <w:b/>
      <w:bCs/>
    </w:rPr>
  </w:style>
  <w:style w:type="character" w:customStyle="1" w:styleId="69">
    <w:name w:val="页码1"/>
    <w:link w:val="1"/>
    <w:qFormat/>
    <w:uiPriority w:val="0"/>
  </w:style>
  <w:style w:type="character" w:customStyle="1" w:styleId="70">
    <w:name w:val="已访问的超链接1"/>
    <w:link w:val="1"/>
    <w:qFormat/>
    <w:uiPriority w:val="0"/>
    <w:rPr>
      <w:color w:val="800080"/>
      <w:u w:val="single"/>
    </w:rPr>
  </w:style>
  <w:style w:type="character" w:customStyle="1" w:styleId="71">
    <w:name w:val="HTML 打字机1"/>
    <w:link w:val="1"/>
    <w:qFormat/>
    <w:uiPriority w:val="0"/>
    <w:rPr>
      <w:rFonts w:ascii="Courier New" w:hAnsi="Courier New"/>
      <w:sz w:val="20"/>
      <w:szCs w:val="20"/>
    </w:rPr>
  </w:style>
  <w:style w:type="character" w:customStyle="1" w:styleId="72">
    <w:name w:val="超链接1"/>
    <w:link w:val="1"/>
    <w:qFormat/>
    <w:uiPriority w:val="0"/>
    <w:rPr>
      <w:color w:val="0000FF"/>
      <w:u w:val="single"/>
    </w:rPr>
  </w:style>
  <w:style w:type="character" w:customStyle="1" w:styleId="73">
    <w:name w:val="批注引用1"/>
    <w:link w:val="1"/>
    <w:qFormat/>
    <w:uiPriority w:val="0"/>
    <w:rPr>
      <w:sz w:val="21"/>
      <w:szCs w:val="21"/>
    </w:rPr>
  </w:style>
  <w:style w:type="paragraph" w:customStyle="1" w:styleId="74">
    <w:name w:val="Fließtext"/>
    <w:basedOn w:val="1"/>
    <w:qFormat/>
    <w:uiPriority w:val="0"/>
    <w:pPr>
      <w:overflowPunct w:val="0"/>
      <w:autoSpaceDE w:val="0"/>
      <w:autoSpaceDN w:val="0"/>
    </w:pPr>
    <w:rPr>
      <w:kern w:val="28"/>
      <w:szCs w:val="20"/>
    </w:rPr>
  </w:style>
  <w:style w:type="paragraph" w:customStyle="1" w:styleId="75">
    <w:name w:val="Default"/>
    <w:qFormat/>
    <w:uiPriority w:val="0"/>
    <w:pPr>
      <w:widowControl w:val="0"/>
      <w:autoSpaceDE w:val="0"/>
      <w:autoSpaceDN w:val="0"/>
    </w:pPr>
    <w:rPr>
      <w:rFonts w:ascii="..ì." w:hAnsi="Calibri" w:eastAsia="..ì." w:cs="Times New Roman"/>
      <w:color w:val="000000"/>
      <w:sz w:val="24"/>
      <w:szCs w:val="24"/>
      <w:lang w:val="en-US" w:eastAsia="zh-CN" w:bidi="ar-SA"/>
    </w:rPr>
  </w:style>
  <w:style w:type="character" w:customStyle="1" w:styleId="76">
    <w:name w:val="font31"/>
    <w:link w:val="1"/>
    <w:qFormat/>
    <w:uiPriority w:val="0"/>
    <w:rPr>
      <w:rFonts w:hint="eastAsia" w:ascii="宋体" w:hAnsi="宋体" w:eastAsia="宋体"/>
      <w:b/>
      <w:color w:val="000000"/>
      <w:sz w:val="20"/>
      <w:szCs w:val="20"/>
      <w:u w:val="none"/>
    </w:rPr>
  </w:style>
  <w:style w:type="character" w:customStyle="1" w:styleId="77">
    <w:name w:val="内容"/>
    <w:link w:val="1"/>
    <w:qFormat/>
    <w:uiPriority w:val="0"/>
    <w:rPr>
      <w:rFonts w:ascii="华文细黑" w:eastAsia="华文细黑"/>
      <w:color w:val="75787B"/>
      <w:sz w:val="20"/>
      <w:u w:val="none"/>
    </w:rPr>
  </w:style>
  <w:style w:type="character" w:customStyle="1" w:styleId="78">
    <w:name w:val="ca-51"/>
    <w:link w:val="1"/>
    <w:qFormat/>
    <w:uiPriority w:val="0"/>
    <w:rPr>
      <w:rFonts w:hint="eastAsia" w:ascii="宋体" w:hAnsi="宋体" w:eastAsia="宋体"/>
      <w:color w:val="FF0000"/>
      <w:sz w:val="21"/>
      <w:szCs w:val="21"/>
    </w:rPr>
  </w:style>
  <w:style w:type="character" w:customStyle="1" w:styleId="79">
    <w:name w:val="标准正文 Char"/>
    <w:link w:val="1"/>
    <w:qFormat/>
    <w:uiPriority w:val="0"/>
    <w:rPr>
      <w:kern w:val="2"/>
      <w:sz w:val="24"/>
      <w:szCs w:val="24"/>
    </w:rPr>
  </w:style>
  <w:style w:type="character" w:customStyle="1" w:styleId="80">
    <w:name w:val="纯文本 Char1"/>
    <w:link w:val="1"/>
    <w:qFormat/>
    <w:uiPriority w:val="0"/>
    <w:rPr>
      <w:rFonts w:ascii="宋体" w:hAnsi="Courier New" w:eastAsia="宋体"/>
      <w:kern w:val="2"/>
      <w:sz w:val="21"/>
      <w:lang w:val="en-US" w:eastAsia="zh-CN" w:bidi="ar-SA"/>
    </w:rPr>
  </w:style>
  <w:style w:type="character" w:customStyle="1" w:styleId="81">
    <w:name w:val="表格文字 Char Char"/>
    <w:link w:val="82"/>
    <w:qFormat/>
    <w:uiPriority w:val="0"/>
    <w:rPr>
      <w:rFonts w:ascii="宋体" w:hAnsi="宋体"/>
      <w:bCs/>
      <w:spacing w:val="-4"/>
      <w:sz w:val="32"/>
      <w:szCs w:val="32"/>
      <w:lang w:val="zh-CN"/>
    </w:rPr>
  </w:style>
  <w:style w:type="paragraph" w:customStyle="1" w:styleId="82">
    <w:name w:val="表格文字"/>
    <w:basedOn w:val="1"/>
    <w:link w:val="81"/>
    <w:qFormat/>
    <w:uiPriority w:val="0"/>
    <w:pPr>
      <w:jc w:val="left"/>
    </w:pPr>
    <w:rPr>
      <w:rFonts w:ascii="宋体" w:hAnsi="宋体"/>
      <w:bCs/>
      <w:spacing w:val="-4"/>
      <w:kern w:val="0"/>
      <w:sz w:val="32"/>
      <w:szCs w:val="32"/>
      <w:lang w:val="zh-CN"/>
    </w:rPr>
  </w:style>
  <w:style w:type="character" w:customStyle="1" w:styleId="83">
    <w:name w:val="_正文段落 Char"/>
    <w:link w:val="84"/>
    <w:qFormat/>
    <w:uiPriority w:val="0"/>
    <w:rPr>
      <w:rFonts w:ascii="仿宋_GB2312" w:eastAsia="仿宋_GB2312"/>
      <w:sz w:val="28"/>
      <w:szCs w:val="24"/>
    </w:rPr>
  </w:style>
  <w:style w:type="paragraph" w:customStyle="1" w:styleId="84">
    <w:name w:val="_正文段落"/>
    <w:basedOn w:val="1"/>
    <w:link w:val="83"/>
    <w:qFormat/>
    <w:uiPriority w:val="0"/>
    <w:pPr>
      <w:spacing w:line="360" w:lineRule="auto"/>
      <w:ind w:firstLine="200" w:firstLineChars="200"/>
    </w:pPr>
    <w:rPr>
      <w:rFonts w:ascii="仿宋_GB2312" w:eastAsia="仿宋_GB2312"/>
      <w:kern w:val="0"/>
      <w:sz w:val="28"/>
      <w:szCs w:val="24"/>
    </w:rPr>
  </w:style>
  <w:style w:type="character" w:customStyle="1" w:styleId="85">
    <w:name w:val="普通文字 Char Char2"/>
    <w:link w:val="1"/>
    <w:qFormat/>
    <w:uiPriority w:val="0"/>
    <w:rPr>
      <w:rFonts w:ascii="宋体" w:hAnsi="Courier New" w:eastAsia="宋体"/>
      <w:kern w:val="2"/>
      <w:sz w:val="21"/>
      <w:lang w:val="en-US" w:eastAsia="zh-CN" w:bidi="ar-SA"/>
    </w:rPr>
  </w:style>
  <w:style w:type="character" w:customStyle="1" w:styleId="86">
    <w:name w:val="font01"/>
    <w:link w:val="1"/>
    <w:qFormat/>
    <w:uiPriority w:val="0"/>
    <w:rPr>
      <w:rFonts w:hint="eastAsia" w:ascii="宋体" w:hAnsi="宋体" w:eastAsia="宋体"/>
      <w:b/>
      <w:color w:val="333333"/>
      <w:sz w:val="24"/>
      <w:szCs w:val="24"/>
      <w:u w:val="none"/>
    </w:rPr>
  </w:style>
  <w:style w:type="character" w:customStyle="1" w:styleId="87">
    <w:name w:val="ca-31"/>
    <w:link w:val="1"/>
    <w:qFormat/>
    <w:uiPriority w:val="0"/>
    <w:rPr>
      <w:rFonts w:hint="eastAsia" w:ascii="宋体" w:hAnsi="宋体" w:eastAsia="宋体"/>
      <w:sz w:val="21"/>
      <w:szCs w:val="21"/>
    </w:rPr>
  </w:style>
  <w:style w:type="character" w:customStyle="1" w:styleId="88">
    <w:name w:val="正文2 Char Char"/>
    <w:link w:val="89"/>
    <w:qFormat/>
    <w:uiPriority w:val="0"/>
    <w:rPr>
      <w:rFonts w:eastAsia="宋体"/>
      <w:kern w:val="2"/>
      <w:sz w:val="24"/>
      <w:lang w:val="en-US" w:eastAsia="zh-CN" w:bidi="ar-SA"/>
    </w:rPr>
  </w:style>
  <w:style w:type="paragraph" w:customStyle="1" w:styleId="89">
    <w:name w:val="正文2"/>
    <w:basedOn w:val="1"/>
    <w:link w:val="88"/>
    <w:qFormat/>
    <w:uiPriority w:val="0"/>
    <w:pPr>
      <w:spacing w:before="156" w:line="360" w:lineRule="auto"/>
      <w:ind w:firstLine="510" w:firstLineChars="200"/>
    </w:pPr>
    <w:rPr>
      <w:sz w:val="24"/>
    </w:rPr>
  </w:style>
  <w:style w:type="character" w:customStyle="1" w:styleId="90">
    <w:name w:val="标题2 Char Char"/>
    <w:link w:val="91"/>
    <w:qFormat/>
    <w:uiPriority w:val="0"/>
    <w:rPr>
      <w:rFonts w:ascii="宋体"/>
      <w:b/>
      <w:sz w:val="24"/>
    </w:rPr>
  </w:style>
  <w:style w:type="paragraph" w:customStyle="1" w:styleId="91">
    <w:name w:val="标题2"/>
    <w:basedOn w:val="1"/>
    <w:link w:val="90"/>
    <w:qFormat/>
    <w:uiPriority w:val="0"/>
    <w:pPr>
      <w:keepNext/>
      <w:widowControl/>
      <w:tabs>
        <w:tab w:val="left" w:pos="450"/>
      </w:tabs>
      <w:autoSpaceDE w:val="0"/>
      <w:autoSpaceDN w:val="0"/>
      <w:spacing w:before="120" w:after="120"/>
      <w:jc w:val="left"/>
    </w:pPr>
    <w:rPr>
      <w:rFonts w:ascii="宋体"/>
      <w:b/>
      <w:kern w:val="0"/>
      <w:sz w:val="24"/>
    </w:rPr>
  </w:style>
  <w:style w:type="character" w:customStyle="1" w:styleId="92">
    <w:name w:val="font201"/>
    <w:link w:val="1"/>
    <w:qFormat/>
    <w:uiPriority w:val="0"/>
    <w:rPr>
      <w:spacing w:val="300"/>
    </w:rPr>
  </w:style>
  <w:style w:type="character" w:customStyle="1" w:styleId="93">
    <w:name w:val="主体 Char Char"/>
    <w:link w:val="94"/>
    <w:qFormat/>
    <w:uiPriority w:val="0"/>
    <w:rPr>
      <w:rFonts w:ascii="宋体" w:hAnsi="宋体"/>
      <w:kern w:val="58"/>
      <w:sz w:val="24"/>
      <w:szCs w:val="24"/>
    </w:rPr>
  </w:style>
  <w:style w:type="paragraph" w:customStyle="1" w:styleId="94">
    <w:name w:val="主体"/>
    <w:basedOn w:val="1"/>
    <w:link w:val="93"/>
    <w:qFormat/>
    <w:uiPriority w:val="0"/>
    <w:pPr>
      <w:spacing w:line="360" w:lineRule="auto"/>
      <w:ind w:firstLine="480" w:firstLineChars="200"/>
    </w:pPr>
    <w:rPr>
      <w:rFonts w:ascii="宋体" w:hAnsi="宋体"/>
      <w:kern w:val="58"/>
      <w:sz w:val="24"/>
      <w:szCs w:val="24"/>
    </w:rPr>
  </w:style>
  <w:style w:type="paragraph" w:customStyle="1" w:styleId="95">
    <w:name w:val="4级标题"/>
    <w:qFormat/>
    <w:uiPriority w:val="0"/>
    <w:pPr>
      <w:keepNext/>
      <w:numPr>
        <w:ilvl w:val="3"/>
        <w:numId w:val="1"/>
      </w:numPr>
      <w:spacing w:before="50" w:after="50" w:line="540" w:lineRule="exact"/>
      <w:outlineLvl w:val="3"/>
    </w:pPr>
    <w:rPr>
      <w:rFonts w:ascii="Times New Roman" w:hAnsi="Times New Roman" w:eastAsia="宋体" w:cs="Times New Roman"/>
      <w:sz w:val="24"/>
      <w:lang w:val="en-US" w:eastAsia="zh-CN" w:bidi="ar-SA"/>
    </w:rPr>
  </w:style>
  <w:style w:type="paragraph" w:customStyle="1" w:styleId="96">
    <w:name w:val="图名"/>
    <w:qFormat/>
    <w:uiPriority w:val="0"/>
    <w:pPr>
      <w:numPr>
        <w:ilvl w:val="5"/>
        <w:numId w:val="1"/>
      </w:numPr>
      <w:spacing w:line="540" w:lineRule="exact"/>
      <w:jc w:val="center"/>
    </w:pPr>
    <w:rPr>
      <w:rFonts w:ascii="Times New Roman" w:hAnsi="Times New Roman" w:eastAsia="黑体" w:cs="Times New Roman"/>
      <w:lang w:val="en-US" w:eastAsia="zh-CN" w:bidi="ar-SA"/>
    </w:rPr>
  </w:style>
  <w:style w:type="paragraph" w:customStyle="1" w:styleId="97">
    <w:name w:val="reader-word-layer"/>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98">
    <w:name w:val="机密、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
    <w:name w:val="正文 A"/>
    <w:qFormat/>
    <w:uiPriority w:val="0"/>
    <w:pPr>
      <w:widowControl w:val="0"/>
      <w:jc w:val="both"/>
    </w:pPr>
    <w:rPr>
      <w:rFonts w:ascii="Times New Roman" w:hAnsi="Times New Roman" w:eastAsia="Arial Unicode MS" w:cs="Times New Roman"/>
      <w:color w:val="000000"/>
      <w:kern w:val="2"/>
      <w:sz w:val="21"/>
      <w:szCs w:val="21"/>
      <w:lang w:val="en-US" w:eastAsia="zh-CN" w:bidi="ar-SA"/>
    </w:rPr>
  </w:style>
  <w:style w:type="paragraph" w:customStyle="1" w:styleId="100">
    <w:name w:val="Char2 Char Char"/>
    <w:basedOn w:val="1"/>
    <w:qFormat/>
    <w:uiPriority w:val="0"/>
    <w:rPr>
      <w:rFonts w:ascii="Tahoma" w:hAnsi="Tahoma"/>
      <w:sz w:val="24"/>
    </w:rPr>
  </w:style>
  <w:style w:type="paragraph" w:customStyle="1" w:styleId="101">
    <w:name w:val="TOC 标题1"/>
    <w:basedOn w:val="7"/>
    <w:qFormat/>
    <w:uiPriority w:val="0"/>
    <w:pPr>
      <w:widowControl/>
      <w:spacing w:line="276" w:lineRule="auto"/>
      <w:jc w:val="left"/>
      <w:outlineLvl w:val="9"/>
    </w:pPr>
    <w:rPr>
      <w:rFonts w:ascii="Cambria" w:hAnsi="Cambria"/>
      <w:bCs w:val="0"/>
      <w:color w:val="365F91"/>
      <w:kern w:val="0"/>
      <w:sz w:val="28"/>
      <w:szCs w:val="28"/>
    </w:rPr>
  </w:style>
  <w:style w:type="paragraph" w:customStyle="1" w:styleId="102">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
    <w:name w:val="答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Char Char Char"/>
    <w:basedOn w:val="1"/>
    <w:qFormat/>
    <w:uiPriority w:val="0"/>
    <w:rPr>
      <w:rFonts w:ascii="Tahoma" w:hAnsi="Tahoma"/>
      <w:sz w:val="24"/>
    </w:rPr>
  </w:style>
  <w:style w:type="paragraph" w:customStyle="1" w:styleId="105">
    <w:name w:val="修订1"/>
    <w:qFormat/>
    <w:uiPriority w:val="0"/>
    <w:rPr>
      <w:rFonts w:ascii="Times New Roman" w:hAnsi="Times New Roman" w:eastAsia="宋体" w:cs="Times New Roman"/>
      <w:kern w:val="2"/>
      <w:sz w:val="21"/>
      <w:lang w:val="en-US" w:eastAsia="zh-CN" w:bidi="ar-SA"/>
    </w:rPr>
  </w:style>
  <w:style w:type="paragraph" w:customStyle="1" w:styleId="106">
    <w:name w:val="分手多日，近况如何？"/>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
    <w:name w:val="请勿折叠！"/>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
    <w:name w:val="3级标题"/>
    <w:qFormat/>
    <w:uiPriority w:val="0"/>
    <w:pPr>
      <w:keepNext/>
      <w:spacing w:line="540" w:lineRule="exact"/>
      <w:ind w:left="1260" w:hanging="420"/>
      <w:outlineLvl w:val="2"/>
    </w:pPr>
    <w:rPr>
      <w:rFonts w:ascii="Calibri" w:hAnsi="Calibri" w:eastAsia="宋体" w:cs="Times New Roman"/>
      <w:sz w:val="28"/>
      <w:lang w:val="en-US" w:eastAsia="zh-CN" w:bidi="ar-SA"/>
    </w:rPr>
  </w:style>
  <w:style w:type="paragraph" w:customStyle="1" w:styleId="109">
    <w:name w:val="第 X 页 共 Y 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
    <w:name w:val="敬启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
    <w:name w:val="无间隔"/>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
    <w:name w:val="惠书敬悉，迟复为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
    <w:name w:val="Char1"/>
    <w:basedOn w:val="30"/>
    <w:qFormat/>
    <w:uiPriority w:val="0"/>
    <w:pPr>
      <w:spacing w:line="436" w:lineRule="exact"/>
      <w:ind w:left="357"/>
      <w:jc w:val="left"/>
      <w:outlineLvl w:val="3"/>
    </w:pPr>
  </w:style>
  <w:style w:type="paragraph" w:customStyle="1" w:styleId="114">
    <w:name w:val="临书仓促，不尽欲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
    <w:name w:val="关于:"/>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
    <w:name w:val="先生/女士："/>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
    <w:name w:val="xl28"/>
    <w:basedOn w:val="1"/>
    <w:qFormat/>
    <w:uiPriority w:val="0"/>
    <w:pPr>
      <w:widowControl/>
      <w:pBdr>
        <w:bottom w:val="single" w:color="000000" w:sz="4" w:space="0"/>
      </w:pBdr>
      <w:spacing w:before="100" w:beforeAutospacing="1" w:after="100" w:afterAutospacing="1"/>
      <w:jc w:val="left"/>
    </w:pPr>
    <w:rPr>
      <w:rFonts w:ascii="宋体" w:hAnsi="宋体"/>
      <w:kern w:val="0"/>
      <w:sz w:val="24"/>
      <w:szCs w:val="24"/>
    </w:rPr>
  </w:style>
  <w:style w:type="paragraph" w:customStyle="1" w:styleId="119">
    <w:name w:val="表格序号"/>
    <w:basedOn w:val="120"/>
    <w:qFormat/>
    <w:uiPriority w:val="0"/>
    <w:pPr>
      <w:jc w:val="center"/>
    </w:pPr>
  </w:style>
  <w:style w:type="paragraph" w:customStyle="1" w:styleId="120">
    <w:name w:val="表格正文"/>
    <w:basedOn w:val="1"/>
    <w:qFormat/>
    <w:uiPriority w:val="0"/>
    <w:rPr>
      <w:rFonts w:eastAsia="黑体"/>
    </w:rPr>
  </w:style>
  <w:style w:type="paragraph" w:customStyle="1" w:styleId="121">
    <w:name w:val="列出段落"/>
    <w:basedOn w:val="1"/>
    <w:qFormat/>
    <w:uiPriority w:val="0"/>
    <w:pPr>
      <w:ind w:firstLine="420" w:firstLineChars="200"/>
    </w:pPr>
  </w:style>
  <w:style w:type="paragraph" w:customStyle="1" w:styleId="122">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3">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24">
    <w:name w:val="样式1"/>
    <w:basedOn w:val="10"/>
    <w:qFormat/>
    <w:uiPriority w:val="0"/>
    <w:pPr>
      <w:spacing w:line="372" w:lineRule="auto"/>
    </w:pPr>
    <w:rPr>
      <w:rFonts w:ascii="Arial" w:hAnsi="Arial" w:eastAsia="黑体"/>
      <w:kern w:val="2"/>
    </w:rPr>
  </w:style>
  <w:style w:type="paragraph" w:customStyle="1" w:styleId="125">
    <w:name w:val="Char Char Char Char Char Char"/>
    <w:basedOn w:val="1"/>
    <w:qFormat/>
    <w:uiPriority w:val="0"/>
    <w:pPr>
      <w:ind w:firstLine="200" w:firstLineChars="200"/>
    </w:pPr>
    <w:rPr>
      <w:rFonts w:ascii="Tahoma" w:hAnsi="Tahoma"/>
      <w:sz w:val="24"/>
    </w:rPr>
  </w:style>
  <w:style w:type="paragraph" w:customStyle="1" w:styleId="126">
    <w:name w:val="修订2"/>
    <w:qFormat/>
    <w:uiPriority w:val="0"/>
    <w:rPr>
      <w:rFonts w:ascii="Times New Roman" w:hAnsi="Times New Roman" w:eastAsia="宋体" w:cs="Times New Roman"/>
      <w:kern w:val="2"/>
      <w:sz w:val="21"/>
      <w:lang w:val="en-US" w:eastAsia="zh-CN" w:bidi="ar-SA"/>
    </w:rPr>
  </w:style>
  <w:style w:type="paragraph" w:customStyle="1" w:styleId="127">
    <w:name w:val="参考:"/>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8">
    <w:name w:val="- 页码 -"/>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
    <w:name w:val="久不通函，至以为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0">
    <w:name w:val="2级标题"/>
    <w:qFormat/>
    <w:uiPriority w:val="0"/>
    <w:pPr>
      <w:keepNext/>
      <w:spacing w:line="540" w:lineRule="exact"/>
      <w:ind w:left="840" w:hanging="420"/>
      <w:outlineLvl w:val="1"/>
    </w:pPr>
    <w:rPr>
      <w:rFonts w:ascii="Calibri" w:hAnsi="Calibri" w:eastAsia="黑体" w:cs="Times New Roman"/>
      <w:sz w:val="32"/>
      <w:lang w:val="en-US" w:eastAsia="zh-CN" w:bidi="ar-SA"/>
    </w:rPr>
  </w:style>
  <w:style w:type="paragraph" w:customStyle="1" w:styleId="131">
    <w:name w:val="尊意如何，请即示知。"/>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
    <w:name w:val="图表内容"/>
    <w:qFormat/>
    <w:uiPriority w:val="0"/>
    <w:pPr>
      <w:jc w:val="center"/>
    </w:pPr>
    <w:rPr>
      <w:rFonts w:ascii="Times New Roman" w:hAnsi="Times New Roman" w:eastAsia="宋体" w:cs="Times New Roman"/>
      <w:sz w:val="18"/>
      <w:lang w:val="en-US" w:eastAsia="zh-CN" w:bidi="ar-SA"/>
    </w:rPr>
  </w:style>
  <w:style w:type="paragraph" w:customStyle="1" w:styleId="133">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
    <w:name w:val="表"/>
    <w:basedOn w:val="1"/>
    <w:qFormat/>
    <w:uiPriority w:val="0"/>
    <w:pPr>
      <w:spacing w:line="360" w:lineRule="auto"/>
    </w:pPr>
    <w:rPr>
      <w:b/>
      <w:bCs/>
      <w:color w:val="FF0000"/>
    </w:rPr>
  </w:style>
  <w:style w:type="paragraph" w:customStyle="1" w:styleId="135">
    <w:name w:val="上次打印时间"/>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
    <w:name w:val="音问久疏，唯愿一切康适。"/>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7">
    <w:name w:val="Char Char2"/>
    <w:basedOn w:val="1"/>
    <w:qFormat/>
    <w:uiPriority w:val="0"/>
    <w:rPr>
      <w:rFonts w:ascii="宋体" w:hAnsi="宋体"/>
      <w:b/>
      <w:sz w:val="28"/>
      <w:szCs w:val="28"/>
    </w:rPr>
  </w:style>
  <w:style w:type="paragraph" w:customStyle="1" w:styleId="138">
    <w:name w:val="上次保存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9">
    <w:name w:val="文件名和路径"/>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0">
    <w:name w:val="前上一函，谅达雅鉴，迄今未闻复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1">
    <w:name w:val="近来寒暑不常，希自珍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2">
    <w:name w:val="Char2"/>
    <w:basedOn w:val="1"/>
    <w:qFormat/>
    <w:uiPriority w:val="0"/>
    <w:pPr>
      <w:tabs>
        <w:tab w:val="left" w:pos="720"/>
      </w:tabs>
      <w:ind w:left="720" w:hanging="360"/>
    </w:pPr>
    <w:rPr>
      <w:sz w:val="24"/>
      <w:szCs w:val="24"/>
    </w:rPr>
  </w:style>
  <w:style w:type="paragraph" w:customStyle="1" w:styleId="143">
    <w:name w:val="作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4">
    <w:name w:val="知尊恙复发，心甚念之。"/>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5">
    <w:name w:val="表名"/>
    <w:qFormat/>
    <w:uiPriority w:val="0"/>
    <w:pPr>
      <w:numPr>
        <w:ilvl w:val="4"/>
        <w:numId w:val="2"/>
      </w:numPr>
      <w:spacing w:line="540" w:lineRule="exact"/>
      <w:jc w:val="center"/>
    </w:pPr>
    <w:rPr>
      <w:rFonts w:ascii="Times New Roman" w:hAnsi="Times New Roman" w:eastAsia="黑体" w:cs="Times New Roman"/>
      <w:lang w:val="en-US" w:eastAsia="zh-CN" w:bidi="ar-SA"/>
    </w:rPr>
  </w:style>
  <w:style w:type="paragraph" w:customStyle="1" w:styleId="146">
    <w:name w:val="亲启"/>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7">
    <w:name w:val="Char11"/>
    <w:basedOn w:val="30"/>
    <w:qFormat/>
    <w:uiPriority w:val="0"/>
    <w:pPr>
      <w:spacing w:line="436" w:lineRule="exact"/>
      <w:ind w:left="357"/>
      <w:jc w:val="left"/>
      <w:outlineLvl w:val="3"/>
    </w:pPr>
    <w:rPr>
      <w:rFonts w:ascii="Tahoma" w:hAnsi="Tahoma"/>
      <w:b/>
      <w:sz w:val="24"/>
      <w:szCs w:val="24"/>
    </w:rPr>
  </w:style>
  <w:style w:type="paragraph" w:customStyle="1" w:styleId="148">
    <w:name w:val="Char"/>
    <w:basedOn w:val="1"/>
    <w:qFormat/>
    <w:uiPriority w:val="0"/>
    <w:pPr>
      <w:widowControl/>
      <w:spacing w:line="400" w:lineRule="exact"/>
      <w:jc w:val="center"/>
    </w:pPr>
    <w:rPr>
      <w:rFonts w:ascii="Verdana" w:hAnsi="Verdana"/>
      <w:kern w:val="0"/>
      <w:lang w:eastAsia="en-US"/>
    </w:rPr>
  </w:style>
  <w:style w:type="paragraph" w:customStyle="1" w:styleId="149">
    <w:name w:val="顺颂商祺！"/>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0">
    <w:name w:val="表格内容"/>
    <w:qFormat/>
    <w:uiPriority w:val="0"/>
    <w:pPr>
      <w:jc w:val="center"/>
    </w:pPr>
    <w:rPr>
      <w:rFonts w:ascii="Calibri" w:hAnsi="Calibri" w:eastAsia="宋体" w:cs="Times New Roman"/>
      <w:kern w:val="2"/>
      <w:sz w:val="21"/>
      <w:szCs w:val="22"/>
      <w:lang w:val="en-US" w:eastAsia="zh-CN" w:bidi="ar-SA"/>
    </w:rPr>
  </w:style>
  <w:style w:type="paragraph" w:customStyle="1" w:styleId="151">
    <w:name w:val="报告正文"/>
    <w:basedOn w:val="1"/>
    <w:qFormat/>
    <w:uiPriority w:val="0"/>
    <w:pPr>
      <w:spacing w:line="360" w:lineRule="auto"/>
    </w:pPr>
    <w:rPr>
      <w:szCs w:val="22"/>
    </w:rPr>
  </w:style>
  <w:style w:type="paragraph" w:customStyle="1" w:styleId="152">
    <w:name w:val="叩请金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3">
    <w:name w:val="表格文字2"/>
    <w:basedOn w:val="82"/>
    <w:qFormat/>
    <w:uiPriority w:val="0"/>
    <w:pPr>
      <w:jc w:val="both"/>
    </w:pPr>
  </w:style>
  <w:style w:type="paragraph" w:customStyle="1" w:styleId="154">
    <w:name w:val="匆此先复，余容后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5">
    <w:name w:val="创建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6">
    <w:name w:val="纸短情长，再祈珍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7">
    <w:name w:val="作者、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8">
    <w:name w:val="奉恳之事，乞速复为荷。"/>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9">
    <w:name w:val="段"/>
    <w:qFormat/>
    <w:uiPriority w:val="0"/>
    <w:pPr>
      <w:tabs>
        <w:tab w:val="center" w:pos="4201"/>
        <w:tab w:val="right" w:leader="dot" w:pos="9298"/>
      </w:tabs>
      <w:autoSpaceDE w:val="0"/>
      <w:autoSpaceDN w:val="0"/>
      <w:ind w:firstLine="420" w:firstLineChars="200"/>
      <w:jc w:val="both"/>
    </w:pPr>
    <w:rPr>
      <w:rFonts w:ascii="宋体" w:hAnsi="宋体" w:eastAsia="宋体" w:cs="Times New Roman"/>
      <w:lang w:val="en-US" w:eastAsia="zh-CN" w:bidi="ar-SA"/>
    </w:rPr>
  </w:style>
  <w:style w:type="character" w:customStyle="1" w:styleId="160">
    <w:name w:val="纯文本 字符1"/>
    <w:link w:val="1"/>
    <w:semiHidden/>
    <w:qFormat/>
    <w:uiPriority w:val="0"/>
    <w:rPr>
      <w:rFonts w:ascii="宋体" w:hAnsi="Courier New"/>
      <w:sz w:val="24"/>
      <w:szCs w:val="21"/>
    </w:rPr>
  </w:style>
  <w:style w:type="character" w:customStyle="1" w:styleId="161">
    <w:name w:val="font41"/>
    <w:link w:val="1"/>
    <w:qFormat/>
    <w:uiPriority w:val="0"/>
    <w:rPr>
      <w:rFonts w:ascii="Times New Roman" w:hAnsi="Times New Roman"/>
      <w:color w:val="000000"/>
      <w:sz w:val="16"/>
      <w:szCs w:val="16"/>
      <w:u w:val="none"/>
    </w:rPr>
  </w:style>
  <w:style w:type="character" w:customStyle="1" w:styleId="162">
    <w:name w:val="font11"/>
    <w:link w:val="1"/>
    <w:qFormat/>
    <w:uiPriority w:val="0"/>
    <w:rPr>
      <w:rFonts w:hint="eastAsia" w:ascii="微软雅黑" w:hAnsi="微软雅黑" w:eastAsia="微软雅黑"/>
      <w:color w:val="000000"/>
      <w:sz w:val="16"/>
      <w:szCs w:val="16"/>
      <w:u w:val="none"/>
    </w:rPr>
  </w:style>
  <w:style w:type="paragraph" w:customStyle="1" w:styleId="163">
    <w:name w:val="列出段落1"/>
    <w:basedOn w:val="1"/>
    <w:qFormat/>
    <w:uiPriority w:val="0"/>
    <w:pPr>
      <w:ind w:firstLine="420" w:firstLineChars="200"/>
    </w:pPr>
    <w:rPr>
      <w:szCs w:val="24"/>
    </w:rPr>
  </w:style>
  <w:style w:type="paragraph" w:customStyle="1" w:styleId="164">
    <w:name w:val="彩色列表 - 强调文字颜色 11"/>
    <w:basedOn w:val="1"/>
    <w:qFormat/>
    <w:uiPriority w:val="0"/>
    <w:pPr>
      <w:ind w:firstLine="420" w:firstLineChars="200"/>
    </w:pPr>
    <w:rPr>
      <w:rFonts w:ascii="Calibri" w:hAnsi="Calibri"/>
      <w:szCs w:val="22"/>
    </w:rPr>
  </w:style>
  <w:style w:type="paragraph" w:customStyle="1" w:styleId="165">
    <w:name w:val="trs_editor"/>
    <w:basedOn w:val="1"/>
    <w:qFormat/>
    <w:uiPriority w:val="0"/>
    <w:pPr>
      <w:widowControl/>
      <w:spacing w:before="100" w:beforeAutospacing="1" w:after="100" w:afterAutospacing="1"/>
      <w:jc w:val="left"/>
    </w:pPr>
    <w:rPr>
      <w:rFonts w:ascii="宋体" w:hAnsi="宋体"/>
      <w:kern w:val="0"/>
      <w:sz w:val="24"/>
    </w:rPr>
  </w:style>
  <w:style w:type="paragraph" w:customStyle="1" w:styleId="166">
    <w:name w:val="af17cgridlangnp1033langf"/>
    <w:qFormat/>
    <w:uiPriority w:val="0"/>
    <w:pPr>
      <w:widowControl w:val="0"/>
      <w:autoSpaceDE w:val="0"/>
      <w:autoSpaceDN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67">
    <w:name w:val="纯文本_0_0"/>
    <w:basedOn w:val="168"/>
    <w:qFormat/>
    <w:uiPriority w:val="0"/>
    <w:rPr>
      <w:rFonts w:ascii="宋体" w:hAnsi="Courier New"/>
      <w:szCs w:val="21"/>
    </w:rPr>
  </w:style>
  <w:style w:type="paragraph" w:customStyle="1" w:styleId="16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表格用"/>
    <w:basedOn w:val="1"/>
    <w:qFormat/>
    <w:uiPriority w:val="0"/>
    <w:pPr>
      <w:ind w:firstLine="0" w:firstLineChars="0"/>
    </w:pPr>
    <w:rPr>
      <w:kern w:val="2"/>
      <w:sz w:val="21"/>
      <w:szCs w:val="24"/>
    </w:rPr>
  </w:style>
  <w:style w:type="paragraph" w:customStyle="1" w:styleId="17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71">
    <w:name w:val="纯文本1"/>
    <w:basedOn w:val="1"/>
    <w:qFormat/>
    <w:uiPriority w:val="0"/>
    <w:rPr>
      <w:rFonts w:ascii="宋体" w:hAnsi="Courier New"/>
      <w:kern w:val="0"/>
      <w:sz w:val="20"/>
      <w:szCs w:val="20"/>
    </w:rPr>
  </w:style>
  <w:style w:type="paragraph" w:customStyle="1" w:styleId="172">
    <w:name w:val="正文1"/>
    <w:basedOn w:val="1"/>
    <w:qFormat/>
    <w:uiPriority w:val="0"/>
    <w:pPr>
      <w:spacing w:line="318" w:lineRule="atLeast"/>
      <w:ind w:left="369" w:firstLine="369"/>
    </w:pPr>
    <w:rPr>
      <w:rFonts w:asci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19445</Words>
  <Characters>20471</Characters>
  <Lines>0</Lines>
  <Paragraphs>0</Paragraphs>
  <TotalTime>6</TotalTime>
  <ScaleCrop>false</ScaleCrop>
  <LinksUpToDate>false</LinksUpToDate>
  <CharactersWithSpaces>20640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2024-12-25T00:17:00Z</dcterms:created>
  <dc:creator>王胖子3.0</dc:creator>
  <cp:lastModifiedBy>不可思议</cp:lastModifiedBy>
  <cp:lastPrinted>2024-12-25T01:33:00Z</cp:lastPrinted>
  <dcterms:modified xsi:type="dcterms:W3CDTF">2025-01-20T01:56:32Z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8A8A5CDA52204858B757E57FBBA9549E_12</vt:lpwstr>
  </property>
  <property fmtid="{D5CDD505-2E9C-101B-9397-08002B2CF9AE}" pid="4" name="KSOTemplateDocerSaveRecord">
    <vt:lpwstr>eyJoZGlkIjoiNDYzODMzZDY3ZDY0YjdlYjJlNDViMjVlNGI2NWFiODIiLCJ1c2VySWQiOiIyNzk0MzI1MzgifQ==</vt:lpwstr>
  </property>
</Properties>
</file>