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F8EFC">
      <w:pPr>
        <w:spacing w:line="360" w:lineRule="auto"/>
        <w:jc w:val="center"/>
        <w:rPr>
          <w:rFonts w:ascii="宋体" w:hAnsi="宋体" w:cs="宋体"/>
          <w:b/>
          <w:color w:val="auto"/>
          <w:sz w:val="24"/>
          <w:highlight w:val="none"/>
        </w:rPr>
      </w:pPr>
    </w:p>
    <w:p w14:paraId="4F2E58DB">
      <w:pPr>
        <w:adjustRightInd/>
        <w:spacing w:line="360" w:lineRule="auto"/>
        <w:rPr>
          <w:rFonts w:ascii="宋体" w:hAnsi="宋体" w:cs="宋体"/>
          <w:b/>
          <w:color w:val="auto"/>
          <w:sz w:val="48"/>
          <w:szCs w:val="48"/>
          <w:highlight w:val="none"/>
        </w:rPr>
      </w:pPr>
    </w:p>
    <w:p w14:paraId="534DE0ED">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瓜沥镇资产经营总公司租赁3辆车辆采购项目</w:t>
      </w:r>
    </w:p>
    <w:p w14:paraId="124373D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交易文件</w:t>
      </w:r>
    </w:p>
    <w:p w14:paraId="53B5A88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3CF0F8D">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GZCG2025GKDL-02</w:t>
      </w:r>
    </w:p>
    <w:p w14:paraId="29AF8A15">
      <w:pPr>
        <w:spacing w:line="360" w:lineRule="auto"/>
        <w:jc w:val="center"/>
        <w:rPr>
          <w:rFonts w:ascii="宋体" w:hAnsi="宋体" w:cs="宋体"/>
          <w:b/>
          <w:color w:val="auto"/>
          <w:sz w:val="44"/>
          <w:szCs w:val="44"/>
          <w:highlight w:val="none"/>
        </w:rPr>
      </w:pPr>
    </w:p>
    <w:p w14:paraId="5027E996">
      <w:pPr>
        <w:spacing w:line="360" w:lineRule="auto"/>
        <w:jc w:val="center"/>
        <w:rPr>
          <w:rFonts w:ascii="宋体" w:hAnsi="宋体" w:cs="宋体"/>
          <w:b/>
          <w:color w:val="auto"/>
          <w:sz w:val="44"/>
          <w:szCs w:val="44"/>
          <w:highlight w:val="none"/>
        </w:rPr>
      </w:pPr>
    </w:p>
    <w:p w14:paraId="0E8F0588">
      <w:pPr>
        <w:spacing w:line="360" w:lineRule="auto"/>
        <w:jc w:val="center"/>
        <w:rPr>
          <w:rFonts w:ascii="宋体" w:hAnsi="宋体" w:cs="宋体"/>
          <w:color w:val="auto"/>
          <w:sz w:val="24"/>
          <w:highlight w:val="none"/>
        </w:rPr>
      </w:pPr>
    </w:p>
    <w:p w14:paraId="1ED99397">
      <w:pPr>
        <w:spacing w:line="360" w:lineRule="auto"/>
        <w:jc w:val="center"/>
        <w:rPr>
          <w:rFonts w:ascii="宋体" w:hAnsi="宋体" w:cs="宋体"/>
          <w:color w:val="auto"/>
          <w:sz w:val="24"/>
          <w:highlight w:val="none"/>
        </w:rPr>
      </w:pPr>
    </w:p>
    <w:p w14:paraId="42BDBA3C">
      <w:pPr>
        <w:spacing w:line="360" w:lineRule="auto"/>
        <w:rPr>
          <w:rFonts w:ascii="宋体" w:hAnsi="宋体" w:cs="宋体"/>
          <w:color w:val="auto"/>
          <w:sz w:val="32"/>
          <w:szCs w:val="32"/>
          <w:highlight w:val="none"/>
        </w:rPr>
      </w:pPr>
    </w:p>
    <w:p w14:paraId="2F98E465">
      <w:pPr>
        <w:spacing w:line="360" w:lineRule="auto"/>
        <w:jc w:val="center"/>
        <w:rPr>
          <w:rFonts w:ascii="宋体" w:hAnsi="宋体" w:cs="宋体"/>
          <w:bCs/>
          <w:color w:val="auto"/>
          <w:sz w:val="32"/>
          <w:szCs w:val="32"/>
          <w:highlight w:val="none"/>
        </w:rPr>
      </w:pPr>
    </w:p>
    <w:p w14:paraId="14F46EEE">
      <w:pPr>
        <w:spacing w:line="360" w:lineRule="auto"/>
        <w:jc w:val="center"/>
        <w:rPr>
          <w:rFonts w:ascii="宋体" w:hAnsi="宋体" w:cs="宋体"/>
          <w:bCs/>
          <w:color w:val="auto"/>
          <w:sz w:val="32"/>
          <w:szCs w:val="32"/>
          <w:highlight w:val="none"/>
        </w:rPr>
      </w:pPr>
    </w:p>
    <w:p w14:paraId="584692FE">
      <w:pPr>
        <w:spacing w:line="360" w:lineRule="auto"/>
        <w:jc w:val="center"/>
        <w:rPr>
          <w:rFonts w:ascii="宋体" w:hAnsi="宋体" w:cs="宋体"/>
          <w:bCs/>
          <w:color w:val="auto"/>
          <w:sz w:val="32"/>
          <w:szCs w:val="32"/>
          <w:highlight w:val="none"/>
        </w:rPr>
      </w:pPr>
    </w:p>
    <w:p w14:paraId="611EAE30">
      <w:pPr>
        <w:spacing w:line="360" w:lineRule="auto"/>
        <w:jc w:val="center"/>
        <w:rPr>
          <w:rFonts w:ascii="宋体" w:hAnsi="宋体" w:cs="宋体"/>
          <w:bCs/>
          <w:color w:val="auto"/>
          <w:sz w:val="32"/>
          <w:szCs w:val="32"/>
          <w:highlight w:val="none"/>
        </w:rPr>
      </w:pPr>
    </w:p>
    <w:p w14:paraId="52685EB9">
      <w:pPr>
        <w:spacing w:line="360" w:lineRule="auto"/>
        <w:jc w:val="center"/>
        <w:rPr>
          <w:rFonts w:hint="eastAsia" w:ascii="宋体" w:hAnsi="宋体" w:cs="宋体"/>
          <w:bCs/>
          <w:color w:val="auto"/>
          <w:sz w:val="32"/>
          <w:szCs w:val="32"/>
          <w:highlight w:val="none"/>
        </w:rPr>
      </w:pPr>
    </w:p>
    <w:p w14:paraId="1492EE65">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杭州萧山瓜沥镇资产经营总公司</w:t>
      </w:r>
    </w:p>
    <w:p w14:paraId="59B26D41">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浙江泛亚工程咨询有限公司</w:t>
      </w:r>
    </w:p>
    <w:p w14:paraId="05D3A2CF">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lang w:eastAsia="zh-CN"/>
        </w:rPr>
        <w:t>二〇二五年一月</w:t>
      </w:r>
      <w:r>
        <w:rPr>
          <w:rFonts w:hint="eastAsia" w:ascii="宋体" w:hAnsi="宋体" w:cs="宋体"/>
          <w:color w:val="auto"/>
          <w:sz w:val="24"/>
          <w:highlight w:val="none"/>
        </w:rPr>
        <w:br w:type="page"/>
      </w:r>
      <w:bookmarkStart w:id="0" w:name="_Hlt67893495"/>
      <w:bookmarkEnd w:id="0"/>
    </w:p>
    <w:p w14:paraId="7D8C573B">
      <w:pPr>
        <w:spacing w:line="360" w:lineRule="auto"/>
        <w:jc w:val="center"/>
        <w:rPr>
          <w:rFonts w:ascii="宋体" w:hAnsi="宋体" w:cs="宋体"/>
          <w:color w:val="auto"/>
          <w:sz w:val="24"/>
          <w:highlight w:val="none"/>
        </w:rPr>
      </w:pPr>
    </w:p>
    <w:p w14:paraId="631393A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E47E57B">
      <w:pPr>
        <w:spacing w:line="360" w:lineRule="auto"/>
        <w:rPr>
          <w:rFonts w:ascii="宋体" w:hAnsi="宋体" w:cs="宋体"/>
          <w:color w:val="auto"/>
          <w:sz w:val="32"/>
          <w:szCs w:val="32"/>
          <w:highlight w:val="none"/>
        </w:rPr>
      </w:pPr>
    </w:p>
    <w:p w14:paraId="296EB5E3">
      <w:pPr>
        <w:spacing w:line="360" w:lineRule="auto"/>
        <w:rPr>
          <w:rFonts w:ascii="宋体" w:hAnsi="宋体" w:cs="宋体"/>
          <w:color w:val="auto"/>
          <w:sz w:val="32"/>
          <w:szCs w:val="32"/>
          <w:highlight w:val="none"/>
        </w:rPr>
      </w:pPr>
    </w:p>
    <w:p w14:paraId="0199EC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0C389D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727D927E">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 xml:space="preserve">第三部分      </w:t>
      </w:r>
      <w:r>
        <w:rPr>
          <w:rFonts w:hint="eastAsia" w:ascii="宋体" w:hAnsi="宋体" w:cs="宋体"/>
          <w:color w:val="auto"/>
          <w:sz w:val="32"/>
          <w:szCs w:val="32"/>
          <w:highlight w:val="none"/>
          <w:lang w:eastAsia="zh-CN"/>
        </w:rPr>
        <w:t>交易需求</w:t>
      </w:r>
    </w:p>
    <w:p w14:paraId="6E7CC0E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B0D80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17D590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32DF5F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0E728FC">
      <w:pPr>
        <w:spacing w:line="360" w:lineRule="auto"/>
        <w:ind w:firstLine="549" w:firstLineChars="229"/>
        <w:rPr>
          <w:rFonts w:ascii="宋体" w:hAnsi="宋体" w:cs="宋体"/>
          <w:color w:val="auto"/>
          <w:sz w:val="24"/>
          <w:highlight w:val="none"/>
        </w:rPr>
      </w:pPr>
    </w:p>
    <w:p w14:paraId="36876601">
      <w:pPr>
        <w:spacing w:line="360" w:lineRule="auto"/>
        <w:ind w:firstLine="549" w:firstLineChars="229"/>
        <w:rPr>
          <w:rFonts w:ascii="宋体" w:hAnsi="宋体" w:cs="宋体"/>
          <w:color w:val="auto"/>
          <w:sz w:val="24"/>
          <w:highlight w:val="none"/>
        </w:rPr>
      </w:pPr>
    </w:p>
    <w:p w14:paraId="7712FA72">
      <w:pPr>
        <w:spacing w:line="360" w:lineRule="auto"/>
        <w:ind w:firstLine="549" w:firstLineChars="229"/>
        <w:rPr>
          <w:rFonts w:ascii="宋体" w:hAnsi="宋体" w:cs="宋体"/>
          <w:color w:val="auto"/>
          <w:sz w:val="24"/>
          <w:highlight w:val="none"/>
        </w:rPr>
      </w:pPr>
    </w:p>
    <w:p w14:paraId="7EC5650C">
      <w:pPr>
        <w:spacing w:line="360" w:lineRule="auto"/>
        <w:ind w:firstLine="549" w:firstLineChars="229"/>
        <w:rPr>
          <w:rFonts w:ascii="宋体" w:hAnsi="宋体" w:cs="宋体"/>
          <w:color w:val="auto"/>
          <w:sz w:val="24"/>
          <w:highlight w:val="none"/>
        </w:rPr>
      </w:pPr>
    </w:p>
    <w:p w14:paraId="763636A2">
      <w:pPr>
        <w:spacing w:line="360" w:lineRule="auto"/>
        <w:ind w:firstLine="549" w:firstLineChars="229"/>
        <w:rPr>
          <w:rFonts w:ascii="宋体" w:hAnsi="宋体" w:cs="宋体"/>
          <w:color w:val="auto"/>
          <w:sz w:val="24"/>
          <w:highlight w:val="none"/>
        </w:rPr>
      </w:pPr>
    </w:p>
    <w:p w14:paraId="68742F9C">
      <w:pPr>
        <w:spacing w:line="360" w:lineRule="auto"/>
        <w:ind w:firstLine="549" w:firstLineChars="229"/>
        <w:rPr>
          <w:rFonts w:ascii="宋体" w:hAnsi="宋体" w:cs="宋体"/>
          <w:color w:val="auto"/>
          <w:sz w:val="24"/>
          <w:highlight w:val="none"/>
        </w:rPr>
      </w:pPr>
    </w:p>
    <w:p w14:paraId="63BBCDE8">
      <w:pPr>
        <w:spacing w:line="360" w:lineRule="auto"/>
        <w:ind w:firstLine="549" w:firstLineChars="229"/>
        <w:rPr>
          <w:rFonts w:ascii="宋体" w:hAnsi="宋体" w:cs="宋体"/>
          <w:color w:val="auto"/>
          <w:sz w:val="24"/>
          <w:highlight w:val="none"/>
        </w:rPr>
      </w:pPr>
    </w:p>
    <w:p w14:paraId="72F4FCC9">
      <w:pPr>
        <w:spacing w:line="360" w:lineRule="auto"/>
        <w:ind w:firstLine="549" w:firstLineChars="229"/>
        <w:rPr>
          <w:rFonts w:ascii="宋体" w:hAnsi="宋体" w:cs="宋体"/>
          <w:color w:val="auto"/>
          <w:sz w:val="24"/>
          <w:highlight w:val="none"/>
        </w:rPr>
      </w:pPr>
    </w:p>
    <w:p w14:paraId="73A95593">
      <w:pPr>
        <w:spacing w:line="360" w:lineRule="auto"/>
        <w:ind w:firstLine="549" w:firstLineChars="229"/>
        <w:rPr>
          <w:rFonts w:ascii="宋体" w:hAnsi="宋体" w:cs="宋体"/>
          <w:color w:val="auto"/>
          <w:sz w:val="24"/>
          <w:highlight w:val="none"/>
        </w:rPr>
      </w:pPr>
    </w:p>
    <w:p w14:paraId="2EF47AE2">
      <w:pPr>
        <w:spacing w:line="360" w:lineRule="auto"/>
        <w:ind w:firstLine="549" w:firstLineChars="229"/>
        <w:rPr>
          <w:rFonts w:ascii="宋体" w:hAnsi="宋体" w:cs="宋体"/>
          <w:color w:val="auto"/>
          <w:sz w:val="24"/>
          <w:highlight w:val="none"/>
        </w:rPr>
      </w:pPr>
    </w:p>
    <w:p w14:paraId="707AAC46">
      <w:pPr>
        <w:spacing w:line="360" w:lineRule="auto"/>
        <w:ind w:firstLine="549" w:firstLineChars="229"/>
        <w:rPr>
          <w:rFonts w:ascii="宋体" w:hAnsi="宋体" w:cs="宋体"/>
          <w:color w:val="auto"/>
          <w:sz w:val="24"/>
          <w:highlight w:val="none"/>
        </w:rPr>
      </w:pPr>
    </w:p>
    <w:p w14:paraId="3CF1EF83">
      <w:pPr>
        <w:spacing w:line="360" w:lineRule="auto"/>
        <w:ind w:firstLine="549" w:firstLineChars="229"/>
        <w:rPr>
          <w:rFonts w:ascii="宋体" w:hAnsi="宋体" w:cs="宋体"/>
          <w:color w:val="auto"/>
          <w:sz w:val="24"/>
          <w:highlight w:val="none"/>
        </w:rPr>
      </w:pPr>
    </w:p>
    <w:p w14:paraId="301064E7">
      <w:pPr>
        <w:spacing w:line="360" w:lineRule="auto"/>
        <w:rPr>
          <w:rFonts w:ascii="宋体" w:hAnsi="宋体" w:cs="宋体"/>
          <w:color w:val="auto"/>
          <w:sz w:val="24"/>
          <w:highlight w:val="none"/>
        </w:rPr>
      </w:pPr>
    </w:p>
    <w:p w14:paraId="59663A4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64580239">
      <w:pPr>
        <w:pBdr>
          <w:top w:val="single" w:color="auto" w:sz="4" w:space="1"/>
          <w:left w:val="single" w:color="auto" w:sz="4" w:space="4"/>
          <w:bottom w:val="single" w:color="auto" w:sz="4" w:space="6"/>
          <w:right w:val="single" w:color="auto" w:sz="4" w:space="4"/>
        </w:pBdr>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项目概况</w:t>
      </w:r>
    </w:p>
    <w:p w14:paraId="79DC5848">
      <w:pPr>
        <w:pBdr>
          <w:top w:val="single" w:color="auto" w:sz="4" w:space="1"/>
          <w:left w:val="single" w:color="auto" w:sz="4" w:space="4"/>
          <w:bottom w:val="single" w:color="auto" w:sz="4" w:space="6"/>
          <w:right w:val="single" w:color="auto" w:sz="4" w:space="4"/>
        </w:pBdr>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lang w:eastAsia="zh-CN"/>
        </w:rPr>
        <w:t>瓜沥镇资产经营总公司租赁3辆车辆采购项目</w:t>
      </w:r>
      <w:r>
        <w:rPr>
          <w:rFonts w:hint="eastAsia" w:ascii="宋体" w:hAnsi="宋体" w:cs="宋体"/>
          <w:color w:val="auto"/>
          <w:sz w:val="24"/>
          <w:highlight w:val="none"/>
        </w:rPr>
        <w:t>招标项目的潜在响应人应在乐采云平台（www.lecaiyun.com）</w:t>
      </w:r>
      <w:r>
        <w:rPr>
          <w:color w:val="auto"/>
          <w:highlight w:val="none"/>
        </w:rPr>
        <w:fldChar w:fldCharType="begin"/>
      </w:r>
      <w:r>
        <w:rPr>
          <w:color w:val="auto"/>
          <w:highlight w:val="none"/>
        </w:rPr>
        <w:instrText xml:space="preserve"> HYPERLINK "https://www.zcygov.cn/）获取（下载）交易文件，并于2023年5月%20%20日9点30分00秒"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获取（下载）交易文件，并于202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14:paraId="27FAC56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367E45">
      <w:pPr>
        <w:spacing w:line="360" w:lineRule="auto"/>
        <w:ind w:firstLine="48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GZCG2025GKDL-02</w:t>
      </w:r>
    </w:p>
    <w:p w14:paraId="6F1AC689">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瓜沥镇资产经营总公司租赁3辆车辆采购项目</w:t>
      </w:r>
    </w:p>
    <w:p w14:paraId="7627F4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val="en-US" w:eastAsia="zh-CN"/>
        </w:rPr>
        <w:t>378000.00</w:t>
      </w:r>
    </w:p>
    <w:p w14:paraId="2DF7C79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378000.00</w:t>
      </w:r>
    </w:p>
    <w:p w14:paraId="132EDDA5">
      <w:pPr>
        <w:pStyle w:val="2"/>
        <w:spacing w:line="360" w:lineRule="auto"/>
        <w:ind w:firstLine="480"/>
        <w:rPr>
          <w:rFonts w:hAnsi="宋体" w:cs="宋体"/>
          <w:bCs/>
          <w:color w:val="auto"/>
          <w:kern w:val="2"/>
          <w:sz w:val="24"/>
          <w:szCs w:val="24"/>
          <w:highlight w:val="none"/>
        </w:rPr>
      </w:pPr>
      <w:r>
        <w:rPr>
          <w:rFonts w:hint="eastAsia" w:hAnsi="宋体" w:cs="宋体"/>
          <w:b/>
          <w:color w:val="auto"/>
          <w:sz w:val="24"/>
          <w:highlight w:val="none"/>
          <w:lang w:eastAsia="zh-CN"/>
        </w:rPr>
        <w:t>交易需求</w:t>
      </w:r>
      <w:r>
        <w:rPr>
          <w:rFonts w:hint="eastAsia" w:hAnsi="宋体" w:cs="宋体"/>
          <w:b/>
          <w:color w:val="auto"/>
          <w:sz w:val="24"/>
          <w:highlight w:val="none"/>
        </w:rPr>
        <w:t>：</w:t>
      </w:r>
      <w:r>
        <w:rPr>
          <w:rFonts w:hint="eastAsia" w:hAnsi="宋体" w:cs="宋体"/>
          <w:bCs/>
          <w:color w:val="auto"/>
          <w:sz w:val="24"/>
          <w:highlight w:val="none"/>
          <w:lang w:eastAsia="zh-CN"/>
        </w:rPr>
        <w:t>瓜沥镇资产经营总公司租赁3辆车辆采购项目</w:t>
      </w:r>
      <w:r>
        <w:rPr>
          <w:rFonts w:hint="eastAsia" w:hAnsi="宋体" w:cs="宋体"/>
          <w:bCs/>
          <w:color w:val="auto"/>
          <w:sz w:val="24"/>
          <w:highlight w:val="none"/>
        </w:rPr>
        <w:t xml:space="preserve"> </w:t>
      </w:r>
      <w:r>
        <w:rPr>
          <w:rFonts w:hint="eastAsia" w:hAnsi="宋体" w:cs="宋体"/>
          <w:bCs/>
          <w:color w:val="auto"/>
          <w:kern w:val="2"/>
          <w:sz w:val="24"/>
          <w:szCs w:val="24"/>
          <w:highlight w:val="none"/>
        </w:rPr>
        <w:t>主要内容：</w:t>
      </w:r>
      <w:r>
        <w:rPr>
          <w:rFonts w:hint="eastAsia" w:hAnsi="宋体" w:cs="宋体"/>
          <w:bCs/>
          <w:color w:val="auto"/>
          <w:sz w:val="24"/>
          <w:highlight w:val="none"/>
          <w:lang w:eastAsia="zh-CN"/>
        </w:rPr>
        <w:t>瓜沥镇资产经营总公司租赁3辆车辆采购服务</w:t>
      </w:r>
      <w:r>
        <w:rPr>
          <w:rFonts w:hint="eastAsia" w:hAnsi="宋体" w:cs="宋体"/>
          <w:bCs/>
          <w:color w:val="auto"/>
          <w:kern w:val="2"/>
          <w:sz w:val="24"/>
          <w:szCs w:val="24"/>
          <w:highlight w:val="none"/>
        </w:rPr>
        <w:t>。详见交易文件第三部分</w:t>
      </w:r>
      <w:r>
        <w:rPr>
          <w:rFonts w:hint="eastAsia" w:hAnsi="宋体" w:cs="宋体"/>
          <w:bCs/>
          <w:color w:val="auto"/>
          <w:kern w:val="2"/>
          <w:sz w:val="24"/>
          <w:szCs w:val="24"/>
          <w:highlight w:val="none"/>
          <w:lang w:eastAsia="zh-CN"/>
        </w:rPr>
        <w:t>交易需求</w:t>
      </w:r>
      <w:r>
        <w:rPr>
          <w:rFonts w:hint="eastAsia" w:hAnsi="宋体" w:cs="宋体"/>
          <w:bCs/>
          <w:color w:val="auto"/>
          <w:kern w:val="2"/>
          <w:sz w:val="24"/>
          <w:szCs w:val="24"/>
          <w:highlight w:val="none"/>
        </w:rPr>
        <w:t>。</w:t>
      </w:r>
    </w:p>
    <w:p w14:paraId="10D52691">
      <w:pPr>
        <w:pStyle w:val="132"/>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rPr>
        <w:t>详见交易文件。</w:t>
      </w:r>
    </w:p>
    <w:p w14:paraId="74583C8C">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本项目接受联合体投标：（ ）是；（√）否</w:t>
      </w:r>
      <w:r>
        <w:rPr>
          <w:rFonts w:hint="eastAsia" w:ascii="宋体" w:hAnsi="宋体" w:cs="宋体"/>
          <w:color w:val="auto"/>
          <w:kern w:val="0"/>
          <w:sz w:val="24"/>
          <w:highlight w:val="none"/>
        </w:rPr>
        <w:t>。</w:t>
      </w:r>
    </w:p>
    <w:p w14:paraId="1269A9A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37E593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AB24B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2.本项目的特定资格要求：</w:t>
      </w:r>
      <w:r>
        <w:rPr>
          <w:rFonts w:hint="eastAsia" w:ascii="宋体" w:hAnsi="宋体"/>
          <w:color w:val="auto"/>
          <w:sz w:val="24"/>
          <w:szCs w:val="28"/>
          <w:highlight w:val="none"/>
        </w:rPr>
        <w:t>无</w:t>
      </w:r>
      <w:r>
        <w:rPr>
          <w:rFonts w:hint="eastAsia" w:ascii="宋体" w:hAnsi="宋体" w:cs="宋体"/>
          <w:color w:val="auto"/>
          <w:sz w:val="24"/>
          <w:highlight w:val="none"/>
        </w:rPr>
        <w:t>；</w:t>
      </w:r>
    </w:p>
    <w:p w14:paraId="60E4D3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D6C51C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262884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7"/>
          <w:rFonts w:hint="eastAsia" w:ascii="宋体" w:hAnsi="宋体" w:eastAsia="宋体" w:cs="宋体"/>
          <w:snapToGrid/>
          <w:color w:val="auto"/>
          <w:kern w:val="2"/>
          <w:sz w:val="24"/>
          <w:szCs w:val="24"/>
          <w:highlight w:val="none"/>
          <w:u w:val="single"/>
        </w:rPr>
        <w:t>202</w:t>
      </w:r>
      <w:r>
        <w:rPr>
          <w:rStyle w:val="77"/>
          <w:rFonts w:hint="eastAsia" w:ascii="宋体" w:hAnsi="宋体" w:cs="宋体"/>
          <w:snapToGrid/>
          <w:color w:val="auto"/>
          <w:kern w:val="2"/>
          <w:sz w:val="24"/>
          <w:szCs w:val="24"/>
          <w:highlight w:val="none"/>
          <w:u w:val="single"/>
          <w:lang w:val="en-US" w:eastAsia="zh-CN"/>
        </w:rPr>
        <w:t>5</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01</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22</w:t>
      </w:r>
      <w:r>
        <w:rPr>
          <w:rStyle w:val="77"/>
          <w:rFonts w:hint="eastAsia" w:ascii="宋体" w:hAnsi="宋体" w:eastAsia="宋体" w:cs="宋体"/>
          <w:snapToGrid/>
          <w:color w:val="auto"/>
          <w:kern w:val="2"/>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00A5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乐采云平台（www.lecaiyun.com） </w:t>
      </w:r>
    </w:p>
    <w:p w14:paraId="1BB57F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供应商登录乐采云平台（www.lecaiyun.com）在线申请获取采购文件（进入“项目采购”应用，在获取采购文件菜单中选择项目，申请获取采购文件）。 </w:t>
      </w:r>
    </w:p>
    <w:p w14:paraId="2A4DA2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B2D88C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14:paraId="349B7E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b w:val="0"/>
          <w:bCs/>
          <w:color w:val="auto"/>
          <w:sz w:val="24"/>
          <w:highlight w:val="none"/>
          <w:u w:val="single"/>
        </w:rPr>
        <w:t>2025年01月22日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53E9821">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投标地点（网址）：</w:t>
      </w:r>
      <w:r>
        <w:rPr>
          <w:rFonts w:hint="eastAsia" w:ascii="宋体" w:hAnsi="宋体" w:cs="宋体"/>
          <w:color w:val="auto"/>
          <w:sz w:val="24"/>
          <w:highlight w:val="none"/>
        </w:rPr>
        <w:t>乐采云平台（www.lecaiyun.com）</w:t>
      </w:r>
      <w:r>
        <w:rPr>
          <w:rFonts w:hint="eastAsia" w:ascii="宋体" w:hAnsi="宋体" w:cs="宋体"/>
          <w:color w:val="auto"/>
          <w:sz w:val="24"/>
          <w:highlight w:val="none"/>
          <w:lang w:eastAsia="zh-CN"/>
        </w:rPr>
        <w:t>。</w:t>
      </w:r>
    </w:p>
    <w:p w14:paraId="2653BC5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2025年01月22日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 xml:space="preserve">  </w:t>
      </w:r>
    </w:p>
    <w:p w14:paraId="07ADE1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乐采云平台（www.lecaiyun.com）</w:t>
      </w:r>
      <w:r>
        <w:rPr>
          <w:rFonts w:hint="eastAsia" w:ascii="宋体" w:hAnsi="宋体" w:cs="宋体"/>
          <w:color w:val="auto"/>
          <w:sz w:val="24"/>
          <w:szCs w:val="28"/>
          <w:highlight w:val="none"/>
        </w:rPr>
        <w:t>。</w:t>
      </w:r>
    </w:p>
    <w:p w14:paraId="0656D29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14A72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7B432FE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81079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1.供应商认为交易文件使自己的权益受到损害的，可以自获取交易文件之日或者交易文件公告期限届满之日（公告期限届满后获取交易文件的，以公告期限届满之日为准）起3个工作日内，以书面形式向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和采购代理机构提出质疑。质疑函范本请到浙江政府采购网下载专区下载。</w:t>
      </w:r>
    </w:p>
    <w:p w14:paraId="7438A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2.其他事项：电子招投标的说明：①电子招投标：本项目以数据电文形式，依托“乐采云平台（https://www.lecaiyun.com/） ”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乐采云平台；进入“项目采购”应用，在获取公开竞争文件菜单中选择项目，获取公开竞争文件；④响应文件的制作：在“政采云电子交易客户端”中完成“填写基本信息”“导入响应文件”“标书关联”“标书检查”“电子签名”“生成电子标书”等操作；⑤</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、代理机构将依托乐采云平台完成本项目的电子交易活动，平台不接受未按上述方式获取公开竞争文件的响应人进行投标活动； ⑥对未按上述方式获取公开竞争文件的响应人对该文件提出的异议，</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425423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七、对本次采购提出询问、质疑，请按以下方式联系</w:t>
      </w:r>
    </w:p>
    <w:p w14:paraId="46041B96">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color w:val="auto"/>
          <w:sz w:val="24"/>
          <w:szCs w:val="28"/>
          <w:highlight w:val="none"/>
          <w:lang w:eastAsia="zh-CN"/>
        </w:rPr>
        <w:t>发包人</w:t>
      </w:r>
      <w:r>
        <w:rPr>
          <w:rFonts w:hint="eastAsia" w:ascii="宋体" w:hAnsi="宋体" w:cs="宋体"/>
          <w:color w:val="auto"/>
          <w:sz w:val="24"/>
          <w:szCs w:val="28"/>
          <w:highlight w:val="none"/>
        </w:rPr>
        <w:t>信息</w:t>
      </w:r>
    </w:p>
    <w:p w14:paraId="338CD4BC">
      <w:pPr>
        <w:spacing w:line="360" w:lineRule="auto"/>
        <w:ind w:left="0" w:leftChars="0" w:firstLine="420" w:firstLineChars="0"/>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名 称：</w:t>
      </w:r>
      <w:r>
        <w:rPr>
          <w:rFonts w:hint="eastAsia" w:ascii="宋体" w:hAnsi="宋体" w:cs="宋体"/>
          <w:color w:val="auto"/>
          <w:sz w:val="24"/>
          <w:szCs w:val="28"/>
          <w:highlight w:val="none"/>
          <w:lang w:eastAsia="zh-CN"/>
        </w:rPr>
        <w:t>杭州萧山瓜沥镇资产经营总公司</w:t>
      </w:r>
    </w:p>
    <w:p w14:paraId="7889CD4A">
      <w:pPr>
        <w:spacing w:line="360" w:lineRule="auto"/>
        <w:ind w:left="0" w:leftChars="0" w:firstLine="420" w:firstLineChars="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地址：萧山区</w:t>
      </w:r>
      <w:r>
        <w:rPr>
          <w:rFonts w:hint="eastAsia" w:ascii="宋体" w:hAnsi="宋体" w:cs="宋体"/>
          <w:color w:val="auto"/>
          <w:sz w:val="24"/>
          <w:szCs w:val="28"/>
          <w:highlight w:val="none"/>
          <w:lang w:eastAsia="zh-CN"/>
        </w:rPr>
        <w:t>建设四路</w:t>
      </w:r>
      <w:r>
        <w:rPr>
          <w:rFonts w:hint="eastAsia" w:ascii="宋体" w:hAnsi="宋体" w:cs="宋体"/>
          <w:color w:val="auto"/>
          <w:sz w:val="24"/>
          <w:szCs w:val="28"/>
          <w:highlight w:val="none"/>
          <w:lang w:val="en-US" w:eastAsia="zh-CN"/>
        </w:rPr>
        <w:t>10777号</w:t>
      </w:r>
    </w:p>
    <w:p w14:paraId="0F8360E2">
      <w:pPr>
        <w:spacing w:line="360" w:lineRule="auto"/>
        <w:ind w:left="0" w:leftChars="0" w:firstLine="420" w:firstLineChars="0"/>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 xml:space="preserve">蔡鸿梁 </w:t>
      </w:r>
    </w:p>
    <w:p w14:paraId="40C26BDF">
      <w:pPr>
        <w:spacing w:line="360" w:lineRule="auto"/>
        <w:ind w:left="0" w:leftChars="0" w:firstLine="420" w:firstLineChars="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项目联系方式（询问）：0571-</w:t>
      </w:r>
      <w:r>
        <w:rPr>
          <w:rFonts w:hint="eastAsia" w:ascii="宋体" w:hAnsi="宋体" w:cs="宋体"/>
          <w:color w:val="auto"/>
          <w:sz w:val="24"/>
          <w:szCs w:val="28"/>
          <w:highlight w:val="none"/>
          <w:lang w:val="en-US" w:eastAsia="zh-CN"/>
        </w:rPr>
        <w:t>83589134/18868347607</w:t>
      </w:r>
    </w:p>
    <w:p w14:paraId="3B7D428E">
      <w:pPr>
        <w:widowControl/>
        <w:shd w:val="clear" w:color="auto" w:fill="auto"/>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color w:val="auto"/>
          <w:sz w:val="24"/>
          <w:szCs w:val="28"/>
          <w:highlight w:val="none"/>
          <w:lang w:eastAsia="zh-CN"/>
        </w:rPr>
        <w:t>交易代理机构</w:t>
      </w:r>
      <w:r>
        <w:rPr>
          <w:rFonts w:hint="eastAsia" w:ascii="宋体" w:hAnsi="宋体" w:cs="宋体"/>
          <w:color w:val="auto"/>
          <w:sz w:val="24"/>
          <w:szCs w:val="28"/>
          <w:highlight w:val="none"/>
        </w:rPr>
        <w:t>信息</w:t>
      </w:r>
    </w:p>
    <w:p w14:paraId="2486EC93">
      <w:pPr>
        <w:widowControl/>
        <w:shd w:val="clear" w:color="auto" w:fill="auto"/>
        <w:spacing w:line="360" w:lineRule="auto"/>
        <w:ind w:left="0" w:leftChars="0" w:firstLine="420" w:firstLineChars="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名称：浙江泛亚工程咨询有限公司 </w:t>
      </w:r>
    </w:p>
    <w:p w14:paraId="627FF169">
      <w:pPr>
        <w:widowControl/>
        <w:shd w:val="clear" w:color="auto" w:fill="auto"/>
        <w:spacing w:line="360" w:lineRule="auto"/>
        <w:ind w:left="0" w:leftChars="0" w:firstLine="420" w:firstLineChars="0"/>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项目</w:t>
      </w:r>
      <w:r>
        <w:rPr>
          <w:rFonts w:hint="eastAsia" w:ascii="宋体" w:hAnsi="宋体" w:eastAsia="宋体" w:cs="宋体"/>
          <w:color w:val="auto"/>
          <w:sz w:val="24"/>
          <w:szCs w:val="28"/>
          <w:highlight w:val="none"/>
        </w:rPr>
        <w:t>联系人（询问）：</w:t>
      </w:r>
      <w:r>
        <w:rPr>
          <w:rFonts w:hint="eastAsia" w:ascii="宋体" w:hAnsi="宋体" w:eastAsia="宋体" w:cs="宋体"/>
          <w:color w:val="auto"/>
          <w:sz w:val="24"/>
          <w:szCs w:val="28"/>
          <w:highlight w:val="none"/>
          <w:lang w:eastAsia="zh-CN"/>
        </w:rPr>
        <w:t>杨佩瑾</w:t>
      </w:r>
    </w:p>
    <w:p w14:paraId="419DD47F">
      <w:pPr>
        <w:widowControl/>
        <w:shd w:val="clear" w:color="auto" w:fill="auto"/>
        <w:spacing w:line="360" w:lineRule="auto"/>
        <w:ind w:left="0" w:leftChars="0" w:firstLine="420" w:firstLineChars="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sz w:val="24"/>
          <w:szCs w:val="28"/>
          <w:highlight w:val="none"/>
          <w:lang w:val="en-US" w:eastAsia="zh-CN"/>
        </w:rPr>
        <w:t>15068827539</w:t>
      </w:r>
    </w:p>
    <w:p w14:paraId="2B3F9EFA">
      <w:pPr>
        <w:widowControl/>
        <w:shd w:val="clear" w:color="auto" w:fill="auto"/>
        <w:spacing w:line="360" w:lineRule="auto"/>
        <w:ind w:left="0" w:leftChars="0" w:firstLine="420" w:firstLineChars="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质疑联系人：</w:t>
      </w:r>
      <w:r>
        <w:rPr>
          <w:rFonts w:hint="eastAsia" w:ascii="宋体" w:hAnsi="宋体" w:eastAsia="宋体" w:cs="宋体"/>
          <w:color w:val="auto"/>
          <w:sz w:val="24"/>
          <w:szCs w:val="28"/>
          <w:highlight w:val="none"/>
          <w:lang w:eastAsia="zh-CN"/>
        </w:rPr>
        <w:t>李芳芳</w:t>
      </w:r>
    </w:p>
    <w:p w14:paraId="5D76392C">
      <w:pPr>
        <w:widowControl/>
        <w:shd w:val="clear" w:color="auto" w:fill="auto"/>
        <w:spacing w:line="360" w:lineRule="auto"/>
        <w:ind w:left="0" w:leftChars="0" w:firstLine="420" w:firstLineChars="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质疑联系方式：</w:t>
      </w:r>
      <w:r>
        <w:rPr>
          <w:rFonts w:hint="eastAsia" w:ascii="宋体" w:hAnsi="宋体" w:eastAsia="宋体" w:cs="宋体"/>
          <w:color w:val="auto"/>
          <w:sz w:val="24"/>
          <w:szCs w:val="28"/>
          <w:highlight w:val="none"/>
          <w:lang w:val="en-US" w:eastAsia="zh-CN"/>
        </w:rPr>
        <w:t>13605802875</w:t>
      </w:r>
    </w:p>
    <w:p w14:paraId="290EABC5">
      <w:pPr>
        <w:widowControl/>
        <w:shd w:val="clear" w:color="auto" w:fill="auto"/>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3. </w:t>
      </w:r>
      <w:r>
        <w:rPr>
          <w:rFonts w:hint="eastAsia" w:ascii="宋体" w:hAnsi="宋体" w:cs="宋体"/>
          <w:color w:val="auto"/>
          <w:sz w:val="24"/>
          <w:szCs w:val="28"/>
          <w:highlight w:val="none"/>
          <w:lang w:eastAsia="zh-CN"/>
        </w:rPr>
        <w:t>发包人交易</w:t>
      </w:r>
      <w:r>
        <w:rPr>
          <w:rFonts w:hint="eastAsia" w:ascii="宋体" w:hAnsi="宋体" w:cs="宋体"/>
          <w:color w:val="auto"/>
          <w:sz w:val="24"/>
          <w:szCs w:val="28"/>
          <w:highlight w:val="none"/>
        </w:rPr>
        <w:t xml:space="preserve">监督管理部门  </w:t>
      </w:r>
    </w:p>
    <w:p w14:paraId="37A60417">
      <w:pPr>
        <w:widowControl/>
        <w:shd w:val="clear" w:color="auto" w:fill="auto"/>
        <w:spacing w:line="360" w:lineRule="auto"/>
        <w:ind w:left="0" w:leftChars="0" w:firstLine="420" w:firstLineChars="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名称：瓜沥镇招投标管理办公室</w:t>
      </w:r>
    </w:p>
    <w:p w14:paraId="62B0A4D3">
      <w:pPr>
        <w:widowControl/>
        <w:shd w:val="clear" w:color="auto" w:fill="auto"/>
        <w:spacing w:line="360" w:lineRule="auto"/>
        <w:ind w:left="0" w:leftChars="0" w:firstLine="420" w:firstLineChars="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地址：杭州萧山瓜沥镇政通路100号</w:t>
      </w:r>
    </w:p>
    <w:p w14:paraId="5F60C5E3">
      <w:pPr>
        <w:widowControl/>
        <w:shd w:val="clear" w:color="auto" w:fill="auto"/>
        <w:spacing w:line="360" w:lineRule="auto"/>
        <w:ind w:left="0" w:leftChars="0" w:firstLine="420" w:firstLineChars="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联系人：许天钢</w:t>
      </w:r>
    </w:p>
    <w:p w14:paraId="50217F95">
      <w:pPr>
        <w:shd w:val="clear" w:color="auto" w:fill="auto"/>
        <w:spacing w:line="360" w:lineRule="auto"/>
        <w:ind w:left="0" w:leftChars="0" w:firstLine="420" w:firstLineChars="0"/>
        <w:jc w:val="left"/>
        <w:rPr>
          <w:rFonts w:hint="eastAsia" w:ascii="宋体" w:hAnsi="宋体" w:cs="宋体"/>
          <w:color w:val="auto"/>
          <w:sz w:val="24"/>
          <w:szCs w:val="28"/>
          <w:highlight w:val="none"/>
          <w:u w:val="single"/>
        </w:rPr>
      </w:pPr>
      <w:r>
        <w:rPr>
          <w:rFonts w:hint="eastAsia" w:ascii="宋体" w:hAnsi="宋体" w:cs="宋体"/>
          <w:color w:val="auto"/>
          <w:sz w:val="24"/>
          <w:szCs w:val="28"/>
          <w:highlight w:val="none"/>
        </w:rPr>
        <w:t>监督投诉电话：0571-57152632</w:t>
      </w:r>
    </w:p>
    <w:p w14:paraId="18FEE22B">
      <w:pPr>
        <w:spacing w:line="360" w:lineRule="auto"/>
        <w:jc w:val="left"/>
        <w:rPr>
          <w:rFonts w:ascii="宋体" w:hAnsi="宋体" w:cs="宋体"/>
          <w:color w:val="auto"/>
          <w:sz w:val="24"/>
          <w:highlight w:val="none"/>
        </w:rPr>
      </w:pPr>
      <w:r>
        <w:rPr>
          <w:rFonts w:hint="eastAsia" w:ascii="宋体" w:hAnsi="宋体" w:cs="宋体"/>
          <w:color w:val="auto"/>
          <w:sz w:val="24"/>
          <w:szCs w:val="28"/>
          <w:highlight w:val="none"/>
        </w:rPr>
        <w:t>  </w:t>
      </w: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乐采云平台（www.lecaiyun.com）</w:t>
      </w:r>
      <w:r>
        <w:rPr>
          <w:rFonts w:hint="eastAsia" w:ascii="宋体" w:hAnsi="宋体" w:cs="宋体"/>
          <w:color w:val="auto"/>
          <w:sz w:val="24"/>
          <w:highlight w:val="none"/>
        </w:rPr>
        <w:t>，点击右侧咨询小采，获取采小蜜智能服务管家帮助，或拨打政采云服务热线400-881-7190获取热线服务帮助。</w:t>
      </w:r>
    </w:p>
    <w:p w14:paraId="4A3B58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p>
    <w:p w14:paraId="77DFB0C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64B40ED">
      <w:pPr>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响应人须知</w:t>
      </w:r>
      <w:bookmarkEnd w:id="9"/>
    </w:p>
    <w:p w14:paraId="2F669ACA">
      <w:pPr>
        <w:snapToGrid w:val="0"/>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640"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5"/>
        <w:gridCol w:w="1614"/>
        <w:gridCol w:w="7371"/>
      </w:tblGrid>
      <w:tr w14:paraId="07E3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blHeader/>
        </w:trPr>
        <w:tc>
          <w:tcPr>
            <w:tcW w:w="655" w:type="dxa"/>
            <w:vAlign w:val="center"/>
          </w:tcPr>
          <w:p w14:paraId="7C3931B8">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4" w:type="dxa"/>
            <w:vAlign w:val="center"/>
          </w:tcPr>
          <w:p w14:paraId="79FF3E81">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371" w:type="dxa"/>
            <w:vAlign w:val="center"/>
          </w:tcPr>
          <w:p w14:paraId="7C846A4F">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FE2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2" w:hRule="atLeast"/>
          <w:tblHeader/>
        </w:trPr>
        <w:tc>
          <w:tcPr>
            <w:tcW w:w="655" w:type="dxa"/>
            <w:vAlign w:val="center"/>
          </w:tcPr>
          <w:p w14:paraId="04E99B7A">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614" w:type="dxa"/>
            <w:vAlign w:val="center"/>
          </w:tcPr>
          <w:p w14:paraId="1169B17C">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371" w:type="dxa"/>
            <w:vAlign w:val="center"/>
          </w:tcPr>
          <w:p w14:paraId="11C83938">
            <w:pPr>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4B43BA6">
            <w:pPr>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14:paraId="6AF6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3" w:hRule="atLeast"/>
          <w:tblHeader/>
        </w:trPr>
        <w:tc>
          <w:tcPr>
            <w:tcW w:w="655" w:type="dxa"/>
            <w:vAlign w:val="center"/>
          </w:tcPr>
          <w:p w14:paraId="030A644E">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614" w:type="dxa"/>
            <w:vAlign w:val="center"/>
          </w:tcPr>
          <w:p w14:paraId="5D0CCD29">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371" w:type="dxa"/>
            <w:vAlign w:val="center"/>
          </w:tcPr>
          <w:p w14:paraId="14985A26">
            <w:pPr>
              <w:rPr>
                <w:rFonts w:ascii="宋体" w:hAnsi="宋体" w:cs="宋体"/>
                <w:color w:val="auto"/>
                <w:sz w:val="24"/>
                <w:szCs w:val="32"/>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color w:val="auto"/>
                <w:sz w:val="24"/>
                <w:szCs w:val="32"/>
                <w:highlight w:val="none"/>
              </w:rPr>
              <w:t>本项目不允许采购进口产品。</w:t>
            </w:r>
          </w:p>
          <w:p w14:paraId="1C81779A">
            <w:pPr>
              <w:rPr>
                <w:rFonts w:ascii="宋体" w:hAnsi="宋体" w:cs="宋体"/>
                <w:color w:val="auto"/>
                <w:sz w:val="24"/>
                <w:szCs w:val="32"/>
                <w:highlight w:val="none"/>
              </w:rPr>
            </w:pPr>
            <w:r>
              <w:rPr>
                <w:rFonts w:hint="eastAsia" w:ascii="宋体" w:hAnsi="宋体" w:cs="宋体"/>
                <w:color w:val="auto"/>
                <w:kern w:val="0"/>
                <w:sz w:val="24"/>
                <w:highlight w:val="none"/>
              </w:rPr>
              <w:t>(  )</w:t>
            </w:r>
            <w:r>
              <w:rPr>
                <w:rFonts w:hint="eastAsia" w:ascii="宋体" w:hAnsi="宋体" w:cs="宋体"/>
                <w:color w:val="auto"/>
                <w:sz w:val="24"/>
                <w:szCs w:val="32"/>
                <w:highlight w:val="none"/>
              </w:rPr>
              <w:t>可以就</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采购进口产品。</w:t>
            </w:r>
          </w:p>
          <w:p w14:paraId="09B4F42B">
            <w:pPr>
              <w:pStyle w:val="6"/>
              <w:keepNext w:val="0"/>
              <w:keepLines w:val="0"/>
              <w:spacing w:line="240" w:lineRule="auto"/>
              <w:ind w:left="0" w:firstLine="0"/>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748A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tblHeader/>
        </w:trPr>
        <w:tc>
          <w:tcPr>
            <w:tcW w:w="655" w:type="dxa"/>
            <w:vAlign w:val="center"/>
          </w:tcPr>
          <w:p w14:paraId="0E37BE71">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614" w:type="dxa"/>
            <w:vAlign w:val="center"/>
          </w:tcPr>
          <w:p w14:paraId="39E40B76">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371" w:type="dxa"/>
            <w:vAlign w:val="center"/>
          </w:tcPr>
          <w:p w14:paraId="25352C38">
            <w:pPr>
              <w:snapToGrid w:val="0"/>
              <w:rPr>
                <w:rFonts w:ascii="宋体" w:hAnsi="宋体" w:cs="宋体"/>
                <w:color w:val="auto"/>
                <w:sz w:val="24"/>
                <w:highlight w:val="none"/>
              </w:rPr>
            </w:pPr>
            <w:r>
              <w:rPr>
                <w:rFonts w:hint="eastAsia" w:ascii="宋体" w:hAnsi="宋体" w:cs="宋体"/>
                <w:b/>
                <w:color w:val="auto"/>
                <w:sz w:val="24"/>
                <w:highlight w:val="none"/>
              </w:rPr>
              <w:t>（  ）</w:t>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7321796">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366B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8" w:hRule="atLeast"/>
          <w:tblHeader/>
        </w:trPr>
        <w:tc>
          <w:tcPr>
            <w:tcW w:w="655" w:type="dxa"/>
            <w:vAlign w:val="center"/>
          </w:tcPr>
          <w:p w14:paraId="73AD260C">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614" w:type="dxa"/>
            <w:vAlign w:val="center"/>
          </w:tcPr>
          <w:p w14:paraId="3B049C25">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371" w:type="dxa"/>
            <w:vAlign w:val="center"/>
          </w:tcPr>
          <w:p w14:paraId="36869DBE">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461EA6C">
            <w:pPr>
              <w:rPr>
                <w:rFonts w:ascii="宋体" w:hAnsi="宋体" w:cs="宋体"/>
                <w:color w:val="auto"/>
                <w:sz w:val="24"/>
                <w:szCs w:val="20"/>
                <w:highlight w:val="none"/>
              </w:rPr>
            </w:pPr>
            <w:r>
              <w:rPr>
                <w:rFonts w:hint="eastAsia" w:ascii="宋体" w:hAnsi="宋体" w:cs="宋体"/>
                <w:b/>
                <w:color w:val="auto"/>
                <w:sz w:val="24"/>
                <w:highlight w:val="none"/>
              </w:rPr>
              <w:t>（  ）</w:t>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；其他说明：</w:t>
            </w:r>
          </w:p>
        </w:tc>
      </w:tr>
      <w:tr w14:paraId="5426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2" w:hRule="atLeast"/>
          <w:tblHeader/>
        </w:trPr>
        <w:tc>
          <w:tcPr>
            <w:tcW w:w="655" w:type="dxa"/>
            <w:vAlign w:val="center"/>
          </w:tcPr>
          <w:p w14:paraId="7F007585">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614" w:type="dxa"/>
            <w:vAlign w:val="center"/>
          </w:tcPr>
          <w:p w14:paraId="4B34C7D5">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371" w:type="dxa"/>
            <w:vAlign w:val="center"/>
          </w:tcPr>
          <w:p w14:paraId="4A9DCE4F">
            <w:pPr>
              <w:rPr>
                <w:rFonts w:ascii="宋体" w:hAnsi="宋体" w:cs="宋体"/>
                <w:bCs/>
                <w:color w:val="auto"/>
                <w:sz w:val="24"/>
                <w:highlight w:val="none"/>
              </w:rPr>
            </w:pPr>
            <w:r>
              <w:rPr>
                <w:rFonts w:hint="eastAsia" w:ascii="宋体" w:hAnsi="宋体" w:cs="宋体"/>
                <w:bCs/>
                <w:color w:val="auto"/>
                <w:sz w:val="24"/>
                <w:highlight w:val="none"/>
              </w:rPr>
              <w:t>（√）A不要求提供。</w:t>
            </w:r>
          </w:p>
          <w:p w14:paraId="0E094E0A">
            <w:pPr>
              <w:rPr>
                <w:rFonts w:ascii="宋体" w:hAnsi="宋体" w:cs="宋体"/>
                <w:b/>
                <w:color w:val="auto"/>
                <w:sz w:val="24"/>
                <w:highlight w:val="none"/>
              </w:rPr>
            </w:pPr>
            <w:r>
              <w:rPr>
                <w:rFonts w:hint="eastAsia" w:ascii="宋体" w:hAnsi="宋体" w:cs="宋体"/>
                <w:bCs/>
                <w:color w:val="auto"/>
                <w:sz w:val="24"/>
                <w:highlight w:val="none"/>
              </w:rPr>
              <w:t>▲交易文件要求提供样品，响应人没有提供样品或样品不全的，投标无效。</w:t>
            </w:r>
          </w:p>
        </w:tc>
      </w:tr>
      <w:tr w14:paraId="0A41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blHeader/>
        </w:trPr>
        <w:tc>
          <w:tcPr>
            <w:tcW w:w="655" w:type="dxa"/>
            <w:vAlign w:val="center"/>
          </w:tcPr>
          <w:p w14:paraId="5AF0D357">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614" w:type="dxa"/>
            <w:vAlign w:val="center"/>
          </w:tcPr>
          <w:p w14:paraId="6174164A">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371" w:type="dxa"/>
            <w:vAlign w:val="center"/>
          </w:tcPr>
          <w:p w14:paraId="68CB1DA6">
            <w:pPr>
              <w:snapToGrid w:val="0"/>
              <w:rPr>
                <w:rFonts w:ascii="宋体" w:hAnsi="宋体" w:cs="宋体"/>
                <w:b/>
                <w:color w:val="auto"/>
                <w:kern w:val="0"/>
                <w:sz w:val="24"/>
                <w:highlight w:val="none"/>
                <w:lang w:val="zh-CN"/>
              </w:rPr>
            </w:pPr>
            <w:r>
              <w:rPr>
                <w:rFonts w:hint="eastAsia" w:ascii="宋体" w:hAnsi="宋体" w:cs="宋体"/>
                <w:color w:val="auto"/>
                <w:sz w:val="24"/>
                <w:highlight w:val="none"/>
              </w:rPr>
              <w:t>不组织</w:t>
            </w:r>
            <w:r>
              <w:rPr>
                <w:rFonts w:hint="eastAsia" w:ascii="宋体" w:hAnsi="宋体" w:cs="宋体"/>
                <w:bCs/>
                <w:color w:val="auto"/>
                <w:sz w:val="24"/>
                <w:highlight w:val="none"/>
              </w:rPr>
              <w:t>。</w:t>
            </w:r>
          </w:p>
        </w:tc>
      </w:tr>
      <w:tr w14:paraId="7E3E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2" w:hRule="atLeast"/>
          <w:tblHeader/>
        </w:trPr>
        <w:tc>
          <w:tcPr>
            <w:tcW w:w="655" w:type="dxa"/>
            <w:vMerge w:val="restart"/>
            <w:vAlign w:val="center"/>
          </w:tcPr>
          <w:p w14:paraId="6B3E1F84">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614" w:type="dxa"/>
            <w:vMerge w:val="restart"/>
            <w:vAlign w:val="center"/>
          </w:tcPr>
          <w:p w14:paraId="7BD808E0">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响应人应当提供的资格、资信证明文件</w:t>
            </w:r>
          </w:p>
        </w:tc>
        <w:tc>
          <w:tcPr>
            <w:tcW w:w="7371" w:type="dxa"/>
            <w:vAlign w:val="center"/>
          </w:tcPr>
          <w:p w14:paraId="4ECC5F95">
            <w:pPr>
              <w:rPr>
                <w:rFonts w:ascii="宋体" w:hAnsi="宋体" w:cs="宋体"/>
                <w:color w:val="auto"/>
                <w:sz w:val="24"/>
                <w:highlight w:val="none"/>
              </w:rPr>
            </w:pPr>
            <w:r>
              <w:rPr>
                <w:rFonts w:hint="eastAsia" w:ascii="宋体" w:hAnsi="宋体" w:cs="宋体"/>
                <w:color w:val="auto"/>
                <w:sz w:val="24"/>
                <w:highlight w:val="none"/>
              </w:rPr>
              <w:t>（1）资格证明文件：见交易文件第二部分10.1。</w:t>
            </w:r>
          </w:p>
          <w:p w14:paraId="2502B187">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响应人未提供有效的资格证明文件的，视为响应人不具备交易文件中规定的资格要求，投标无效。</w:t>
            </w:r>
          </w:p>
        </w:tc>
      </w:tr>
      <w:tr w14:paraId="47AA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blHeader/>
        </w:trPr>
        <w:tc>
          <w:tcPr>
            <w:tcW w:w="655" w:type="dxa"/>
            <w:vMerge w:val="continue"/>
            <w:vAlign w:val="center"/>
          </w:tcPr>
          <w:p w14:paraId="2BE46538">
            <w:pPr>
              <w:snapToGrid w:val="0"/>
              <w:jc w:val="center"/>
              <w:rPr>
                <w:rFonts w:ascii="宋体" w:hAnsi="宋体" w:cs="宋体"/>
                <w:color w:val="auto"/>
                <w:sz w:val="24"/>
                <w:highlight w:val="none"/>
              </w:rPr>
            </w:pPr>
          </w:p>
        </w:tc>
        <w:tc>
          <w:tcPr>
            <w:tcW w:w="1614" w:type="dxa"/>
            <w:vMerge w:val="continue"/>
            <w:vAlign w:val="center"/>
          </w:tcPr>
          <w:p w14:paraId="6EE70F02">
            <w:pPr>
              <w:snapToGrid w:val="0"/>
              <w:jc w:val="center"/>
              <w:rPr>
                <w:rFonts w:ascii="宋体" w:hAnsi="宋体" w:cs="宋体"/>
                <w:b/>
                <w:color w:val="auto"/>
                <w:sz w:val="24"/>
                <w:highlight w:val="none"/>
              </w:rPr>
            </w:pPr>
          </w:p>
        </w:tc>
        <w:tc>
          <w:tcPr>
            <w:tcW w:w="7371" w:type="dxa"/>
            <w:vAlign w:val="center"/>
          </w:tcPr>
          <w:p w14:paraId="1BAC6362">
            <w:pPr>
              <w:rPr>
                <w:rFonts w:ascii="宋体" w:hAnsi="宋体" w:cs="宋体"/>
                <w:color w:val="auto"/>
                <w:sz w:val="24"/>
                <w:highlight w:val="none"/>
              </w:rPr>
            </w:pPr>
            <w:r>
              <w:rPr>
                <w:rFonts w:hint="eastAsia" w:ascii="宋体" w:hAnsi="宋体" w:cs="宋体"/>
                <w:color w:val="auto"/>
                <w:sz w:val="24"/>
                <w:highlight w:val="none"/>
              </w:rPr>
              <w:t>（2）资信证明文件：根据交易文件第四部分评标标准提供。</w:t>
            </w:r>
          </w:p>
        </w:tc>
      </w:tr>
      <w:tr w14:paraId="6EB3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0" w:hRule="atLeast"/>
          <w:tblHeader/>
        </w:trPr>
        <w:tc>
          <w:tcPr>
            <w:tcW w:w="655" w:type="dxa"/>
            <w:vAlign w:val="center"/>
          </w:tcPr>
          <w:p w14:paraId="6E7EA1C0">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614" w:type="dxa"/>
            <w:vAlign w:val="center"/>
          </w:tcPr>
          <w:p w14:paraId="39EB94A9">
            <w:pPr>
              <w:snapToGrid w:val="0"/>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371" w:type="dxa"/>
            <w:vAlign w:val="center"/>
          </w:tcPr>
          <w:p w14:paraId="4A6B9F24">
            <w:pPr>
              <w:snapToGrid w:val="0"/>
              <w:rPr>
                <w:rFonts w:ascii="宋体" w:hAnsi="宋体" w:cs="宋体"/>
                <w:color w:val="auto"/>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拟采购的产品属于品目清单范围的，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及其委托的采购代理机构将依据国家确定的认证机构出具的、处于有效期之内的节能产品、环境标志产品认证证书，对获得证书的产品实施政府优先采购或强制采购。</w:t>
            </w:r>
          </w:p>
        </w:tc>
      </w:tr>
      <w:tr w14:paraId="05EE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3" w:hRule="atLeast"/>
          <w:tblHeader/>
        </w:trPr>
        <w:tc>
          <w:tcPr>
            <w:tcW w:w="655" w:type="dxa"/>
            <w:vAlign w:val="center"/>
          </w:tcPr>
          <w:p w14:paraId="2D693E9C">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614" w:type="dxa"/>
            <w:vAlign w:val="center"/>
          </w:tcPr>
          <w:p w14:paraId="39006A0A">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7371" w:type="dxa"/>
            <w:vAlign w:val="center"/>
          </w:tcPr>
          <w:p w14:paraId="7333EC14">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开标一览表（报价表）是报价的唯一载体</w:t>
            </w:r>
            <w:r>
              <w:rPr>
                <w:rFonts w:hint="eastAsia" w:ascii="宋体" w:hAnsi="宋体" w:cs="宋体"/>
                <w:bCs/>
                <w:color w:val="auto"/>
                <w:kern w:val="0"/>
                <w:sz w:val="24"/>
                <w:highlight w:val="none"/>
                <w:lang w:val="zh-CN"/>
              </w:rPr>
              <w:t>。响应文件中价格全部采用人民币报价。交易文件未列明，而响应人认为必需的费用也需列入报价。</w:t>
            </w:r>
          </w:p>
          <w:p w14:paraId="1413741C">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634631C8">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响应文件出现不是唯一的、有选择性投标报价的；</w:t>
            </w:r>
          </w:p>
          <w:p w14:paraId="548B435C">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投标报价超过交易文件中规定的预算金额或者最高限价的；</w:t>
            </w:r>
          </w:p>
          <w:p w14:paraId="06F47151">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1C62D182">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响应人对根据修正原则修正后的报价不确认的。</w:t>
            </w:r>
          </w:p>
          <w:p w14:paraId="2D72F765">
            <w:pPr>
              <w:ind w:firstLine="480" w:firstLineChars="200"/>
              <w:rPr>
                <w:rFonts w:ascii="宋体" w:hAnsi="宋体" w:cs="宋体"/>
                <w:bCs/>
                <w:color w:val="auto"/>
                <w:highlight w:val="none"/>
              </w:rPr>
            </w:pPr>
            <w:r>
              <w:rPr>
                <w:rFonts w:hint="eastAsia" w:ascii="宋体" w:hAnsi="宋体" w:cs="宋体"/>
                <w:bCs/>
                <w:color w:val="auto"/>
                <w:kern w:val="0"/>
                <w:sz w:val="24"/>
                <w:highlight w:val="none"/>
              </w:rPr>
              <w:t>资格文件、商务技术文件与报价文件未分开制作</w:t>
            </w:r>
            <w:r>
              <w:rPr>
                <w:rFonts w:hint="eastAsia" w:ascii="宋体" w:hAnsi="宋体" w:cs="宋体"/>
                <w:bCs/>
                <w:color w:val="auto"/>
                <w:sz w:val="24"/>
                <w:highlight w:val="none"/>
              </w:rPr>
              <w:t>。</w:t>
            </w:r>
          </w:p>
        </w:tc>
      </w:tr>
      <w:tr w14:paraId="75DB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blHeader/>
        </w:trPr>
        <w:tc>
          <w:tcPr>
            <w:tcW w:w="655" w:type="dxa"/>
            <w:vAlign w:val="center"/>
          </w:tcPr>
          <w:p w14:paraId="629BEE8F">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614" w:type="dxa"/>
            <w:vAlign w:val="center"/>
          </w:tcPr>
          <w:p w14:paraId="4D4D73C7">
            <w:pPr>
              <w:snapToGrid w:val="0"/>
              <w:jc w:val="center"/>
              <w:rPr>
                <w:rFonts w:ascii="宋体" w:hAnsi="宋体" w:cs="宋体"/>
                <w:b/>
                <w:color w:val="auto"/>
                <w:sz w:val="24"/>
                <w:highlight w:val="none"/>
              </w:rPr>
            </w:pPr>
            <w:r>
              <w:rPr>
                <w:rFonts w:hint="eastAsia" w:ascii="宋体" w:hAnsi="宋体" w:cs="宋体"/>
                <w:b/>
                <w:color w:val="auto"/>
                <w:sz w:val="24"/>
                <w:highlight w:val="none"/>
              </w:rPr>
              <w:t>备份投标</w:t>
            </w:r>
          </w:p>
          <w:p w14:paraId="21826A3D">
            <w:pPr>
              <w:snapToGrid w:val="0"/>
              <w:jc w:val="center"/>
              <w:rPr>
                <w:rFonts w:ascii="宋体" w:hAnsi="宋体" w:cs="宋体"/>
                <w:b/>
                <w:color w:val="auto"/>
                <w:sz w:val="24"/>
                <w:highlight w:val="none"/>
              </w:rPr>
            </w:pPr>
            <w:r>
              <w:rPr>
                <w:rFonts w:hint="eastAsia" w:ascii="宋体" w:hAnsi="宋体" w:cs="宋体"/>
                <w:b/>
                <w:color w:val="auto"/>
                <w:sz w:val="24"/>
                <w:highlight w:val="none"/>
              </w:rPr>
              <w:t>文件</w:t>
            </w:r>
          </w:p>
        </w:tc>
        <w:tc>
          <w:tcPr>
            <w:tcW w:w="7371" w:type="dxa"/>
            <w:vAlign w:val="center"/>
          </w:tcPr>
          <w:p w14:paraId="05779C71">
            <w:pPr>
              <w:pStyle w:val="35"/>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r>
              <w:rPr>
                <w:rFonts w:hint="eastAsia" w:hAnsi="宋体" w:cs="宋体"/>
                <w:bCs/>
                <w:color w:val="auto"/>
                <w:sz w:val="24"/>
                <w:highlight w:val="none"/>
              </w:rPr>
              <w:t>。</w:t>
            </w:r>
          </w:p>
        </w:tc>
      </w:tr>
      <w:tr w14:paraId="0A95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tblHeader/>
        </w:trPr>
        <w:tc>
          <w:tcPr>
            <w:tcW w:w="655" w:type="dxa"/>
            <w:vAlign w:val="center"/>
          </w:tcPr>
          <w:p w14:paraId="72ACEA6A">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614" w:type="dxa"/>
            <w:vAlign w:val="center"/>
          </w:tcPr>
          <w:p w14:paraId="4BD89A05">
            <w:pPr>
              <w:snapToGrid w:val="0"/>
              <w:jc w:val="center"/>
              <w:rPr>
                <w:rFonts w:ascii="宋体" w:hAnsi="宋体" w:cs="宋体"/>
                <w:b/>
                <w:color w:val="auto"/>
                <w:sz w:val="24"/>
                <w:highlight w:val="none"/>
              </w:rPr>
            </w:pPr>
            <w:r>
              <w:rPr>
                <w:rFonts w:hint="eastAsia" w:ascii="宋体" w:hAnsi="宋体" w:cs="宋体"/>
                <w:b/>
                <w:color w:val="auto"/>
                <w:sz w:val="24"/>
                <w:highlight w:val="none"/>
              </w:rPr>
              <w:t>采购机构代理</w:t>
            </w:r>
          </w:p>
          <w:p w14:paraId="04155372">
            <w:pPr>
              <w:snapToGrid w:val="0"/>
              <w:jc w:val="center"/>
              <w:rPr>
                <w:rFonts w:ascii="宋体" w:hAnsi="宋体" w:cs="宋体"/>
                <w:b/>
                <w:color w:val="auto"/>
                <w:sz w:val="24"/>
                <w:highlight w:val="none"/>
              </w:rPr>
            </w:pPr>
            <w:r>
              <w:rPr>
                <w:rFonts w:hint="eastAsia" w:ascii="宋体" w:hAnsi="宋体" w:cs="宋体"/>
                <w:b/>
                <w:color w:val="auto"/>
                <w:sz w:val="24"/>
                <w:highlight w:val="none"/>
              </w:rPr>
              <w:t>费用</w:t>
            </w:r>
          </w:p>
        </w:tc>
        <w:tc>
          <w:tcPr>
            <w:tcW w:w="7371" w:type="dxa"/>
            <w:vAlign w:val="center"/>
          </w:tcPr>
          <w:p w14:paraId="7EDCB26F">
            <w:pPr>
              <w:pStyle w:val="35"/>
              <w:rPr>
                <w:rFonts w:hAnsi="宋体" w:cs="宋体"/>
                <w:color w:val="auto"/>
                <w:sz w:val="24"/>
                <w:highlight w:val="none"/>
              </w:rPr>
            </w:pPr>
            <w:r>
              <w:rPr>
                <w:rFonts w:hint="eastAsia" w:hAnsi="宋体" w:cs="宋体"/>
                <w:color w:val="auto"/>
                <w:sz w:val="24"/>
                <w:highlight w:val="none"/>
              </w:rPr>
              <w:t>本项目采购代理费由</w:t>
            </w:r>
            <w:r>
              <w:rPr>
                <w:rFonts w:hint="eastAsia" w:hAnsi="宋体" w:cs="宋体"/>
                <w:b w:val="0"/>
                <w:bCs/>
                <w:color w:val="auto"/>
                <w:kern w:val="0"/>
                <w:sz w:val="24"/>
                <w:highlight w:val="none"/>
                <w:lang w:val="en-US" w:eastAsia="zh-CN"/>
              </w:rPr>
              <w:t>发包人</w:t>
            </w:r>
            <w:r>
              <w:rPr>
                <w:rFonts w:hint="eastAsia" w:ascii="宋体" w:hAnsi="宋体" w:eastAsia="宋体" w:cs="宋体"/>
                <w:b w:val="0"/>
                <w:bCs/>
                <w:color w:val="auto"/>
                <w:kern w:val="0"/>
                <w:sz w:val="24"/>
                <w:highlight w:val="none"/>
                <w:lang w:val="zh-CN" w:eastAsia="zh-CN"/>
              </w:rPr>
              <w:t>支付。</w:t>
            </w:r>
          </w:p>
        </w:tc>
      </w:tr>
      <w:tr w14:paraId="0471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tblHeader/>
        </w:trPr>
        <w:tc>
          <w:tcPr>
            <w:tcW w:w="655" w:type="dxa"/>
            <w:vAlign w:val="center"/>
          </w:tcPr>
          <w:p w14:paraId="59AFCE07">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614" w:type="dxa"/>
            <w:vAlign w:val="center"/>
          </w:tcPr>
          <w:p w14:paraId="1F11D213">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7371" w:type="dxa"/>
            <w:vAlign w:val="center"/>
          </w:tcPr>
          <w:p w14:paraId="6D5B1E11">
            <w:pPr>
              <w:pStyle w:val="35"/>
              <w:ind w:hanging="4"/>
              <w:rPr>
                <w:rFonts w:hAnsi="宋体" w:cs="宋体"/>
                <w:color w:val="auto"/>
                <w:sz w:val="24"/>
                <w:highlight w:val="none"/>
              </w:rPr>
            </w:pPr>
            <w:r>
              <w:rPr>
                <w:rFonts w:hint="eastAsia" w:hAnsi="宋体" w:cs="宋体"/>
                <w:color w:val="auto"/>
                <w:sz w:val="24"/>
                <w:highlight w:val="none"/>
              </w:rPr>
              <w:t>履约保证金：本项目不收取。</w:t>
            </w:r>
          </w:p>
        </w:tc>
      </w:tr>
      <w:tr w14:paraId="0A83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blHeader/>
        </w:trPr>
        <w:tc>
          <w:tcPr>
            <w:tcW w:w="655" w:type="dxa"/>
            <w:vAlign w:val="center"/>
          </w:tcPr>
          <w:p w14:paraId="39F30896">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614" w:type="dxa"/>
            <w:vAlign w:val="center"/>
          </w:tcPr>
          <w:p w14:paraId="78C0CA45">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7371" w:type="dxa"/>
            <w:vAlign w:val="center"/>
          </w:tcPr>
          <w:p w14:paraId="4ED24FEF">
            <w:pPr>
              <w:pStyle w:val="35"/>
              <w:ind w:hanging="4"/>
              <w:rPr>
                <w:rFonts w:hAnsi="宋体" w:cs="宋体"/>
                <w:color w:val="auto"/>
                <w:sz w:val="24"/>
                <w:highlight w:val="none"/>
              </w:rPr>
            </w:pPr>
            <w:r>
              <w:rPr>
                <w:rFonts w:hint="eastAsia" w:hAnsi="宋体" w:cs="宋体"/>
                <w:color w:val="auto"/>
                <w:sz w:val="24"/>
                <w:highlight w:val="none"/>
              </w:rPr>
              <w:t>本项目由</w:t>
            </w:r>
            <w:r>
              <w:rPr>
                <w:rFonts w:hint="eastAsia" w:hAnsi="宋体" w:cs="宋体"/>
                <w:color w:val="auto"/>
                <w:sz w:val="24"/>
                <w:highlight w:val="none"/>
                <w:lang w:eastAsia="zh-CN"/>
              </w:rPr>
              <w:t>发包人</w:t>
            </w:r>
            <w:r>
              <w:rPr>
                <w:rFonts w:hint="eastAsia" w:hAnsi="宋体" w:cs="宋体"/>
                <w:color w:val="auto"/>
                <w:sz w:val="24"/>
                <w:highlight w:val="none"/>
              </w:rPr>
              <w:t>进行资格文件及信用信息查询。</w:t>
            </w:r>
          </w:p>
        </w:tc>
      </w:tr>
      <w:tr w14:paraId="6483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3" w:hRule="atLeast"/>
          <w:tblHeader/>
        </w:trPr>
        <w:tc>
          <w:tcPr>
            <w:tcW w:w="655" w:type="dxa"/>
            <w:vAlign w:val="center"/>
          </w:tcPr>
          <w:p w14:paraId="27F3D98B">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614" w:type="dxa"/>
            <w:vAlign w:val="center"/>
          </w:tcPr>
          <w:p w14:paraId="017AB672">
            <w:pPr>
              <w:snapToGrid w:val="0"/>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7371" w:type="dxa"/>
            <w:vAlign w:val="center"/>
          </w:tcPr>
          <w:p w14:paraId="4138BA18">
            <w:pPr>
              <w:snapToGrid w:val="0"/>
              <w:rPr>
                <w:rFonts w:ascii="宋体" w:hAnsi="宋体" w:cs="宋体"/>
                <w:color w:val="auto"/>
                <w:sz w:val="24"/>
                <w:highlight w:val="none"/>
                <w:u w:val="singl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rPr>
              <w:t>质疑接收人：</w:t>
            </w:r>
            <w:r>
              <w:rPr>
                <w:rFonts w:hint="eastAsia" w:ascii="宋体" w:hAnsi="宋体" w:cs="宋体"/>
                <w:color w:val="auto"/>
                <w:sz w:val="24"/>
                <w:highlight w:val="none"/>
                <w:u w:val="single"/>
              </w:rPr>
              <w:t xml:space="preserve"> 许天钢</w:t>
            </w:r>
            <w:r>
              <w:rPr>
                <w:rFonts w:hint="eastAsia" w:ascii="宋体" w:hAnsi="宋体" w:cs="宋体"/>
                <w:color w:val="auto"/>
                <w:sz w:val="24"/>
                <w:highlight w:val="none"/>
                <w:u w:val="single"/>
                <w:lang w:val="en-US" w:eastAsia="zh-CN"/>
              </w:rPr>
              <w:t xml:space="preserve"> </w:t>
            </w:r>
            <w:r>
              <w:rPr>
                <w:rFonts w:hint="eastAsia" w:ascii="宋体" w:hAnsi="宋体"/>
                <w:color w:val="auto"/>
                <w:sz w:val="24"/>
                <w:szCs w:val="28"/>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0571-57152632</w:t>
            </w:r>
            <w:r>
              <w:rPr>
                <w:rFonts w:hint="eastAsia" w:ascii="宋体" w:hAnsi="宋体"/>
                <w:color w:val="auto"/>
                <w:sz w:val="24"/>
                <w:highlight w:val="none"/>
                <w:u w:val="single"/>
              </w:rPr>
              <w:t xml:space="preserve"> </w:t>
            </w:r>
          </w:p>
          <w:p w14:paraId="49E6AA4F">
            <w:pPr>
              <w:snapToGrid w:val="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萧山区瓜沥镇政通路100号</w:t>
            </w:r>
          </w:p>
          <w:p w14:paraId="5438CA78">
            <w:pPr>
              <w:snapToGrid w:val="0"/>
              <w:rPr>
                <w:rFonts w:ascii="宋体" w:hAnsi="宋体" w:cs="宋体"/>
                <w:color w:val="auto"/>
                <w:sz w:val="24"/>
                <w:highlight w:val="none"/>
                <w:u w:val="singl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李芳芳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15068827539</w:t>
            </w:r>
            <w:r>
              <w:rPr>
                <w:rFonts w:hint="eastAsia" w:ascii="宋体" w:hAnsi="宋体" w:cs="宋体"/>
                <w:color w:val="auto"/>
                <w:sz w:val="24"/>
                <w:highlight w:val="none"/>
                <w:u w:val="single"/>
              </w:rPr>
              <w:t xml:space="preserve"> </w:t>
            </w:r>
          </w:p>
          <w:p w14:paraId="68D283FD">
            <w:pPr>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杭州市西湖区天目山路</w:t>
            </w:r>
            <w:r>
              <w:rPr>
                <w:rFonts w:hint="eastAsia" w:ascii="宋体" w:hAnsi="宋体" w:cs="宋体"/>
                <w:color w:val="auto"/>
                <w:sz w:val="24"/>
                <w:highlight w:val="none"/>
                <w:u w:val="single"/>
                <w:lang w:val="en-US" w:eastAsia="zh-CN"/>
              </w:rPr>
              <w:t>181号天际大厦804室</w:t>
            </w:r>
          </w:p>
          <w:p w14:paraId="5DC152FE">
            <w:pPr>
              <w:snapToGrid w:val="0"/>
              <w:jc w:val="left"/>
              <w:rPr>
                <w:rFonts w:ascii="宋体" w:hAnsi="宋体" w:cs="宋体"/>
                <w:color w:val="auto"/>
                <w:sz w:val="24"/>
                <w:highlight w:val="none"/>
                <w:u w:val="single"/>
              </w:rPr>
            </w:pP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535429422</w:t>
            </w:r>
            <w:r>
              <w:rPr>
                <w:rFonts w:hint="eastAsia" w:ascii="宋体" w:hAnsi="宋体" w:cs="宋体"/>
                <w:color w:val="auto"/>
                <w:sz w:val="24"/>
                <w:highlight w:val="none"/>
                <w:u w:val="single"/>
              </w:rPr>
              <w:t xml:space="preserve">@qq.com </w:t>
            </w:r>
          </w:p>
          <w:p w14:paraId="12CF0348">
            <w:pPr>
              <w:snapToGrid w:val="0"/>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如通过邮箱方式发送质疑，须提交符合法规及交易文件要求的质疑文件（参考附件1），盖章扫描后发送，质疑的受理按答复主体划分以</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或采购机构邮箱回复确认受理为准。</w:t>
            </w:r>
          </w:p>
          <w:p w14:paraId="6D61F745">
            <w:pPr>
              <w:snapToGrid w:val="0"/>
              <w:rPr>
                <w:rFonts w:ascii="宋体" w:hAnsi="宋体" w:cs="宋体"/>
                <w:color w:val="auto"/>
                <w:sz w:val="24"/>
                <w:highlight w:val="none"/>
              </w:rPr>
            </w:pPr>
            <w:r>
              <w:rPr>
                <w:rFonts w:hint="eastAsia" w:ascii="宋体" w:hAnsi="宋体" w:cs="宋体"/>
                <w:color w:val="auto"/>
                <w:sz w:val="24"/>
                <w:highlight w:val="none"/>
              </w:rPr>
              <w:t>本项目涉及资格条件、</w:t>
            </w:r>
            <w:r>
              <w:rPr>
                <w:rFonts w:hint="eastAsia" w:ascii="宋体" w:hAnsi="宋体" w:cs="宋体"/>
                <w:color w:val="auto"/>
                <w:sz w:val="24"/>
                <w:highlight w:val="none"/>
                <w:lang w:eastAsia="zh-CN"/>
              </w:rPr>
              <w:t>交易需求</w:t>
            </w:r>
            <w:r>
              <w:rPr>
                <w:rFonts w:hint="eastAsia" w:ascii="宋体" w:hAnsi="宋体" w:cs="宋体"/>
                <w:color w:val="auto"/>
                <w:sz w:val="24"/>
                <w:highlight w:val="none"/>
              </w:rPr>
              <w:t>、评分办法及采购过程中有关现场考察或开标前答疑会事项由</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进行答复。</w:t>
            </w:r>
          </w:p>
          <w:p w14:paraId="216250E2">
            <w:pPr>
              <w:pStyle w:val="35"/>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72D2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tblHeader/>
        </w:trPr>
        <w:tc>
          <w:tcPr>
            <w:tcW w:w="655" w:type="dxa"/>
            <w:vAlign w:val="center"/>
          </w:tcPr>
          <w:p w14:paraId="790DC5F4">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614" w:type="dxa"/>
            <w:vAlign w:val="center"/>
          </w:tcPr>
          <w:p w14:paraId="6E73F2BE">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7371" w:type="dxa"/>
            <w:vAlign w:val="center"/>
          </w:tcPr>
          <w:p w14:paraId="28A5EAF8">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r>
              <w:rPr>
                <w:rFonts w:hint="eastAsia" w:hAnsi="宋体" w:cs="宋体"/>
                <w:color w:val="auto"/>
                <w:sz w:val="24"/>
                <w:highlight w:val="none"/>
              </w:rPr>
              <w:t>。</w:t>
            </w:r>
          </w:p>
        </w:tc>
      </w:tr>
      <w:bookmarkEnd w:id="10"/>
    </w:tbl>
    <w:p w14:paraId="685D3910">
      <w:pPr>
        <w:adjustRightInd/>
        <w:spacing w:line="360" w:lineRule="auto"/>
        <w:jc w:val="center"/>
        <w:outlineLvl w:val="0"/>
        <w:rPr>
          <w:rFonts w:ascii="宋体" w:hAnsi="宋体" w:cs="宋体"/>
          <w:b/>
          <w:color w:val="auto"/>
          <w:sz w:val="32"/>
          <w:szCs w:val="20"/>
          <w:highlight w:val="none"/>
        </w:rPr>
      </w:pPr>
      <w:bookmarkStart w:id="11" w:name="第三部分"/>
      <w:bookmarkStart w:id="12" w:name="_Toc164416483"/>
    </w:p>
    <w:p w14:paraId="4F94375E">
      <w:pPr>
        <w:rPr>
          <w:color w:val="auto"/>
          <w:highlight w:val="none"/>
        </w:rPr>
      </w:pPr>
      <w:r>
        <w:rPr>
          <w:color w:val="auto"/>
          <w:highlight w:val="none"/>
        </w:rPr>
        <w:br w:type="page"/>
      </w:r>
    </w:p>
    <w:p w14:paraId="046FA13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9ED851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4A9992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本交易文件适用于该项目的招标、投标、开标、资格审查及信用信息查询、评标、定标、合同、验收等行为（法律、法规另有规定的，从其规定）。</w:t>
      </w:r>
    </w:p>
    <w:p w14:paraId="35FF143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FAE0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”系指交易公告中载明的本项目的</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w:t>
      </w:r>
    </w:p>
    <w:p w14:paraId="1905EF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“采购机构”系指交易公告中载明的本项目的采购机构。</w:t>
      </w:r>
    </w:p>
    <w:p w14:paraId="3C4BB2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“响应人”系指是指响应招标、参加投标竞争的法人、其他组织或者自然人。</w:t>
      </w:r>
    </w:p>
    <w:p w14:paraId="20BA91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21BF6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2）。</w:t>
      </w:r>
    </w:p>
    <w:p w14:paraId="746DC9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14:paraId="0A65E7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18BAA09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3. 询问、质疑</w:t>
      </w:r>
    </w:p>
    <w:p w14:paraId="05A42DE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3.1供应商询问</w:t>
      </w:r>
    </w:p>
    <w:p w14:paraId="34B5EBD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发包人或者采购代理机构应当在三个工作日内对供应商依法提出的询问作出答复，但答复的内容不得涉及商业秘密。供应商提出的询问超出发包人对采购代理机构委托授权范围的，采购代理机构应当告知供应商向发包人提出。</w:t>
      </w:r>
    </w:p>
    <w:p w14:paraId="22237CB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3.2供应商质疑</w:t>
      </w:r>
    </w:p>
    <w:p w14:paraId="3A944A56">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0E932DC9">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.2供应商认为交易文件、采购过程和中标结果使自己的权益受到损害的，可以在知道或者应知其权益受到损害之日起三个工作日内，以书面形式向</w:t>
      </w:r>
      <w:r>
        <w:rPr>
          <w:rFonts w:hint="eastAsia" w:hAnsi="宋体" w:cs="宋体"/>
          <w:color w:val="auto"/>
          <w:sz w:val="24"/>
          <w:highlight w:val="none"/>
          <w:lang w:eastAsia="zh-CN"/>
        </w:rPr>
        <w:t>发包人</w:t>
      </w:r>
      <w:r>
        <w:rPr>
          <w:rFonts w:hint="eastAsia" w:hAnsi="宋体" w:cs="宋体"/>
          <w:color w:val="auto"/>
          <w:sz w:val="24"/>
          <w:highlight w:val="none"/>
        </w:rPr>
        <w:t>或者采购机构提出质疑，否则，</w:t>
      </w:r>
      <w:r>
        <w:rPr>
          <w:rFonts w:hint="eastAsia" w:hAnsi="宋体" w:cs="宋体"/>
          <w:color w:val="auto"/>
          <w:sz w:val="24"/>
          <w:highlight w:val="none"/>
          <w:lang w:eastAsia="zh-CN"/>
        </w:rPr>
        <w:t>发包人</w:t>
      </w:r>
      <w:r>
        <w:rPr>
          <w:rFonts w:hint="eastAsia" w:hAnsi="宋体" w:cs="宋体"/>
          <w:color w:val="auto"/>
          <w:sz w:val="24"/>
          <w:highlight w:val="none"/>
        </w:rPr>
        <w:t>或者采购机构不予受理：</w:t>
      </w:r>
    </w:p>
    <w:p w14:paraId="41268FB3">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3.2.2.1对交易文件提出质疑的，质疑期限为供应商获得交易文件之日或者交易文件公告期限届满之日起计算。</w:t>
      </w:r>
    </w:p>
    <w:p w14:paraId="3B61FFDE">
      <w:pPr>
        <w:pStyle w:val="35"/>
        <w:spacing w:line="360" w:lineRule="auto"/>
        <w:ind w:firstLine="480" w:firstLineChars="200"/>
        <w:rPr>
          <w:rFonts w:hAnsi="宋体" w:cs="宋体"/>
          <w:color w:val="auto"/>
          <w:sz w:val="24"/>
          <w:highlight w:val="none"/>
        </w:rPr>
      </w:pPr>
      <w:r>
        <w:rPr>
          <w:rFonts w:hint="eastAsia" w:hAnsi="宋体" w:cs="宋体"/>
          <w:color w:val="auto"/>
          <w:sz w:val="24"/>
          <w:highlight w:val="none"/>
        </w:rPr>
        <w:t>3.2.2.2对采购过程提出质疑的，质疑期限为各采购程序环节结束之日起计算。对同一采购程序环节的质疑，供应商须一次性提出。</w:t>
      </w:r>
    </w:p>
    <w:p w14:paraId="604BD3BE">
      <w:pPr>
        <w:pStyle w:val="35"/>
        <w:spacing w:line="360" w:lineRule="auto"/>
        <w:ind w:firstLine="480" w:firstLineChars="200"/>
        <w:rPr>
          <w:rFonts w:hAnsi="宋体" w:cs="宋体"/>
          <w:color w:val="auto"/>
          <w:sz w:val="24"/>
          <w:highlight w:val="none"/>
        </w:rPr>
      </w:pPr>
      <w:r>
        <w:rPr>
          <w:rFonts w:hint="eastAsia" w:hAnsi="宋体" w:cs="宋体"/>
          <w:color w:val="auto"/>
          <w:sz w:val="24"/>
          <w:highlight w:val="none"/>
        </w:rPr>
        <w:t>3.2.2.3对采购结果提出质疑的，质疑期限自采购结果公告期限届满之日起计算。</w:t>
      </w:r>
    </w:p>
    <w:p w14:paraId="4170E06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3.2.3</w:t>
      </w:r>
      <w:r>
        <w:rPr>
          <w:rFonts w:hint="eastAsia" w:hAnsi="宋体" w:cs="宋体"/>
          <w:color w:val="auto"/>
          <w:sz w:val="24"/>
          <w:highlight w:val="none"/>
        </w:rPr>
        <w:t>供应商提出质疑应当提交质疑函和必要的证明材料。质疑函应当包括下列内容：</w:t>
      </w:r>
    </w:p>
    <w:p w14:paraId="43B13AA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3.2.3.1供应商的姓名或者名称、地址、邮编、联系人及联系电话；</w:t>
      </w:r>
    </w:p>
    <w:p w14:paraId="0370284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3.2.3.2质疑项目的名称、编号；</w:t>
      </w:r>
    </w:p>
    <w:p w14:paraId="7C11FF58">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3.2.3.3具体、明确的质疑事项和与质疑事项相关的请求；</w:t>
      </w:r>
    </w:p>
    <w:p w14:paraId="603471C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3.2.3.4事实依据；</w:t>
      </w:r>
    </w:p>
    <w:p w14:paraId="5CFE178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3.2.3.5必要的法律依据；</w:t>
      </w:r>
    </w:p>
    <w:p w14:paraId="434226F9">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3.2.3.6提出质疑的日期。</w:t>
      </w:r>
    </w:p>
    <w:p w14:paraId="180838E4">
      <w:pPr>
        <w:pStyle w:val="888"/>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F86ED8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质疑函范本及制作说明详见附件1。</w:t>
      </w:r>
    </w:p>
    <w:p w14:paraId="71EA419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.4</w:t>
      </w:r>
      <w:r>
        <w:rPr>
          <w:rFonts w:hint="eastAsia"/>
          <w:color w:val="auto"/>
          <w:highlight w:val="none"/>
          <w:lang w:eastAsia="zh-CN"/>
        </w:rPr>
        <w:t>发包人</w:t>
      </w:r>
      <w:r>
        <w:rPr>
          <w:rFonts w:hint="eastAsia"/>
          <w:color w:val="auto"/>
          <w:highlight w:val="none"/>
        </w:rPr>
        <w:t>或者采购机构应当在收到供应商的书面质疑后七个工作日内作出答复，并以书面形式通知质疑供应商和其他与质疑处理结果有利害关系的采购当事人，但答复的内容不得涉及商业秘密。</w:t>
      </w:r>
    </w:p>
    <w:p w14:paraId="1300D4E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.5询问或者质疑事项可能影响采购结果的，</w:t>
      </w:r>
      <w:r>
        <w:rPr>
          <w:rFonts w:hint="eastAsia"/>
          <w:color w:val="auto"/>
          <w:highlight w:val="none"/>
          <w:lang w:eastAsia="zh-CN"/>
        </w:rPr>
        <w:t>发包人</w:t>
      </w:r>
      <w:r>
        <w:rPr>
          <w:rFonts w:hint="eastAsia"/>
          <w:color w:val="auto"/>
          <w:highlight w:val="none"/>
        </w:rPr>
        <w:t>应当暂停签订合同，已经签订合同的，应当中止履行合同。</w:t>
      </w:r>
    </w:p>
    <w:p w14:paraId="33781BF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65A06A3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4．交易文件的构成</w:t>
      </w:r>
    </w:p>
    <w:p w14:paraId="767B3A9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 交易文件包括下列文件及附件：</w:t>
      </w:r>
    </w:p>
    <w:p w14:paraId="7A6A72A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14:paraId="7C02EF0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14:paraId="1DDB38C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w:t>
      </w:r>
      <w:r>
        <w:rPr>
          <w:rFonts w:hint="eastAsia" w:hAnsi="宋体" w:cs="宋体"/>
          <w:color w:val="auto"/>
          <w:sz w:val="24"/>
          <w:szCs w:val="24"/>
          <w:highlight w:val="none"/>
          <w:lang w:eastAsia="zh-CN"/>
        </w:rPr>
        <w:t>交易需求</w:t>
      </w:r>
      <w:r>
        <w:rPr>
          <w:rFonts w:hint="eastAsia" w:hAnsi="宋体" w:cs="宋体"/>
          <w:color w:val="auto"/>
          <w:sz w:val="24"/>
          <w:szCs w:val="24"/>
          <w:highlight w:val="none"/>
        </w:rPr>
        <w:t>；</w:t>
      </w:r>
    </w:p>
    <w:p w14:paraId="434EB84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4.1.4评标办法；</w:t>
      </w:r>
    </w:p>
    <w:p w14:paraId="564EF45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6338119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4D34BF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711375A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 交易文件的澄清、修改</w:t>
      </w:r>
    </w:p>
    <w:p w14:paraId="1F55277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5.1已获取交易文件的潜在响应人，若有问题需要澄清，应于投标截止时间前，以书面形式向采购机构提出。</w:t>
      </w:r>
    </w:p>
    <w:p w14:paraId="23CFE2FE">
      <w:pPr>
        <w:pStyle w:val="132"/>
        <w:snapToGrid w:val="0"/>
        <w:spacing w:before="0"/>
        <w:ind w:firstLine="480"/>
        <w:rPr>
          <w:rFonts w:ascii="宋体" w:hAnsi="宋体" w:cs="宋体"/>
          <w:color w:val="auto"/>
          <w:sz w:val="18"/>
          <w:szCs w:val="18"/>
          <w:highlight w:val="none"/>
        </w:rPr>
      </w:pPr>
      <w:r>
        <w:rPr>
          <w:rFonts w:hint="eastAsia" w:ascii="宋体" w:hAnsi="宋体" w:cs="宋体"/>
          <w:color w:val="auto"/>
          <w:highlight w:val="none"/>
        </w:rPr>
        <w:t>5.2 采购机构对交易文件进行澄清或修改的，将同时通过电子交易平台通知已获取交易文件的潜在响应人。依法应当公告的，将按规定公告，同时视情况延长投标截止时间和开标时间。该澄清或者修改的内容为交易文件的组成部分。</w:t>
      </w:r>
    </w:p>
    <w:p w14:paraId="7372EFA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A37DF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交易文件的获取</w:t>
      </w:r>
    </w:p>
    <w:p w14:paraId="36D6A60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7D80827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7.开标前答疑会或现场考察</w:t>
      </w:r>
    </w:p>
    <w:p w14:paraId="4021E838">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发包人</w:t>
      </w:r>
      <w:r>
        <w:rPr>
          <w:rFonts w:hint="eastAsia" w:hAnsi="宋体" w:cs="宋体"/>
          <w:color w:val="auto"/>
          <w:sz w:val="24"/>
          <w:szCs w:val="24"/>
          <w:highlight w:val="none"/>
        </w:rPr>
        <w:t>组织潜在响应人现场考察或者召开开标前答疑会的，潜在响应人按第二部分响应人须知前附表的规定参加现场考察或者开标前答疑会。</w:t>
      </w:r>
    </w:p>
    <w:p w14:paraId="054F2F23">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8.投标保证金</w:t>
      </w:r>
    </w:p>
    <w:p w14:paraId="39C1F04A">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A55320D">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9. </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的语言</w:t>
      </w:r>
    </w:p>
    <w:p w14:paraId="6FC8623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及响应人与采购有关的来往通知、函件和文件均应使用中文。</w:t>
      </w:r>
    </w:p>
    <w:p w14:paraId="26B37B7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10. </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的组成</w:t>
      </w:r>
    </w:p>
    <w:p w14:paraId="0E902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6F11A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10.1.1符合参加采购活动应当具备的一般条件的承诺函；</w:t>
      </w:r>
    </w:p>
    <w:p w14:paraId="7DD512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14:paraId="30C4B77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10.</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1015B5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10.2.1投标函；</w:t>
      </w:r>
      <w:r>
        <w:rPr>
          <w:rFonts w:hint="eastAsia" w:ascii="宋体" w:hAnsi="宋体" w:cs="宋体"/>
          <w:color w:val="auto"/>
          <w:sz w:val="24"/>
          <w:highlight w:val="none"/>
          <w:lang w:val="zh-CN"/>
        </w:rPr>
        <w:t xml:space="preserve"> </w:t>
      </w:r>
    </w:p>
    <w:p w14:paraId="320C4B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72077A8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10.2.3联合协议；</w:t>
      </w:r>
    </w:p>
    <w:p w14:paraId="015F5E7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10.2.4分包意向协议；</w:t>
      </w:r>
    </w:p>
    <w:p w14:paraId="538C71F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10.2.5符合性审查资料；</w:t>
      </w:r>
    </w:p>
    <w:p w14:paraId="33CBBB7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10.2.6评标标准相应的商务技术资料；</w:t>
      </w:r>
    </w:p>
    <w:p w14:paraId="219D95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10.2.7投标标的清单；</w:t>
      </w:r>
    </w:p>
    <w:p w14:paraId="3F92D90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10.2.8商务技术偏离表；</w:t>
      </w:r>
    </w:p>
    <w:p w14:paraId="58BF24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10.</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采购供应商廉洁自律承诺书；</w:t>
      </w:r>
    </w:p>
    <w:p w14:paraId="518896F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10.</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1990C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10.3.1开标一览表（报价表）。</w:t>
      </w:r>
    </w:p>
    <w:p w14:paraId="3AF72D5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含有</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不能接受的附加条件的，投标无效；</w:t>
      </w:r>
    </w:p>
    <w:p w14:paraId="3367A0BD">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响应人提供虚假材料投标的，投标无效。</w:t>
      </w:r>
    </w:p>
    <w:p w14:paraId="76AC7746">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响应文件</w:t>
      </w:r>
      <w:r>
        <w:rPr>
          <w:rFonts w:hint="eastAsia" w:ascii="宋体" w:hAnsi="宋体" w:cs="宋体"/>
          <w:b/>
          <w:color w:val="auto"/>
          <w:szCs w:val="24"/>
          <w:highlight w:val="none"/>
        </w:rPr>
        <w:t>的编制</w:t>
      </w:r>
    </w:p>
    <w:p w14:paraId="6E49111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11.1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0B4FD43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11.2响应人进行电子投标应安装客户端软件—“政采云电子交易客户端”，并按照交易文件和电子交易平台的要求编制并加密响应文件。响应人未按规定加密的响应文件，电子交易平台将拒收并提示。</w:t>
      </w:r>
    </w:p>
    <w:p w14:paraId="4F60D83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14:paraId="0D60C01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的签署、盖章</w:t>
      </w:r>
    </w:p>
    <w:p w14:paraId="19964D03">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12.1</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w:t>
      </w:r>
      <w:r>
        <w:rPr>
          <w:rFonts w:hint="eastAsia" w:ascii="宋体" w:hAnsi="宋体" w:cs="宋体"/>
          <w:b/>
          <w:color w:val="auto"/>
          <w:highlight w:val="none"/>
          <w:lang w:eastAsia="zh-CN"/>
        </w:rPr>
        <w:t>响应文件</w:t>
      </w:r>
      <w:r>
        <w:rPr>
          <w:rFonts w:hint="eastAsia" w:ascii="宋体" w:hAnsi="宋体" w:cs="宋体"/>
          <w:b/>
          <w:color w:val="auto"/>
          <w:highlight w:val="none"/>
        </w:rPr>
        <w:t>未按照交易文件要求签署、盖章的，其投标无效</w:t>
      </w:r>
      <w:r>
        <w:rPr>
          <w:rFonts w:hint="eastAsia" w:ascii="宋体" w:hAnsi="宋体" w:cs="宋体"/>
          <w:color w:val="auto"/>
          <w:szCs w:val="24"/>
          <w:highlight w:val="none"/>
        </w:rPr>
        <w:t>。</w:t>
      </w:r>
    </w:p>
    <w:p w14:paraId="1E8CCE7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12.2为确保网上操作合法、有效和安全，响应人应当在投标截止时间前完成在“政府采购云平台”的身份认证，确保在电子投标过程中能够对相关数据电文进行加密和使用电子签名。</w:t>
      </w:r>
    </w:p>
    <w:p w14:paraId="0391AE4A">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12.3交易文件对</w:t>
      </w:r>
      <w:r>
        <w:rPr>
          <w:rFonts w:hint="eastAsia" w:ascii="宋体" w:hAnsi="宋体" w:cs="宋体"/>
          <w:color w:val="auto"/>
          <w:highlight w:val="none"/>
          <w:lang w:eastAsia="zh-CN"/>
        </w:rPr>
        <w:t>响应文件</w:t>
      </w:r>
      <w:r>
        <w:rPr>
          <w:rFonts w:hint="eastAsia" w:ascii="宋体" w:hAnsi="宋体" w:cs="宋体"/>
          <w:color w:val="auto"/>
          <w:highlight w:val="none"/>
        </w:rPr>
        <w:t>签署、盖章的要求适用于电子签名。</w:t>
      </w:r>
    </w:p>
    <w:p w14:paraId="15346F7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13. </w:t>
      </w:r>
      <w:r>
        <w:rPr>
          <w:rFonts w:hint="eastAsia" w:ascii="宋体" w:hAnsi="宋体" w:cs="宋体"/>
          <w:b/>
          <w:color w:val="auto"/>
          <w:szCs w:val="24"/>
          <w:highlight w:val="none"/>
          <w:lang w:eastAsia="zh-CN"/>
        </w:rPr>
        <w:t>响应文件</w:t>
      </w:r>
      <w:r>
        <w:rPr>
          <w:rFonts w:hint="eastAsia" w:ascii="宋体" w:hAnsi="宋体" w:cs="宋体"/>
          <w:b/>
          <w:color w:val="auto"/>
          <w:szCs w:val="24"/>
          <w:highlight w:val="none"/>
        </w:rPr>
        <w:t>的提交、补充、修改、撤回</w:t>
      </w:r>
    </w:p>
    <w:p w14:paraId="62B7087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13.1 供应商应当在投标截止时间前完成</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的传输递交，并可以补充、修改或者撤回</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。补充或者修改</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的，应当先行撤回原文件，补充、修改后重新传输递交。投标截止时间前未完成传输的，视为撤回</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。投标截止时间后递交的</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，电子交易平台将拒收。</w:t>
      </w:r>
    </w:p>
    <w:p w14:paraId="285DEF8B">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，将妥善保存并即时向供应商发出确认回执通知。在投标截止时间前，除供应商补充、修改或者撤回</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外，任何单位和个人不得解密或提取</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w:t>
      </w:r>
    </w:p>
    <w:p w14:paraId="18B0C8CB">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13.3</w:t>
      </w:r>
      <w:r>
        <w:rPr>
          <w:rFonts w:hint="eastAsia" w:ascii="宋体" w:hAnsi="宋体" w:cs="宋体"/>
          <w:color w:val="auto"/>
          <w:szCs w:val="24"/>
          <w:highlight w:val="none"/>
          <w:lang w:eastAsia="zh-CN"/>
        </w:rPr>
        <w:t>发包人</w:t>
      </w:r>
      <w:r>
        <w:rPr>
          <w:rFonts w:hint="eastAsia" w:ascii="宋体" w:hAnsi="宋体" w:cs="宋体"/>
          <w:color w:val="auto"/>
          <w:szCs w:val="24"/>
          <w:highlight w:val="none"/>
        </w:rPr>
        <w:t>、采购机构可以视情况延长</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提交的截止时间。在上述情况下，采购机构与响应人以前在投标截止期方面的全部权利、责任和义务，将适用于延长至新的投标截止期。</w:t>
      </w:r>
    </w:p>
    <w:p w14:paraId="612D590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14.备份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（本项目不接收备份文件，本条不适用。）</w:t>
      </w:r>
    </w:p>
    <w:p w14:paraId="77B8B358">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14.1响应人在电子交易平台传输递交</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后，还可以在投标截止时间前直接提交或者以邮政快递方式递交备份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1份，</w:t>
      </w:r>
      <w:r>
        <w:rPr>
          <w:rFonts w:hint="eastAsia" w:hAnsi="宋体" w:cs="宋体"/>
          <w:b/>
          <w:color w:val="auto"/>
          <w:sz w:val="24"/>
          <w:szCs w:val="24"/>
          <w:highlight w:val="none"/>
        </w:rPr>
        <w:t>但</w:t>
      </w:r>
      <w:r>
        <w:rPr>
          <w:rFonts w:hint="eastAsia" w:hAnsi="宋体" w:cs="宋体"/>
          <w:b/>
          <w:color w:val="auto"/>
          <w:sz w:val="24"/>
          <w:szCs w:val="24"/>
          <w:highlight w:val="none"/>
          <w:lang w:eastAsia="zh-CN"/>
        </w:rPr>
        <w:t>发包人</w:t>
      </w:r>
      <w:r>
        <w:rPr>
          <w:rFonts w:hint="eastAsia" w:hAnsi="宋体" w:cs="宋体"/>
          <w:b/>
          <w:color w:val="auto"/>
          <w:sz w:val="24"/>
          <w:szCs w:val="24"/>
          <w:highlight w:val="none"/>
        </w:rPr>
        <w:t>、采购机构不强制或变相强制响应人提交备份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p w14:paraId="05EEA321">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14.2备份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应当密封包装并在包装上加盖公章并注明投标项目名称，响应人名称(联合体投标的，包装物封面需注明联合体投标，并注明联合体成员各方的名称和联合协议中约定的牵头人的名称)。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将被视为无效或者被拒绝接收。</w:t>
      </w:r>
    </w:p>
    <w:p w14:paraId="50F2834C">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14.3直接提交备份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的，响应人应于投标截止时间前在交易公告中载明的开标地点将备份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提交给采购机构，采购机构将拒绝接受逾期送达的备份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w:t>
      </w:r>
    </w:p>
    <w:p w14:paraId="2373821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14.4以邮政快递方式递交备份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的，响应人应先将备份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按要求密封和标记，再进行邮政快递包装后邮寄。备份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须在投标截止时间之前送达</w:t>
      </w:r>
      <w:r>
        <w:rPr>
          <w:rFonts w:hint="eastAsia" w:hAnsi="宋体" w:cs="宋体"/>
          <w:snapToGrid/>
          <w:color w:val="auto"/>
          <w:sz w:val="24"/>
          <w:szCs w:val="24"/>
          <w:highlight w:val="none"/>
        </w:rPr>
        <w:t>交易文件第二部分响应人须知前附表规定的备份</w:t>
      </w:r>
      <w:r>
        <w:rPr>
          <w:rFonts w:hint="eastAsia" w:hAnsi="宋体" w:cs="宋体"/>
          <w:snapToGrid/>
          <w:color w:val="auto"/>
          <w:sz w:val="24"/>
          <w:szCs w:val="24"/>
          <w:highlight w:val="none"/>
          <w:lang w:eastAsia="zh-CN"/>
        </w:rPr>
        <w:t>响应文件</w:t>
      </w:r>
      <w:r>
        <w:rPr>
          <w:rFonts w:hint="eastAsia" w:hAnsi="宋体" w:cs="宋体"/>
          <w:snapToGrid/>
          <w:color w:val="auto"/>
          <w:sz w:val="24"/>
          <w:szCs w:val="24"/>
          <w:highlight w:val="none"/>
        </w:rPr>
        <w:t>送达地点；</w:t>
      </w:r>
      <w:r>
        <w:rPr>
          <w:rFonts w:hint="eastAsia" w:hAnsi="宋体" w:cs="宋体"/>
          <w:color w:val="auto"/>
          <w:sz w:val="24"/>
          <w:szCs w:val="24"/>
          <w:highlight w:val="none"/>
        </w:rPr>
        <w:t>送达时间以签收人签收时间为准。采购机构将拒绝接受逾期送达的备份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。邮寄过程中，电子备份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发生泄露、遗失、损坏或延期送达等情况的，由响应人自行负责。</w:t>
      </w:r>
    </w:p>
    <w:p w14:paraId="6C5F5144">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14.5响应人仅提交备份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，未在电子交易平台传输递交</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的，投标无效。</w:t>
      </w:r>
    </w:p>
    <w:p w14:paraId="3002F60E">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w:t>
      </w:r>
      <w:r>
        <w:rPr>
          <w:rFonts w:hint="eastAsia" w:ascii="宋体" w:hAnsi="宋体" w:cs="宋体"/>
          <w:b/>
          <w:color w:val="auto"/>
          <w:szCs w:val="24"/>
          <w:highlight w:val="none"/>
          <w:lang w:eastAsia="zh-CN"/>
        </w:rPr>
        <w:t>响应文件</w:t>
      </w:r>
      <w:r>
        <w:rPr>
          <w:rFonts w:hint="eastAsia" w:ascii="宋体" w:hAnsi="宋体" w:cs="宋体"/>
          <w:b/>
          <w:color w:val="auto"/>
          <w:szCs w:val="24"/>
          <w:highlight w:val="none"/>
        </w:rPr>
        <w:t>的无效处理</w:t>
      </w:r>
    </w:p>
    <w:p w14:paraId="6550D85C">
      <w:pPr>
        <w:pStyle w:val="3"/>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的情形之一的，投标无效</w:t>
      </w:r>
      <w:r>
        <w:rPr>
          <w:rFonts w:hint="eastAsia" w:cs="宋体"/>
          <w:color w:val="auto"/>
          <w:highlight w:val="none"/>
        </w:rPr>
        <w:t>。</w:t>
      </w:r>
    </w:p>
    <w:p w14:paraId="3F16C91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16.投标有效期</w:t>
      </w:r>
    </w:p>
    <w:p w14:paraId="71349EE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16.1投标有效期为从提交</w:t>
      </w:r>
      <w:r>
        <w:rPr>
          <w:rFonts w:hint="eastAsia" w:ascii="宋体" w:hAnsi="宋体" w:cs="宋体"/>
          <w:color w:val="auto"/>
          <w:sz w:val="24"/>
          <w:szCs w:val="20"/>
          <w:highlight w:val="none"/>
          <w:lang w:eastAsia="zh-CN"/>
        </w:rPr>
        <w:t>响应文件</w:t>
      </w:r>
      <w:r>
        <w:rPr>
          <w:rFonts w:hint="eastAsia" w:ascii="宋体" w:hAnsi="宋体" w:cs="宋体"/>
          <w:color w:val="auto"/>
          <w:sz w:val="24"/>
          <w:szCs w:val="20"/>
          <w:highlight w:val="none"/>
        </w:rPr>
        <w:t>的截止之日起90天。▲</w:t>
      </w:r>
      <w:r>
        <w:rPr>
          <w:rFonts w:hint="eastAsia" w:ascii="宋体" w:hAnsi="宋体" w:cs="宋体"/>
          <w:b/>
          <w:color w:val="auto"/>
          <w:sz w:val="24"/>
          <w:szCs w:val="20"/>
          <w:highlight w:val="none"/>
        </w:rPr>
        <w:t>响应人的</w:t>
      </w:r>
      <w:r>
        <w:rPr>
          <w:rFonts w:hint="eastAsia" w:ascii="宋体" w:hAnsi="宋体" w:cs="宋体"/>
          <w:b/>
          <w:color w:val="auto"/>
          <w:sz w:val="24"/>
          <w:szCs w:val="20"/>
          <w:highlight w:val="none"/>
          <w:lang w:eastAsia="zh-CN"/>
        </w:rPr>
        <w:t>响应文件</w:t>
      </w:r>
      <w:r>
        <w:rPr>
          <w:rFonts w:hint="eastAsia" w:ascii="宋体" w:hAnsi="宋体" w:cs="宋体"/>
          <w:b/>
          <w:color w:val="auto"/>
          <w:sz w:val="24"/>
          <w:szCs w:val="20"/>
          <w:highlight w:val="none"/>
        </w:rPr>
        <w:t>中承</w:t>
      </w:r>
      <w:r>
        <w:rPr>
          <w:rFonts w:hint="eastAsia" w:ascii="宋体" w:hAnsi="宋体" w:cs="宋体"/>
          <w:b/>
          <w:color w:val="auto"/>
          <w:sz w:val="24"/>
          <w:szCs w:val="21"/>
          <w:highlight w:val="none"/>
        </w:rPr>
        <w:t>诺的投标有效期少于交易文件中载明的投标有效期的，投标无效。</w:t>
      </w:r>
    </w:p>
    <w:p w14:paraId="158949E5">
      <w:pPr>
        <w:pStyle w:val="132"/>
        <w:spacing w:before="0"/>
        <w:ind w:firstLine="480"/>
        <w:rPr>
          <w:rFonts w:ascii="宋体" w:hAnsi="宋体" w:cs="宋体"/>
          <w:color w:val="auto"/>
          <w:highlight w:val="none"/>
        </w:rPr>
      </w:pPr>
      <w:r>
        <w:rPr>
          <w:rFonts w:hint="eastAsia" w:ascii="宋体" w:hAnsi="宋体" w:cs="宋体"/>
          <w:color w:val="auto"/>
          <w:highlight w:val="none"/>
        </w:rPr>
        <w:t>16.2</w:t>
      </w:r>
      <w:r>
        <w:rPr>
          <w:rFonts w:hint="eastAsia" w:ascii="宋体" w:hAnsi="宋体" w:cs="宋体"/>
          <w:color w:val="auto"/>
          <w:highlight w:val="none"/>
          <w:lang w:eastAsia="zh-CN"/>
        </w:rPr>
        <w:t>响应文件</w:t>
      </w:r>
      <w:r>
        <w:rPr>
          <w:rFonts w:hint="eastAsia" w:ascii="宋体" w:hAnsi="宋体" w:cs="宋体"/>
          <w:color w:val="auto"/>
          <w:highlight w:val="none"/>
        </w:rPr>
        <w:t>合格投递后，自投标截止日期起，在投标有效期内有效。</w:t>
      </w:r>
    </w:p>
    <w:p w14:paraId="5D0342FD">
      <w:pPr>
        <w:pStyle w:val="132"/>
        <w:spacing w:before="0"/>
        <w:ind w:firstLine="480"/>
        <w:rPr>
          <w:rFonts w:ascii="宋体" w:hAnsi="宋体" w:cs="宋体"/>
          <w:b/>
          <w:color w:val="auto"/>
          <w:sz w:val="32"/>
          <w:highlight w:val="none"/>
        </w:rPr>
      </w:pPr>
      <w:r>
        <w:rPr>
          <w:rFonts w:hint="eastAsia" w:ascii="宋体" w:hAnsi="宋体" w:cs="宋体"/>
          <w:color w:val="auto"/>
          <w:highlight w:val="none"/>
        </w:rPr>
        <w:t>16.3在原定投标有效期满之前，如果出现特殊情况，采购机构可以以书面形式通知响应人延长投标有效期。响应人同意延长的，不得要求或被允许修改其</w:t>
      </w:r>
      <w:r>
        <w:rPr>
          <w:rFonts w:hint="eastAsia" w:ascii="宋体" w:hAnsi="宋体" w:cs="宋体"/>
          <w:color w:val="auto"/>
          <w:highlight w:val="none"/>
          <w:lang w:eastAsia="zh-CN"/>
        </w:rPr>
        <w:t>响应文件</w:t>
      </w:r>
      <w:r>
        <w:rPr>
          <w:rFonts w:hint="eastAsia" w:ascii="宋体" w:hAnsi="宋体" w:cs="宋体"/>
          <w:color w:val="auto"/>
          <w:highlight w:val="none"/>
        </w:rPr>
        <w:t>，响应人拒绝延长的，其投标无效。</w:t>
      </w:r>
    </w:p>
    <w:p w14:paraId="3E9EC5BD">
      <w:pPr>
        <w:pStyle w:val="132"/>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4CF59D6">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17.开标</w:t>
      </w:r>
      <w:r>
        <w:rPr>
          <w:rFonts w:hint="eastAsia" w:ascii="宋体" w:hAnsi="宋体" w:cs="宋体"/>
          <w:color w:val="auto"/>
          <w:sz w:val="24"/>
          <w:highlight w:val="none"/>
        </w:rPr>
        <w:t xml:space="preserve"> </w:t>
      </w:r>
    </w:p>
    <w:p w14:paraId="33C9AC0E">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17.1采购机构按照交易文件规定的时间通过电子交易平台组织开标，所有响应人均应当准时在线参加。响应人不足3家的，不得开标。</w:t>
      </w:r>
    </w:p>
    <w:p w14:paraId="44D62177">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17.2开标时，电子交易平台按开标时间自动提取所有</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。采购机构依托电子交易平台发起开始解密指令，响应人按照平台提示和交易文件的规定在半小时内完成在线解密。</w:t>
      </w:r>
    </w:p>
    <w:p w14:paraId="2737F002">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18</w:t>
      </w:r>
      <w:r>
        <w:rPr>
          <w:rFonts w:hint="eastAsia" w:ascii="宋体" w:hAnsi="宋体" w:cs="宋体"/>
          <w:b/>
          <w:color w:val="auto"/>
          <w:sz w:val="24"/>
          <w:szCs w:val="24"/>
          <w:highlight w:val="none"/>
        </w:rPr>
        <w:t>.</w:t>
      </w:r>
      <w:r>
        <w:rPr>
          <w:rFonts w:hint="eastAsia" w:ascii="宋体" w:hAnsi="宋体" w:cs="宋体"/>
          <w:b/>
          <w:color w:val="auto"/>
          <w:sz w:val="24"/>
          <w:szCs w:val="20"/>
          <w:highlight w:val="none"/>
        </w:rPr>
        <w:t>资格审查</w:t>
      </w:r>
    </w:p>
    <w:p w14:paraId="6BB95D6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18.1开标后，</w:t>
      </w:r>
      <w:r>
        <w:rPr>
          <w:rFonts w:hint="eastAsia" w:ascii="宋体" w:hAnsi="宋体" w:cs="宋体"/>
          <w:color w:val="auto"/>
          <w:kern w:val="0"/>
          <w:szCs w:val="24"/>
          <w:highlight w:val="none"/>
          <w:lang w:eastAsia="zh-CN"/>
        </w:rPr>
        <w:t>发包人</w:t>
      </w:r>
      <w:r>
        <w:rPr>
          <w:rFonts w:hint="eastAsia" w:ascii="宋体" w:hAnsi="宋体" w:cs="宋体"/>
          <w:color w:val="auto"/>
          <w:kern w:val="0"/>
          <w:szCs w:val="24"/>
          <w:highlight w:val="none"/>
        </w:rPr>
        <w:t>或采购机构将依法对响应人的资格进行审查。</w:t>
      </w:r>
    </w:p>
    <w:p w14:paraId="612DB3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或采购机构依据法律法规和交易文件的规定，对响应人的基本资格条件、特定资格条件进行审查。</w:t>
      </w:r>
    </w:p>
    <w:p w14:paraId="0E9D42C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18.3响应人未按照交易文件要求提供与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响应人不具备交易文件中规定的资格要求，其投标无效。</w:t>
      </w:r>
    </w:p>
    <w:p w14:paraId="2A52B58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w:t>
      </w:r>
      <w:r>
        <w:rPr>
          <w:rFonts w:hint="eastAsia" w:ascii="宋体" w:hAnsi="宋体" w:cs="宋体"/>
          <w:color w:val="auto"/>
          <w:highlight w:val="none"/>
          <w:lang w:eastAsia="zh-CN"/>
        </w:rPr>
        <w:t>发包人</w:t>
      </w:r>
      <w:r>
        <w:rPr>
          <w:rFonts w:hint="eastAsia" w:ascii="宋体" w:hAnsi="宋体" w:cs="宋体"/>
          <w:color w:val="auto"/>
          <w:highlight w:val="none"/>
        </w:rPr>
        <w:t>或采购机构告知其未通过的原因。</w:t>
      </w:r>
    </w:p>
    <w:p w14:paraId="02AB8C4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14:paraId="07C2623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19</w:t>
      </w:r>
      <w:r>
        <w:rPr>
          <w:rFonts w:hint="eastAsia" w:ascii="宋体" w:hAnsi="宋体" w:cs="宋体"/>
          <w:b/>
          <w:color w:val="auto"/>
          <w:sz w:val="24"/>
          <w:szCs w:val="24"/>
          <w:highlight w:val="none"/>
        </w:rPr>
        <w:t>.</w:t>
      </w:r>
      <w:r>
        <w:rPr>
          <w:rFonts w:hint="eastAsia" w:ascii="宋体" w:hAnsi="宋体" w:cs="宋体"/>
          <w:b/>
          <w:color w:val="auto"/>
          <w:szCs w:val="24"/>
          <w:highlight w:val="none"/>
        </w:rPr>
        <w:t>信用信息查询</w:t>
      </w:r>
    </w:p>
    <w:p w14:paraId="29EB7C7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19.1信用信息查询渠道及截止时间：采购机构将通过“信用中国”网站(www.creditchina.gov.cn)、中国政府采购网(www.ccgp.gov.cn)渠道查询响应人投标截止时间当天的信用记录。</w:t>
      </w:r>
    </w:p>
    <w:p w14:paraId="6412D017">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19.2信用信息查询记录和证据留存的具体方式：现场查询的响应人的信用记录、查询结果经确认后将与采购文件一起存档。</w:t>
      </w:r>
    </w:p>
    <w:p w14:paraId="576A1EE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19.3信用信息的使用规则：经查询列入失信被执行人名单、重大税收违法案件当事人名单、采购严重违法失信行为记录名单的响应人将被拒绝参与采购活动。</w:t>
      </w:r>
    </w:p>
    <w:p w14:paraId="00BCCEC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C9334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0D2B5A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20.</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w:t>
      </w:r>
      <w:r>
        <w:rPr>
          <w:rFonts w:hint="eastAsia" w:ascii="宋体" w:hAnsi="宋体" w:cs="宋体"/>
          <w:b/>
          <w:color w:val="auto"/>
          <w:sz w:val="24"/>
          <w:highlight w:val="none"/>
        </w:rPr>
        <w:t>详见交易文件第四部分评标办法。</w:t>
      </w:r>
    </w:p>
    <w:p w14:paraId="221B5E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F245CAD">
      <w:pPr>
        <w:pStyle w:val="3"/>
        <w:spacing w:line="360" w:lineRule="auto"/>
        <w:ind w:left="479" w:hanging="479" w:hangingChars="199"/>
        <w:rPr>
          <w:rFonts w:cs="宋体"/>
          <w:b/>
          <w:color w:val="auto"/>
          <w:highlight w:val="none"/>
        </w:rPr>
      </w:pPr>
      <w:r>
        <w:rPr>
          <w:rFonts w:hint="eastAsia" w:cs="宋体"/>
          <w:b/>
          <w:color w:val="auto"/>
          <w:highlight w:val="none"/>
        </w:rPr>
        <w:t>21. 确定中标供应商</w:t>
      </w:r>
    </w:p>
    <w:p w14:paraId="5A0D5B7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lang w:eastAsia="zh-CN"/>
        </w:rPr>
        <w:t>发包人</w:t>
      </w:r>
      <w:r>
        <w:rPr>
          <w:rFonts w:hint="eastAsia" w:ascii="宋体" w:hAnsi="宋体" w:cs="宋体"/>
          <w:color w:val="auto"/>
          <w:szCs w:val="24"/>
          <w:highlight w:val="none"/>
        </w:rPr>
        <w:t>将自收到评审报告之日起5个工作日内通过电子交易平台在评审报告推荐的中标候选人中按顺序确定中标供应商。</w:t>
      </w:r>
    </w:p>
    <w:p w14:paraId="6DA32F89">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22. 中标通知与中标结果公告</w:t>
      </w:r>
    </w:p>
    <w:p w14:paraId="7B8535E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22.1自中标人确定之日起2个工作日内，采购机构通过电子交易平台向中标人发出中标通知书，同时编制发布采购结果公告。采购机构也可以以纸质形式进行中标通知。</w:t>
      </w:r>
    </w:p>
    <w:p w14:paraId="57619B9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22.2中标结果公告内容包括</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及其委托的采购机构的名称、地址、联系方式，项目名称和项目编号，中标人名称、地址和中标金额，主要中标标的的名称、规格型号、数量、单价、服务要求，中标公告期限以及评审专家名单。</w:t>
      </w:r>
    </w:p>
    <w:p w14:paraId="79697A7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22.3公告期限为1个工作日。</w:t>
      </w:r>
    </w:p>
    <w:p w14:paraId="5358E9C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67F4B3F">
      <w:pPr>
        <w:pStyle w:val="3"/>
        <w:spacing w:line="360" w:lineRule="auto"/>
        <w:ind w:left="479" w:hanging="479" w:hangingChars="199"/>
        <w:rPr>
          <w:rFonts w:cs="宋体"/>
          <w:b/>
          <w:color w:val="auto"/>
          <w:highlight w:val="none"/>
        </w:rPr>
      </w:pPr>
      <w:r>
        <w:rPr>
          <w:rFonts w:hint="eastAsia" w:cs="宋体"/>
          <w:b/>
          <w:color w:val="auto"/>
          <w:highlight w:val="none"/>
        </w:rPr>
        <w:t xml:space="preserve">23. </w:t>
      </w:r>
      <w:r>
        <w:rPr>
          <w:rFonts w:hint="eastAsia" w:cs="宋体"/>
          <w:color w:val="auto"/>
          <w:highlight w:val="none"/>
        </w:rPr>
        <w:t>合同主要条款详见第五部分拟签订的合同文本。</w:t>
      </w:r>
    </w:p>
    <w:p w14:paraId="12F668FF">
      <w:pPr>
        <w:pStyle w:val="3"/>
        <w:spacing w:line="360" w:lineRule="auto"/>
        <w:ind w:left="479" w:hanging="479" w:hangingChars="199"/>
        <w:rPr>
          <w:rFonts w:cs="宋体"/>
          <w:b/>
          <w:color w:val="auto"/>
          <w:highlight w:val="none"/>
        </w:rPr>
      </w:pPr>
      <w:r>
        <w:rPr>
          <w:rFonts w:hint="eastAsia" w:cs="宋体"/>
          <w:b/>
          <w:color w:val="auto"/>
          <w:highlight w:val="none"/>
        </w:rPr>
        <w:t>24. 合同的签订</w:t>
      </w:r>
    </w:p>
    <w:p w14:paraId="0631E13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24.1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与中标人应当通过电子交易平台在中标通知书发出之日起</w:t>
      </w:r>
      <w:r>
        <w:rPr>
          <w:rFonts w:hint="eastAsia" w:ascii="宋体" w:hAnsi="宋体" w:cs="宋体"/>
          <w:color w:val="auto"/>
          <w:kern w:val="0"/>
          <w:sz w:val="24"/>
          <w:highlight w:val="none"/>
          <w:lang w:eastAsia="zh-CN"/>
        </w:rPr>
        <w:t>二十</w:t>
      </w:r>
      <w:r>
        <w:rPr>
          <w:rFonts w:hint="eastAsia" w:ascii="宋体" w:hAnsi="宋体" w:cs="宋体"/>
          <w:color w:val="auto"/>
          <w:kern w:val="0"/>
          <w:sz w:val="24"/>
          <w:highlight w:val="none"/>
        </w:rPr>
        <w:t>日内，按照交易文件确定的事项签订采购合同，并在合同签订之日起2个工作日内依法发布合同公告。</w:t>
      </w:r>
    </w:p>
    <w:p w14:paraId="58886A9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24.2中标人按规定的日期、时间、地点，由法定代表人或其授权代表与发包人代表签订合同。如中标人为联合体的，由联合体成员各方法定代表人或其授权代表与发包人代表签订合同。</w:t>
      </w:r>
    </w:p>
    <w:p w14:paraId="6A69F84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24.3如签订合同并生效后，供应商无故拒绝或延期，除按照合同条款处理外，列入不良行为记录一次，并给予通报。</w:t>
      </w:r>
    </w:p>
    <w:p w14:paraId="085AAEC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24.4中标供应商拒绝与</w:t>
      </w:r>
      <w:r>
        <w:rPr>
          <w:rFonts w:hint="eastAsia" w:ascii="宋体" w:hAnsi="宋体" w:cs="宋体"/>
          <w:color w:val="auto"/>
          <w:highlight w:val="none"/>
          <w:lang w:eastAsia="zh-CN"/>
        </w:rPr>
        <w:t>发包人</w:t>
      </w:r>
      <w:r>
        <w:rPr>
          <w:rFonts w:hint="eastAsia" w:ascii="宋体" w:hAnsi="宋体" w:cs="宋体"/>
          <w:color w:val="auto"/>
          <w:highlight w:val="none"/>
        </w:rPr>
        <w:t>签订合同的，</w:t>
      </w:r>
      <w:r>
        <w:rPr>
          <w:rFonts w:hint="eastAsia" w:ascii="宋体" w:hAnsi="宋体" w:cs="宋体"/>
          <w:color w:val="auto"/>
          <w:highlight w:val="none"/>
          <w:lang w:eastAsia="zh-CN"/>
        </w:rPr>
        <w:t>发包人</w:t>
      </w:r>
      <w:r>
        <w:rPr>
          <w:rFonts w:hint="eastAsia" w:ascii="宋体" w:hAnsi="宋体" w:cs="宋体"/>
          <w:color w:val="auto"/>
          <w:highlight w:val="none"/>
        </w:rPr>
        <w:t>可以按照评审报告推荐的中标或者成交候选人名单排序，确定下一候选人为中标供应商，也可以重新开展采购活动。</w:t>
      </w:r>
    </w:p>
    <w:p w14:paraId="0D001E3E">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24.5采购合同由</w:t>
      </w:r>
      <w:r>
        <w:rPr>
          <w:rFonts w:hint="eastAsia" w:ascii="宋体" w:hAnsi="宋体" w:cs="宋体"/>
          <w:color w:val="auto"/>
          <w:highlight w:val="none"/>
          <w:lang w:eastAsia="zh-CN"/>
        </w:rPr>
        <w:t>发包人</w:t>
      </w:r>
      <w:r>
        <w:rPr>
          <w:rFonts w:hint="eastAsia" w:ascii="宋体" w:hAnsi="宋体" w:cs="宋体"/>
          <w:color w:val="auto"/>
          <w:highlight w:val="none"/>
        </w:rPr>
        <w:t>与中标供应商根据交易文件、</w:t>
      </w:r>
      <w:r>
        <w:rPr>
          <w:rFonts w:hint="eastAsia" w:ascii="宋体" w:hAnsi="宋体" w:cs="宋体"/>
          <w:color w:val="auto"/>
          <w:highlight w:val="none"/>
          <w:lang w:eastAsia="zh-CN"/>
        </w:rPr>
        <w:t>响应文件</w:t>
      </w:r>
      <w:r>
        <w:rPr>
          <w:rFonts w:hint="eastAsia" w:ascii="宋体" w:hAnsi="宋体" w:cs="宋体"/>
          <w:color w:val="auto"/>
          <w:highlight w:val="none"/>
        </w:rPr>
        <w:t>等内容通过政府采购电子交易平台在线签订，自动备案。</w:t>
      </w:r>
    </w:p>
    <w:p w14:paraId="278656AF">
      <w:pPr>
        <w:pStyle w:val="3"/>
        <w:spacing w:line="360" w:lineRule="auto"/>
        <w:ind w:left="479" w:hanging="479" w:hangingChars="199"/>
        <w:rPr>
          <w:rFonts w:cs="宋体"/>
          <w:b/>
          <w:color w:val="auto"/>
          <w:highlight w:val="none"/>
        </w:rPr>
      </w:pPr>
      <w:r>
        <w:rPr>
          <w:rFonts w:hint="eastAsia" w:cs="宋体"/>
          <w:b/>
          <w:color w:val="auto"/>
          <w:highlight w:val="none"/>
        </w:rPr>
        <w:t>25. 履约保证金</w:t>
      </w:r>
    </w:p>
    <w:p w14:paraId="10786033">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。履约保证金的数额不得超过采购合同金额的1%。鼓励和支持供应商以银行、保险公司出具的保函形式提供履约保证金。</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不得拒收履约保函，项目验收结束后应及时退还。</w:t>
      </w:r>
    </w:p>
    <w:p w14:paraId="6B2450F7">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88B229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6.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5EFD798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77984A9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24C8C7F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4239790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253C64B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0E5DD722">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1440D0A3">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115D6C50">
      <w:pPr>
        <w:pStyle w:val="3"/>
        <w:spacing w:line="360" w:lineRule="auto"/>
        <w:ind w:firstLine="0" w:firstLineChars="0"/>
        <w:rPr>
          <w:rFonts w:cs="宋体"/>
          <w:b/>
          <w:color w:val="auto"/>
          <w:highlight w:val="none"/>
        </w:rPr>
      </w:pPr>
      <w:r>
        <w:rPr>
          <w:rFonts w:hint="eastAsia" w:cs="宋体"/>
          <w:b/>
          <w:color w:val="auto"/>
          <w:highlight w:val="none"/>
        </w:rPr>
        <w:t>28.验收</w:t>
      </w:r>
    </w:p>
    <w:p w14:paraId="17D717F9">
      <w:pPr>
        <w:tabs>
          <w:tab w:val="left" w:pos="0"/>
        </w:tabs>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28.1</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应当组织对供应商履约的验收。验收采用</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2D26DAA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28.2</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组织对供应商履约的验收。除28.1情形外，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1"/>
    <w:bookmarkEnd w:id="12"/>
    <w:bookmarkEnd w:id="13"/>
    <w:p w14:paraId="3C2CF991">
      <w:pPr>
        <w:spacing w:line="360" w:lineRule="auto"/>
        <w:jc w:val="center"/>
        <w:outlineLvl w:val="0"/>
        <w:rPr>
          <w:rFonts w:ascii="宋体" w:hAnsi="宋体" w:cs="宋体"/>
          <w:b/>
          <w:color w:val="auto"/>
          <w:sz w:val="36"/>
          <w:szCs w:val="36"/>
          <w:highlight w:val="none"/>
        </w:rPr>
        <w:sectPr>
          <w:headerReference r:id="rId3" w:type="default"/>
          <w:footerReference r:id="rId4" w:type="default"/>
          <w:pgSz w:w="11907" w:h="16840"/>
          <w:pgMar w:top="1440" w:right="1440" w:bottom="1440" w:left="1440" w:header="851" w:footer="851" w:gutter="0"/>
          <w:cols w:space="720" w:num="1"/>
        </w:sectPr>
      </w:pPr>
      <w:bookmarkStart w:id="14" w:name="第四部分"/>
    </w:p>
    <w:p w14:paraId="442AC71B">
      <w:pPr>
        <w:jc w:val="center"/>
        <w:outlineLvl w:val="0"/>
        <w:rPr>
          <w:rFonts w:ascii="宋体" w:hAnsi="宋体" w:cs="宋体"/>
          <w:b/>
          <w:color w:val="auto"/>
          <w:sz w:val="36"/>
          <w:szCs w:val="36"/>
          <w:highlight w:val="none"/>
        </w:rPr>
      </w:pPr>
    </w:p>
    <w:p w14:paraId="533BEF0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第三部分   </w:t>
      </w:r>
      <w:r>
        <w:rPr>
          <w:rFonts w:hint="eastAsia" w:ascii="宋体" w:hAnsi="宋体" w:cs="宋体"/>
          <w:b/>
          <w:color w:val="auto"/>
          <w:sz w:val="36"/>
          <w:szCs w:val="36"/>
          <w:highlight w:val="none"/>
          <w:lang w:eastAsia="zh-CN"/>
        </w:rPr>
        <w:t>交易需求</w:t>
      </w:r>
    </w:p>
    <w:p w14:paraId="1A8585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70B5FE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“★”系产品采购项目中单一产品或核心产品。</w:t>
      </w:r>
    </w:p>
    <w:p w14:paraId="3AEB42C6">
      <w:pPr>
        <w:pStyle w:val="7"/>
        <w:adjustRightInd/>
        <w:spacing w:before="0" w:after="0" w:line="240" w:lineRule="auto"/>
        <w:ind w:left="0" w:firstLine="0"/>
        <w:jc w:val="center"/>
        <w:rPr>
          <w:rFonts w:ascii="宋体" w:hAnsi="宋体" w:cs="Arial"/>
          <w:b w:val="0"/>
          <w:bCs w:val="0"/>
          <w:snapToGrid w:val="0"/>
          <w:color w:val="auto"/>
          <w:kern w:val="0"/>
          <w:highlight w:val="none"/>
        </w:rPr>
      </w:pPr>
      <w:r>
        <w:rPr>
          <w:rFonts w:hint="eastAsia" w:ascii="宋体" w:hAnsi="宋体" w:cs="Arial"/>
          <w:b w:val="0"/>
          <w:bCs w:val="0"/>
          <w:snapToGrid w:val="0"/>
          <w:color w:val="auto"/>
          <w:kern w:val="0"/>
          <w:highlight w:val="none"/>
        </w:rPr>
        <w:t xml:space="preserve">  一、招标一览表</w:t>
      </w:r>
    </w:p>
    <w:p w14:paraId="7E5CC617">
      <w:pPr>
        <w:spacing w:line="360" w:lineRule="auto"/>
        <w:jc w:val="left"/>
        <w:rPr>
          <w:rFonts w:ascii="宋体" w:hAnsi="宋体"/>
          <w:color w:val="auto"/>
          <w:sz w:val="24"/>
          <w:highlight w:val="none"/>
        </w:rPr>
      </w:pPr>
      <w:r>
        <w:rPr>
          <w:rFonts w:hint="eastAsia" w:ascii="宋体" w:hAnsi="宋体"/>
          <w:color w:val="auto"/>
          <w:sz w:val="24"/>
          <w:highlight w:val="none"/>
        </w:rPr>
        <w:t xml:space="preserve">  标项：</w:t>
      </w:r>
    </w:p>
    <w:tbl>
      <w:tblPr>
        <w:tblStyle w:val="6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4863"/>
        <w:gridCol w:w="1812"/>
        <w:gridCol w:w="654"/>
        <w:gridCol w:w="654"/>
        <w:gridCol w:w="655"/>
      </w:tblGrid>
      <w:tr w14:paraId="38B8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8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F405B6">
            <w:pPr>
              <w:jc w:val="center"/>
              <w:rPr>
                <w:rFonts w:ascii="宋体" w:hAnsi="宋体"/>
                <w:color w:val="auto"/>
                <w:sz w:val="24"/>
                <w:highlight w:val="none"/>
              </w:rPr>
            </w:pPr>
            <w:r>
              <w:rPr>
                <w:rFonts w:hint="eastAsia" w:ascii="宋体" w:hAnsi="宋体"/>
                <w:color w:val="auto"/>
                <w:sz w:val="24"/>
                <w:highlight w:val="none"/>
              </w:rPr>
              <w:t>标项号</w:t>
            </w:r>
          </w:p>
        </w:tc>
        <w:tc>
          <w:tcPr>
            <w:tcW w:w="48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D67B07">
            <w:pPr>
              <w:jc w:val="center"/>
              <w:rPr>
                <w:rFonts w:ascii="宋体" w:hAnsi="宋体"/>
                <w:color w:val="auto"/>
                <w:sz w:val="24"/>
                <w:highlight w:val="none"/>
              </w:rPr>
            </w:pPr>
            <w:r>
              <w:rPr>
                <w:rFonts w:hint="eastAsia" w:ascii="宋体" w:hAnsi="宋体"/>
                <w:color w:val="auto"/>
                <w:sz w:val="24"/>
                <w:highlight w:val="none"/>
              </w:rPr>
              <w:t>名称</w:t>
            </w:r>
          </w:p>
        </w:tc>
        <w:tc>
          <w:tcPr>
            <w:tcW w:w="18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F76373">
            <w:pPr>
              <w:jc w:val="center"/>
              <w:rPr>
                <w:rFonts w:ascii="宋体" w:hAnsi="宋体"/>
                <w:color w:val="auto"/>
                <w:sz w:val="24"/>
                <w:highlight w:val="none"/>
              </w:rPr>
            </w:pPr>
            <w:r>
              <w:rPr>
                <w:rFonts w:hint="eastAsia" w:ascii="宋体" w:hAnsi="宋体"/>
                <w:color w:val="auto"/>
                <w:sz w:val="24"/>
                <w:highlight w:val="none"/>
              </w:rPr>
              <w:t>规格型号与参数</w:t>
            </w:r>
          </w:p>
        </w:tc>
        <w:tc>
          <w:tcPr>
            <w:tcW w:w="6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FF5BCB">
            <w:pPr>
              <w:jc w:val="center"/>
              <w:rPr>
                <w:rFonts w:ascii="宋体" w:hAnsi="宋体"/>
                <w:color w:val="auto"/>
                <w:sz w:val="24"/>
                <w:highlight w:val="none"/>
              </w:rPr>
            </w:pPr>
            <w:r>
              <w:rPr>
                <w:rFonts w:hint="eastAsia" w:ascii="宋体" w:hAnsi="宋体"/>
                <w:color w:val="auto"/>
                <w:sz w:val="24"/>
                <w:highlight w:val="none"/>
              </w:rPr>
              <w:t>单位</w:t>
            </w:r>
          </w:p>
        </w:tc>
        <w:tc>
          <w:tcPr>
            <w:tcW w:w="6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D488DA">
            <w:pPr>
              <w:jc w:val="center"/>
              <w:rPr>
                <w:rFonts w:ascii="宋体" w:hAnsi="宋体"/>
                <w:color w:val="auto"/>
                <w:sz w:val="24"/>
                <w:highlight w:val="none"/>
              </w:rPr>
            </w:pPr>
            <w:r>
              <w:rPr>
                <w:rFonts w:hint="eastAsia" w:ascii="宋体" w:hAnsi="宋体"/>
                <w:color w:val="auto"/>
                <w:sz w:val="24"/>
                <w:highlight w:val="none"/>
              </w:rPr>
              <w:t>数量</w:t>
            </w:r>
          </w:p>
        </w:tc>
        <w:tc>
          <w:tcPr>
            <w:tcW w:w="655" w:type="dxa"/>
            <w:tcBorders>
              <w:top w:val="single" w:color="auto" w:sz="4" w:space="0"/>
              <w:left w:val="single" w:color="auto" w:sz="4" w:space="0"/>
              <w:bottom w:val="single" w:color="auto" w:sz="4" w:space="0"/>
              <w:right w:val="single" w:color="auto" w:sz="4" w:space="0"/>
            </w:tcBorders>
            <w:vAlign w:val="center"/>
          </w:tcPr>
          <w:p w14:paraId="02BBCFE2">
            <w:pPr>
              <w:jc w:val="center"/>
              <w:rPr>
                <w:rFonts w:ascii="宋体" w:hAnsi="宋体"/>
                <w:color w:val="auto"/>
                <w:sz w:val="24"/>
                <w:highlight w:val="none"/>
              </w:rPr>
            </w:pPr>
            <w:r>
              <w:rPr>
                <w:rFonts w:hint="eastAsia" w:ascii="宋体" w:hAnsi="宋体"/>
                <w:color w:val="auto"/>
                <w:sz w:val="24"/>
                <w:highlight w:val="none"/>
              </w:rPr>
              <w:t>备注</w:t>
            </w:r>
          </w:p>
        </w:tc>
      </w:tr>
      <w:tr w14:paraId="7CCA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8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5399CF">
            <w:pPr>
              <w:jc w:val="center"/>
              <w:rPr>
                <w:rFonts w:ascii="宋体" w:hAnsi="宋体"/>
                <w:color w:val="auto"/>
                <w:sz w:val="24"/>
                <w:highlight w:val="none"/>
              </w:rPr>
            </w:pPr>
            <w:r>
              <w:rPr>
                <w:rFonts w:hint="eastAsia" w:ascii="宋体" w:hAnsi="宋体"/>
                <w:color w:val="auto"/>
                <w:sz w:val="24"/>
                <w:highlight w:val="none"/>
              </w:rPr>
              <w:t>1</w:t>
            </w:r>
          </w:p>
        </w:tc>
        <w:tc>
          <w:tcPr>
            <w:tcW w:w="48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76CE75">
            <w:pPr>
              <w:widowControl/>
              <w:adjustRightInd/>
              <w:spacing w:before="75" w:after="75"/>
              <w:jc w:val="center"/>
              <w:rPr>
                <w:rFonts w:hint="eastAsia" w:ascii="宋体" w:hAnsi="宋体" w:eastAsia="宋体"/>
                <w:color w:val="auto"/>
                <w:sz w:val="24"/>
                <w:highlight w:val="none"/>
                <w:lang w:eastAsia="zh-CN"/>
              </w:rPr>
            </w:pPr>
            <w:r>
              <w:rPr>
                <w:rFonts w:hint="eastAsia" w:ascii="宋体" w:hAnsi="宋体"/>
                <w:bCs/>
                <w:color w:val="auto"/>
                <w:sz w:val="24"/>
                <w:highlight w:val="none"/>
                <w:lang w:eastAsia="zh-CN"/>
              </w:rPr>
              <w:t>瓜沥镇资产经营总公司租赁3辆车辆采购项目</w:t>
            </w:r>
          </w:p>
        </w:tc>
        <w:tc>
          <w:tcPr>
            <w:tcW w:w="18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D3F683">
            <w:pPr>
              <w:jc w:val="center"/>
              <w:rPr>
                <w:rFonts w:ascii="宋体" w:hAnsi="宋体"/>
                <w:color w:val="auto"/>
                <w:sz w:val="24"/>
                <w:highlight w:val="none"/>
              </w:rPr>
            </w:pPr>
            <w:r>
              <w:rPr>
                <w:rFonts w:hint="eastAsia" w:ascii="宋体" w:hAnsi="宋体"/>
                <w:color w:val="auto"/>
                <w:sz w:val="24"/>
                <w:highlight w:val="none"/>
              </w:rPr>
              <w:t>详见招标需求</w:t>
            </w:r>
          </w:p>
        </w:tc>
        <w:tc>
          <w:tcPr>
            <w:tcW w:w="6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52A259">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年</w:t>
            </w:r>
          </w:p>
        </w:tc>
        <w:tc>
          <w:tcPr>
            <w:tcW w:w="6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1177F0">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655" w:type="dxa"/>
            <w:tcBorders>
              <w:top w:val="single" w:color="auto" w:sz="4" w:space="0"/>
              <w:left w:val="single" w:color="auto" w:sz="4" w:space="0"/>
              <w:bottom w:val="single" w:color="auto" w:sz="4" w:space="0"/>
              <w:right w:val="single" w:color="auto" w:sz="4" w:space="0"/>
            </w:tcBorders>
            <w:vAlign w:val="center"/>
          </w:tcPr>
          <w:p w14:paraId="2C2DE727">
            <w:pPr>
              <w:jc w:val="center"/>
              <w:rPr>
                <w:rFonts w:ascii="宋体" w:hAnsi="宋体"/>
                <w:color w:val="auto"/>
                <w:sz w:val="24"/>
                <w:highlight w:val="none"/>
              </w:rPr>
            </w:pPr>
          </w:p>
        </w:tc>
      </w:tr>
    </w:tbl>
    <w:p w14:paraId="15BC1C24">
      <w:pPr>
        <w:jc w:val="center"/>
        <w:rPr>
          <w:rFonts w:ascii="宋体" w:hAnsi="宋体" w:cs="Arial"/>
          <w:snapToGrid w:val="0"/>
          <w:color w:val="auto"/>
          <w:kern w:val="0"/>
          <w:sz w:val="32"/>
          <w:szCs w:val="32"/>
          <w:highlight w:val="none"/>
        </w:rPr>
      </w:pPr>
    </w:p>
    <w:p w14:paraId="0B3E3665">
      <w:pPr>
        <w:spacing w:line="360" w:lineRule="auto"/>
        <w:jc w:val="center"/>
        <w:rPr>
          <w:rFonts w:ascii="宋体" w:hAnsi="宋体" w:cs="Arial"/>
          <w:snapToGrid w:val="0"/>
          <w:color w:val="auto"/>
          <w:kern w:val="0"/>
          <w:sz w:val="32"/>
          <w:szCs w:val="32"/>
          <w:highlight w:val="none"/>
        </w:rPr>
      </w:pPr>
      <w:r>
        <w:rPr>
          <w:rFonts w:hint="eastAsia" w:ascii="宋体" w:hAnsi="宋体" w:cs="Arial"/>
          <w:snapToGrid w:val="0"/>
          <w:color w:val="auto"/>
          <w:kern w:val="0"/>
          <w:sz w:val="32"/>
          <w:szCs w:val="32"/>
          <w:highlight w:val="none"/>
        </w:rPr>
        <w:t>二、招标需求</w:t>
      </w:r>
    </w:p>
    <w:p w14:paraId="1D7AC153">
      <w:pPr>
        <w:tabs>
          <w:tab w:val="left" w:pos="567"/>
        </w:tabs>
        <w:spacing w:line="360" w:lineRule="auto"/>
        <w:rPr>
          <w:rFonts w:ascii="宋体" w:hAnsi="宋体" w:eastAsia="宋体" w:cs="华文仿宋"/>
          <w:b/>
          <w:bCs/>
          <w:color w:val="auto"/>
          <w:sz w:val="24"/>
          <w:highlight w:val="none"/>
        </w:rPr>
      </w:pPr>
      <w:r>
        <w:rPr>
          <w:rFonts w:hint="eastAsia" w:ascii="宋体" w:hAnsi="宋体" w:eastAsia="宋体" w:cs="华文仿宋"/>
          <w:b/>
          <w:color w:val="auto"/>
          <w:sz w:val="24"/>
          <w:highlight w:val="none"/>
        </w:rPr>
        <w:t>一、招标项目概况（</w:t>
      </w:r>
      <w:r>
        <w:rPr>
          <w:rFonts w:hint="eastAsia" w:ascii="宋体" w:hAnsi="宋体" w:eastAsia="宋体" w:cs="华文仿宋"/>
          <w:b/>
          <w:bCs/>
          <w:color w:val="auto"/>
          <w:sz w:val="24"/>
          <w:highlight w:val="none"/>
        </w:rPr>
        <w:t>车型、出厂指导</w:t>
      </w:r>
      <w:r>
        <w:rPr>
          <w:rFonts w:hint="eastAsia" w:ascii="宋体" w:hAnsi="宋体" w:eastAsia="宋体" w:cs="华文仿宋"/>
          <w:b/>
          <w:color w:val="auto"/>
          <w:sz w:val="24"/>
          <w:highlight w:val="none"/>
        </w:rPr>
        <w:t>价、数量、</w:t>
      </w:r>
      <w:r>
        <w:rPr>
          <w:rFonts w:hint="eastAsia" w:ascii="宋体" w:hAnsi="宋体" w:eastAsia="宋体" w:cs="华文仿宋"/>
          <w:b/>
          <w:color w:val="auto"/>
          <w:sz w:val="24"/>
          <w:highlight w:val="none"/>
          <w:lang w:val="en-US" w:eastAsia="zh-CN"/>
        </w:rPr>
        <w:t>需求配置</w:t>
      </w:r>
      <w:r>
        <w:rPr>
          <w:rFonts w:hint="eastAsia" w:ascii="宋体" w:hAnsi="宋体" w:eastAsia="宋体" w:cs="华文仿宋"/>
          <w:b/>
          <w:color w:val="auto"/>
          <w:sz w:val="24"/>
          <w:highlight w:val="none"/>
        </w:rPr>
        <w:t>、</w:t>
      </w:r>
      <w:r>
        <w:rPr>
          <w:rFonts w:hint="eastAsia" w:ascii="宋体" w:hAnsi="宋体" w:eastAsia="宋体" w:cs="华文仿宋"/>
          <w:b/>
          <w:color w:val="auto"/>
          <w:sz w:val="24"/>
          <w:highlight w:val="none"/>
          <w:lang w:val="en-US" w:eastAsia="zh-CN"/>
        </w:rPr>
        <w:t>车辆购置年限</w:t>
      </w:r>
      <w:r>
        <w:rPr>
          <w:rFonts w:hint="eastAsia" w:ascii="宋体" w:hAnsi="宋体" w:eastAsia="宋体" w:cs="华文仿宋"/>
          <w:b/>
          <w:color w:val="auto"/>
          <w:sz w:val="24"/>
          <w:highlight w:val="none"/>
        </w:rPr>
        <w:t>等）</w:t>
      </w:r>
    </w:p>
    <w:tbl>
      <w:tblPr>
        <w:tblStyle w:val="63"/>
        <w:tblpPr w:leftFromText="180" w:rightFromText="180" w:vertAnchor="text" w:horzAnchor="page" w:tblpXSpec="center" w:tblpY="25"/>
        <w:tblOverlap w:val="never"/>
        <w:tblW w:w="9598"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808"/>
        <w:gridCol w:w="1231"/>
        <w:gridCol w:w="1520"/>
        <w:gridCol w:w="1246"/>
        <w:gridCol w:w="3038"/>
        <w:gridCol w:w="1755"/>
      </w:tblGrid>
      <w:tr w14:paraId="4553188E">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16" w:hRule="atLeast"/>
          <w:jc w:val="center"/>
        </w:trPr>
        <w:tc>
          <w:tcPr>
            <w:tcW w:w="808" w:type="dxa"/>
            <w:tcBorders>
              <w:top w:val="single" w:color="auto" w:sz="4" w:space="0"/>
            </w:tcBorders>
            <w:noWrap w:val="0"/>
            <w:vAlign w:val="center"/>
          </w:tcPr>
          <w:p w14:paraId="5CBA5AEB">
            <w:pPr>
              <w:spacing w:line="240" w:lineRule="auto"/>
              <w:jc w:val="center"/>
              <w:rPr>
                <w:rFonts w:ascii="宋体" w:hAnsi="宋体" w:eastAsia="宋体" w:cs="华文仿宋"/>
                <w:b/>
                <w:color w:val="auto"/>
                <w:sz w:val="24"/>
                <w:szCs w:val="24"/>
                <w:highlight w:val="none"/>
              </w:rPr>
            </w:pPr>
            <w:r>
              <w:rPr>
                <w:rFonts w:hint="eastAsia" w:ascii="宋体" w:hAnsi="宋体" w:eastAsia="宋体" w:cs="华文仿宋"/>
                <w:b/>
                <w:color w:val="auto"/>
                <w:sz w:val="24"/>
                <w:szCs w:val="24"/>
                <w:highlight w:val="none"/>
              </w:rPr>
              <w:t>序号</w:t>
            </w:r>
          </w:p>
        </w:tc>
        <w:tc>
          <w:tcPr>
            <w:tcW w:w="1231" w:type="dxa"/>
            <w:tcBorders>
              <w:top w:val="single" w:color="auto" w:sz="4" w:space="0"/>
            </w:tcBorders>
            <w:noWrap w:val="0"/>
            <w:vAlign w:val="center"/>
          </w:tcPr>
          <w:p w14:paraId="0FB418B4">
            <w:pPr>
              <w:spacing w:line="240" w:lineRule="auto"/>
              <w:jc w:val="center"/>
              <w:rPr>
                <w:rFonts w:ascii="宋体" w:hAnsi="宋体" w:eastAsia="宋体" w:cs="华文仿宋"/>
                <w:b/>
                <w:color w:val="auto"/>
                <w:sz w:val="24"/>
                <w:szCs w:val="24"/>
                <w:highlight w:val="none"/>
              </w:rPr>
            </w:pPr>
            <w:r>
              <w:rPr>
                <w:rFonts w:hint="eastAsia" w:ascii="宋体" w:hAnsi="宋体" w:eastAsia="宋体" w:cs="华文仿宋"/>
                <w:b/>
                <w:color w:val="auto"/>
                <w:sz w:val="24"/>
                <w:szCs w:val="24"/>
                <w:highlight w:val="none"/>
              </w:rPr>
              <w:t>车型</w:t>
            </w:r>
          </w:p>
        </w:tc>
        <w:tc>
          <w:tcPr>
            <w:tcW w:w="1520" w:type="dxa"/>
            <w:tcBorders>
              <w:top w:val="single" w:color="auto" w:sz="4" w:space="0"/>
            </w:tcBorders>
            <w:noWrap w:val="0"/>
            <w:vAlign w:val="center"/>
          </w:tcPr>
          <w:p w14:paraId="228CD998">
            <w:pPr>
              <w:spacing w:line="240" w:lineRule="auto"/>
              <w:jc w:val="center"/>
              <w:rPr>
                <w:rFonts w:ascii="宋体" w:hAnsi="宋体" w:eastAsia="宋体" w:cs="华文仿宋"/>
                <w:b/>
                <w:color w:val="auto"/>
                <w:sz w:val="24"/>
                <w:szCs w:val="24"/>
                <w:highlight w:val="none"/>
              </w:rPr>
            </w:pPr>
            <w:r>
              <w:rPr>
                <w:rFonts w:hint="eastAsia" w:ascii="宋体" w:hAnsi="宋体" w:eastAsia="宋体" w:cs="华文仿宋"/>
                <w:b/>
                <w:color w:val="auto"/>
                <w:sz w:val="24"/>
                <w:szCs w:val="24"/>
                <w:highlight w:val="none"/>
              </w:rPr>
              <w:t>出厂指导价</w:t>
            </w:r>
          </w:p>
          <w:p w14:paraId="3020DC5F">
            <w:pPr>
              <w:spacing w:line="240" w:lineRule="auto"/>
              <w:jc w:val="center"/>
              <w:rPr>
                <w:rFonts w:ascii="宋体" w:hAnsi="宋体" w:eastAsia="宋体" w:cs="华文仿宋"/>
                <w:b/>
                <w:color w:val="auto"/>
                <w:sz w:val="24"/>
                <w:szCs w:val="24"/>
                <w:highlight w:val="none"/>
              </w:rPr>
            </w:pPr>
            <w:r>
              <w:rPr>
                <w:rFonts w:hint="eastAsia" w:ascii="宋体" w:hAnsi="宋体" w:eastAsia="宋体" w:cs="华文仿宋"/>
                <w:b/>
                <w:color w:val="auto"/>
                <w:sz w:val="24"/>
                <w:szCs w:val="24"/>
                <w:highlight w:val="none"/>
              </w:rPr>
              <w:t>（万元）</w:t>
            </w:r>
          </w:p>
        </w:tc>
        <w:tc>
          <w:tcPr>
            <w:tcW w:w="1246" w:type="dxa"/>
            <w:tcBorders>
              <w:top w:val="single" w:color="auto" w:sz="4" w:space="0"/>
            </w:tcBorders>
            <w:noWrap w:val="0"/>
            <w:vAlign w:val="center"/>
          </w:tcPr>
          <w:p w14:paraId="61FF2F50">
            <w:pPr>
              <w:snapToGrid w:val="0"/>
              <w:spacing w:line="240" w:lineRule="auto"/>
              <w:ind w:left="30" w:hanging="34" w:hangingChars="14"/>
              <w:jc w:val="center"/>
              <w:rPr>
                <w:rFonts w:ascii="宋体" w:hAnsi="宋体" w:eastAsia="宋体" w:cs="华文仿宋"/>
                <w:b/>
                <w:color w:val="auto"/>
                <w:sz w:val="24"/>
                <w:szCs w:val="24"/>
                <w:highlight w:val="none"/>
              </w:rPr>
            </w:pPr>
            <w:r>
              <w:rPr>
                <w:rFonts w:hint="eastAsia" w:ascii="宋体" w:hAnsi="宋体" w:eastAsia="宋体" w:cs="华文仿宋"/>
                <w:b/>
                <w:color w:val="auto"/>
                <w:sz w:val="24"/>
                <w:szCs w:val="24"/>
                <w:highlight w:val="none"/>
              </w:rPr>
              <w:t>数量（辆）</w:t>
            </w:r>
          </w:p>
        </w:tc>
        <w:tc>
          <w:tcPr>
            <w:tcW w:w="3038" w:type="dxa"/>
            <w:tcBorders>
              <w:top w:val="single" w:color="auto" w:sz="4" w:space="0"/>
            </w:tcBorders>
            <w:noWrap w:val="0"/>
            <w:vAlign w:val="center"/>
          </w:tcPr>
          <w:p w14:paraId="6E31AFA8">
            <w:pPr>
              <w:snapToGrid w:val="0"/>
              <w:spacing w:line="240" w:lineRule="auto"/>
              <w:jc w:val="center"/>
              <w:rPr>
                <w:rFonts w:hint="default" w:ascii="宋体" w:hAnsi="宋体" w:eastAsia="宋体" w:cs="华文仿宋"/>
                <w:b/>
                <w:bCs/>
                <w:color w:val="auto"/>
                <w:sz w:val="24"/>
                <w:szCs w:val="24"/>
                <w:highlight w:val="none"/>
                <w:lang w:val="en-US" w:eastAsia="zh-CN"/>
              </w:rPr>
            </w:pPr>
            <w:r>
              <w:rPr>
                <w:rFonts w:hint="eastAsia" w:ascii="宋体" w:hAnsi="宋体" w:eastAsia="宋体" w:cs="华文仿宋"/>
                <w:b/>
                <w:bCs/>
                <w:color w:val="auto"/>
                <w:sz w:val="24"/>
                <w:szCs w:val="24"/>
                <w:highlight w:val="none"/>
                <w:lang w:val="en-US" w:eastAsia="zh-CN"/>
              </w:rPr>
              <w:t>需求配置</w:t>
            </w:r>
          </w:p>
        </w:tc>
        <w:tc>
          <w:tcPr>
            <w:tcW w:w="1755" w:type="dxa"/>
            <w:tcBorders>
              <w:top w:val="single" w:color="auto" w:sz="4" w:space="0"/>
            </w:tcBorders>
            <w:noWrap w:val="0"/>
            <w:vAlign w:val="center"/>
          </w:tcPr>
          <w:p w14:paraId="308C59F7">
            <w:pPr>
              <w:snapToGrid w:val="0"/>
              <w:spacing w:line="240" w:lineRule="auto"/>
              <w:jc w:val="center"/>
              <w:rPr>
                <w:rFonts w:hint="default" w:ascii="宋体" w:hAnsi="宋体" w:eastAsia="宋体" w:cs="华文仿宋"/>
                <w:b/>
                <w:bCs/>
                <w:color w:val="auto"/>
                <w:sz w:val="24"/>
                <w:szCs w:val="24"/>
                <w:highlight w:val="none"/>
                <w:lang w:val="en-US" w:eastAsia="zh-CN"/>
              </w:rPr>
            </w:pPr>
            <w:r>
              <w:rPr>
                <w:rFonts w:hint="eastAsia" w:ascii="宋体" w:hAnsi="宋体" w:cs="华文仿宋"/>
                <w:b/>
                <w:bCs/>
                <w:color w:val="auto"/>
                <w:sz w:val="24"/>
                <w:szCs w:val="24"/>
                <w:highlight w:val="none"/>
                <w:lang w:val="en-US" w:eastAsia="zh-CN"/>
              </w:rPr>
              <w:t>车辆购置年限</w:t>
            </w:r>
          </w:p>
        </w:tc>
      </w:tr>
      <w:tr w14:paraId="62908D5A">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044" w:hRule="atLeast"/>
          <w:jc w:val="center"/>
        </w:trPr>
        <w:tc>
          <w:tcPr>
            <w:tcW w:w="808" w:type="dxa"/>
            <w:tcBorders>
              <w:top w:val="single" w:color="auto" w:sz="4" w:space="0"/>
              <w:bottom w:val="single" w:color="auto" w:sz="4" w:space="0"/>
            </w:tcBorders>
            <w:noWrap w:val="0"/>
            <w:vAlign w:val="center"/>
          </w:tcPr>
          <w:p w14:paraId="5936D434">
            <w:pPr>
              <w:spacing w:after="120" w:afterLines="50" w:line="240" w:lineRule="auto"/>
              <w:jc w:val="center"/>
              <w:rPr>
                <w:rFonts w:ascii="宋体" w:hAnsi="宋体" w:eastAsia="宋体" w:cs="华文仿宋"/>
                <w:color w:val="auto"/>
                <w:sz w:val="24"/>
                <w:szCs w:val="24"/>
                <w:highlight w:val="none"/>
              </w:rPr>
            </w:pPr>
            <w:r>
              <w:rPr>
                <w:rFonts w:hint="eastAsia" w:ascii="宋体" w:hAnsi="宋体" w:eastAsia="宋体" w:cs="华文仿宋"/>
                <w:color w:val="auto"/>
                <w:sz w:val="24"/>
                <w:szCs w:val="24"/>
                <w:highlight w:val="none"/>
              </w:rPr>
              <w:t>1</w:t>
            </w:r>
          </w:p>
        </w:tc>
        <w:tc>
          <w:tcPr>
            <w:tcW w:w="1231" w:type="dxa"/>
            <w:noWrap w:val="0"/>
            <w:vAlign w:val="center"/>
          </w:tcPr>
          <w:p w14:paraId="367CDBB8">
            <w:pPr>
              <w:spacing w:before="120" w:beforeLines="50" w:line="240" w:lineRule="auto"/>
              <w:jc w:val="center"/>
              <w:rPr>
                <w:rFonts w:hint="default" w:ascii="宋体" w:hAnsi="宋体" w:eastAsia="宋体" w:cs="华文仿宋"/>
                <w:color w:val="auto"/>
                <w:sz w:val="24"/>
                <w:szCs w:val="24"/>
                <w:highlight w:val="none"/>
                <w:lang w:val="en-US" w:eastAsia="zh-CN"/>
              </w:rPr>
            </w:pPr>
            <w:r>
              <w:rPr>
                <w:rFonts w:hint="eastAsia" w:ascii="宋体" w:hAnsi="宋体" w:cs="华文仿宋"/>
                <w:color w:val="auto"/>
                <w:sz w:val="24"/>
                <w:szCs w:val="24"/>
                <w:highlight w:val="none"/>
                <w:lang w:val="en-US" w:eastAsia="zh-CN"/>
              </w:rPr>
              <w:t>广汽</w:t>
            </w:r>
            <w:r>
              <w:rPr>
                <w:rFonts w:hint="default" w:ascii="宋体" w:hAnsi="宋体" w:eastAsia="宋体" w:cs="华文仿宋"/>
                <w:color w:val="auto"/>
                <w:sz w:val="24"/>
                <w:szCs w:val="24"/>
                <w:highlight w:val="none"/>
                <w:lang w:val="en-US" w:eastAsia="zh-CN"/>
              </w:rPr>
              <w:t>埃安/AIONSMAX/紧凑型车/纯电动</w:t>
            </w:r>
          </w:p>
        </w:tc>
        <w:tc>
          <w:tcPr>
            <w:tcW w:w="1520" w:type="dxa"/>
            <w:noWrap w:val="0"/>
            <w:vAlign w:val="center"/>
          </w:tcPr>
          <w:p w14:paraId="76CDF5B0">
            <w:pPr>
              <w:snapToGrid w:val="0"/>
              <w:spacing w:line="240" w:lineRule="auto"/>
              <w:jc w:val="center"/>
              <w:rPr>
                <w:rFonts w:hint="default" w:ascii="宋体" w:hAnsi="宋体" w:eastAsia="宋体" w:cs="华文仿宋"/>
                <w:bCs/>
                <w:color w:val="auto"/>
                <w:sz w:val="24"/>
                <w:szCs w:val="24"/>
                <w:highlight w:val="none"/>
                <w:lang w:val="en-US" w:eastAsia="zh-CN"/>
              </w:rPr>
            </w:pPr>
            <w:r>
              <w:rPr>
                <w:rFonts w:hint="eastAsia" w:ascii="宋体" w:hAnsi="宋体" w:cs="华文仿宋"/>
                <w:bCs/>
                <w:color w:val="auto"/>
                <w:sz w:val="24"/>
                <w:szCs w:val="24"/>
                <w:highlight w:val="none"/>
                <w:lang w:val="en-US" w:eastAsia="zh-CN"/>
              </w:rPr>
              <w:t>11.88</w:t>
            </w:r>
          </w:p>
        </w:tc>
        <w:tc>
          <w:tcPr>
            <w:tcW w:w="1246" w:type="dxa"/>
            <w:noWrap w:val="0"/>
            <w:vAlign w:val="center"/>
          </w:tcPr>
          <w:p w14:paraId="35373573">
            <w:pPr>
              <w:snapToGrid w:val="0"/>
              <w:spacing w:line="240" w:lineRule="auto"/>
              <w:jc w:val="center"/>
              <w:rPr>
                <w:rFonts w:hint="default" w:ascii="宋体" w:hAnsi="宋体" w:eastAsia="宋体" w:cs="华文仿宋"/>
                <w:bCs/>
                <w:color w:val="auto"/>
                <w:sz w:val="24"/>
                <w:szCs w:val="24"/>
                <w:highlight w:val="none"/>
                <w:lang w:val="en-US" w:eastAsia="zh-CN"/>
              </w:rPr>
            </w:pPr>
            <w:r>
              <w:rPr>
                <w:rFonts w:hint="eastAsia" w:ascii="宋体" w:hAnsi="宋体" w:cs="华文仿宋"/>
                <w:bCs/>
                <w:color w:val="auto"/>
                <w:sz w:val="24"/>
                <w:szCs w:val="24"/>
                <w:highlight w:val="none"/>
                <w:lang w:val="en-US" w:eastAsia="zh-CN"/>
              </w:rPr>
              <w:t>2</w:t>
            </w:r>
          </w:p>
        </w:tc>
        <w:tc>
          <w:tcPr>
            <w:tcW w:w="3038" w:type="dxa"/>
            <w:noWrap w:val="0"/>
            <w:vAlign w:val="center"/>
          </w:tcPr>
          <w:p w14:paraId="33418957">
            <w:pPr>
              <w:snapToGrid w:val="0"/>
              <w:spacing w:line="240" w:lineRule="auto"/>
              <w:jc w:val="center"/>
              <w:rPr>
                <w:rFonts w:hint="eastAsia" w:ascii="宋体" w:hAnsi="宋体" w:cs="华文仿宋"/>
                <w:bCs/>
                <w:color w:val="auto"/>
                <w:sz w:val="24"/>
                <w:szCs w:val="24"/>
                <w:highlight w:val="none"/>
                <w:lang w:val="en-US" w:eastAsia="zh-CN"/>
              </w:rPr>
            </w:pPr>
            <w:r>
              <w:rPr>
                <w:rFonts w:hint="eastAsia" w:ascii="宋体" w:hAnsi="宋体" w:cs="华文仿宋"/>
                <w:bCs/>
                <w:color w:val="auto"/>
                <w:sz w:val="24"/>
                <w:szCs w:val="24"/>
                <w:highlight w:val="none"/>
                <w:lang w:val="en-US" w:eastAsia="zh-CN"/>
              </w:rPr>
              <w:t>续航工况505公里以上</w:t>
            </w:r>
          </w:p>
          <w:p w14:paraId="5B12A233">
            <w:pPr>
              <w:pStyle w:val="62"/>
              <w:spacing w:line="240" w:lineRule="auto"/>
              <w:ind w:left="0" w:leftChars="0" w:firstLine="960" w:firstLineChars="400"/>
              <w:jc w:val="both"/>
              <w:rPr>
                <w:rFonts w:hint="default"/>
                <w:color w:val="auto"/>
                <w:sz w:val="24"/>
                <w:szCs w:val="24"/>
                <w:highlight w:val="none"/>
                <w:lang w:val="en-US" w:eastAsia="zh-CN"/>
              </w:rPr>
            </w:pPr>
            <w:r>
              <w:rPr>
                <w:rFonts w:hint="eastAsia" w:cs="华文仿宋"/>
                <w:bCs/>
                <w:color w:val="auto"/>
                <w:sz w:val="24"/>
                <w:szCs w:val="24"/>
                <w:highlight w:val="none"/>
                <w:lang w:val="en-US" w:eastAsia="zh-CN"/>
              </w:rPr>
              <w:t>需配备警灯</w:t>
            </w:r>
          </w:p>
          <w:p w14:paraId="091C4B92">
            <w:pPr>
              <w:pStyle w:val="62"/>
              <w:spacing w:line="240" w:lineRule="auto"/>
              <w:ind w:left="0" w:leftChars="0" w:firstLine="0" w:firstLineChars="0"/>
              <w:jc w:val="center"/>
              <w:rPr>
                <w:rFonts w:hint="default"/>
                <w:color w:val="auto"/>
                <w:sz w:val="24"/>
                <w:szCs w:val="24"/>
                <w:highlight w:val="none"/>
                <w:lang w:val="en-US" w:eastAsia="zh-CN"/>
              </w:rPr>
            </w:pPr>
            <w:r>
              <w:rPr>
                <w:rFonts w:hint="eastAsia"/>
                <w:color w:val="auto"/>
                <w:sz w:val="24"/>
                <w:szCs w:val="24"/>
                <w:highlight w:val="none"/>
                <w:lang w:val="en-US" w:eastAsia="zh-CN"/>
              </w:rPr>
              <w:t>颜色要求：极地白</w:t>
            </w:r>
          </w:p>
        </w:tc>
        <w:tc>
          <w:tcPr>
            <w:tcW w:w="1755" w:type="dxa"/>
            <w:noWrap w:val="0"/>
            <w:vAlign w:val="center"/>
          </w:tcPr>
          <w:p w14:paraId="22A0089B">
            <w:pPr>
              <w:snapToGrid w:val="0"/>
              <w:spacing w:line="24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全新商品车</w:t>
            </w:r>
          </w:p>
        </w:tc>
      </w:tr>
      <w:tr w14:paraId="2DF6CF8A">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172" w:hRule="atLeast"/>
          <w:jc w:val="center"/>
        </w:trPr>
        <w:tc>
          <w:tcPr>
            <w:tcW w:w="808" w:type="dxa"/>
            <w:tcBorders>
              <w:top w:val="single" w:color="auto" w:sz="4" w:space="0"/>
              <w:bottom w:val="single" w:color="auto" w:sz="4" w:space="0"/>
            </w:tcBorders>
            <w:noWrap w:val="0"/>
            <w:vAlign w:val="center"/>
          </w:tcPr>
          <w:p w14:paraId="5FA79251">
            <w:pPr>
              <w:spacing w:after="120" w:afterLines="50" w:line="240" w:lineRule="auto"/>
              <w:jc w:val="center"/>
              <w:rPr>
                <w:rFonts w:hint="eastAsia" w:ascii="宋体" w:hAnsi="宋体" w:eastAsia="宋体" w:cs="华文仿宋"/>
                <w:color w:val="auto"/>
                <w:sz w:val="24"/>
                <w:szCs w:val="24"/>
                <w:highlight w:val="none"/>
                <w:lang w:val="en-US" w:eastAsia="zh-CN"/>
              </w:rPr>
            </w:pPr>
            <w:r>
              <w:rPr>
                <w:rFonts w:hint="eastAsia" w:ascii="宋体" w:hAnsi="宋体" w:cs="华文仿宋"/>
                <w:color w:val="auto"/>
                <w:sz w:val="24"/>
                <w:szCs w:val="24"/>
                <w:highlight w:val="none"/>
                <w:lang w:val="en-US" w:eastAsia="zh-CN"/>
              </w:rPr>
              <w:t>2</w:t>
            </w:r>
          </w:p>
        </w:tc>
        <w:tc>
          <w:tcPr>
            <w:tcW w:w="1231" w:type="dxa"/>
            <w:noWrap w:val="0"/>
            <w:vAlign w:val="center"/>
          </w:tcPr>
          <w:p w14:paraId="23AB4A5A">
            <w:pPr>
              <w:spacing w:before="120" w:beforeLines="50" w:line="240" w:lineRule="auto"/>
              <w:jc w:val="center"/>
              <w:rPr>
                <w:rFonts w:hint="default" w:ascii="宋体" w:hAnsi="宋体" w:cs="华文仿宋"/>
                <w:color w:val="auto"/>
                <w:sz w:val="24"/>
                <w:szCs w:val="24"/>
                <w:highlight w:val="none"/>
                <w:lang w:val="en-US" w:eastAsia="zh-CN"/>
              </w:rPr>
            </w:pPr>
            <w:r>
              <w:rPr>
                <w:rFonts w:hint="default" w:ascii="宋体" w:hAnsi="宋体" w:cs="华文仿宋"/>
                <w:color w:val="auto"/>
                <w:sz w:val="24"/>
                <w:szCs w:val="24"/>
                <w:highlight w:val="none"/>
                <w:lang w:val="en-US" w:eastAsia="zh-CN"/>
              </w:rPr>
              <w:t>零跑汽车/零跑C10/中型SUV/纯电动</w:t>
            </w:r>
          </w:p>
        </w:tc>
        <w:tc>
          <w:tcPr>
            <w:tcW w:w="1520" w:type="dxa"/>
            <w:noWrap w:val="0"/>
            <w:vAlign w:val="center"/>
          </w:tcPr>
          <w:p w14:paraId="1EF0F5F7">
            <w:pPr>
              <w:snapToGrid w:val="0"/>
              <w:spacing w:line="240" w:lineRule="auto"/>
              <w:jc w:val="center"/>
              <w:rPr>
                <w:rFonts w:hint="default" w:ascii="宋体" w:hAnsi="宋体" w:cs="华文仿宋"/>
                <w:bCs/>
                <w:color w:val="auto"/>
                <w:sz w:val="24"/>
                <w:szCs w:val="24"/>
                <w:highlight w:val="none"/>
                <w:lang w:val="en-US" w:eastAsia="zh-CN"/>
              </w:rPr>
            </w:pPr>
            <w:r>
              <w:rPr>
                <w:rFonts w:hint="eastAsia" w:ascii="宋体" w:hAnsi="宋体" w:cs="华文仿宋"/>
                <w:bCs/>
                <w:color w:val="auto"/>
                <w:sz w:val="24"/>
                <w:szCs w:val="24"/>
                <w:highlight w:val="none"/>
                <w:lang w:val="en-US" w:eastAsia="zh-CN"/>
              </w:rPr>
              <w:t>16.88</w:t>
            </w:r>
          </w:p>
        </w:tc>
        <w:tc>
          <w:tcPr>
            <w:tcW w:w="1246" w:type="dxa"/>
            <w:noWrap w:val="0"/>
            <w:vAlign w:val="center"/>
          </w:tcPr>
          <w:p w14:paraId="0034AEBD">
            <w:pPr>
              <w:snapToGrid w:val="0"/>
              <w:spacing w:line="240" w:lineRule="auto"/>
              <w:jc w:val="center"/>
              <w:rPr>
                <w:rFonts w:hint="default" w:ascii="宋体" w:hAnsi="宋体" w:cs="华文仿宋"/>
                <w:bCs/>
                <w:color w:val="auto"/>
                <w:sz w:val="24"/>
                <w:szCs w:val="24"/>
                <w:highlight w:val="none"/>
                <w:lang w:val="en-US" w:eastAsia="zh-CN"/>
              </w:rPr>
            </w:pPr>
            <w:r>
              <w:rPr>
                <w:rFonts w:hint="eastAsia" w:ascii="宋体" w:hAnsi="宋体" w:cs="华文仿宋"/>
                <w:bCs/>
                <w:color w:val="auto"/>
                <w:sz w:val="24"/>
                <w:szCs w:val="24"/>
                <w:highlight w:val="none"/>
                <w:lang w:val="en-US" w:eastAsia="zh-CN"/>
              </w:rPr>
              <w:t>1</w:t>
            </w:r>
          </w:p>
        </w:tc>
        <w:tc>
          <w:tcPr>
            <w:tcW w:w="3038" w:type="dxa"/>
            <w:noWrap w:val="0"/>
            <w:vAlign w:val="center"/>
          </w:tcPr>
          <w:p w14:paraId="0837B2D2">
            <w:pPr>
              <w:pStyle w:val="62"/>
              <w:spacing w:line="240" w:lineRule="auto"/>
              <w:ind w:left="0" w:leftChars="0"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续航工况530公里以上</w:t>
            </w:r>
          </w:p>
          <w:p w14:paraId="69524839">
            <w:pPr>
              <w:pStyle w:val="62"/>
              <w:spacing w:line="240" w:lineRule="auto"/>
              <w:ind w:left="0" w:leftChars="0"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需配备警灯</w:t>
            </w:r>
          </w:p>
          <w:p w14:paraId="316BCA8B">
            <w:pPr>
              <w:pStyle w:val="62"/>
              <w:spacing w:line="240" w:lineRule="auto"/>
              <w:ind w:left="0" w:leftChars="0" w:firstLine="0" w:firstLineChars="0"/>
              <w:jc w:val="center"/>
              <w:rPr>
                <w:rFonts w:hint="default"/>
                <w:color w:val="auto"/>
                <w:sz w:val="24"/>
                <w:szCs w:val="24"/>
                <w:highlight w:val="none"/>
                <w:lang w:val="en-US" w:eastAsia="zh-CN"/>
              </w:rPr>
            </w:pPr>
            <w:r>
              <w:rPr>
                <w:rFonts w:hint="eastAsia"/>
                <w:color w:val="auto"/>
                <w:sz w:val="24"/>
                <w:szCs w:val="24"/>
                <w:highlight w:val="none"/>
                <w:lang w:val="en-US" w:eastAsia="zh-CN"/>
              </w:rPr>
              <w:t>颜色要求：极地白</w:t>
            </w:r>
          </w:p>
        </w:tc>
        <w:tc>
          <w:tcPr>
            <w:tcW w:w="1755" w:type="dxa"/>
            <w:noWrap w:val="0"/>
            <w:vAlign w:val="center"/>
          </w:tcPr>
          <w:p w14:paraId="2B14A534">
            <w:pPr>
              <w:snapToGrid w:val="0"/>
              <w:spacing w:line="24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全新商品车</w:t>
            </w:r>
          </w:p>
        </w:tc>
      </w:tr>
    </w:tbl>
    <w:p w14:paraId="18A6B74A">
      <w:pPr>
        <w:pageBreakBefore w:val="0"/>
        <w:kinsoku/>
        <w:wordWrap/>
        <w:overflowPunct/>
        <w:topLinePunct w:val="0"/>
        <w:bidi w:val="0"/>
        <w:spacing w:line="360" w:lineRule="auto"/>
        <w:ind w:firstLine="480" w:firstLineChars="200"/>
        <w:jc w:val="left"/>
        <w:rPr>
          <w:rFonts w:ascii="宋体" w:hAnsi="宋体" w:eastAsia="宋体" w:cs="华文仿宋"/>
          <w:bCs/>
          <w:color w:val="auto"/>
          <w:sz w:val="24"/>
          <w:highlight w:val="none"/>
        </w:rPr>
      </w:pPr>
      <w:r>
        <w:rPr>
          <w:rFonts w:hint="eastAsia" w:ascii="宋体" w:hAnsi="宋体" w:cs="仿宋"/>
          <w:color w:val="auto"/>
          <w:sz w:val="24"/>
          <w:highlight w:val="none"/>
          <w:lang w:val="en-US" w:eastAsia="zh-CN"/>
        </w:rPr>
        <w:t>本项目</w:t>
      </w:r>
      <w:r>
        <w:rPr>
          <w:rFonts w:hint="eastAsia" w:ascii="宋体" w:hAnsi="宋体" w:eastAsia="宋体" w:cs="华文仿宋"/>
          <w:bCs/>
          <w:color w:val="auto"/>
          <w:sz w:val="24"/>
          <w:highlight w:val="none"/>
        </w:rPr>
        <w:t>投标报价是指所租赁车辆</w:t>
      </w:r>
      <w:r>
        <w:rPr>
          <w:rFonts w:hint="eastAsia" w:ascii="宋体" w:hAnsi="宋体" w:cs="华文仿宋"/>
          <w:bCs/>
          <w:color w:val="auto"/>
          <w:sz w:val="24"/>
          <w:highlight w:val="none"/>
          <w:lang w:val="en-US" w:eastAsia="zh-CN"/>
        </w:rPr>
        <w:t>3年</w:t>
      </w:r>
      <w:r>
        <w:rPr>
          <w:rFonts w:hint="eastAsia" w:ascii="宋体" w:hAnsi="宋体" w:eastAsia="宋体" w:cs="华文仿宋"/>
          <w:bCs/>
          <w:color w:val="auto"/>
          <w:sz w:val="24"/>
          <w:highlight w:val="none"/>
        </w:rPr>
        <w:t>的全部费用，包括租赁费用、</w:t>
      </w:r>
      <w:r>
        <w:rPr>
          <w:rFonts w:hint="eastAsia" w:ascii="宋体" w:hAnsi="宋体" w:eastAsia="宋体" w:cs="华文仿宋"/>
          <w:color w:val="auto"/>
          <w:sz w:val="24"/>
          <w:highlight w:val="none"/>
        </w:rPr>
        <w:t>车辆贴膜费用、</w:t>
      </w:r>
      <w:r>
        <w:rPr>
          <w:rFonts w:hint="eastAsia" w:ascii="宋体" w:hAnsi="宋体" w:cs="华文仿宋"/>
          <w:color w:val="auto"/>
          <w:sz w:val="24"/>
          <w:highlight w:val="none"/>
          <w:lang w:eastAsia="zh-CN"/>
        </w:rPr>
        <w:t>警灯安装及改色费用、</w:t>
      </w:r>
      <w:r>
        <w:rPr>
          <w:rFonts w:hint="eastAsia" w:ascii="宋体" w:hAnsi="宋体" w:eastAsia="宋体" w:cs="华文仿宋"/>
          <w:color w:val="auto"/>
          <w:sz w:val="24"/>
          <w:highlight w:val="none"/>
        </w:rPr>
        <w:t>轮胎修补及更换费用、行车记录仪、</w:t>
      </w:r>
      <w:r>
        <w:rPr>
          <w:rFonts w:hint="eastAsia" w:ascii="宋体" w:hAnsi="宋体" w:eastAsia="宋体" w:cs="华文仿宋"/>
          <w:bCs/>
          <w:color w:val="auto"/>
          <w:sz w:val="24"/>
          <w:highlight w:val="none"/>
        </w:rPr>
        <w:t>保险费用</w:t>
      </w:r>
      <w:r>
        <w:rPr>
          <w:rFonts w:hint="eastAsia" w:ascii="宋体" w:hAnsi="宋体" w:eastAsia="宋体" w:cs="华文仿宋"/>
          <w:bCs/>
          <w:color w:val="auto"/>
          <w:sz w:val="24"/>
          <w:highlight w:val="none"/>
          <w:lang w:eastAsia="zh-CN"/>
        </w:rPr>
        <w:t>｛</w:t>
      </w:r>
      <w:r>
        <w:rPr>
          <w:rFonts w:hint="eastAsia" w:ascii="宋体" w:hAnsi="宋体" w:eastAsia="宋体" w:cs="华文仿宋"/>
          <w:bCs/>
          <w:color w:val="auto"/>
          <w:sz w:val="24"/>
          <w:highlight w:val="none"/>
        </w:rPr>
        <w:t>覆盖全部险种，包括交强险、车损险、第三者责任保险（</w:t>
      </w:r>
      <w:r>
        <w:rPr>
          <w:rFonts w:hint="eastAsia" w:ascii="宋体" w:hAnsi="宋体" w:eastAsia="宋体" w:cs="华文仿宋"/>
          <w:color w:val="auto"/>
          <w:sz w:val="24"/>
          <w:highlight w:val="none"/>
        </w:rPr>
        <w:t>≥200万</w:t>
      </w:r>
      <w:r>
        <w:rPr>
          <w:rFonts w:hint="eastAsia" w:ascii="宋体" w:hAnsi="宋体" w:eastAsia="宋体" w:cs="华文仿宋"/>
          <w:bCs/>
          <w:color w:val="auto"/>
          <w:sz w:val="24"/>
          <w:highlight w:val="none"/>
        </w:rPr>
        <w:t>）、车上人员险</w:t>
      </w:r>
      <w:r>
        <w:rPr>
          <w:rFonts w:hint="eastAsia" w:ascii="宋体" w:hAnsi="宋体" w:eastAsia="宋体" w:cs="华文仿宋"/>
          <w:bCs/>
          <w:color w:val="auto"/>
          <w:sz w:val="24"/>
          <w:highlight w:val="none"/>
          <w:lang w:eastAsia="zh-CN"/>
        </w:rPr>
        <w:t>（</w:t>
      </w:r>
      <w:r>
        <w:rPr>
          <w:rFonts w:hint="eastAsia" w:ascii="宋体" w:hAnsi="宋体" w:eastAsia="宋体" w:cs="华文仿宋"/>
          <w:color w:val="auto"/>
          <w:sz w:val="24"/>
          <w:highlight w:val="none"/>
        </w:rPr>
        <w:t>≥</w:t>
      </w:r>
      <w:r>
        <w:rPr>
          <w:rFonts w:hint="eastAsia" w:ascii="宋体" w:hAnsi="宋体" w:eastAsia="宋体" w:cs="华文仿宋"/>
          <w:color w:val="auto"/>
          <w:sz w:val="24"/>
          <w:highlight w:val="none"/>
          <w:lang w:val="en-US" w:eastAsia="zh-CN"/>
        </w:rPr>
        <w:t>5万/座</w:t>
      </w:r>
      <w:r>
        <w:rPr>
          <w:rFonts w:hint="eastAsia" w:ascii="宋体" w:hAnsi="宋体" w:eastAsia="宋体" w:cs="华文仿宋"/>
          <w:bCs/>
          <w:color w:val="auto"/>
          <w:sz w:val="24"/>
          <w:highlight w:val="none"/>
          <w:lang w:eastAsia="zh-CN"/>
        </w:rPr>
        <w:t>）｝</w:t>
      </w:r>
      <w:r>
        <w:rPr>
          <w:rFonts w:hint="eastAsia" w:ascii="宋体" w:hAnsi="宋体" w:eastAsia="宋体" w:cs="华文仿宋"/>
          <w:bCs/>
          <w:color w:val="auto"/>
          <w:sz w:val="24"/>
          <w:highlight w:val="none"/>
        </w:rPr>
        <w:t>、维修及保养费用、</w:t>
      </w:r>
      <w:r>
        <w:rPr>
          <w:rFonts w:hint="eastAsia" w:ascii="宋体" w:hAnsi="宋体" w:cs="华文仿宋"/>
          <w:bCs/>
          <w:color w:val="auto"/>
          <w:sz w:val="24"/>
          <w:highlight w:val="none"/>
          <w:lang w:eastAsia="zh-CN"/>
        </w:rPr>
        <w:t>充电桩配置及安装</w:t>
      </w:r>
      <w:r>
        <w:rPr>
          <w:rFonts w:hint="eastAsia" w:ascii="宋体" w:hAnsi="宋体" w:eastAsia="宋体" w:cs="华文仿宋"/>
          <w:bCs/>
          <w:color w:val="auto"/>
          <w:sz w:val="24"/>
          <w:highlight w:val="none"/>
        </w:rPr>
        <w:t>费用、</w:t>
      </w:r>
      <w:r>
        <w:rPr>
          <w:rFonts w:hint="eastAsia" w:ascii="宋体" w:hAnsi="宋体" w:eastAsia="宋体" w:cs="华文仿宋"/>
          <w:bCs/>
          <w:color w:val="auto"/>
          <w:sz w:val="24"/>
          <w:highlight w:val="none"/>
          <w:lang w:val="en-US" w:eastAsia="zh-CN"/>
        </w:rPr>
        <w:t>充电费用、</w:t>
      </w:r>
      <w:r>
        <w:rPr>
          <w:rFonts w:hint="eastAsia" w:ascii="宋体" w:hAnsi="宋体" w:eastAsia="宋体" w:cs="华文仿宋"/>
          <w:bCs/>
          <w:color w:val="auto"/>
          <w:sz w:val="24"/>
          <w:highlight w:val="none"/>
        </w:rPr>
        <w:t>过路过桥费用、</w:t>
      </w:r>
      <w:r>
        <w:rPr>
          <w:rFonts w:hint="eastAsia" w:ascii="宋体" w:hAnsi="宋体" w:eastAsia="宋体" w:cs="华文仿宋"/>
          <w:bCs/>
          <w:color w:val="auto"/>
          <w:sz w:val="24"/>
          <w:highlight w:val="none"/>
          <w:lang w:val="en-US" w:eastAsia="zh-CN"/>
        </w:rPr>
        <w:t>车辆清洗费、</w:t>
      </w:r>
      <w:r>
        <w:rPr>
          <w:rFonts w:hint="eastAsia" w:ascii="宋体" w:hAnsi="宋体" w:eastAsia="宋体" w:cs="华文仿宋"/>
          <w:bCs/>
          <w:color w:val="auto"/>
          <w:sz w:val="24"/>
          <w:highlight w:val="none"/>
        </w:rPr>
        <w:t>停车费用、年审费用、</w:t>
      </w:r>
      <w:r>
        <w:rPr>
          <w:rFonts w:hint="eastAsia" w:ascii="宋体" w:hAnsi="宋体" w:eastAsia="宋体" w:cs="华文仿宋"/>
          <w:color w:val="auto"/>
          <w:sz w:val="24"/>
          <w:highlight w:val="none"/>
        </w:rPr>
        <w:t>车辆折旧费、</w:t>
      </w:r>
      <w:r>
        <w:rPr>
          <w:rFonts w:hint="eastAsia" w:ascii="宋体" w:hAnsi="宋体" w:eastAsia="宋体" w:cs="华文仿宋"/>
          <w:color w:val="auto"/>
          <w:sz w:val="24"/>
          <w:highlight w:val="none"/>
          <w:lang w:eastAsia="zh-CN"/>
        </w:rPr>
        <w:t>喷涂费、</w:t>
      </w:r>
      <w:r>
        <w:rPr>
          <w:rFonts w:hint="eastAsia" w:ascii="宋体" w:hAnsi="宋体" w:eastAsia="宋体" w:cs="华文仿宋"/>
          <w:color w:val="auto"/>
          <w:sz w:val="24"/>
          <w:highlight w:val="none"/>
        </w:rPr>
        <w:t>管理费、各种税费等一切费用。</w:t>
      </w:r>
    </w:p>
    <w:p w14:paraId="7CA09DBF">
      <w:pPr>
        <w:pageBreakBefore w:val="0"/>
        <w:kinsoku/>
        <w:wordWrap/>
        <w:overflowPunct/>
        <w:topLinePunct w:val="0"/>
        <w:bidi w:val="0"/>
        <w:spacing w:line="360" w:lineRule="auto"/>
        <w:ind w:firstLine="480" w:firstLineChars="200"/>
        <w:jc w:val="left"/>
        <w:rPr>
          <w:rFonts w:ascii="宋体" w:hAnsi="宋体" w:eastAsia="宋体" w:cs="华文仿宋"/>
          <w:color w:val="auto"/>
          <w:sz w:val="24"/>
          <w:highlight w:val="none"/>
        </w:rPr>
      </w:pPr>
      <w:r>
        <w:rPr>
          <w:rFonts w:hint="eastAsia" w:ascii="宋体" w:hAnsi="宋体" w:eastAsia="宋体" w:cs="华文仿宋"/>
          <w:color w:val="auto"/>
          <w:sz w:val="24"/>
          <w:highlight w:val="none"/>
        </w:rPr>
        <w:t>本招标服务内容中的服务车型作为最低标准，</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可选择优于本项目技术要求的车型车辆。</w:t>
      </w:r>
    </w:p>
    <w:p w14:paraId="7617B7B4">
      <w:pPr>
        <w:pageBreakBefore w:val="0"/>
        <w:kinsoku/>
        <w:wordWrap/>
        <w:overflowPunct/>
        <w:topLinePunct w:val="0"/>
        <w:bidi w:val="0"/>
        <w:spacing w:line="360" w:lineRule="auto"/>
        <w:rPr>
          <w:rFonts w:ascii="宋体" w:hAnsi="宋体" w:eastAsia="宋体" w:cs="华文仿宋"/>
          <w:b/>
          <w:color w:val="auto"/>
          <w:sz w:val="24"/>
          <w:highlight w:val="none"/>
        </w:rPr>
      </w:pPr>
      <w:r>
        <w:rPr>
          <w:rFonts w:hint="eastAsia" w:ascii="宋体" w:hAnsi="宋体" w:eastAsia="宋体" w:cs="华文仿宋"/>
          <w:b/>
          <w:color w:val="auto"/>
          <w:sz w:val="24"/>
          <w:highlight w:val="none"/>
        </w:rPr>
        <w:t>二、项目</w:t>
      </w:r>
      <w:r>
        <w:rPr>
          <w:rFonts w:hint="eastAsia" w:ascii="宋体" w:hAnsi="宋体" w:eastAsia="宋体" w:cs="华文仿宋"/>
          <w:b/>
          <w:bCs/>
          <w:color w:val="auto"/>
          <w:sz w:val="24"/>
          <w:highlight w:val="none"/>
        </w:rPr>
        <w:t>采购要求</w:t>
      </w:r>
    </w:p>
    <w:p w14:paraId="63EB96D4">
      <w:pPr>
        <w:pageBreakBefore w:val="0"/>
        <w:kinsoku/>
        <w:wordWrap/>
        <w:overflowPunct/>
        <w:topLinePunct w:val="0"/>
        <w:bidi w:val="0"/>
        <w:spacing w:line="360" w:lineRule="auto"/>
        <w:ind w:firstLine="482" w:firstLineChars="200"/>
        <w:jc w:val="left"/>
        <w:rPr>
          <w:rFonts w:ascii="宋体" w:hAnsi="宋体" w:eastAsia="宋体" w:cs="华文仿宋"/>
          <w:b/>
          <w:color w:val="auto"/>
          <w:sz w:val="24"/>
          <w:highlight w:val="none"/>
        </w:rPr>
      </w:pPr>
      <w:r>
        <w:rPr>
          <w:rFonts w:hint="eastAsia" w:ascii="宋体" w:hAnsi="宋体" w:eastAsia="宋体" w:cs="华文仿宋"/>
          <w:b/>
          <w:color w:val="auto"/>
          <w:sz w:val="24"/>
          <w:highlight w:val="none"/>
        </w:rPr>
        <w:t>2.1总体要求：</w:t>
      </w:r>
    </w:p>
    <w:p w14:paraId="480D9739">
      <w:pPr>
        <w:pageBreakBefore w:val="0"/>
        <w:kinsoku/>
        <w:wordWrap/>
        <w:overflowPunct/>
        <w:topLinePunct w:val="0"/>
        <w:bidi w:val="0"/>
        <w:spacing w:line="360" w:lineRule="auto"/>
        <w:ind w:firstLine="480" w:firstLineChars="200"/>
        <w:jc w:val="left"/>
        <w:rPr>
          <w:rFonts w:ascii="宋体" w:hAnsi="宋体" w:eastAsia="宋体" w:cs="华文仿宋"/>
          <w:b/>
          <w:color w:val="auto"/>
          <w:sz w:val="24"/>
          <w:highlight w:val="none"/>
          <w:u w:val="single"/>
        </w:rPr>
      </w:pPr>
      <w:r>
        <w:rPr>
          <w:rFonts w:hint="eastAsia" w:ascii="宋体" w:hAnsi="宋体" w:eastAsia="宋体" w:cs="华文仿宋"/>
          <w:bCs/>
          <w:color w:val="auto"/>
          <w:sz w:val="24"/>
          <w:highlight w:val="none"/>
        </w:rPr>
        <w:t>提供汽车租赁服务必须符合国家规定。租赁车辆（不含司机），用于日常</w:t>
      </w:r>
      <w:r>
        <w:rPr>
          <w:rFonts w:hint="eastAsia" w:ascii="宋体" w:hAnsi="宋体" w:eastAsia="宋体" w:cs="华文仿宋"/>
          <w:bCs/>
          <w:color w:val="auto"/>
          <w:sz w:val="24"/>
          <w:highlight w:val="none"/>
          <w:lang w:eastAsia="zh-CN"/>
        </w:rPr>
        <w:t>巡查</w:t>
      </w:r>
      <w:r>
        <w:rPr>
          <w:rFonts w:hint="eastAsia" w:ascii="宋体" w:hAnsi="宋体" w:eastAsia="宋体" w:cs="华文仿宋"/>
          <w:bCs/>
          <w:color w:val="auto"/>
          <w:sz w:val="24"/>
          <w:highlight w:val="none"/>
        </w:rPr>
        <w:t>及应急保障</w:t>
      </w:r>
      <w:r>
        <w:rPr>
          <w:rFonts w:hint="eastAsia" w:ascii="宋体" w:hAnsi="宋体" w:eastAsia="宋体" w:cs="华文仿宋"/>
          <w:bCs/>
          <w:color w:val="auto"/>
          <w:sz w:val="24"/>
          <w:highlight w:val="none"/>
          <w:lang w:val="en-US" w:eastAsia="zh-CN"/>
        </w:rPr>
        <w:t>使用</w:t>
      </w:r>
      <w:r>
        <w:rPr>
          <w:rFonts w:hint="eastAsia" w:ascii="宋体" w:hAnsi="宋体" w:eastAsia="宋体" w:cs="华文仿宋"/>
          <w:bCs/>
          <w:color w:val="auto"/>
          <w:sz w:val="24"/>
          <w:highlight w:val="none"/>
        </w:rPr>
        <w:t>等</w:t>
      </w:r>
      <w:r>
        <w:rPr>
          <w:rFonts w:hint="eastAsia" w:ascii="宋体" w:hAnsi="宋体" w:eastAsia="宋体" w:cs="华文仿宋"/>
          <w:color w:val="auto"/>
          <w:sz w:val="24"/>
          <w:highlight w:val="none"/>
        </w:rPr>
        <w:t>。</w:t>
      </w:r>
    </w:p>
    <w:p w14:paraId="3BD2F0EA">
      <w:pPr>
        <w:pageBreakBefore w:val="0"/>
        <w:kinsoku/>
        <w:wordWrap/>
        <w:overflowPunct/>
        <w:topLinePunct w:val="0"/>
        <w:bidi w:val="0"/>
        <w:spacing w:line="360" w:lineRule="auto"/>
        <w:ind w:firstLine="361" w:firstLineChars="150"/>
        <w:jc w:val="left"/>
        <w:rPr>
          <w:rFonts w:ascii="宋体" w:hAnsi="宋体" w:eastAsia="宋体" w:cs="华文仿宋"/>
          <w:color w:val="auto"/>
          <w:sz w:val="24"/>
          <w:highlight w:val="none"/>
        </w:rPr>
      </w:pPr>
      <w:r>
        <w:rPr>
          <w:rFonts w:hint="eastAsia" w:ascii="宋体" w:hAnsi="宋体" w:eastAsia="宋体" w:cs="华文仿宋"/>
          <w:b/>
          <w:color w:val="auto"/>
          <w:sz w:val="24"/>
          <w:highlight w:val="none"/>
        </w:rPr>
        <w:t>2.2车辆服务要求</w:t>
      </w:r>
    </w:p>
    <w:p w14:paraId="4BD10DF2">
      <w:pPr>
        <w:pageBreakBefore w:val="0"/>
        <w:widowControl/>
        <w:kinsoku/>
        <w:wordWrap/>
        <w:overflowPunct/>
        <w:topLinePunct w:val="0"/>
        <w:autoSpaceDE w:val="0"/>
        <w:autoSpaceDN w:val="0"/>
        <w:bidi w:val="0"/>
        <w:snapToGrid w:val="0"/>
        <w:spacing w:line="360" w:lineRule="auto"/>
        <w:ind w:right="-53" w:rightChars="-25" w:firstLine="360" w:firstLineChars="150"/>
        <w:textAlignment w:val="bottom"/>
        <w:rPr>
          <w:rFonts w:ascii="宋体" w:hAnsi="宋体" w:eastAsia="宋体" w:cs="华文仿宋"/>
          <w:color w:val="auto"/>
          <w:sz w:val="24"/>
          <w:highlight w:val="none"/>
        </w:rPr>
      </w:pPr>
      <w:r>
        <w:rPr>
          <w:rFonts w:hint="eastAsia" w:ascii="宋体" w:hAnsi="宋体" w:eastAsia="宋体" w:cs="华文仿宋"/>
          <w:color w:val="auto"/>
          <w:sz w:val="24"/>
          <w:highlight w:val="none"/>
        </w:rPr>
        <w:t>（1）</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须按照需求内容提供符合要求的车型数量并提供所要求的相关服务。</w:t>
      </w:r>
    </w:p>
    <w:p w14:paraId="05263BE1">
      <w:pPr>
        <w:pageBreakBefore w:val="0"/>
        <w:kinsoku/>
        <w:wordWrap/>
        <w:overflowPunct/>
        <w:topLinePunct w:val="0"/>
        <w:bidi w:val="0"/>
        <w:spacing w:line="360" w:lineRule="auto"/>
        <w:ind w:firstLine="360" w:firstLineChars="150"/>
        <w:jc w:val="left"/>
        <w:rPr>
          <w:rFonts w:ascii="宋体" w:hAnsi="宋体" w:eastAsia="宋体" w:cs="华文仿宋"/>
          <w:color w:val="auto"/>
          <w:sz w:val="24"/>
          <w:highlight w:val="none"/>
        </w:rPr>
      </w:pPr>
      <w:r>
        <w:rPr>
          <w:rFonts w:hint="eastAsia" w:ascii="宋体" w:hAnsi="宋体" w:eastAsia="宋体" w:cs="华文仿宋"/>
          <w:color w:val="auto"/>
          <w:sz w:val="24"/>
          <w:highlight w:val="none"/>
        </w:rPr>
        <w:t>（2）</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提供的租赁车辆</w:t>
      </w:r>
      <w:r>
        <w:rPr>
          <w:rFonts w:hint="eastAsia" w:ascii="宋体" w:hAnsi="宋体" w:eastAsia="宋体" w:cs="华文仿宋"/>
          <w:color w:val="auto"/>
          <w:sz w:val="24"/>
          <w:highlight w:val="none"/>
          <w:lang w:val="en-US" w:eastAsia="zh-CN"/>
        </w:rPr>
        <w:t>需</w:t>
      </w:r>
      <w:r>
        <w:rPr>
          <w:rFonts w:hint="eastAsia" w:ascii="宋体" w:hAnsi="宋体" w:eastAsia="宋体" w:cs="华文仿宋"/>
          <w:color w:val="auto"/>
          <w:sz w:val="24"/>
          <w:highlight w:val="none"/>
        </w:rPr>
        <w:t>杭州</w:t>
      </w:r>
      <w:r>
        <w:rPr>
          <w:rFonts w:hint="eastAsia" w:ascii="宋体" w:hAnsi="宋体" w:eastAsia="宋体" w:cs="华文仿宋"/>
          <w:color w:val="auto"/>
          <w:sz w:val="24"/>
          <w:highlight w:val="none"/>
          <w:lang w:val="en-US" w:eastAsia="zh-CN"/>
        </w:rPr>
        <w:t>浙A</w:t>
      </w:r>
      <w:r>
        <w:rPr>
          <w:rFonts w:hint="eastAsia" w:ascii="宋体" w:hAnsi="宋体" w:eastAsia="宋体" w:cs="华文仿宋"/>
          <w:color w:val="auto"/>
          <w:sz w:val="24"/>
          <w:highlight w:val="none"/>
        </w:rPr>
        <w:t>牌照</w:t>
      </w:r>
      <w:r>
        <w:rPr>
          <w:rFonts w:hint="eastAsia" w:ascii="宋体" w:hAnsi="宋体" w:eastAsia="宋体" w:cs="华文仿宋"/>
          <w:color w:val="auto"/>
          <w:sz w:val="24"/>
          <w:highlight w:val="none"/>
          <w:lang w:eastAsia="zh-CN"/>
        </w:rPr>
        <w:t>（</w:t>
      </w:r>
      <w:r>
        <w:rPr>
          <w:rFonts w:hint="eastAsia" w:ascii="宋体" w:hAnsi="宋体" w:eastAsia="宋体" w:cs="华文仿宋"/>
          <w:color w:val="auto"/>
          <w:sz w:val="24"/>
          <w:highlight w:val="none"/>
          <w:lang w:val="en-US" w:eastAsia="zh-CN"/>
        </w:rPr>
        <w:t>非浙A区域号牌）</w:t>
      </w:r>
      <w:r>
        <w:rPr>
          <w:rFonts w:hint="eastAsia" w:ascii="宋体" w:hAnsi="宋体" w:eastAsia="宋体" w:cs="华文仿宋"/>
          <w:color w:val="auto"/>
          <w:sz w:val="24"/>
          <w:highlight w:val="none"/>
          <w:lang w:eastAsia="zh-CN"/>
        </w:rPr>
        <w:t>，</w:t>
      </w:r>
      <w:r>
        <w:rPr>
          <w:rFonts w:hint="eastAsia" w:ascii="宋体" w:hAnsi="宋体" w:eastAsia="宋体" w:cs="华文仿宋"/>
          <w:color w:val="auto"/>
          <w:sz w:val="24"/>
          <w:highlight w:val="none"/>
        </w:rPr>
        <w:t>车辆符合安全国家标准，取得机动车检验合格证明，并已经在公安机关交通管理部门办理注册登记。</w:t>
      </w:r>
      <w:r>
        <w:rPr>
          <w:rFonts w:hint="eastAsia" w:ascii="宋体" w:hAnsi="宋体" w:eastAsia="宋体" w:cs="华文仿宋"/>
          <w:color w:val="auto"/>
          <w:sz w:val="24"/>
          <w:highlight w:val="none"/>
          <w:lang w:eastAsia="zh-CN"/>
        </w:rPr>
        <w:t>成交</w:t>
      </w:r>
      <w:r>
        <w:rPr>
          <w:rFonts w:hint="eastAsia" w:ascii="宋体" w:hAnsi="宋体" w:eastAsia="宋体" w:cs="华文仿宋"/>
          <w:color w:val="auto"/>
          <w:sz w:val="24"/>
          <w:highlight w:val="none"/>
          <w:lang w:val="en-US" w:eastAsia="zh-CN"/>
        </w:rPr>
        <w:t>人</w:t>
      </w:r>
      <w:r>
        <w:rPr>
          <w:rFonts w:hint="eastAsia" w:ascii="宋体" w:hAnsi="宋体" w:eastAsia="宋体" w:cs="华文仿宋"/>
          <w:color w:val="auto"/>
          <w:sz w:val="24"/>
          <w:highlight w:val="none"/>
        </w:rPr>
        <w:t>保证所提供的运输车辆上的各种数据（包括但不限于公里数）真实、准确。</w:t>
      </w:r>
    </w:p>
    <w:p w14:paraId="7BBFDEF7">
      <w:pPr>
        <w:pageBreakBefore w:val="0"/>
        <w:widowControl/>
        <w:kinsoku/>
        <w:wordWrap/>
        <w:overflowPunct/>
        <w:topLinePunct w:val="0"/>
        <w:autoSpaceDE w:val="0"/>
        <w:autoSpaceDN w:val="0"/>
        <w:bidi w:val="0"/>
        <w:snapToGrid w:val="0"/>
        <w:spacing w:line="360" w:lineRule="auto"/>
        <w:ind w:right="-53" w:rightChars="-25" w:firstLine="360" w:firstLineChars="150"/>
        <w:textAlignment w:val="bottom"/>
        <w:rPr>
          <w:rFonts w:ascii="宋体" w:hAnsi="宋体" w:eastAsia="宋体" w:cs="华文仿宋"/>
          <w:color w:val="auto"/>
          <w:sz w:val="24"/>
          <w:highlight w:val="none"/>
        </w:rPr>
      </w:pPr>
      <w:r>
        <w:rPr>
          <w:rFonts w:hint="eastAsia" w:ascii="宋体" w:hAnsi="宋体" w:eastAsia="宋体" w:cs="华文仿宋"/>
          <w:color w:val="auto"/>
          <w:sz w:val="24"/>
          <w:highlight w:val="none"/>
        </w:rPr>
        <w:t>（3）当出现交通事故或者意外发生，</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应赶往现场或者通知相关部门，协助租赁方处理。</w:t>
      </w:r>
    </w:p>
    <w:p w14:paraId="67662CE2">
      <w:pPr>
        <w:pageBreakBefore w:val="0"/>
        <w:widowControl/>
        <w:kinsoku/>
        <w:wordWrap/>
        <w:overflowPunct/>
        <w:topLinePunct w:val="0"/>
        <w:autoSpaceDE w:val="0"/>
        <w:autoSpaceDN w:val="0"/>
        <w:bidi w:val="0"/>
        <w:snapToGrid w:val="0"/>
        <w:spacing w:line="360" w:lineRule="auto"/>
        <w:ind w:right="-53" w:rightChars="-25" w:firstLine="360" w:firstLineChars="150"/>
        <w:textAlignment w:val="bottom"/>
        <w:rPr>
          <w:rFonts w:ascii="宋体" w:hAnsi="宋体" w:eastAsia="宋体" w:cs="华文仿宋"/>
          <w:color w:val="auto"/>
          <w:sz w:val="24"/>
          <w:highlight w:val="none"/>
        </w:rPr>
      </w:pPr>
      <w:r>
        <w:rPr>
          <w:rFonts w:hint="eastAsia" w:ascii="宋体" w:hAnsi="宋体" w:eastAsia="宋体" w:cs="华文仿宋"/>
          <w:color w:val="auto"/>
          <w:sz w:val="24"/>
          <w:highlight w:val="none"/>
        </w:rPr>
        <w:t>（4）</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负责租赁期间车辆的正常维护、保养和年审。</w:t>
      </w:r>
    </w:p>
    <w:p w14:paraId="7E17EC1C">
      <w:pPr>
        <w:pageBreakBefore w:val="0"/>
        <w:widowControl/>
        <w:kinsoku/>
        <w:wordWrap/>
        <w:overflowPunct/>
        <w:topLinePunct w:val="0"/>
        <w:autoSpaceDE w:val="0"/>
        <w:autoSpaceDN w:val="0"/>
        <w:bidi w:val="0"/>
        <w:snapToGrid w:val="0"/>
        <w:spacing w:line="360" w:lineRule="auto"/>
        <w:ind w:right="-53" w:rightChars="-25" w:firstLine="360" w:firstLineChars="150"/>
        <w:textAlignment w:val="bottom"/>
        <w:rPr>
          <w:rFonts w:ascii="宋体" w:hAnsi="宋体" w:eastAsia="宋体" w:cs="华文仿宋"/>
          <w:color w:val="auto"/>
          <w:sz w:val="24"/>
          <w:highlight w:val="none"/>
        </w:rPr>
      </w:pPr>
      <w:r>
        <w:rPr>
          <w:rFonts w:hint="eastAsia" w:ascii="宋体" w:hAnsi="宋体" w:eastAsia="宋体" w:cs="华文仿宋"/>
          <w:color w:val="auto"/>
          <w:sz w:val="24"/>
          <w:highlight w:val="none"/>
        </w:rPr>
        <w:t>（5）因意外导致车辆的维修，</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负责协调保险公司核实赔偿。</w:t>
      </w:r>
    </w:p>
    <w:p w14:paraId="2DD1AF10">
      <w:pPr>
        <w:pageBreakBefore w:val="0"/>
        <w:widowControl/>
        <w:kinsoku/>
        <w:wordWrap/>
        <w:overflowPunct/>
        <w:topLinePunct w:val="0"/>
        <w:autoSpaceDE w:val="0"/>
        <w:autoSpaceDN w:val="0"/>
        <w:bidi w:val="0"/>
        <w:snapToGrid w:val="0"/>
        <w:spacing w:line="360" w:lineRule="auto"/>
        <w:ind w:right="-53" w:rightChars="-25" w:firstLine="360" w:firstLineChars="150"/>
        <w:textAlignment w:val="bottom"/>
        <w:rPr>
          <w:rFonts w:ascii="宋体" w:hAnsi="宋体" w:eastAsia="宋体" w:cs="华文仿宋"/>
          <w:color w:val="auto"/>
          <w:sz w:val="24"/>
          <w:highlight w:val="none"/>
        </w:rPr>
      </w:pPr>
      <w:r>
        <w:rPr>
          <w:rFonts w:hint="eastAsia" w:ascii="宋体" w:hAnsi="宋体" w:eastAsia="宋体" w:cs="华文仿宋"/>
          <w:color w:val="auto"/>
          <w:sz w:val="24"/>
          <w:highlight w:val="none"/>
        </w:rPr>
        <w:t>（</w:t>
      </w:r>
      <w:r>
        <w:rPr>
          <w:rFonts w:hint="eastAsia" w:ascii="宋体" w:hAnsi="宋体" w:eastAsia="宋体" w:cs="华文仿宋"/>
          <w:color w:val="auto"/>
          <w:sz w:val="24"/>
          <w:highlight w:val="none"/>
          <w:lang w:val="en-US" w:eastAsia="zh-CN"/>
        </w:rPr>
        <w:t>6</w:t>
      </w:r>
      <w:r>
        <w:rPr>
          <w:rFonts w:hint="eastAsia" w:ascii="宋体" w:hAnsi="宋体" w:eastAsia="宋体" w:cs="华文仿宋"/>
          <w:color w:val="auto"/>
          <w:sz w:val="24"/>
          <w:highlight w:val="none"/>
        </w:rPr>
        <w:t>）租赁期间，车辆因故障不能正常使用时，</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应及时修理并提供不低于原租赁车辆档次的替代车辆，确保</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正常用车。</w:t>
      </w:r>
    </w:p>
    <w:p w14:paraId="6F56D002">
      <w:pPr>
        <w:pageBreakBefore w:val="0"/>
        <w:widowControl/>
        <w:kinsoku/>
        <w:wordWrap/>
        <w:overflowPunct/>
        <w:topLinePunct w:val="0"/>
        <w:autoSpaceDE w:val="0"/>
        <w:autoSpaceDN w:val="0"/>
        <w:bidi w:val="0"/>
        <w:snapToGrid w:val="0"/>
        <w:spacing w:line="360" w:lineRule="auto"/>
        <w:ind w:right="-53" w:rightChars="-25" w:firstLine="360" w:firstLineChars="150"/>
        <w:textAlignment w:val="bottom"/>
        <w:rPr>
          <w:rFonts w:ascii="宋体" w:hAnsi="宋体" w:eastAsia="宋体" w:cs="华文仿宋"/>
          <w:color w:val="auto"/>
          <w:sz w:val="24"/>
          <w:highlight w:val="none"/>
        </w:rPr>
      </w:pPr>
      <w:r>
        <w:rPr>
          <w:rFonts w:hint="eastAsia" w:ascii="宋体" w:hAnsi="宋体" w:eastAsia="宋体" w:cs="华文仿宋"/>
          <w:color w:val="auto"/>
          <w:sz w:val="24"/>
          <w:highlight w:val="none"/>
        </w:rPr>
        <w:t>（</w:t>
      </w:r>
      <w:r>
        <w:rPr>
          <w:rFonts w:hint="eastAsia" w:ascii="宋体" w:hAnsi="宋体" w:eastAsia="宋体" w:cs="华文仿宋"/>
          <w:color w:val="auto"/>
          <w:sz w:val="24"/>
          <w:highlight w:val="none"/>
          <w:lang w:val="en-US" w:eastAsia="zh-CN"/>
        </w:rPr>
        <w:t>7</w:t>
      </w:r>
      <w:r>
        <w:rPr>
          <w:rFonts w:hint="eastAsia" w:ascii="宋体" w:hAnsi="宋体" w:eastAsia="宋体" w:cs="华文仿宋"/>
          <w:color w:val="auto"/>
          <w:sz w:val="24"/>
          <w:highlight w:val="none"/>
        </w:rPr>
        <w:t>）须配备灭火器等安全设备；安全设备应当放置在便于取用的位置，并确保性能良好、有效</w:t>
      </w:r>
      <w:r>
        <w:rPr>
          <w:rFonts w:hint="eastAsia" w:ascii="宋体" w:hAnsi="宋体" w:eastAsia="宋体" w:cs="华文仿宋"/>
          <w:color w:val="auto"/>
          <w:sz w:val="24"/>
          <w:highlight w:val="none"/>
          <w:lang w:eastAsia="zh-CN"/>
        </w:rPr>
        <w:t>使用</w:t>
      </w:r>
      <w:r>
        <w:rPr>
          <w:rFonts w:hint="eastAsia" w:ascii="宋体" w:hAnsi="宋体" w:eastAsia="宋体" w:cs="华文仿宋"/>
          <w:color w:val="auto"/>
          <w:sz w:val="24"/>
          <w:highlight w:val="none"/>
        </w:rPr>
        <w:t>。</w:t>
      </w:r>
    </w:p>
    <w:p w14:paraId="20E9944B">
      <w:pPr>
        <w:pageBreakBefore w:val="0"/>
        <w:kinsoku/>
        <w:wordWrap/>
        <w:overflowPunct/>
        <w:topLinePunct w:val="0"/>
        <w:bidi w:val="0"/>
        <w:spacing w:line="360" w:lineRule="auto"/>
        <w:ind w:firstLine="480" w:firstLineChars="200"/>
        <w:rPr>
          <w:rFonts w:ascii="宋体" w:hAnsi="宋体" w:eastAsia="宋体" w:cs="华文仿宋"/>
          <w:color w:val="auto"/>
          <w:sz w:val="24"/>
          <w:highlight w:val="none"/>
        </w:rPr>
      </w:pPr>
      <w:r>
        <w:rPr>
          <w:rFonts w:hint="eastAsia" w:ascii="宋体" w:hAnsi="宋体" w:eastAsia="宋体" w:cs="华文仿宋"/>
          <w:color w:val="auto"/>
          <w:sz w:val="24"/>
          <w:highlight w:val="none"/>
        </w:rPr>
        <w:t>(</w:t>
      </w:r>
      <w:r>
        <w:rPr>
          <w:rFonts w:hint="eastAsia" w:ascii="宋体" w:hAnsi="宋体" w:eastAsia="宋体" w:cs="华文仿宋"/>
          <w:color w:val="auto"/>
          <w:sz w:val="24"/>
          <w:highlight w:val="none"/>
          <w:lang w:val="en-US" w:eastAsia="zh-CN"/>
        </w:rPr>
        <w:t>8</w:t>
      </w:r>
      <w:r>
        <w:rPr>
          <w:rFonts w:hint="eastAsia" w:ascii="宋体" w:hAnsi="宋体" w:eastAsia="宋体" w:cs="华文仿宋"/>
          <w:color w:val="auto"/>
          <w:sz w:val="24"/>
          <w:highlight w:val="none"/>
        </w:rPr>
        <w:t>) 拟提供的车辆，需配备行车记录仪</w:t>
      </w:r>
      <w:r>
        <w:rPr>
          <w:rFonts w:hint="eastAsia" w:ascii="宋体" w:hAnsi="宋体" w:eastAsia="宋体" w:cs="华文仿宋"/>
          <w:color w:val="auto"/>
          <w:sz w:val="24"/>
          <w:highlight w:val="none"/>
          <w:lang w:eastAsia="zh-CN"/>
        </w:rPr>
        <w:t>、</w:t>
      </w:r>
      <w:r>
        <w:rPr>
          <w:rFonts w:hint="eastAsia" w:ascii="宋体" w:hAnsi="宋体" w:eastAsia="宋体" w:cs="华文仿宋"/>
          <w:color w:val="auto"/>
          <w:sz w:val="24"/>
          <w:highlight w:val="none"/>
          <w:lang w:val="en-US" w:eastAsia="zh-CN"/>
        </w:rPr>
        <w:t>脚垫、</w:t>
      </w:r>
      <w:r>
        <w:rPr>
          <w:rFonts w:hint="eastAsia" w:ascii="宋体" w:hAnsi="宋体" w:eastAsia="宋体" w:cs="华文仿宋"/>
          <w:color w:val="auto"/>
          <w:sz w:val="24"/>
          <w:highlight w:val="none"/>
        </w:rPr>
        <w:t>全车中高档贴膜，</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承担</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每台车辆的临时补胎费用。</w:t>
      </w:r>
    </w:p>
    <w:p w14:paraId="1799E00F">
      <w:pPr>
        <w:pageBreakBefore w:val="0"/>
        <w:kinsoku/>
        <w:wordWrap/>
        <w:overflowPunct/>
        <w:topLinePunct w:val="0"/>
        <w:bidi w:val="0"/>
        <w:spacing w:line="360" w:lineRule="auto"/>
        <w:ind w:firstLine="360" w:firstLineChars="150"/>
        <w:rPr>
          <w:rFonts w:ascii="宋体" w:hAnsi="宋体" w:eastAsia="宋体" w:cs="华文仿宋"/>
          <w:color w:val="auto"/>
          <w:sz w:val="24"/>
          <w:highlight w:val="none"/>
        </w:rPr>
      </w:pPr>
      <w:r>
        <w:rPr>
          <w:rFonts w:hint="eastAsia" w:ascii="宋体" w:hAnsi="宋体" w:eastAsia="宋体" w:cs="华文仿宋"/>
          <w:color w:val="auto"/>
          <w:sz w:val="24"/>
          <w:highlight w:val="none"/>
        </w:rPr>
        <w:t>（</w:t>
      </w: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）其他：</w:t>
      </w:r>
    </w:p>
    <w:p w14:paraId="022DBA9F">
      <w:pPr>
        <w:pageBreakBefore w:val="0"/>
        <w:kinsoku/>
        <w:wordWrap/>
        <w:overflowPunct/>
        <w:topLinePunct w:val="0"/>
        <w:bidi w:val="0"/>
        <w:spacing w:line="360" w:lineRule="auto"/>
        <w:ind w:firstLine="480" w:firstLineChars="200"/>
        <w:rPr>
          <w:rFonts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.1需提供本市范围内维修保养服务的自有（含合作）网点。</w:t>
      </w:r>
    </w:p>
    <w:p w14:paraId="7C4B65A2">
      <w:pPr>
        <w:pageBreakBefore w:val="0"/>
        <w:kinsoku/>
        <w:wordWrap/>
        <w:overflowPunct/>
        <w:topLinePunct w:val="0"/>
        <w:bidi w:val="0"/>
        <w:spacing w:line="360" w:lineRule="auto"/>
        <w:ind w:right="-239" w:rightChars="-114" w:firstLine="480" w:firstLineChars="200"/>
        <w:rPr>
          <w:rFonts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.2租赁期间，由</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负责租赁车辆的年检，如时间超过一个工作日，</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需提供同等保险同级别替代车。</w:t>
      </w:r>
    </w:p>
    <w:p w14:paraId="02D3B778">
      <w:pPr>
        <w:pageBreakBefore w:val="0"/>
        <w:kinsoku/>
        <w:wordWrap/>
        <w:overflowPunct/>
        <w:topLinePunct w:val="0"/>
        <w:bidi w:val="0"/>
        <w:spacing w:line="360" w:lineRule="auto"/>
        <w:ind w:firstLine="480" w:firstLineChars="200"/>
        <w:rPr>
          <w:rFonts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.3租赁期间，</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应负责车辆维修及配件更换，以保证</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的正常使用。修理超过两天时，</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需免费提供同等保险同级别替代车。车辆连续出现2次重大故障，影响</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使用的，</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有权要求</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更换车辆。</w:t>
      </w:r>
    </w:p>
    <w:p w14:paraId="0C207E8B">
      <w:pPr>
        <w:pageBreakBefore w:val="0"/>
        <w:kinsoku/>
        <w:wordWrap/>
        <w:overflowPunct/>
        <w:topLinePunct w:val="0"/>
        <w:bidi w:val="0"/>
        <w:spacing w:line="360" w:lineRule="auto"/>
        <w:ind w:firstLine="480" w:firstLineChars="200"/>
        <w:rPr>
          <w:rFonts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.4租赁期间</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提供租赁车辆的</w:t>
      </w:r>
      <w:r>
        <w:rPr>
          <w:rFonts w:hint="eastAsia" w:ascii="宋体" w:hAnsi="宋体" w:eastAsia="宋体" w:cs="华文仿宋"/>
          <w:color w:val="auto"/>
          <w:sz w:val="24"/>
          <w:highlight w:val="none"/>
          <w:lang w:val="en-US" w:eastAsia="zh-CN"/>
        </w:rPr>
        <w:t>免费</w:t>
      </w:r>
      <w:r>
        <w:rPr>
          <w:rFonts w:hint="eastAsia" w:ascii="宋体" w:hAnsi="宋体" w:eastAsia="宋体" w:cs="华文仿宋"/>
          <w:bCs/>
          <w:color w:val="auto"/>
          <w:sz w:val="24"/>
          <w:highlight w:val="none"/>
          <w:lang w:val="en-US" w:eastAsia="zh-CN"/>
        </w:rPr>
        <w:t>清洗、</w:t>
      </w:r>
      <w:r>
        <w:rPr>
          <w:rFonts w:hint="eastAsia" w:ascii="宋体" w:hAnsi="宋体" w:eastAsia="宋体" w:cs="华文仿宋"/>
          <w:color w:val="auto"/>
          <w:sz w:val="24"/>
          <w:highlight w:val="none"/>
        </w:rPr>
        <w:t>免费维修及保养服务（含机油及配件等更换，轮胎按车辆使用的磨损程度或保养手册要求的更换）。保养周期为3个月或5000公里，以哪个先到为准。保养应分批进行，不影响</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的使用。如保养超过两天，需提供同等保险同级别替代车。</w:t>
      </w:r>
    </w:p>
    <w:p w14:paraId="7CA91C24">
      <w:pPr>
        <w:pageBreakBefore w:val="0"/>
        <w:kinsoku/>
        <w:wordWrap/>
        <w:overflowPunct/>
        <w:topLinePunct w:val="0"/>
        <w:bidi w:val="0"/>
        <w:spacing w:line="360" w:lineRule="auto"/>
        <w:ind w:firstLine="480" w:firstLineChars="200"/>
        <w:rPr>
          <w:rFonts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.5保险理赔范围内的非伤人事故，费用由</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先行垫付（第三者、伤人费用除外）。有责事故，</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需安排人员上门一对一协助事故处理，并免费提供同等保险同级别替代车。</w:t>
      </w:r>
    </w:p>
    <w:p w14:paraId="4C192D23">
      <w:pPr>
        <w:pageBreakBefore w:val="0"/>
        <w:kinsoku/>
        <w:wordWrap/>
        <w:overflowPunct/>
        <w:topLinePunct w:val="0"/>
        <w:bidi w:val="0"/>
        <w:spacing w:line="360" w:lineRule="auto"/>
        <w:ind w:firstLine="480" w:firstLineChars="200"/>
        <w:rPr>
          <w:rFonts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.6因车辆本身原因导致</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无法用车，</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免费提供同等保险同级别的替代车。</w:t>
      </w:r>
    </w:p>
    <w:p w14:paraId="0810F451">
      <w:pPr>
        <w:pageBreakBefore w:val="0"/>
        <w:kinsoku/>
        <w:wordWrap/>
        <w:overflowPunct/>
        <w:topLinePunct w:val="0"/>
        <w:bidi w:val="0"/>
        <w:spacing w:line="360" w:lineRule="auto"/>
        <w:ind w:firstLine="480" w:firstLineChars="200"/>
        <w:rPr>
          <w:rFonts w:hint="default"/>
          <w:color w:val="auto"/>
          <w:highlight w:val="none"/>
          <w:lang w:val="en-US" w:eastAsia="zh-CN"/>
        </w:rPr>
      </w:pP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.7租赁期间，</w:t>
      </w:r>
      <w:r>
        <w:rPr>
          <w:rFonts w:hint="eastAsia" w:ascii="宋体" w:hAnsi="宋体" w:eastAsia="宋体" w:cs="华文仿宋"/>
          <w:color w:val="auto"/>
          <w:sz w:val="24"/>
          <w:highlight w:val="none"/>
          <w:lang w:eastAsia="zh-CN"/>
        </w:rPr>
        <w:t>成交人根据</w:t>
      </w:r>
      <w:r>
        <w:rPr>
          <w:rFonts w:hint="eastAsia" w:ascii="宋体" w:hAnsi="宋体" w:eastAsia="宋体" w:cs="华文仿宋"/>
          <w:color w:val="auto"/>
          <w:sz w:val="24"/>
          <w:highlight w:val="none"/>
          <w:lang w:val="en-US" w:eastAsia="zh-CN"/>
        </w:rPr>
        <w:t>应急管理综合行政执法用车规范及其他相关文件，按照采购方</w:t>
      </w:r>
      <w:r>
        <w:rPr>
          <w:rFonts w:hint="eastAsia" w:ascii="宋体" w:hAnsi="宋体" w:eastAsia="宋体" w:cs="华文仿宋"/>
          <w:color w:val="auto"/>
          <w:sz w:val="24"/>
          <w:highlight w:val="none"/>
        </w:rPr>
        <w:t>要求</w:t>
      </w:r>
      <w:r>
        <w:rPr>
          <w:rFonts w:hint="eastAsia" w:ascii="宋体" w:hAnsi="宋体" w:eastAsia="宋体" w:cs="华文仿宋"/>
          <w:color w:val="auto"/>
          <w:sz w:val="24"/>
          <w:highlight w:val="none"/>
          <w:lang w:eastAsia="zh-CN"/>
        </w:rPr>
        <w:t>，</w:t>
      </w:r>
      <w:r>
        <w:rPr>
          <w:rFonts w:hint="eastAsia" w:ascii="宋体" w:hAnsi="宋体" w:eastAsia="宋体" w:cs="华文仿宋"/>
          <w:color w:val="auto"/>
          <w:sz w:val="24"/>
          <w:highlight w:val="none"/>
          <w:lang w:val="en-US" w:eastAsia="zh-CN"/>
        </w:rPr>
        <w:t>对车辆进行整车</w:t>
      </w:r>
      <w:r>
        <w:rPr>
          <w:rFonts w:hint="eastAsia" w:ascii="宋体" w:hAnsi="宋体" w:eastAsia="宋体" w:cs="华文仿宋"/>
          <w:color w:val="auto"/>
          <w:sz w:val="24"/>
          <w:highlight w:val="none"/>
        </w:rPr>
        <w:t>喷涂</w:t>
      </w:r>
      <w:r>
        <w:rPr>
          <w:rFonts w:hint="eastAsia" w:ascii="宋体" w:hAnsi="宋体" w:eastAsia="宋体" w:cs="华文仿宋"/>
          <w:color w:val="auto"/>
          <w:sz w:val="24"/>
          <w:highlight w:val="none"/>
          <w:lang w:eastAsia="zh-CN"/>
        </w:rPr>
        <w:t>。</w:t>
      </w:r>
      <w:r>
        <w:rPr>
          <w:rFonts w:hint="eastAsia" w:ascii="宋体" w:hAnsi="宋体" w:eastAsia="宋体" w:cs="华文仿宋"/>
          <w:color w:val="auto"/>
          <w:sz w:val="24"/>
          <w:highlight w:val="none"/>
          <w:lang w:val="en-US" w:eastAsia="zh-CN"/>
        </w:rPr>
        <w:t>3年后喷涂清除由成交人负责，费用不另外计算。</w:t>
      </w:r>
    </w:p>
    <w:p w14:paraId="66396A52">
      <w:pPr>
        <w:pageBreakBefore w:val="0"/>
        <w:kinsoku/>
        <w:wordWrap/>
        <w:overflowPunct/>
        <w:topLinePunct w:val="0"/>
        <w:bidi w:val="0"/>
        <w:spacing w:line="360" w:lineRule="auto"/>
        <w:ind w:firstLine="480" w:firstLineChars="200"/>
        <w:rPr>
          <w:rFonts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w:t>
      </w:r>
      <w:r>
        <w:rPr>
          <w:rFonts w:hint="eastAsia" w:ascii="宋体" w:hAnsi="宋体" w:eastAsia="宋体" w:cs="华文仿宋"/>
          <w:color w:val="auto"/>
          <w:sz w:val="24"/>
          <w:highlight w:val="none"/>
          <w:lang w:val="en-US" w:eastAsia="zh-CN"/>
        </w:rPr>
        <w:t>8</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每月向</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提供在租车辆的月度管报，内容包括但不限于：维保记录、未处理违章记录、事故记录、巡检记录。</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每月安排给</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进行一次现场巡检，检查及汇报内容包括但不限于：车辆外观、灯管、刹车、水箱、仪表盘、</w:t>
      </w:r>
      <w:r>
        <w:rPr>
          <w:rFonts w:hint="eastAsia" w:ascii="宋体" w:hAnsi="宋体" w:eastAsia="宋体" w:cs="华文仿宋"/>
          <w:color w:val="auto"/>
          <w:sz w:val="24"/>
          <w:highlight w:val="none"/>
          <w:lang w:eastAsia="zh-CN"/>
        </w:rPr>
        <w:t>制动灯</w:t>
      </w:r>
      <w:r>
        <w:rPr>
          <w:rFonts w:hint="eastAsia" w:ascii="宋体" w:hAnsi="宋体" w:eastAsia="宋体" w:cs="华文仿宋"/>
          <w:color w:val="auto"/>
          <w:sz w:val="24"/>
          <w:highlight w:val="none"/>
        </w:rPr>
        <w:t>等。</w:t>
      </w:r>
    </w:p>
    <w:p w14:paraId="22B346A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华文仿宋"/>
          <w:color w:val="auto"/>
          <w:sz w:val="24"/>
          <w:highlight w:val="none"/>
        </w:rPr>
      </w:pP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rPr>
        <w:t>.</w:t>
      </w:r>
      <w:r>
        <w:rPr>
          <w:rFonts w:hint="eastAsia" w:ascii="宋体" w:hAnsi="宋体" w:eastAsia="宋体" w:cs="华文仿宋"/>
          <w:color w:val="auto"/>
          <w:sz w:val="24"/>
          <w:highlight w:val="none"/>
          <w:lang w:val="en-US" w:eastAsia="zh-CN"/>
        </w:rPr>
        <w:t>9</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需根据</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要求每台车配置专属油卡，</w:t>
      </w:r>
      <w:r>
        <w:rPr>
          <w:rFonts w:hint="eastAsia" w:ascii="宋体" w:hAnsi="宋体" w:eastAsia="宋体" w:cs="华文仿宋"/>
          <w:color w:val="auto"/>
          <w:sz w:val="24"/>
          <w:highlight w:val="none"/>
          <w:lang w:val="en-US" w:eastAsia="zh-CN"/>
        </w:rPr>
        <w:t>电卡，</w:t>
      </w:r>
      <w:r>
        <w:rPr>
          <w:rFonts w:hint="eastAsia" w:ascii="宋体" w:hAnsi="宋体" w:eastAsia="宋体" w:cs="华文仿宋"/>
          <w:color w:val="auto"/>
          <w:sz w:val="24"/>
          <w:highlight w:val="none"/>
        </w:rPr>
        <w:t>费用含在投标价中。若在车辆使用过程中因无法使用油卡支付或者无专属油卡的加油站，加油费用由</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先行垫付并开具发票，发票交给</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后，由</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按开票金额进行报销，报销后汇入</w:t>
      </w:r>
      <w:r>
        <w:rPr>
          <w:rFonts w:hint="eastAsia" w:ascii="宋体" w:hAnsi="宋体" w:cs="华文仿宋"/>
          <w:color w:val="auto"/>
          <w:sz w:val="24"/>
          <w:highlight w:val="none"/>
          <w:lang w:eastAsia="zh-CN"/>
        </w:rPr>
        <w:t>发包人</w:t>
      </w:r>
      <w:r>
        <w:rPr>
          <w:rFonts w:hint="eastAsia" w:ascii="宋体" w:hAnsi="宋体" w:eastAsia="宋体" w:cs="华文仿宋"/>
          <w:color w:val="auto"/>
          <w:sz w:val="24"/>
          <w:highlight w:val="none"/>
        </w:rPr>
        <w:t>代为支付人员账户。</w:t>
      </w:r>
    </w:p>
    <w:p w14:paraId="56FE753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华文仿宋"/>
          <w:color w:val="auto"/>
          <w:sz w:val="24"/>
          <w:highlight w:val="none"/>
        </w:rPr>
      </w:pPr>
      <w:r>
        <w:rPr>
          <w:rFonts w:hint="eastAsia" w:ascii="宋体" w:hAnsi="宋体" w:eastAsia="宋体" w:cs="华文仿宋"/>
          <w:color w:val="auto"/>
          <w:sz w:val="24"/>
          <w:highlight w:val="none"/>
        </w:rPr>
        <w:t>(</w:t>
      </w:r>
      <w:r>
        <w:rPr>
          <w:rFonts w:hint="eastAsia" w:ascii="宋体" w:hAnsi="宋体" w:eastAsia="宋体" w:cs="华文仿宋"/>
          <w:color w:val="auto"/>
          <w:sz w:val="24"/>
          <w:highlight w:val="none"/>
          <w:lang w:val="en-US" w:eastAsia="zh-CN"/>
        </w:rPr>
        <w:t>10</w:t>
      </w:r>
      <w:r>
        <w:rPr>
          <w:rFonts w:hint="eastAsia" w:ascii="宋体" w:hAnsi="宋体" w:eastAsia="宋体" w:cs="华文仿宋"/>
          <w:color w:val="auto"/>
          <w:sz w:val="24"/>
          <w:highlight w:val="none"/>
        </w:rPr>
        <w:t>) 中标通知书发出且完成合同签订后，</w:t>
      </w:r>
      <w:r>
        <w:rPr>
          <w:rFonts w:hint="eastAsia" w:ascii="宋体" w:hAnsi="宋体" w:eastAsia="宋体" w:cs="华文仿宋"/>
          <w:color w:val="auto"/>
          <w:sz w:val="24"/>
          <w:highlight w:val="none"/>
          <w:lang w:eastAsia="zh-CN"/>
        </w:rPr>
        <w:t>成交人</w:t>
      </w:r>
      <w:r>
        <w:rPr>
          <w:rFonts w:hint="eastAsia" w:ascii="宋体" w:hAnsi="宋体" w:eastAsia="宋体" w:cs="华文仿宋"/>
          <w:color w:val="auto"/>
          <w:sz w:val="24"/>
          <w:highlight w:val="none"/>
        </w:rPr>
        <w:t>应当在</w:t>
      </w:r>
      <w:r>
        <w:rPr>
          <w:rFonts w:hint="eastAsia" w:ascii="宋体" w:hAnsi="宋体" w:eastAsia="宋体" w:cs="华文仿宋"/>
          <w:color w:val="auto"/>
          <w:sz w:val="24"/>
          <w:highlight w:val="none"/>
          <w:lang w:val="en-US" w:eastAsia="zh-CN"/>
        </w:rPr>
        <w:t>15</w:t>
      </w:r>
      <w:r>
        <w:rPr>
          <w:rFonts w:hint="eastAsia" w:ascii="宋体" w:hAnsi="宋体" w:eastAsia="宋体" w:cs="华文仿宋"/>
          <w:color w:val="auto"/>
          <w:sz w:val="24"/>
          <w:highlight w:val="none"/>
        </w:rPr>
        <w:t>天内车辆提供到位。（交车时，车辆需满油。）</w:t>
      </w:r>
    </w:p>
    <w:p w14:paraId="191098A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华文仿宋"/>
          <w:color w:val="auto"/>
          <w:sz w:val="24"/>
          <w:highlight w:val="none"/>
        </w:rPr>
      </w:pPr>
      <w:r>
        <w:rPr>
          <w:rFonts w:ascii="宋体" w:hAnsi="宋体" w:eastAsia="宋体" w:cs="华文仿宋"/>
          <w:b w:val="0"/>
          <w:bCs w:val="0"/>
          <w:color w:val="auto"/>
          <w:sz w:val="24"/>
          <w:highlight w:val="none"/>
        </w:rPr>
        <w:t>(</w:t>
      </w:r>
      <w:r>
        <w:rPr>
          <w:rFonts w:hint="eastAsia" w:ascii="宋体" w:hAnsi="宋体" w:eastAsia="宋体" w:cs="华文仿宋"/>
          <w:b w:val="0"/>
          <w:bCs w:val="0"/>
          <w:color w:val="auto"/>
          <w:sz w:val="24"/>
          <w:highlight w:val="none"/>
          <w:lang w:val="en-US" w:eastAsia="zh-CN"/>
        </w:rPr>
        <w:t>11</w:t>
      </w:r>
      <w:r>
        <w:rPr>
          <w:rFonts w:ascii="宋体" w:hAnsi="宋体" w:eastAsia="宋体" w:cs="华文仿宋"/>
          <w:b w:val="0"/>
          <w:bCs w:val="0"/>
          <w:color w:val="auto"/>
          <w:sz w:val="24"/>
          <w:highlight w:val="none"/>
        </w:rPr>
        <w:t xml:space="preserve">) </w:t>
      </w:r>
      <w:r>
        <w:rPr>
          <w:rFonts w:hint="eastAsia" w:ascii="宋体" w:hAnsi="宋体" w:eastAsia="宋体" w:cs="华文仿宋"/>
          <w:b w:val="0"/>
          <w:bCs w:val="0"/>
          <w:color w:val="auto"/>
          <w:sz w:val="24"/>
          <w:highlight w:val="none"/>
        </w:rPr>
        <w:t>租赁期内，除甲方故意或重大过失导致标的物毁损灭失外，标的物的毁损灭</w:t>
      </w:r>
      <w:r>
        <w:rPr>
          <w:rFonts w:hint="eastAsia" w:ascii="宋体" w:hAnsi="宋体" w:eastAsia="宋体" w:cs="华文仿宋"/>
          <w:color w:val="auto"/>
          <w:sz w:val="24"/>
          <w:highlight w:val="none"/>
        </w:rPr>
        <w:t>失风险由乙方自行承担。</w:t>
      </w:r>
    </w:p>
    <w:p w14:paraId="14802B1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华文仿宋"/>
          <w:color w:val="auto"/>
          <w:sz w:val="24"/>
          <w:highlight w:val="none"/>
          <w:lang w:val="zh-CN" w:eastAsia="zh-CN"/>
        </w:rPr>
      </w:pPr>
      <w:r>
        <w:rPr>
          <w:rFonts w:hint="eastAsia" w:ascii="宋体" w:hAnsi="宋体" w:eastAsia="宋体" w:cs="华文仿宋"/>
          <w:color w:val="auto"/>
          <w:sz w:val="24"/>
          <w:highlight w:val="none"/>
          <w:lang w:val="zh-CN" w:eastAsia="zh-CN"/>
        </w:rPr>
        <w:t>（</w:t>
      </w:r>
      <w:r>
        <w:rPr>
          <w:rFonts w:hint="eastAsia" w:ascii="宋体" w:hAnsi="宋体" w:eastAsia="宋体" w:cs="华文仿宋"/>
          <w:color w:val="auto"/>
          <w:sz w:val="24"/>
          <w:highlight w:val="none"/>
          <w:lang w:val="en-US" w:eastAsia="zh-CN"/>
        </w:rPr>
        <w:t>12</w:t>
      </w:r>
      <w:r>
        <w:rPr>
          <w:rFonts w:hint="eastAsia" w:ascii="宋体" w:hAnsi="宋体" w:eastAsia="宋体" w:cs="华文仿宋"/>
          <w:color w:val="auto"/>
          <w:sz w:val="24"/>
          <w:highlight w:val="none"/>
          <w:lang w:val="zh-CN" w:eastAsia="zh-CN"/>
        </w:rPr>
        <w:t>）故障响应：</w:t>
      </w:r>
    </w:p>
    <w:p w14:paraId="1EF5481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华文仿宋"/>
          <w:color w:val="auto"/>
          <w:sz w:val="24"/>
          <w:highlight w:val="none"/>
          <w:lang w:val="zh-CN" w:eastAsia="zh-CN"/>
        </w:rPr>
      </w:pPr>
      <w:r>
        <w:rPr>
          <w:rFonts w:hint="eastAsia" w:ascii="宋体" w:hAnsi="宋体" w:eastAsia="宋体" w:cs="华文仿宋"/>
          <w:color w:val="auto"/>
          <w:sz w:val="24"/>
          <w:highlight w:val="none"/>
          <w:lang w:val="en-US" w:eastAsia="zh-CN"/>
        </w:rPr>
        <w:t>12.1</w:t>
      </w:r>
      <w:r>
        <w:rPr>
          <w:rFonts w:hint="eastAsia" w:ascii="宋体" w:hAnsi="宋体" w:eastAsia="宋体" w:cs="华文仿宋"/>
          <w:color w:val="auto"/>
          <w:sz w:val="24"/>
          <w:highlight w:val="none"/>
          <w:lang w:val="zh-CN" w:eastAsia="zh-CN"/>
        </w:rPr>
        <w:t>提供7*24小时技术咨询和故障远程支撑服务</w:t>
      </w:r>
      <w:r>
        <w:rPr>
          <w:rFonts w:hint="eastAsia" w:ascii="宋体" w:hAnsi="宋体" w:cs="华文仿宋"/>
          <w:color w:val="auto"/>
          <w:sz w:val="24"/>
          <w:highlight w:val="none"/>
          <w:lang w:val="zh-CN" w:eastAsia="zh-CN"/>
        </w:rPr>
        <w:t>；</w:t>
      </w:r>
    </w:p>
    <w:p w14:paraId="0EBE429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华文仿宋"/>
          <w:color w:val="auto"/>
          <w:sz w:val="24"/>
          <w:highlight w:val="none"/>
          <w:lang w:val="zh-CN" w:eastAsia="zh-CN"/>
        </w:rPr>
      </w:pPr>
      <w:r>
        <w:rPr>
          <w:rFonts w:hint="eastAsia" w:ascii="宋体" w:hAnsi="宋体" w:eastAsia="宋体" w:cs="华文仿宋"/>
          <w:color w:val="auto"/>
          <w:sz w:val="24"/>
          <w:highlight w:val="none"/>
          <w:lang w:val="en-US" w:eastAsia="zh-CN"/>
        </w:rPr>
        <w:t>12.2</w:t>
      </w:r>
      <w:r>
        <w:rPr>
          <w:rFonts w:hint="eastAsia" w:ascii="宋体" w:hAnsi="宋体" w:eastAsia="宋体" w:cs="华文仿宋"/>
          <w:color w:val="auto"/>
          <w:sz w:val="24"/>
          <w:highlight w:val="none"/>
          <w:lang w:val="zh-CN" w:eastAsia="zh-CN"/>
        </w:rPr>
        <w:t>在车辆发生故障接到报修电话30分钟内响应；</w:t>
      </w:r>
    </w:p>
    <w:p w14:paraId="40EC445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华文仿宋"/>
          <w:color w:val="auto"/>
          <w:sz w:val="24"/>
          <w:highlight w:val="none"/>
          <w:lang w:val="zh-CN" w:eastAsia="zh-CN"/>
        </w:rPr>
      </w:pPr>
      <w:r>
        <w:rPr>
          <w:rFonts w:hint="eastAsia" w:ascii="宋体" w:hAnsi="宋体" w:eastAsia="宋体" w:cs="华文仿宋"/>
          <w:color w:val="auto"/>
          <w:sz w:val="24"/>
          <w:highlight w:val="none"/>
          <w:lang w:val="en-US" w:eastAsia="zh-CN"/>
        </w:rPr>
        <w:t>12.3</w:t>
      </w:r>
      <w:r>
        <w:rPr>
          <w:rFonts w:hint="eastAsia" w:ascii="宋体" w:hAnsi="宋体" w:eastAsia="宋体" w:cs="华文仿宋"/>
          <w:color w:val="auto"/>
          <w:sz w:val="24"/>
          <w:highlight w:val="none"/>
          <w:lang w:val="zh-CN" w:eastAsia="zh-CN"/>
        </w:rPr>
        <w:t>承诺对车辆故障响应2小时内到达现场。</w:t>
      </w:r>
    </w:p>
    <w:p w14:paraId="39D2DDE9">
      <w:pPr>
        <w:pStyle w:val="2"/>
        <w:rPr>
          <w:rFonts w:hint="default"/>
          <w:color w:val="auto"/>
          <w:highlight w:val="none"/>
          <w:lang w:val="en-US" w:eastAsia="zh-CN"/>
        </w:rPr>
      </w:pPr>
      <w:r>
        <w:rPr>
          <w:rFonts w:hint="eastAsia" w:hAnsi="宋体" w:cs="华文仿宋"/>
          <w:color w:val="auto"/>
          <w:sz w:val="24"/>
          <w:highlight w:val="none"/>
          <w:lang w:val="en-US" w:eastAsia="zh-CN"/>
        </w:rPr>
        <w:t>（13）为保障项目所需，响应人需配备自有施救车辆不少于1辆，为发包人提供道路救援。</w:t>
      </w:r>
    </w:p>
    <w:p w14:paraId="74BB2972">
      <w:pPr>
        <w:pageBreakBefore w:val="0"/>
        <w:kinsoku/>
        <w:wordWrap/>
        <w:overflowPunct/>
        <w:topLinePunct w:val="0"/>
        <w:bidi w:val="0"/>
        <w:spacing w:line="360" w:lineRule="auto"/>
        <w:ind w:firstLine="482" w:firstLineChars="200"/>
        <w:jc w:val="left"/>
        <w:rPr>
          <w:rFonts w:ascii="宋体" w:hAnsi="宋体" w:eastAsia="宋体" w:cs="华文仿宋"/>
          <w:b/>
          <w:color w:val="auto"/>
          <w:sz w:val="24"/>
          <w:highlight w:val="none"/>
        </w:rPr>
      </w:pPr>
      <w:r>
        <w:rPr>
          <w:rFonts w:hint="eastAsia" w:ascii="宋体" w:hAnsi="宋体" w:eastAsia="宋体" w:cs="华文仿宋"/>
          <w:b/>
          <w:color w:val="auto"/>
          <w:sz w:val="24"/>
          <w:highlight w:val="none"/>
        </w:rPr>
        <w:t>2.</w:t>
      </w:r>
      <w:r>
        <w:rPr>
          <w:rFonts w:ascii="宋体" w:hAnsi="宋体" w:eastAsia="宋体" w:cs="华文仿宋"/>
          <w:b/>
          <w:color w:val="auto"/>
          <w:sz w:val="24"/>
          <w:highlight w:val="none"/>
        </w:rPr>
        <w:t>3</w:t>
      </w:r>
      <w:r>
        <w:rPr>
          <w:rFonts w:hint="eastAsia" w:ascii="宋体" w:hAnsi="宋体" w:eastAsia="宋体" w:cs="华文仿宋"/>
          <w:b/>
          <w:color w:val="auto"/>
          <w:sz w:val="24"/>
          <w:highlight w:val="none"/>
        </w:rPr>
        <w:t>服务方案</w:t>
      </w:r>
    </w:p>
    <w:p w14:paraId="487443BE">
      <w:pPr>
        <w:pStyle w:val="86"/>
        <w:pageBreakBefore w:val="0"/>
        <w:kinsoku/>
        <w:wordWrap/>
        <w:overflowPunct/>
        <w:topLinePunct w:val="0"/>
        <w:bidi w:val="0"/>
        <w:spacing w:line="360" w:lineRule="auto"/>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.3.1</w:t>
      </w:r>
      <w:r>
        <w:rPr>
          <w:rFonts w:hint="eastAsia" w:ascii="宋体" w:hAnsi="宋体" w:eastAsia="宋体"/>
          <w:color w:val="auto"/>
          <w:highlight w:val="none"/>
        </w:rPr>
        <w:t>提供车辆配备方案：至少包括①拟投入车辆清单、②根据采购要求制定的配备方案、③车辆年检管理与车辆违章管理等，④满足车辆使用要求等。</w:t>
      </w:r>
    </w:p>
    <w:p w14:paraId="4652C678">
      <w:pPr>
        <w:pStyle w:val="86"/>
        <w:pageBreakBefore w:val="0"/>
        <w:kinsoku/>
        <w:wordWrap/>
        <w:overflowPunct/>
        <w:topLinePunct w:val="0"/>
        <w:bidi w:val="0"/>
        <w:spacing w:line="360" w:lineRule="auto"/>
        <w:ind w:firstLine="520" w:firstLineChars="217"/>
        <w:rPr>
          <w:rFonts w:ascii="宋体" w:hAnsi="宋体" w:eastAsia="宋体"/>
          <w:color w:val="auto"/>
          <w:szCs w:val="24"/>
          <w:highlight w:val="none"/>
        </w:rPr>
      </w:pPr>
      <w:r>
        <w:rPr>
          <w:rFonts w:hint="eastAsia" w:ascii="宋体" w:hAnsi="宋体" w:eastAsia="宋体"/>
          <w:color w:val="auto"/>
          <w:highlight w:val="none"/>
        </w:rPr>
        <w:t>2</w:t>
      </w:r>
      <w:r>
        <w:rPr>
          <w:rFonts w:ascii="宋体" w:hAnsi="宋体" w:eastAsia="宋体"/>
          <w:color w:val="auto"/>
          <w:highlight w:val="none"/>
        </w:rPr>
        <w:t>.3.2</w:t>
      </w:r>
      <w:r>
        <w:rPr>
          <w:rFonts w:hint="eastAsia" w:ascii="宋体" w:hAnsi="宋体" w:eastAsia="宋体"/>
          <w:color w:val="auto"/>
          <w:szCs w:val="24"/>
          <w:highlight w:val="none"/>
        </w:rPr>
        <w:t>项目团队及车辆管理方案：至少包括①本项目的管理人员的组织架构、②人员配置、③岗位职责、④车辆巡检、⑤车辆信息建档管理</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⑥月度管报等内容。</w:t>
      </w:r>
    </w:p>
    <w:p w14:paraId="38648062">
      <w:pPr>
        <w:pStyle w:val="86"/>
        <w:pageBreakBefore w:val="0"/>
        <w:kinsoku/>
        <w:wordWrap/>
        <w:overflowPunct/>
        <w:topLinePunct w:val="0"/>
        <w:bidi w:val="0"/>
        <w:spacing w:line="360" w:lineRule="auto"/>
        <w:ind w:firstLine="520" w:firstLineChars="217"/>
        <w:rPr>
          <w:rFonts w:ascii="宋体" w:hAnsi="宋体" w:eastAsia="宋体"/>
          <w:color w:val="auto"/>
          <w:kern w:val="2"/>
          <w:szCs w:val="24"/>
          <w:highlight w:val="none"/>
        </w:rPr>
      </w:pPr>
      <w:r>
        <w:rPr>
          <w:rFonts w:hint="eastAsia" w:ascii="宋体" w:hAnsi="宋体" w:eastAsia="宋体"/>
          <w:color w:val="auto"/>
          <w:highlight w:val="none"/>
        </w:rPr>
        <w:t>2</w:t>
      </w:r>
      <w:r>
        <w:rPr>
          <w:rFonts w:ascii="宋体" w:hAnsi="宋体" w:eastAsia="宋体"/>
          <w:color w:val="auto"/>
          <w:highlight w:val="none"/>
        </w:rPr>
        <w:t>.3.3</w:t>
      </w:r>
      <w:r>
        <w:rPr>
          <w:rFonts w:hint="eastAsia" w:ascii="宋体" w:hAnsi="宋体" w:eastAsia="宋体"/>
          <w:color w:val="auto"/>
          <w:kern w:val="2"/>
          <w:szCs w:val="24"/>
          <w:highlight w:val="none"/>
        </w:rPr>
        <w:t>车辆维保方案：至少包括</w:t>
      </w:r>
      <w:r>
        <w:rPr>
          <w:rFonts w:hint="eastAsia" w:ascii="宋体" w:hAnsi="宋体" w:eastAsia="宋体"/>
          <w:color w:val="auto"/>
          <w:szCs w:val="24"/>
          <w:highlight w:val="none"/>
        </w:rPr>
        <w:t>①</w:t>
      </w:r>
      <w:r>
        <w:rPr>
          <w:rFonts w:hint="eastAsia" w:ascii="宋体" w:hAnsi="宋体" w:eastAsia="宋体"/>
          <w:color w:val="auto"/>
          <w:kern w:val="2"/>
          <w:szCs w:val="24"/>
          <w:highlight w:val="none"/>
        </w:rPr>
        <w:t>拟投入本项目车辆的维修保养制度、</w:t>
      </w:r>
      <w:r>
        <w:rPr>
          <w:rFonts w:hint="eastAsia" w:ascii="宋体" w:hAnsi="宋体" w:eastAsia="宋体"/>
          <w:color w:val="auto"/>
          <w:szCs w:val="24"/>
          <w:highlight w:val="none"/>
        </w:rPr>
        <w:t>②</w:t>
      </w:r>
      <w:r>
        <w:rPr>
          <w:rFonts w:hint="eastAsia" w:ascii="宋体" w:hAnsi="宋体" w:eastAsia="宋体"/>
          <w:color w:val="auto"/>
          <w:kern w:val="2"/>
          <w:szCs w:val="24"/>
          <w:highlight w:val="none"/>
        </w:rPr>
        <w:t>具体维修方案</w:t>
      </w:r>
      <w:r>
        <w:rPr>
          <w:rFonts w:hint="eastAsia" w:ascii="宋体" w:hAnsi="宋体" w:eastAsia="宋体"/>
          <w:color w:val="auto"/>
          <w:kern w:val="2"/>
          <w:szCs w:val="24"/>
          <w:highlight w:val="none"/>
          <w:lang w:eastAsia="zh-CN"/>
        </w:rPr>
        <w:t>、</w:t>
      </w:r>
      <w:r>
        <w:rPr>
          <w:rFonts w:hint="eastAsia" w:ascii="宋体" w:hAnsi="宋体" w:eastAsia="宋体"/>
          <w:color w:val="auto"/>
          <w:szCs w:val="24"/>
          <w:highlight w:val="none"/>
        </w:rPr>
        <w:t>③</w:t>
      </w:r>
      <w:r>
        <w:rPr>
          <w:rFonts w:hint="eastAsia" w:ascii="宋体" w:hAnsi="宋体" w:eastAsia="宋体"/>
          <w:color w:val="auto"/>
          <w:kern w:val="2"/>
          <w:szCs w:val="24"/>
          <w:highlight w:val="none"/>
        </w:rPr>
        <w:t>相关维保地点的基本情况介绍等。</w:t>
      </w:r>
    </w:p>
    <w:p w14:paraId="573BB11C">
      <w:pPr>
        <w:pStyle w:val="86"/>
        <w:pageBreakBefore w:val="0"/>
        <w:kinsoku/>
        <w:wordWrap/>
        <w:overflowPunct/>
        <w:topLinePunct w:val="0"/>
        <w:bidi w:val="0"/>
        <w:spacing w:line="360" w:lineRule="auto"/>
        <w:ind w:firstLine="520" w:firstLineChars="217"/>
        <w:rPr>
          <w:rFonts w:ascii="宋体" w:hAnsi="宋体" w:eastAsia="宋体"/>
          <w:color w:val="auto"/>
          <w:szCs w:val="24"/>
          <w:highlight w:val="none"/>
        </w:rPr>
      </w:pPr>
      <w:r>
        <w:rPr>
          <w:rFonts w:hint="eastAsia" w:ascii="宋体" w:hAnsi="宋体" w:eastAsia="宋体"/>
          <w:color w:val="auto"/>
          <w:highlight w:val="none"/>
        </w:rPr>
        <w:t>2</w:t>
      </w:r>
      <w:r>
        <w:rPr>
          <w:rFonts w:ascii="宋体" w:hAnsi="宋体" w:eastAsia="宋体"/>
          <w:color w:val="auto"/>
          <w:highlight w:val="none"/>
        </w:rPr>
        <w:t>.3.4</w:t>
      </w:r>
      <w:r>
        <w:rPr>
          <w:rFonts w:ascii="宋体" w:hAnsi="宋体" w:eastAsia="宋体"/>
          <w:color w:val="auto"/>
          <w:szCs w:val="24"/>
          <w:highlight w:val="none"/>
        </w:rPr>
        <w:t>应急预案</w:t>
      </w:r>
      <w:r>
        <w:rPr>
          <w:rFonts w:hint="eastAsia" w:ascii="宋体" w:hAnsi="宋体" w:eastAsia="宋体"/>
          <w:color w:val="auto"/>
          <w:szCs w:val="24"/>
          <w:highlight w:val="none"/>
        </w:rPr>
        <w:t>：</w:t>
      </w:r>
      <w:r>
        <w:rPr>
          <w:rFonts w:ascii="宋体" w:hAnsi="宋体" w:eastAsia="宋体"/>
          <w:color w:val="auto"/>
          <w:szCs w:val="24"/>
          <w:highlight w:val="none"/>
        </w:rPr>
        <w:t>至少包括</w:t>
      </w:r>
      <w:r>
        <w:rPr>
          <w:rFonts w:hint="eastAsia" w:ascii="宋体" w:hAnsi="宋体" w:eastAsia="宋体"/>
          <w:color w:val="auto"/>
          <w:szCs w:val="24"/>
          <w:highlight w:val="none"/>
        </w:rPr>
        <w:t>①</w:t>
      </w:r>
      <w:r>
        <w:rPr>
          <w:rFonts w:ascii="宋体" w:hAnsi="宋体" w:eastAsia="宋体"/>
          <w:color w:val="auto"/>
          <w:szCs w:val="24"/>
          <w:highlight w:val="none"/>
        </w:rPr>
        <w:t>服务期间道路救援、</w:t>
      </w:r>
      <w:r>
        <w:rPr>
          <w:rFonts w:hint="eastAsia" w:ascii="宋体" w:hAnsi="宋体" w:eastAsia="宋体"/>
          <w:color w:val="auto"/>
          <w:szCs w:val="24"/>
          <w:highlight w:val="none"/>
        </w:rPr>
        <w:t>②</w:t>
      </w:r>
      <w:r>
        <w:rPr>
          <w:rFonts w:ascii="宋体" w:hAnsi="宋体" w:eastAsia="宋体"/>
          <w:color w:val="auto"/>
          <w:szCs w:val="24"/>
          <w:highlight w:val="none"/>
        </w:rPr>
        <w:t>替代车、</w:t>
      </w:r>
      <w:r>
        <w:rPr>
          <w:rFonts w:hint="eastAsia" w:ascii="宋体" w:hAnsi="宋体" w:eastAsia="宋体"/>
          <w:color w:val="auto"/>
          <w:szCs w:val="24"/>
          <w:highlight w:val="none"/>
        </w:rPr>
        <w:t>③</w:t>
      </w:r>
      <w:r>
        <w:rPr>
          <w:rFonts w:ascii="宋体" w:hAnsi="宋体" w:eastAsia="宋体"/>
          <w:color w:val="auto"/>
          <w:szCs w:val="24"/>
          <w:highlight w:val="none"/>
        </w:rPr>
        <w:t>事故处理、</w:t>
      </w:r>
      <w:r>
        <w:rPr>
          <w:rFonts w:hint="eastAsia" w:ascii="宋体" w:hAnsi="宋体" w:eastAsia="宋体"/>
          <w:color w:val="auto"/>
          <w:szCs w:val="24"/>
          <w:highlight w:val="none"/>
        </w:rPr>
        <w:t>④</w:t>
      </w:r>
      <w:r>
        <w:rPr>
          <w:rFonts w:ascii="宋体" w:hAnsi="宋体" w:eastAsia="宋体"/>
          <w:color w:val="auto"/>
          <w:szCs w:val="24"/>
          <w:highlight w:val="none"/>
        </w:rPr>
        <w:t>临时用车等方案</w:t>
      </w:r>
      <w:r>
        <w:rPr>
          <w:rFonts w:hint="eastAsia" w:ascii="宋体" w:hAnsi="宋体" w:eastAsia="宋体"/>
          <w:color w:val="auto"/>
          <w:szCs w:val="24"/>
          <w:highlight w:val="none"/>
        </w:rPr>
        <w:t>。</w:t>
      </w:r>
    </w:p>
    <w:p w14:paraId="53741D96">
      <w:pPr>
        <w:pStyle w:val="974"/>
        <w:pageBreakBefore w:val="0"/>
        <w:kinsoku/>
        <w:wordWrap/>
        <w:overflowPunct/>
        <w:topLinePunct w:val="0"/>
        <w:bidi w:val="0"/>
        <w:spacing w:line="360" w:lineRule="auto"/>
        <w:ind w:firstLine="520" w:firstLineChars="200"/>
        <w:rPr>
          <w:rFonts w:hint="eastAsia" w:ascii="宋体" w:hAnsi="宋体" w:eastAsia="宋体"/>
          <w:color w:val="auto"/>
          <w:sz w:val="24"/>
          <w:szCs w:val="24"/>
          <w:highlight w:val="none"/>
          <w:lang w:eastAsia="zh-CN"/>
        </w:rPr>
      </w:pPr>
      <w:r>
        <w:rPr>
          <w:rFonts w:ascii="宋体" w:hAnsi="宋体" w:eastAsia="宋体"/>
          <w:color w:val="auto"/>
          <w:highlight w:val="none"/>
        </w:rPr>
        <w:t>2.3.5</w:t>
      </w:r>
      <w:r>
        <w:rPr>
          <w:rFonts w:hint="eastAsia" w:ascii="宋体" w:hAnsi="宋体" w:eastAsia="宋体"/>
          <w:color w:val="auto"/>
          <w:sz w:val="24"/>
          <w:szCs w:val="24"/>
          <w:highlight w:val="none"/>
        </w:rPr>
        <w:t>内部运营管理制度及相关配套服务</w:t>
      </w:r>
      <w:r>
        <w:rPr>
          <w:rFonts w:hint="eastAsia" w:ascii="宋体" w:hAnsi="宋体" w:eastAsia="宋体"/>
          <w:color w:val="auto"/>
          <w:szCs w:val="24"/>
          <w:highlight w:val="none"/>
        </w:rPr>
        <w:t>：</w:t>
      </w:r>
      <w:r>
        <w:rPr>
          <w:rFonts w:ascii="宋体" w:hAnsi="宋体" w:eastAsia="宋体"/>
          <w:color w:val="auto"/>
          <w:sz w:val="24"/>
          <w:szCs w:val="24"/>
          <w:highlight w:val="none"/>
        </w:rPr>
        <w:t>至少包括：</w:t>
      </w:r>
      <w:r>
        <w:rPr>
          <w:rFonts w:hint="eastAsia" w:ascii="宋体" w:hAnsi="宋体" w:eastAsia="宋体"/>
          <w:color w:val="auto"/>
          <w:sz w:val="24"/>
          <w:szCs w:val="24"/>
          <w:highlight w:val="none"/>
        </w:rPr>
        <w:t>①</w:t>
      </w:r>
      <w:r>
        <w:rPr>
          <w:rFonts w:ascii="宋体" w:hAnsi="宋体" w:eastAsia="宋体"/>
          <w:color w:val="auto"/>
          <w:sz w:val="24"/>
          <w:szCs w:val="24"/>
          <w:highlight w:val="none"/>
        </w:rPr>
        <w:t>安全经营管理制度、</w:t>
      </w:r>
      <w:r>
        <w:rPr>
          <w:rFonts w:hint="eastAsia" w:ascii="宋体" w:hAnsi="宋体" w:eastAsia="宋体"/>
          <w:color w:val="auto"/>
          <w:sz w:val="24"/>
          <w:szCs w:val="24"/>
          <w:highlight w:val="none"/>
        </w:rPr>
        <w:t>②</w:t>
      </w:r>
      <w:r>
        <w:rPr>
          <w:rFonts w:ascii="宋体" w:hAnsi="宋体" w:eastAsia="宋体"/>
          <w:color w:val="auto"/>
          <w:sz w:val="24"/>
          <w:szCs w:val="24"/>
          <w:highlight w:val="none"/>
        </w:rPr>
        <w:t>事故预防管理制度</w:t>
      </w:r>
      <w:r>
        <w:rPr>
          <w:rFonts w:hint="eastAsia" w:ascii="宋体" w:hAnsi="宋体" w:eastAsia="宋体"/>
          <w:color w:val="auto"/>
          <w:sz w:val="24"/>
          <w:szCs w:val="24"/>
          <w:highlight w:val="none"/>
        </w:rPr>
        <w:t>；</w:t>
      </w:r>
      <w:r>
        <w:rPr>
          <w:rFonts w:ascii="宋体" w:hAnsi="宋体" w:eastAsia="宋体"/>
          <w:color w:val="auto"/>
          <w:sz w:val="24"/>
          <w:szCs w:val="24"/>
          <w:highlight w:val="none"/>
        </w:rPr>
        <w:t>相关配套服务包括：</w:t>
      </w:r>
      <w:r>
        <w:rPr>
          <w:rFonts w:hint="eastAsia" w:ascii="宋体" w:hAnsi="宋体" w:eastAsia="宋体"/>
          <w:color w:val="auto"/>
          <w:sz w:val="24"/>
          <w:szCs w:val="24"/>
          <w:highlight w:val="none"/>
        </w:rPr>
        <w:t>③</w:t>
      </w:r>
      <w:r>
        <w:rPr>
          <w:rFonts w:ascii="宋体" w:hAnsi="宋体" w:eastAsia="宋体"/>
          <w:color w:val="auto"/>
          <w:sz w:val="24"/>
          <w:szCs w:val="24"/>
          <w:highlight w:val="none"/>
        </w:rPr>
        <w:t>安全培训、</w:t>
      </w:r>
      <w:r>
        <w:rPr>
          <w:rFonts w:hint="eastAsia" w:ascii="宋体" w:hAnsi="宋体" w:eastAsia="宋体"/>
          <w:color w:val="auto"/>
          <w:sz w:val="24"/>
          <w:szCs w:val="24"/>
          <w:highlight w:val="none"/>
        </w:rPr>
        <w:t>④</w:t>
      </w:r>
      <w:r>
        <w:rPr>
          <w:rFonts w:ascii="宋体" w:hAnsi="宋体" w:eastAsia="宋体"/>
          <w:color w:val="auto"/>
          <w:sz w:val="24"/>
          <w:szCs w:val="24"/>
          <w:highlight w:val="none"/>
        </w:rPr>
        <w:t>油卡</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电卡</w:t>
      </w:r>
      <w:r>
        <w:rPr>
          <w:rFonts w:ascii="宋体" w:hAnsi="宋体" w:eastAsia="宋体"/>
          <w:color w:val="auto"/>
          <w:sz w:val="24"/>
          <w:szCs w:val="24"/>
          <w:highlight w:val="none"/>
        </w:rPr>
        <w:t>管理流程等内容</w:t>
      </w:r>
      <w:r>
        <w:rPr>
          <w:rFonts w:hint="eastAsia" w:ascii="宋体" w:hAnsi="宋体" w:eastAsia="宋体"/>
          <w:color w:val="auto"/>
          <w:sz w:val="24"/>
          <w:szCs w:val="24"/>
          <w:highlight w:val="none"/>
          <w:lang w:eastAsia="zh-CN"/>
        </w:rPr>
        <w:t>。</w:t>
      </w:r>
    </w:p>
    <w:p w14:paraId="4C582611">
      <w:pPr>
        <w:pageBreakBefore w:val="0"/>
        <w:widowControl/>
        <w:kinsoku/>
        <w:wordWrap/>
        <w:overflowPunct/>
        <w:topLinePunct w:val="0"/>
        <w:autoSpaceDE w:val="0"/>
        <w:autoSpaceDN w:val="0"/>
        <w:bidi w:val="0"/>
        <w:snapToGrid w:val="0"/>
        <w:spacing w:line="360" w:lineRule="auto"/>
        <w:ind w:right="-53" w:rightChars="-25"/>
        <w:textAlignment w:val="bottom"/>
        <w:rPr>
          <w:rFonts w:hint="eastAsia" w:ascii="宋体" w:hAnsi="宋体" w:eastAsia="宋体" w:cs="华文仿宋"/>
          <w:b/>
          <w:bCs/>
          <w:color w:val="auto"/>
          <w:sz w:val="24"/>
          <w:highlight w:val="none"/>
          <w:lang w:eastAsia="zh-CN"/>
        </w:rPr>
      </w:pPr>
      <w:r>
        <w:rPr>
          <w:rFonts w:hint="eastAsia" w:ascii="宋体" w:hAnsi="宋体" w:eastAsia="宋体" w:cs="华文仿宋"/>
          <w:b/>
          <w:bCs/>
          <w:color w:val="auto"/>
          <w:sz w:val="24"/>
          <w:highlight w:val="none"/>
          <w:lang w:eastAsia="zh-CN"/>
        </w:rPr>
        <w:t>三、服务期限：</w:t>
      </w:r>
    </w:p>
    <w:p w14:paraId="5671CBD3">
      <w:pPr>
        <w:pageBreakBefore w:val="0"/>
        <w:widowControl/>
        <w:kinsoku/>
        <w:wordWrap/>
        <w:overflowPunct/>
        <w:topLinePunct w:val="0"/>
        <w:autoSpaceDE w:val="0"/>
        <w:autoSpaceDN w:val="0"/>
        <w:bidi w:val="0"/>
        <w:snapToGrid w:val="0"/>
        <w:spacing w:line="360" w:lineRule="auto"/>
        <w:ind w:right="-53" w:rightChars="-25" w:firstLine="480" w:firstLineChars="200"/>
        <w:textAlignment w:val="bottom"/>
        <w:rPr>
          <w:rFonts w:ascii="宋体" w:hAnsi="宋体" w:eastAsia="宋体" w:cs="华文仿宋"/>
          <w:color w:val="auto"/>
          <w:sz w:val="24"/>
          <w:highlight w:val="none"/>
        </w:rPr>
      </w:pPr>
      <w:r>
        <w:rPr>
          <w:rFonts w:hint="eastAsia" w:ascii="宋体" w:hAnsi="宋体" w:eastAsia="宋体" w:cs="华文仿宋"/>
          <w:color w:val="auto"/>
          <w:sz w:val="24"/>
          <w:highlight w:val="none"/>
        </w:rPr>
        <w:t>本合同期限为</w:t>
      </w:r>
      <w:r>
        <w:rPr>
          <w:rFonts w:hint="eastAsia" w:ascii="宋体" w:hAnsi="宋体" w:cs="华文仿宋"/>
          <w:color w:val="auto"/>
          <w:sz w:val="24"/>
          <w:highlight w:val="none"/>
          <w:lang w:val="en-US" w:eastAsia="zh-CN"/>
        </w:rPr>
        <w:t>3年</w:t>
      </w:r>
      <w:r>
        <w:rPr>
          <w:rFonts w:hint="eastAsia" w:ascii="宋体" w:hAnsi="宋体" w:eastAsia="宋体" w:cs="华文仿宋"/>
          <w:color w:val="auto"/>
          <w:sz w:val="24"/>
          <w:highlight w:val="none"/>
        </w:rPr>
        <w:t>（合同</w:t>
      </w:r>
      <w:r>
        <w:rPr>
          <w:rFonts w:hint="eastAsia" w:ascii="宋体" w:hAnsi="宋体" w:eastAsia="宋体" w:cs="华文仿宋"/>
          <w:color w:val="auto"/>
          <w:sz w:val="24"/>
          <w:highlight w:val="none"/>
          <w:lang w:val="en-US" w:eastAsia="zh-CN"/>
        </w:rPr>
        <w:t>日期</w:t>
      </w:r>
      <w:r>
        <w:rPr>
          <w:rFonts w:hint="eastAsia" w:ascii="宋体" w:hAnsi="宋体" w:eastAsia="宋体" w:cs="华文仿宋"/>
          <w:color w:val="auto"/>
          <w:sz w:val="24"/>
          <w:highlight w:val="none"/>
        </w:rPr>
        <w:t>从车辆到位交接之日起算）。</w:t>
      </w:r>
      <w:r>
        <w:rPr>
          <w:rFonts w:ascii="宋体" w:hAnsi="宋体" w:eastAsia="宋体"/>
          <w:color w:val="auto"/>
          <w:sz w:val="24"/>
          <w:highlight w:val="none"/>
        </w:rPr>
        <w:t>合同期内，</w:t>
      </w:r>
      <w:r>
        <w:rPr>
          <w:rFonts w:hint="eastAsia" w:ascii="宋体" w:hAnsi="宋体" w:eastAsia="宋体"/>
          <w:color w:val="auto"/>
          <w:sz w:val="24"/>
          <w:highlight w:val="none"/>
        </w:rPr>
        <w:t>供应商</w:t>
      </w:r>
      <w:r>
        <w:rPr>
          <w:rFonts w:hint="eastAsia" w:ascii="宋体" w:hAnsi="宋体" w:eastAsia="宋体"/>
          <w:color w:val="auto"/>
          <w:sz w:val="24"/>
          <w:highlight w:val="none"/>
          <w:lang w:val="en-US" w:eastAsia="zh-CN"/>
        </w:rPr>
        <w:t>需</w:t>
      </w:r>
      <w:r>
        <w:rPr>
          <w:rFonts w:ascii="宋体" w:hAnsi="宋体" w:eastAsia="宋体"/>
          <w:color w:val="auto"/>
          <w:sz w:val="24"/>
          <w:highlight w:val="none"/>
        </w:rPr>
        <w:t>严格履行合同</w:t>
      </w:r>
      <w:r>
        <w:rPr>
          <w:rFonts w:hint="eastAsia" w:ascii="宋体" w:hAnsi="宋体" w:eastAsia="宋体"/>
          <w:color w:val="auto"/>
          <w:sz w:val="24"/>
          <w:highlight w:val="none"/>
        </w:rPr>
        <w:t>约定内容。合作期内任何一方不得擅自停止协议</w:t>
      </w:r>
      <w:r>
        <w:rPr>
          <w:rFonts w:hint="eastAsia" w:ascii="宋体" w:hAnsi="宋体" w:eastAsia="宋体" w:cs="华文仿宋"/>
          <w:color w:val="auto"/>
          <w:sz w:val="24"/>
          <w:highlight w:val="none"/>
        </w:rPr>
        <w:t>，否则应负担所造成的一切损失。</w:t>
      </w:r>
    </w:p>
    <w:p w14:paraId="2FFFDC0D">
      <w:pPr>
        <w:pageBreakBefore w:val="0"/>
        <w:widowControl/>
        <w:numPr>
          <w:ilvl w:val="0"/>
          <w:numId w:val="0"/>
        </w:numPr>
        <w:kinsoku/>
        <w:wordWrap/>
        <w:overflowPunct/>
        <w:topLinePunct w:val="0"/>
        <w:autoSpaceDE w:val="0"/>
        <w:autoSpaceDN w:val="0"/>
        <w:bidi w:val="0"/>
        <w:snapToGrid w:val="0"/>
        <w:spacing w:line="360" w:lineRule="auto"/>
        <w:ind w:right="-53" w:rightChars="-25"/>
        <w:textAlignment w:val="bottom"/>
        <w:rPr>
          <w:rFonts w:hint="default" w:eastAsia="宋体"/>
          <w:color w:val="auto"/>
          <w:highlight w:val="none"/>
          <w:lang w:val="en-US" w:eastAsia="zh-CN"/>
        </w:rPr>
      </w:pPr>
      <w:r>
        <w:rPr>
          <w:rFonts w:hint="eastAsia" w:ascii="宋体" w:hAnsi="宋体" w:eastAsia="宋体" w:cs="华文仿宋"/>
          <w:b/>
          <w:color w:val="auto"/>
          <w:sz w:val="24"/>
          <w:highlight w:val="none"/>
          <w:lang w:eastAsia="zh-CN"/>
        </w:rPr>
        <w:t>四、</w:t>
      </w:r>
      <w:r>
        <w:rPr>
          <w:rFonts w:hint="eastAsia" w:ascii="宋体" w:hAnsi="宋体" w:eastAsia="宋体" w:cs="华文仿宋"/>
          <w:b/>
          <w:color w:val="auto"/>
          <w:sz w:val="24"/>
          <w:highlight w:val="none"/>
        </w:rPr>
        <w:t>付款方式</w:t>
      </w:r>
    </w:p>
    <w:p w14:paraId="7D96C462">
      <w:pPr>
        <w:pageBreakBefore w:val="0"/>
        <w:widowControl/>
        <w:kinsoku/>
        <w:wordWrap/>
        <w:overflowPunct/>
        <w:topLinePunct w:val="0"/>
        <w:autoSpaceDE w:val="0"/>
        <w:autoSpaceDN w:val="0"/>
        <w:bidi w:val="0"/>
        <w:spacing w:line="360" w:lineRule="auto"/>
        <w:ind w:right="-53" w:rightChars="-25" w:firstLine="480" w:firstLineChars="200"/>
        <w:textAlignment w:val="bottom"/>
        <w:rPr>
          <w:rFonts w:hint="eastAsia" w:ascii="宋体" w:hAnsi="宋体" w:eastAsia="宋体" w:cs="华文仿宋"/>
          <w:color w:val="auto"/>
          <w:sz w:val="24"/>
          <w:highlight w:val="none"/>
        </w:rPr>
      </w:pPr>
      <w:r>
        <w:rPr>
          <w:rFonts w:hint="eastAsia" w:ascii="宋体" w:hAnsi="宋体" w:eastAsia="宋体" w:cs="华文仿宋"/>
          <w:color w:val="auto"/>
          <w:sz w:val="24"/>
          <w:highlight w:val="none"/>
        </w:rPr>
        <w:t>（1）合同签订</w:t>
      </w:r>
      <w:r>
        <w:rPr>
          <w:rFonts w:hint="eastAsia" w:ascii="宋体" w:hAnsi="宋体" w:eastAsia="宋体" w:cs="华文仿宋"/>
          <w:color w:val="auto"/>
          <w:sz w:val="24"/>
          <w:highlight w:val="none"/>
          <w:lang w:val="en-US" w:eastAsia="zh-CN"/>
        </w:rPr>
        <w:t>交车</w:t>
      </w:r>
      <w:r>
        <w:rPr>
          <w:rFonts w:hint="eastAsia" w:ascii="宋体" w:hAnsi="宋体" w:eastAsia="宋体" w:cs="华文仿宋"/>
          <w:color w:val="auto"/>
          <w:sz w:val="24"/>
          <w:highlight w:val="none"/>
        </w:rPr>
        <w:t>后，</w:t>
      </w:r>
      <w:r>
        <w:rPr>
          <w:rFonts w:hint="eastAsia" w:ascii="宋体" w:hAnsi="宋体" w:cs="华文仿宋"/>
          <w:color w:val="auto"/>
          <w:sz w:val="24"/>
          <w:highlight w:val="none"/>
          <w:lang w:eastAsia="zh-CN"/>
        </w:rPr>
        <w:t>支付第一年租金</w:t>
      </w:r>
      <w:r>
        <w:rPr>
          <w:rFonts w:hint="eastAsia" w:ascii="宋体" w:hAnsi="宋体" w:eastAsia="宋体" w:cs="华文仿宋"/>
          <w:color w:val="auto"/>
          <w:sz w:val="24"/>
          <w:highlight w:val="none"/>
        </w:rPr>
        <w:t>；</w:t>
      </w:r>
    </w:p>
    <w:p w14:paraId="4AAED802">
      <w:pPr>
        <w:spacing w:line="360" w:lineRule="auto"/>
        <w:ind w:firstLine="480" w:firstLineChars="200"/>
        <w:rPr>
          <w:rFonts w:ascii="宋体" w:hAnsi="宋体" w:cs="仿宋"/>
          <w:color w:val="auto"/>
          <w:sz w:val="24"/>
          <w:highlight w:val="none"/>
          <w:lang w:val="zh-TW" w:bidi="zh-CN"/>
        </w:rPr>
      </w:pPr>
      <w:r>
        <w:rPr>
          <w:rFonts w:hint="eastAsia" w:ascii="宋体" w:hAnsi="宋体" w:eastAsia="宋体" w:cs="华文仿宋"/>
          <w:color w:val="auto"/>
          <w:sz w:val="24"/>
          <w:highlight w:val="none"/>
        </w:rPr>
        <w:t>（2）</w:t>
      </w:r>
      <w:r>
        <w:rPr>
          <w:rFonts w:hint="eastAsia" w:ascii="宋体" w:hAnsi="宋体" w:cs="华文仿宋"/>
          <w:color w:val="auto"/>
          <w:sz w:val="24"/>
          <w:highlight w:val="none"/>
          <w:lang w:val="en-US" w:eastAsia="zh-CN"/>
        </w:rPr>
        <w:t>一年期满支付第二年租金，第二年期满支付第三年租金</w:t>
      </w:r>
      <w:r>
        <w:rPr>
          <w:rFonts w:hint="eastAsia" w:ascii="宋体" w:hAnsi="宋体" w:eastAsia="宋体" w:cs="华文仿宋"/>
          <w:color w:val="auto"/>
          <w:sz w:val="24"/>
          <w:highlight w:val="none"/>
        </w:rPr>
        <w:t>。</w:t>
      </w:r>
    </w:p>
    <w:p w14:paraId="2E168617">
      <w:pPr>
        <w:spacing w:line="360" w:lineRule="auto"/>
        <w:rPr>
          <w:rFonts w:ascii="宋体" w:hAnsi="宋体" w:cs="宋体"/>
          <w:b/>
          <w:color w:val="auto"/>
          <w:sz w:val="24"/>
          <w:highlight w:val="none"/>
        </w:rPr>
      </w:pPr>
    </w:p>
    <w:p w14:paraId="680397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w:t>
      </w:r>
    </w:p>
    <w:p w14:paraId="721EDD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1.除交易文件标注的参考品牌外，欢迎其它能满足本项目技术需求且性能与所注品牌相当的产品参与。</w:t>
      </w:r>
    </w:p>
    <w:p w14:paraId="4C1F00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2.如有附图，仅作参考。</w:t>
      </w:r>
    </w:p>
    <w:p w14:paraId="724ADD3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3.交易文件中打▲内容为实质性要求，不允许有负偏离，否则将以涉及无效投标条款作无效投标。</w:t>
      </w:r>
    </w:p>
    <w:p w14:paraId="7D05B3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4、中标供应商所提供的货物、服务须与投标承诺一致，不得以次充好、偷工减料，若在项目验收中发现有上述情况，将向有关部门举报，根据相关规定进行处理。</w:t>
      </w:r>
    </w:p>
    <w:p w14:paraId="1F3A0E2C">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22D5F8D3">
      <w:pPr>
        <w:jc w:val="center"/>
        <w:rPr>
          <w:rFonts w:ascii="宋体" w:hAnsi="宋体" w:cs="宋体"/>
          <w:b/>
          <w:color w:val="auto"/>
          <w:sz w:val="36"/>
          <w:szCs w:val="36"/>
          <w:highlight w:val="none"/>
        </w:rPr>
        <w:sectPr>
          <w:headerReference r:id="rId6" w:type="first"/>
          <w:footerReference r:id="rId8" w:type="first"/>
          <w:headerReference r:id="rId5" w:type="default"/>
          <w:footerReference r:id="rId7" w:type="default"/>
          <w:pgSz w:w="11906" w:h="16838"/>
          <w:pgMar w:top="1440" w:right="1440" w:bottom="1440" w:left="1440" w:header="851" w:footer="992" w:gutter="0"/>
          <w:cols w:space="720" w:num="1"/>
          <w:titlePg/>
          <w:docGrid w:linePitch="312" w:charSpace="0"/>
        </w:sectPr>
      </w:pPr>
    </w:p>
    <w:p w14:paraId="745A03B8">
      <w:pPr>
        <w:spacing w:line="360" w:lineRule="auto"/>
        <w:jc w:val="center"/>
        <w:rPr>
          <w:rFonts w:ascii="宋体" w:hAnsi="宋体" w:cs="宋体"/>
          <w:bCs/>
          <w:color w:val="auto"/>
          <w:sz w:val="24"/>
          <w:highlight w:val="none"/>
        </w:rPr>
      </w:pPr>
      <w:r>
        <w:rPr>
          <w:rFonts w:hint="eastAsia" w:ascii="宋体" w:hAnsi="宋体" w:cs="宋体"/>
          <w:b/>
          <w:color w:val="auto"/>
          <w:sz w:val="36"/>
          <w:szCs w:val="36"/>
          <w:highlight w:val="none"/>
        </w:rPr>
        <w:t xml:space="preserve">第四部分   </w:t>
      </w:r>
      <w:bookmarkStart w:id="15" w:name="_Toc184308097"/>
      <w:bookmarkEnd w:id="15"/>
      <w:bookmarkStart w:id="16" w:name="_Toc184314444"/>
      <w:bookmarkEnd w:id="16"/>
      <w:bookmarkStart w:id="17" w:name="_Toc184314432"/>
      <w:bookmarkEnd w:id="17"/>
      <w:bookmarkStart w:id="18" w:name="_Toc184313245"/>
      <w:bookmarkEnd w:id="18"/>
      <w:bookmarkStart w:id="19" w:name="_Toc184312074"/>
      <w:bookmarkEnd w:id="19"/>
      <w:bookmarkStart w:id="20" w:name="_Toc184314476"/>
      <w:bookmarkEnd w:id="20"/>
      <w:bookmarkStart w:id="21" w:name="_Toc184308049"/>
      <w:bookmarkEnd w:id="21"/>
      <w:bookmarkStart w:id="22" w:name="_Toc184310315"/>
      <w:bookmarkEnd w:id="22"/>
      <w:bookmarkStart w:id="23" w:name="_Toc184314459"/>
      <w:bookmarkEnd w:id="23"/>
      <w:bookmarkStart w:id="24" w:name="_Toc184313248"/>
      <w:bookmarkEnd w:id="24"/>
      <w:bookmarkStart w:id="25" w:name="_Toc184308053"/>
      <w:bookmarkEnd w:id="25"/>
      <w:bookmarkStart w:id="26" w:name="_Toc184312087"/>
      <w:bookmarkEnd w:id="26"/>
      <w:bookmarkStart w:id="27" w:name="_Toc184308060"/>
      <w:bookmarkEnd w:id="27"/>
      <w:bookmarkStart w:id="28" w:name="_Toc184310297"/>
      <w:bookmarkEnd w:id="28"/>
      <w:bookmarkStart w:id="29" w:name="_Toc184312076"/>
      <w:bookmarkEnd w:id="29"/>
      <w:bookmarkStart w:id="30" w:name="_Toc184310320"/>
      <w:bookmarkEnd w:id="30"/>
      <w:bookmarkStart w:id="31" w:name="_Toc184310294"/>
      <w:bookmarkEnd w:id="31"/>
      <w:bookmarkStart w:id="32" w:name="_Toc184310324"/>
      <w:bookmarkEnd w:id="32"/>
      <w:bookmarkStart w:id="33" w:name="_Toc184308107"/>
      <w:bookmarkEnd w:id="33"/>
      <w:bookmarkStart w:id="34" w:name="_Toc184310275"/>
      <w:bookmarkEnd w:id="34"/>
      <w:bookmarkStart w:id="35" w:name="_Toc184314455"/>
      <w:bookmarkEnd w:id="35"/>
      <w:bookmarkStart w:id="36" w:name="_Toc184310274"/>
      <w:bookmarkEnd w:id="36"/>
      <w:bookmarkStart w:id="37" w:name="_Toc184310281"/>
      <w:bookmarkEnd w:id="37"/>
      <w:bookmarkStart w:id="38" w:name="_Toc184314447"/>
      <w:bookmarkEnd w:id="38"/>
      <w:bookmarkStart w:id="39" w:name="_Toc184310330"/>
      <w:bookmarkEnd w:id="39"/>
      <w:bookmarkStart w:id="40" w:name="_Toc184308039"/>
      <w:bookmarkEnd w:id="40"/>
      <w:bookmarkStart w:id="41" w:name="_Toc184313303"/>
      <w:bookmarkEnd w:id="41"/>
      <w:bookmarkStart w:id="42" w:name="_Toc184312119"/>
      <w:bookmarkEnd w:id="42"/>
      <w:bookmarkStart w:id="43" w:name="_Toc184308080"/>
      <w:bookmarkEnd w:id="43"/>
      <w:bookmarkStart w:id="44" w:name="_Toc184314436"/>
      <w:bookmarkEnd w:id="44"/>
      <w:bookmarkStart w:id="45" w:name="_Toc184310316"/>
      <w:bookmarkEnd w:id="45"/>
      <w:bookmarkStart w:id="46" w:name="_Toc184314419"/>
      <w:bookmarkEnd w:id="46"/>
      <w:bookmarkStart w:id="47" w:name="_Toc184308038"/>
      <w:bookmarkEnd w:id="47"/>
      <w:bookmarkStart w:id="48" w:name="_Toc184314448"/>
      <w:bookmarkEnd w:id="48"/>
      <w:bookmarkStart w:id="49" w:name="_Toc184308076"/>
      <w:bookmarkEnd w:id="49"/>
      <w:bookmarkStart w:id="50" w:name="_Toc184314454"/>
      <w:bookmarkEnd w:id="50"/>
      <w:bookmarkStart w:id="51" w:name="_Toc184308057"/>
      <w:bookmarkEnd w:id="51"/>
      <w:bookmarkStart w:id="52" w:name="_Toc184308063"/>
      <w:bookmarkEnd w:id="52"/>
      <w:bookmarkStart w:id="53" w:name="_Toc184313272"/>
      <w:bookmarkEnd w:id="53"/>
      <w:bookmarkStart w:id="54" w:name="_Toc184314471"/>
      <w:bookmarkEnd w:id="54"/>
      <w:bookmarkStart w:id="55" w:name="_Toc184312128"/>
      <w:bookmarkEnd w:id="55"/>
      <w:bookmarkStart w:id="56" w:name="_Toc184314418"/>
      <w:bookmarkEnd w:id="56"/>
      <w:bookmarkStart w:id="57" w:name="_Toc184313264"/>
      <w:bookmarkEnd w:id="57"/>
      <w:bookmarkStart w:id="58" w:name="_Toc184310323"/>
      <w:bookmarkEnd w:id="58"/>
      <w:bookmarkStart w:id="59" w:name="_Toc184313274"/>
      <w:bookmarkEnd w:id="59"/>
      <w:bookmarkStart w:id="60" w:name="_Toc184313288"/>
      <w:bookmarkEnd w:id="60"/>
      <w:bookmarkStart w:id="61" w:name="_Toc184313258"/>
      <w:bookmarkEnd w:id="61"/>
      <w:bookmarkStart w:id="62" w:name="_Toc184312079"/>
      <w:bookmarkEnd w:id="62"/>
      <w:bookmarkStart w:id="63" w:name="_Toc184314433"/>
      <w:bookmarkEnd w:id="63"/>
      <w:bookmarkStart w:id="64" w:name="_Toc184312070"/>
      <w:bookmarkEnd w:id="64"/>
      <w:bookmarkStart w:id="65" w:name="_Toc184314449"/>
      <w:bookmarkEnd w:id="65"/>
      <w:bookmarkStart w:id="66" w:name="_Toc184308086"/>
      <w:bookmarkEnd w:id="66"/>
      <w:bookmarkStart w:id="67" w:name="_Toc184310343"/>
      <w:bookmarkEnd w:id="67"/>
      <w:bookmarkStart w:id="68" w:name="_Toc184314428"/>
      <w:bookmarkEnd w:id="68"/>
      <w:bookmarkStart w:id="69" w:name="_Toc184312083"/>
      <w:bookmarkEnd w:id="69"/>
      <w:bookmarkStart w:id="70" w:name="_Toc184310309"/>
      <w:bookmarkEnd w:id="70"/>
      <w:bookmarkStart w:id="71" w:name="_Toc184308040"/>
      <w:bookmarkEnd w:id="71"/>
      <w:bookmarkStart w:id="72" w:name="_Toc184313268"/>
      <w:bookmarkEnd w:id="72"/>
      <w:bookmarkStart w:id="73" w:name="_Toc184314481"/>
      <w:bookmarkEnd w:id="73"/>
      <w:bookmarkStart w:id="74" w:name="_Toc184313253"/>
      <w:bookmarkEnd w:id="74"/>
      <w:bookmarkStart w:id="75" w:name="_Toc184312089"/>
      <w:bookmarkEnd w:id="75"/>
      <w:bookmarkStart w:id="76" w:name="_Toc184314414"/>
      <w:bookmarkEnd w:id="76"/>
      <w:bookmarkStart w:id="77" w:name="_Toc184313299"/>
      <w:bookmarkEnd w:id="77"/>
      <w:bookmarkStart w:id="78" w:name="_Toc184308073"/>
      <w:bookmarkEnd w:id="78"/>
      <w:bookmarkStart w:id="79" w:name="_Toc184312109"/>
      <w:bookmarkEnd w:id="79"/>
      <w:bookmarkStart w:id="80" w:name="_Toc184312085"/>
      <w:bookmarkEnd w:id="80"/>
      <w:bookmarkStart w:id="81" w:name="_Toc184310287"/>
      <w:bookmarkEnd w:id="81"/>
      <w:bookmarkStart w:id="82" w:name="_Toc184313266"/>
      <w:bookmarkEnd w:id="82"/>
      <w:bookmarkStart w:id="83" w:name="_Toc184314442"/>
      <w:bookmarkEnd w:id="83"/>
      <w:bookmarkStart w:id="84" w:name="_Toc184310296"/>
      <w:bookmarkEnd w:id="84"/>
      <w:bookmarkStart w:id="85" w:name="_Toc184308102"/>
      <w:bookmarkEnd w:id="85"/>
      <w:bookmarkStart w:id="86" w:name="_Toc184314425"/>
      <w:bookmarkEnd w:id="86"/>
      <w:bookmarkStart w:id="87" w:name="_Toc184313304"/>
      <w:bookmarkEnd w:id="87"/>
      <w:bookmarkStart w:id="88" w:name="_Toc184310273"/>
      <w:bookmarkEnd w:id="88"/>
      <w:bookmarkStart w:id="89" w:name="_Toc184312127"/>
      <w:bookmarkEnd w:id="89"/>
      <w:bookmarkStart w:id="90" w:name="_Toc184314463"/>
      <w:bookmarkEnd w:id="90"/>
      <w:bookmarkStart w:id="91" w:name="_Toc184313257"/>
      <w:bookmarkEnd w:id="91"/>
      <w:bookmarkStart w:id="92" w:name="_Toc184314446"/>
      <w:bookmarkEnd w:id="92"/>
      <w:bookmarkStart w:id="93" w:name="_Toc184310313"/>
      <w:bookmarkEnd w:id="93"/>
      <w:bookmarkStart w:id="94" w:name="_Toc184313291"/>
      <w:bookmarkEnd w:id="94"/>
      <w:bookmarkStart w:id="95" w:name="_Toc184308070"/>
      <w:bookmarkEnd w:id="95"/>
      <w:bookmarkStart w:id="96" w:name="_Toc184313302"/>
      <w:bookmarkEnd w:id="96"/>
      <w:bookmarkStart w:id="97" w:name="_Toc184310304"/>
      <w:bookmarkEnd w:id="97"/>
      <w:bookmarkStart w:id="98" w:name="_Toc184308096"/>
      <w:bookmarkEnd w:id="98"/>
      <w:bookmarkStart w:id="99" w:name="_Toc184313262"/>
      <w:bookmarkEnd w:id="99"/>
      <w:bookmarkStart w:id="100" w:name="_Toc184312095"/>
      <w:bookmarkEnd w:id="100"/>
      <w:bookmarkStart w:id="101" w:name="_Toc184308066"/>
      <w:bookmarkEnd w:id="101"/>
      <w:bookmarkStart w:id="102" w:name="_Toc184313285"/>
      <w:bookmarkEnd w:id="102"/>
      <w:bookmarkStart w:id="103" w:name="_Toc184308050"/>
      <w:bookmarkEnd w:id="103"/>
      <w:bookmarkStart w:id="104" w:name="_Toc184310339"/>
      <w:bookmarkEnd w:id="104"/>
      <w:bookmarkStart w:id="105" w:name="_Toc184312130"/>
      <w:bookmarkEnd w:id="105"/>
      <w:bookmarkStart w:id="106" w:name="_Toc184310331"/>
      <w:bookmarkEnd w:id="106"/>
      <w:bookmarkStart w:id="107" w:name="_Toc184313273"/>
      <w:bookmarkEnd w:id="107"/>
      <w:bookmarkStart w:id="108" w:name="_Toc184314470"/>
      <w:bookmarkEnd w:id="108"/>
      <w:bookmarkStart w:id="109" w:name="_Toc184313276"/>
      <w:bookmarkEnd w:id="109"/>
      <w:bookmarkStart w:id="110" w:name="_Toc184313287"/>
      <w:bookmarkEnd w:id="110"/>
      <w:bookmarkStart w:id="111" w:name="_Toc184310321"/>
      <w:bookmarkEnd w:id="111"/>
      <w:bookmarkStart w:id="112" w:name="_Toc184308042"/>
      <w:bookmarkEnd w:id="112"/>
      <w:bookmarkStart w:id="113" w:name="_Toc184314438"/>
      <w:bookmarkEnd w:id="113"/>
      <w:bookmarkStart w:id="114" w:name="_Toc184312068"/>
      <w:bookmarkEnd w:id="114"/>
      <w:bookmarkStart w:id="115" w:name="_Toc184312100"/>
      <w:bookmarkEnd w:id="115"/>
      <w:bookmarkStart w:id="116" w:name="_Toc184312102"/>
      <w:bookmarkEnd w:id="116"/>
      <w:bookmarkStart w:id="117" w:name="_Toc184308047"/>
      <w:bookmarkEnd w:id="117"/>
      <w:bookmarkStart w:id="118" w:name="_Toc184308048"/>
      <w:bookmarkEnd w:id="118"/>
      <w:bookmarkStart w:id="119" w:name="_Toc184312123"/>
      <w:bookmarkEnd w:id="119"/>
      <w:bookmarkStart w:id="120" w:name="_Toc184313297"/>
      <w:bookmarkEnd w:id="120"/>
      <w:bookmarkStart w:id="121" w:name="_Toc184312073"/>
      <w:bookmarkEnd w:id="121"/>
      <w:bookmarkStart w:id="122" w:name="_Toc184312116"/>
      <w:bookmarkEnd w:id="122"/>
      <w:bookmarkStart w:id="123" w:name="_Toc184314457"/>
      <w:bookmarkEnd w:id="123"/>
      <w:bookmarkStart w:id="124" w:name="_Toc184312105"/>
      <w:bookmarkEnd w:id="124"/>
      <w:bookmarkStart w:id="125" w:name="_Toc184308055"/>
      <w:bookmarkEnd w:id="125"/>
      <w:bookmarkStart w:id="126" w:name="_Toc184313256"/>
      <w:bookmarkEnd w:id="126"/>
      <w:bookmarkStart w:id="127" w:name="_Toc184312132"/>
      <w:bookmarkEnd w:id="127"/>
      <w:bookmarkStart w:id="128" w:name="_Toc184308074"/>
      <w:bookmarkEnd w:id="128"/>
      <w:bookmarkStart w:id="129" w:name="_Toc184314456"/>
      <w:bookmarkEnd w:id="129"/>
      <w:bookmarkStart w:id="130" w:name="_Toc184308075"/>
      <w:bookmarkEnd w:id="130"/>
      <w:bookmarkStart w:id="131" w:name="_Toc184313275"/>
      <w:bookmarkEnd w:id="131"/>
      <w:bookmarkStart w:id="132" w:name="_Toc184314479"/>
      <w:bookmarkEnd w:id="132"/>
      <w:bookmarkStart w:id="133" w:name="_Toc184312135"/>
      <w:bookmarkEnd w:id="133"/>
      <w:bookmarkStart w:id="134" w:name="_Toc184313263"/>
      <w:bookmarkEnd w:id="134"/>
      <w:bookmarkStart w:id="135" w:name="_Toc184308093"/>
      <w:bookmarkEnd w:id="135"/>
      <w:bookmarkStart w:id="136" w:name="_Toc184314429"/>
      <w:bookmarkEnd w:id="136"/>
      <w:bookmarkStart w:id="137" w:name="_Toc184308056"/>
      <w:bookmarkEnd w:id="137"/>
      <w:bookmarkStart w:id="138" w:name="_Toc184312126"/>
      <w:bookmarkEnd w:id="138"/>
      <w:bookmarkStart w:id="139" w:name="_Toc184308084"/>
      <w:bookmarkEnd w:id="139"/>
      <w:bookmarkStart w:id="140" w:name="_Toc184308054"/>
      <w:bookmarkEnd w:id="140"/>
      <w:bookmarkStart w:id="141" w:name="_Toc184308065"/>
      <w:bookmarkEnd w:id="141"/>
      <w:bookmarkStart w:id="142" w:name="_Toc184314458"/>
      <w:bookmarkEnd w:id="142"/>
      <w:bookmarkStart w:id="143" w:name="_Toc184313278"/>
      <w:bookmarkEnd w:id="143"/>
      <w:bookmarkStart w:id="144" w:name="_Toc184313255"/>
      <w:bookmarkEnd w:id="144"/>
      <w:bookmarkStart w:id="145" w:name="_Toc184308058"/>
      <w:bookmarkEnd w:id="145"/>
      <w:bookmarkStart w:id="146" w:name="_Toc184312075"/>
      <w:bookmarkEnd w:id="146"/>
      <w:bookmarkStart w:id="147" w:name="_Toc184312090"/>
      <w:bookmarkEnd w:id="147"/>
      <w:bookmarkStart w:id="148" w:name="_Toc184313249"/>
      <w:bookmarkEnd w:id="148"/>
      <w:bookmarkStart w:id="149" w:name="_Toc184310298"/>
      <w:bookmarkEnd w:id="149"/>
      <w:bookmarkStart w:id="150" w:name="_Toc184310310"/>
      <w:bookmarkEnd w:id="150"/>
      <w:bookmarkStart w:id="151" w:name="_Toc184310279"/>
      <w:bookmarkEnd w:id="151"/>
      <w:bookmarkStart w:id="152" w:name="_Toc184308078"/>
      <w:bookmarkEnd w:id="152"/>
      <w:bookmarkStart w:id="153" w:name="_Toc184313294"/>
      <w:bookmarkEnd w:id="153"/>
      <w:bookmarkStart w:id="154" w:name="_Toc184314434"/>
      <w:bookmarkEnd w:id="154"/>
      <w:bookmarkStart w:id="155" w:name="_Toc184312104"/>
      <w:bookmarkEnd w:id="155"/>
      <w:bookmarkStart w:id="156" w:name="_Toc184310302"/>
      <w:bookmarkEnd w:id="156"/>
      <w:bookmarkStart w:id="157" w:name="_Toc184314410"/>
      <w:bookmarkEnd w:id="157"/>
      <w:bookmarkStart w:id="158" w:name="_Toc184312067"/>
      <w:bookmarkEnd w:id="158"/>
      <w:bookmarkStart w:id="159" w:name="_Toc184313292"/>
      <w:bookmarkEnd w:id="159"/>
      <w:bookmarkStart w:id="160" w:name="_Toc184308088"/>
      <w:bookmarkEnd w:id="160"/>
      <w:bookmarkStart w:id="161" w:name="_Toc184310325"/>
      <w:bookmarkEnd w:id="161"/>
      <w:bookmarkStart w:id="162" w:name="_Toc184308089"/>
      <w:bookmarkEnd w:id="162"/>
      <w:bookmarkStart w:id="163" w:name="_Toc184314435"/>
      <w:bookmarkEnd w:id="163"/>
      <w:bookmarkStart w:id="164" w:name="_Toc184308108"/>
      <w:bookmarkEnd w:id="164"/>
      <w:bookmarkStart w:id="165" w:name="_Toc184314423"/>
      <w:bookmarkEnd w:id="165"/>
      <w:bookmarkStart w:id="166" w:name="_Toc184308067"/>
      <w:bookmarkEnd w:id="166"/>
      <w:bookmarkStart w:id="167" w:name="_Toc184310276"/>
      <w:bookmarkEnd w:id="167"/>
      <w:bookmarkStart w:id="168" w:name="_Toc184310295"/>
      <w:bookmarkEnd w:id="168"/>
      <w:bookmarkStart w:id="169" w:name="_Toc184314452"/>
      <w:bookmarkEnd w:id="169"/>
      <w:bookmarkStart w:id="170" w:name="_Toc184313281"/>
      <w:bookmarkEnd w:id="170"/>
      <w:bookmarkStart w:id="171" w:name="_Toc184308052"/>
      <w:bookmarkEnd w:id="171"/>
      <w:bookmarkStart w:id="172" w:name="_Toc184312111"/>
      <w:bookmarkEnd w:id="172"/>
      <w:bookmarkStart w:id="173" w:name="_Toc184308087"/>
      <w:bookmarkEnd w:id="173"/>
      <w:bookmarkStart w:id="174" w:name="_Toc184310319"/>
      <w:bookmarkEnd w:id="174"/>
      <w:bookmarkStart w:id="175" w:name="_Toc184310338"/>
      <w:bookmarkEnd w:id="175"/>
      <w:bookmarkStart w:id="176" w:name="_Toc184312136"/>
      <w:bookmarkEnd w:id="176"/>
      <w:bookmarkStart w:id="177" w:name="_Toc184308099"/>
      <w:bookmarkEnd w:id="177"/>
      <w:bookmarkStart w:id="178" w:name="_Toc184312101"/>
      <w:bookmarkEnd w:id="178"/>
      <w:bookmarkStart w:id="179" w:name="_Toc184312108"/>
      <w:bookmarkEnd w:id="179"/>
      <w:bookmarkStart w:id="180" w:name="_Toc184312131"/>
      <w:bookmarkEnd w:id="180"/>
      <w:bookmarkStart w:id="181" w:name="_Toc184308101"/>
      <w:bookmarkEnd w:id="181"/>
      <w:bookmarkStart w:id="182" w:name="_Toc184314469"/>
      <w:bookmarkEnd w:id="182"/>
      <w:bookmarkStart w:id="183" w:name="_Toc184312077"/>
      <w:bookmarkEnd w:id="183"/>
      <w:bookmarkStart w:id="184" w:name="_Toc184312115"/>
      <w:bookmarkEnd w:id="184"/>
      <w:bookmarkStart w:id="185" w:name="_Toc184313261"/>
      <w:bookmarkEnd w:id="185"/>
      <w:bookmarkStart w:id="186" w:name="_Toc184312071"/>
      <w:bookmarkEnd w:id="186"/>
      <w:bookmarkStart w:id="187" w:name="_Toc184314431"/>
      <w:bookmarkEnd w:id="187"/>
      <w:bookmarkStart w:id="188" w:name="_Toc184310278"/>
      <w:bookmarkEnd w:id="188"/>
      <w:bookmarkStart w:id="189" w:name="_Toc184314474"/>
      <w:bookmarkEnd w:id="189"/>
      <w:bookmarkStart w:id="190" w:name="_Toc184314422"/>
      <w:bookmarkEnd w:id="190"/>
      <w:bookmarkStart w:id="191" w:name="_Toc184313252"/>
      <w:bookmarkEnd w:id="191"/>
      <w:bookmarkStart w:id="192" w:name="_Toc184310282"/>
      <w:bookmarkEnd w:id="192"/>
      <w:bookmarkStart w:id="193" w:name="_Toc184310328"/>
      <w:bookmarkEnd w:id="193"/>
      <w:bookmarkStart w:id="194" w:name="_Toc184313282"/>
      <w:bookmarkEnd w:id="194"/>
      <w:bookmarkStart w:id="195" w:name="_Toc184313280"/>
      <w:bookmarkEnd w:id="195"/>
      <w:bookmarkStart w:id="196" w:name="_Toc184313296"/>
      <w:bookmarkEnd w:id="196"/>
      <w:bookmarkStart w:id="197" w:name="_Toc184308092"/>
      <w:bookmarkEnd w:id="197"/>
      <w:bookmarkStart w:id="198" w:name="_Toc184308069"/>
      <w:bookmarkEnd w:id="198"/>
      <w:bookmarkStart w:id="199" w:name="_Toc184313239"/>
      <w:bookmarkEnd w:id="199"/>
      <w:bookmarkStart w:id="200" w:name="_Toc184312121"/>
      <w:bookmarkEnd w:id="200"/>
      <w:bookmarkStart w:id="201" w:name="_Toc184314461"/>
      <w:bookmarkEnd w:id="201"/>
      <w:bookmarkStart w:id="202" w:name="_Toc184308046"/>
      <w:bookmarkEnd w:id="202"/>
      <w:bookmarkStart w:id="203" w:name="_Toc184312137"/>
      <w:bookmarkEnd w:id="203"/>
      <w:bookmarkStart w:id="204" w:name="_Toc184310335"/>
      <w:bookmarkEnd w:id="204"/>
      <w:bookmarkStart w:id="205" w:name="_Toc184313305"/>
      <w:bookmarkEnd w:id="205"/>
      <w:bookmarkStart w:id="206" w:name="_Toc184313284"/>
      <w:bookmarkEnd w:id="206"/>
      <w:bookmarkStart w:id="207" w:name="_Toc184314430"/>
      <w:bookmarkEnd w:id="207"/>
      <w:bookmarkStart w:id="208" w:name="_Toc184310292"/>
      <w:bookmarkEnd w:id="208"/>
      <w:bookmarkStart w:id="209" w:name="_Toc184310289"/>
      <w:bookmarkEnd w:id="209"/>
      <w:bookmarkStart w:id="210" w:name="_Toc184313270"/>
      <w:bookmarkEnd w:id="210"/>
      <w:bookmarkStart w:id="211" w:name="_Toc184310326"/>
      <w:bookmarkEnd w:id="211"/>
      <w:bookmarkStart w:id="212" w:name="_Toc184310312"/>
      <w:bookmarkEnd w:id="212"/>
      <w:bookmarkStart w:id="213" w:name="_Toc184310337"/>
      <w:bookmarkEnd w:id="213"/>
      <w:bookmarkStart w:id="214" w:name="_Toc184310318"/>
      <w:bookmarkEnd w:id="214"/>
      <w:bookmarkStart w:id="215" w:name="_Toc184310327"/>
      <w:bookmarkEnd w:id="215"/>
      <w:bookmarkStart w:id="216" w:name="_Toc184310307"/>
      <w:bookmarkEnd w:id="216"/>
      <w:bookmarkStart w:id="217" w:name="_Toc184314464"/>
      <w:bookmarkEnd w:id="217"/>
      <w:bookmarkStart w:id="218" w:name="_Toc184313289"/>
      <w:bookmarkEnd w:id="218"/>
      <w:bookmarkStart w:id="219" w:name="_Toc184310336"/>
      <w:bookmarkEnd w:id="219"/>
      <w:bookmarkStart w:id="220" w:name="_Toc184310301"/>
      <w:bookmarkEnd w:id="220"/>
      <w:bookmarkStart w:id="221" w:name="_Toc184310305"/>
      <w:bookmarkEnd w:id="221"/>
      <w:bookmarkStart w:id="222" w:name="_Toc184310290"/>
      <w:bookmarkEnd w:id="222"/>
      <w:bookmarkStart w:id="223" w:name="_Toc184310333"/>
      <w:bookmarkEnd w:id="223"/>
      <w:bookmarkStart w:id="224" w:name="_Toc184312081"/>
      <w:bookmarkEnd w:id="224"/>
      <w:bookmarkStart w:id="225" w:name="_Toc184308082"/>
      <w:bookmarkEnd w:id="225"/>
      <w:bookmarkStart w:id="226" w:name="_Toc184310308"/>
      <w:bookmarkEnd w:id="226"/>
      <w:bookmarkStart w:id="227" w:name="_Toc184314466"/>
      <w:bookmarkEnd w:id="227"/>
      <w:bookmarkStart w:id="228" w:name="_Toc184312086"/>
      <w:bookmarkEnd w:id="228"/>
      <w:bookmarkStart w:id="229" w:name="_Toc184310300"/>
      <w:bookmarkEnd w:id="229"/>
      <w:bookmarkStart w:id="230" w:name="_Toc184312117"/>
      <w:bookmarkEnd w:id="230"/>
      <w:bookmarkStart w:id="231" w:name="_Toc184314467"/>
      <w:bookmarkEnd w:id="231"/>
      <w:bookmarkStart w:id="232" w:name="_Toc184308094"/>
      <w:bookmarkEnd w:id="232"/>
      <w:bookmarkStart w:id="233" w:name="_Toc184312107"/>
      <w:bookmarkEnd w:id="233"/>
      <w:bookmarkStart w:id="234" w:name="_Toc184308100"/>
      <w:bookmarkEnd w:id="234"/>
      <w:bookmarkStart w:id="235" w:name="_Toc184313279"/>
      <w:bookmarkEnd w:id="235"/>
      <w:bookmarkStart w:id="236" w:name="_Toc184313269"/>
      <w:bookmarkEnd w:id="236"/>
      <w:bookmarkStart w:id="237" w:name="_Toc184314437"/>
      <w:bookmarkEnd w:id="237"/>
      <w:bookmarkStart w:id="238" w:name="_Toc184312110"/>
      <w:bookmarkEnd w:id="238"/>
      <w:bookmarkStart w:id="239" w:name="_Toc184310288"/>
      <w:bookmarkEnd w:id="239"/>
      <w:bookmarkStart w:id="240" w:name="_Toc184310322"/>
      <w:bookmarkEnd w:id="240"/>
      <w:bookmarkStart w:id="241" w:name="_Toc184308037"/>
      <w:bookmarkEnd w:id="241"/>
      <w:bookmarkStart w:id="242" w:name="_Toc184313243"/>
      <w:bookmarkEnd w:id="242"/>
      <w:bookmarkStart w:id="243" w:name="_Toc184308077"/>
      <w:bookmarkEnd w:id="243"/>
      <w:bookmarkStart w:id="244" w:name="_Toc184312120"/>
      <w:bookmarkEnd w:id="244"/>
      <w:bookmarkStart w:id="245" w:name="_Toc184310303"/>
      <w:bookmarkEnd w:id="245"/>
      <w:bookmarkStart w:id="246" w:name="_Toc184313301"/>
      <w:bookmarkEnd w:id="246"/>
      <w:bookmarkStart w:id="247" w:name="_Toc184308036"/>
      <w:bookmarkEnd w:id="247"/>
      <w:bookmarkStart w:id="248" w:name="_Toc184314472"/>
      <w:bookmarkEnd w:id="248"/>
      <w:bookmarkStart w:id="249" w:name="_Toc184308098"/>
      <w:bookmarkEnd w:id="249"/>
      <w:bookmarkStart w:id="250" w:name="_Toc184313295"/>
      <w:bookmarkEnd w:id="250"/>
      <w:bookmarkStart w:id="251" w:name="_Toc184310293"/>
      <w:bookmarkEnd w:id="251"/>
      <w:bookmarkStart w:id="252" w:name="_Toc184314450"/>
      <w:bookmarkEnd w:id="252"/>
      <w:bookmarkStart w:id="253" w:name="_Toc184313286"/>
      <w:bookmarkEnd w:id="253"/>
      <w:bookmarkStart w:id="254" w:name="_Toc184312072"/>
      <w:bookmarkEnd w:id="254"/>
      <w:bookmarkStart w:id="255" w:name="_Toc184314426"/>
      <w:bookmarkEnd w:id="255"/>
      <w:bookmarkStart w:id="256" w:name="_Toc184308079"/>
      <w:bookmarkEnd w:id="256"/>
      <w:bookmarkStart w:id="257" w:name="_Toc184313246"/>
      <w:bookmarkEnd w:id="257"/>
      <w:bookmarkStart w:id="258" w:name="_Toc184308045"/>
      <w:bookmarkEnd w:id="258"/>
      <w:bookmarkStart w:id="259" w:name="_Toc184310344"/>
      <w:bookmarkEnd w:id="259"/>
      <w:bookmarkStart w:id="260" w:name="_Toc184308081"/>
      <w:bookmarkEnd w:id="260"/>
      <w:bookmarkStart w:id="261" w:name="_Toc184312069"/>
      <w:bookmarkEnd w:id="261"/>
      <w:bookmarkStart w:id="262" w:name="_Toc184312129"/>
      <w:bookmarkEnd w:id="262"/>
      <w:bookmarkStart w:id="263" w:name="_Toc184314415"/>
      <w:bookmarkEnd w:id="263"/>
      <w:bookmarkStart w:id="264" w:name="_Toc184314421"/>
      <w:bookmarkEnd w:id="264"/>
      <w:bookmarkStart w:id="265" w:name="_Toc184314475"/>
      <w:bookmarkEnd w:id="265"/>
      <w:bookmarkStart w:id="266" w:name="_Toc184314468"/>
      <w:bookmarkEnd w:id="266"/>
      <w:bookmarkStart w:id="267" w:name="_Toc184314440"/>
      <w:bookmarkEnd w:id="267"/>
      <w:bookmarkStart w:id="268" w:name="_Toc184310311"/>
      <w:bookmarkEnd w:id="268"/>
      <w:bookmarkStart w:id="269" w:name="_Toc184310306"/>
      <w:bookmarkEnd w:id="269"/>
      <w:bookmarkStart w:id="270" w:name="_Toc184314460"/>
      <w:bookmarkEnd w:id="270"/>
      <w:bookmarkStart w:id="271" w:name="_Toc184308104"/>
      <w:bookmarkEnd w:id="271"/>
      <w:bookmarkStart w:id="272" w:name="_Toc184308105"/>
      <w:bookmarkEnd w:id="272"/>
      <w:bookmarkStart w:id="273" w:name="_Toc184312112"/>
      <w:bookmarkEnd w:id="273"/>
      <w:bookmarkStart w:id="274" w:name="_Toc184314473"/>
      <w:bookmarkEnd w:id="274"/>
      <w:bookmarkStart w:id="275" w:name="_Toc184313241"/>
      <w:bookmarkEnd w:id="275"/>
      <w:bookmarkStart w:id="276" w:name="_Toc184308085"/>
      <w:bookmarkEnd w:id="276"/>
      <w:bookmarkStart w:id="277" w:name="_Toc184312097"/>
      <w:bookmarkEnd w:id="277"/>
      <w:bookmarkStart w:id="278" w:name="_Toc184308061"/>
      <w:bookmarkEnd w:id="278"/>
      <w:bookmarkStart w:id="279" w:name="_Toc184313309"/>
      <w:bookmarkEnd w:id="279"/>
      <w:bookmarkStart w:id="280" w:name="_Toc184313293"/>
      <w:bookmarkEnd w:id="280"/>
      <w:bookmarkStart w:id="281" w:name="_Toc184310284"/>
      <w:bookmarkEnd w:id="281"/>
      <w:bookmarkStart w:id="282" w:name="_Toc184310272"/>
      <w:bookmarkEnd w:id="282"/>
      <w:bookmarkStart w:id="283" w:name="_Toc184308044"/>
      <w:bookmarkEnd w:id="283"/>
      <w:bookmarkStart w:id="284" w:name="_Toc184308072"/>
      <w:bookmarkEnd w:id="284"/>
      <w:bookmarkStart w:id="285" w:name="_Toc184308043"/>
      <w:bookmarkEnd w:id="285"/>
      <w:bookmarkStart w:id="286" w:name="_Toc184313244"/>
      <w:bookmarkEnd w:id="286"/>
      <w:bookmarkStart w:id="287" w:name="_Toc184313307"/>
      <w:bookmarkEnd w:id="287"/>
      <w:bookmarkStart w:id="288" w:name="_Toc184314443"/>
      <w:bookmarkEnd w:id="288"/>
      <w:bookmarkStart w:id="289" w:name="_Toc184313240"/>
      <w:bookmarkEnd w:id="289"/>
      <w:bookmarkStart w:id="290" w:name="_Toc184314420"/>
      <w:bookmarkEnd w:id="290"/>
      <w:bookmarkStart w:id="291" w:name="_Toc184312122"/>
      <w:bookmarkEnd w:id="291"/>
      <w:bookmarkStart w:id="292" w:name="_Toc184312096"/>
      <w:bookmarkEnd w:id="292"/>
      <w:bookmarkStart w:id="293" w:name="_Toc184308071"/>
      <w:bookmarkEnd w:id="293"/>
      <w:bookmarkStart w:id="294" w:name="_Toc184308103"/>
      <w:bookmarkEnd w:id="294"/>
      <w:bookmarkStart w:id="295" w:name="_Toc184312078"/>
      <w:bookmarkEnd w:id="295"/>
      <w:bookmarkStart w:id="296" w:name="_Toc184314413"/>
      <w:bookmarkEnd w:id="296"/>
      <w:bookmarkStart w:id="297" w:name="_Toc184312113"/>
      <w:bookmarkEnd w:id="297"/>
      <w:bookmarkStart w:id="298" w:name="_Toc184310299"/>
      <w:bookmarkEnd w:id="298"/>
      <w:bookmarkStart w:id="299" w:name="_Toc184313298"/>
      <w:bookmarkEnd w:id="299"/>
      <w:bookmarkStart w:id="300" w:name="_Toc184313290"/>
      <w:bookmarkEnd w:id="300"/>
      <w:bookmarkStart w:id="301" w:name="_Toc184308068"/>
      <w:bookmarkEnd w:id="301"/>
      <w:bookmarkStart w:id="302" w:name="_Toc184310342"/>
      <w:bookmarkEnd w:id="302"/>
      <w:bookmarkStart w:id="303" w:name="_Toc184312092"/>
      <w:bookmarkEnd w:id="303"/>
      <w:bookmarkStart w:id="304" w:name="_Toc184313271"/>
      <w:bookmarkEnd w:id="304"/>
      <w:bookmarkStart w:id="305" w:name="_Toc184313300"/>
      <w:bookmarkEnd w:id="305"/>
      <w:bookmarkStart w:id="306" w:name="_Toc184312139"/>
      <w:bookmarkEnd w:id="306"/>
      <w:bookmarkStart w:id="307" w:name="_Toc184312118"/>
      <w:bookmarkEnd w:id="307"/>
      <w:bookmarkStart w:id="308" w:name="_Toc184310334"/>
      <w:bookmarkEnd w:id="308"/>
      <w:bookmarkStart w:id="309" w:name="_Toc184314451"/>
      <w:bookmarkEnd w:id="309"/>
      <w:bookmarkStart w:id="310" w:name="_Toc184312088"/>
      <w:bookmarkEnd w:id="310"/>
      <w:bookmarkStart w:id="311" w:name="_Toc184308059"/>
      <w:bookmarkEnd w:id="311"/>
      <w:bookmarkStart w:id="312" w:name="_Toc184314417"/>
      <w:bookmarkEnd w:id="312"/>
      <w:bookmarkStart w:id="313" w:name="_Toc184314427"/>
      <w:bookmarkEnd w:id="313"/>
      <w:bookmarkStart w:id="314" w:name="_Toc184313259"/>
      <w:bookmarkEnd w:id="314"/>
      <w:bookmarkStart w:id="315" w:name="_Toc184310332"/>
      <w:bookmarkEnd w:id="315"/>
      <w:bookmarkStart w:id="316" w:name="_Toc184313283"/>
      <w:bookmarkEnd w:id="316"/>
      <w:bookmarkStart w:id="317" w:name="_Toc184308041"/>
      <w:bookmarkEnd w:id="317"/>
      <w:bookmarkStart w:id="318" w:name="_Toc184312084"/>
      <w:bookmarkEnd w:id="318"/>
      <w:bookmarkStart w:id="319" w:name="_Toc184308083"/>
      <w:bookmarkEnd w:id="319"/>
      <w:bookmarkStart w:id="320" w:name="_Toc184314416"/>
      <w:bookmarkEnd w:id="320"/>
      <w:bookmarkStart w:id="321" w:name="_Toc184314462"/>
      <w:bookmarkEnd w:id="321"/>
      <w:bookmarkStart w:id="322" w:name="_Toc184314445"/>
      <w:bookmarkEnd w:id="322"/>
      <w:bookmarkStart w:id="323" w:name="_Toc184312080"/>
      <w:bookmarkEnd w:id="323"/>
      <w:bookmarkStart w:id="324" w:name="_Toc184313251"/>
      <w:bookmarkEnd w:id="324"/>
      <w:bookmarkStart w:id="325" w:name="_Toc184313277"/>
      <w:bookmarkEnd w:id="325"/>
      <w:bookmarkStart w:id="326" w:name="_Toc184313310"/>
      <w:bookmarkEnd w:id="326"/>
      <w:bookmarkStart w:id="327" w:name="_Toc184312091"/>
      <w:bookmarkEnd w:id="327"/>
      <w:bookmarkStart w:id="328" w:name="_Toc184312124"/>
      <w:bookmarkEnd w:id="328"/>
      <w:bookmarkStart w:id="329" w:name="_Toc184314465"/>
      <w:bookmarkEnd w:id="329"/>
      <w:bookmarkStart w:id="330" w:name="_Toc184310314"/>
      <w:bookmarkEnd w:id="330"/>
      <w:bookmarkStart w:id="331" w:name="_Toc184312103"/>
      <w:bookmarkEnd w:id="331"/>
      <w:bookmarkStart w:id="332" w:name="_Toc184312099"/>
      <w:bookmarkEnd w:id="332"/>
      <w:bookmarkStart w:id="333" w:name="_Toc184313306"/>
      <w:bookmarkEnd w:id="333"/>
      <w:bookmarkStart w:id="334" w:name="_Toc184310286"/>
      <w:bookmarkEnd w:id="334"/>
      <w:bookmarkStart w:id="335" w:name="_Toc184314478"/>
      <w:bookmarkEnd w:id="335"/>
      <w:bookmarkStart w:id="336" w:name="_Toc184312133"/>
      <w:bookmarkEnd w:id="336"/>
      <w:bookmarkStart w:id="337" w:name="_Toc184312125"/>
      <w:bookmarkEnd w:id="337"/>
      <w:bookmarkStart w:id="338" w:name="_Toc184310277"/>
      <w:bookmarkEnd w:id="338"/>
      <w:bookmarkStart w:id="339" w:name="_Toc184308095"/>
      <w:bookmarkEnd w:id="339"/>
      <w:bookmarkStart w:id="340" w:name="_Toc184314453"/>
      <w:bookmarkEnd w:id="340"/>
      <w:bookmarkStart w:id="341" w:name="_Toc184310280"/>
      <w:bookmarkEnd w:id="341"/>
      <w:bookmarkStart w:id="342" w:name="_Toc184308064"/>
      <w:bookmarkEnd w:id="342"/>
      <w:bookmarkStart w:id="343" w:name="_Toc184310341"/>
      <w:bookmarkEnd w:id="343"/>
      <w:bookmarkStart w:id="344" w:name="_Toc184308062"/>
      <w:bookmarkEnd w:id="344"/>
      <w:bookmarkStart w:id="345" w:name="_Toc184314441"/>
      <w:bookmarkEnd w:id="345"/>
      <w:bookmarkStart w:id="346" w:name="_Toc184313254"/>
      <w:bookmarkEnd w:id="346"/>
      <w:bookmarkStart w:id="347" w:name="_Toc184312114"/>
      <w:bookmarkEnd w:id="347"/>
      <w:bookmarkStart w:id="348" w:name="_Toc184310291"/>
      <w:bookmarkEnd w:id="348"/>
      <w:bookmarkStart w:id="349" w:name="_Toc184312093"/>
      <w:bookmarkEnd w:id="349"/>
      <w:bookmarkStart w:id="350" w:name="_Toc184313242"/>
      <w:bookmarkEnd w:id="350"/>
      <w:bookmarkStart w:id="351" w:name="_Toc184312106"/>
      <w:bookmarkEnd w:id="351"/>
      <w:bookmarkStart w:id="352" w:name="_Toc184313238"/>
      <w:bookmarkEnd w:id="352"/>
      <w:bookmarkStart w:id="353" w:name="_Toc184308051"/>
      <w:bookmarkEnd w:id="353"/>
      <w:bookmarkStart w:id="354" w:name="_Toc184313250"/>
      <w:bookmarkEnd w:id="354"/>
      <w:bookmarkStart w:id="355" w:name="_Toc184312098"/>
      <w:bookmarkEnd w:id="355"/>
      <w:bookmarkStart w:id="356" w:name="_Toc184308106"/>
      <w:bookmarkEnd w:id="356"/>
      <w:bookmarkStart w:id="357" w:name="_Toc184314439"/>
      <w:bookmarkEnd w:id="357"/>
      <w:bookmarkStart w:id="358" w:name="_Toc184312134"/>
      <w:bookmarkEnd w:id="358"/>
      <w:bookmarkStart w:id="359" w:name="_Toc184312094"/>
      <w:bookmarkEnd w:id="359"/>
      <w:bookmarkStart w:id="360" w:name="_Toc184308090"/>
      <w:bookmarkEnd w:id="360"/>
      <w:bookmarkStart w:id="361" w:name="_Toc184313247"/>
      <w:bookmarkEnd w:id="361"/>
      <w:bookmarkStart w:id="362" w:name="_Toc184314411"/>
      <w:bookmarkEnd w:id="362"/>
      <w:bookmarkStart w:id="363" w:name="_Toc184313267"/>
      <w:bookmarkEnd w:id="363"/>
      <w:bookmarkStart w:id="364" w:name="_Toc184314480"/>
      <w:bookmarkEnd w:id="364"/>
      <w:bookmarkStart w:id="365" w:name="_Toc184313260"/>
      <w:bookmarkEnd w:id="365"/>
      <w:bookmarkStart w:id="366" w:name="_Toc184308091"/>
      <w:bookmarkEnd w:id="366"/>
      <w:bookmarkStart w:id="367" w:name="_Toc184312082"/>
      <w:bookmarkEnd w:id="367"/>
      <w:bookmarkStart w:id="368" w:name="_Toc184314477"/>
      <w:bookmarkEnd w:id="368"/>
      <w:bookmarkStart w:id="369" w:name="_Toc184313308"/>
      <w:bookmarkEnd w:id="369"/>
      <w:bookmarkStart w:id="370" w:name="_Toc184310285"/>
      <w:bookmarkEnd w:id="370"/>
      <w:bookmarkStart w:id="371" w:name="_Toc184314412"/>
      <w:bookmarkEnd w:id="371"/>
      <w:bookmarkStart w:id="372" w:name="_Toc184310340"/>
      <w:bookmarkEnd w:id="372"/>
      <w:bookmarkStart w:id="373" w:name="_Toc184310329"/>
      <w:bookmarkEnd w:id="373"/>
      <w:bookmarkStart w:id="374" w:name="_Toc184312138"/>
      <w:bookmarkEnd w:id="374"/>
      <w:bookmarkStart w:id="375" w:name="_Toc184314424"/>
      <w:bookmarkEnd w:id="375"/>
      <w:bookmarkStart w:id="376" w:name="_Toc184310317"/>
      <w:bookmarkEnd w:id="376"/>
      <w:bookmarkStart w:id="377" w:name="_Toc184314482"/>
      <w:bookmarkEnd w:id="377"/>
      <w:bookmarkStart w:id="378" w:name="_Toc184313265"/>
      <w:bookmarkEnd w:id="378"/>
      <w:bookmarkStart w:id="379" w:name="_Toc184310283"/>
      <w:bookmarkEnd w:id="379"/>
      <w:r>
        <w:rPr>
          <w:rFonts w:hint="eastAsia" w:ascii="宋体" w:hAnsi="宋体" w:cs="宋体"/>
          <w:b/>
          <w:color w:val="auto"/>
          <w:sz w:val="36"/>
          <w:szCs w:val="36"/>
          <w:highlight w:val="none"/>
        </w:rPr>
        <w:t>评标办法</w:t>
      </w:r>
    </w:p>
    <w:p w14:paraId="4E97FD79">
      <w:pPr>
        <w:snapToGrid w:val="0"/>
        <w:spacing w:line="360" w:lineRule="auto"/>
        <w:jc w:val="center"/>
        <w:rPr>
          <w:color w:val="auto"/>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217" w:tblpY="12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630"/>
        <w:gridCol w:w="975"/>
        <w:gridCol w:w="1058"/>
      </w:tblGrid>
      <w:tr w14:paraId="52E0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trPr>
        <w:tc>
          <w:tcPr>
            <w:tcW w:w="316" w:type="pct"/>
            <w:noWrap w:val="0"/>
            <w:vAlign w:val="center"/>
          </w:tcPr>
          <w:p w14:paraId="5AD506F1">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584" w:type="pct"/>
            <w:noWrap w:val="0"/>
            <w:vAlign w:val="center"/>
          </w:tcPr>
          <w:p w14:paraId="56E29A6E">
            <w:pPr>
              <w:ind w:firstLine="1560" w:firstLineChars="65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527" w:type="pct"/>
            <w:noWrap w:val="0"/>
            <w:vAlign w:val="center"/>
          </w:tcPr>
          <w:p w14:paraId="1946A5D7">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权重/分值</w:t>
            </w:r>
          </w:p>
        </w:tc>
        <w:tc>
          <w:tcPr>
            <w:tcW w:w="572" w:type="pct"/>
            <w:noWrap w:val="0"/>
            <w:vAlign w:val="center"/>
          </w:tcPr>
          <w:p w14:paraId="0E62E930">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客观分/主观分</w:t>
            </w:r>
          </w:p>
        </w:tc>
      </w:tr>
      <w:tr w14:paraId="68A3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16" w:type="pct"/>
            <w:noWrap w:val="0"/>
            <w:vAlign w:val="center"/>
          </w:tcPr>
          <w:p w14:paraId="5D61D914">
            <w:pPr>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84" w:type="pct"/>
            <w:noWrap w:val="0"/>
            <w:vAlign w:val="center"/>
          </w:tcPr>
          <w:p w14:paraId="467971D4">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【企业业绩】</w:t>
            </w:r>
          </w:p>
          <w:p w14:paraId="6E16FFFB">
            <w:p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响应人业绩：202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年1月1日以来,响应人实施过同类项目的业绩，每提供一个得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96D8F8B">
            <w:p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证明材料：须提供项目合同</w:t>
            </w:r>
            <w:r>
              <w:rPr>
                <w:rFonts w:hint="eastAsia" w:ascii="宋体" w:hAnsi="宋体" w:cs="宋体"/>
                <w:color w:val="auto"/>
                <w:sz w:val="24"/>
                <w:szCs w:val="24"/>
                <w:highlight w:val="none"/>
                <w:lang w:eastAsia="zh-CN"/>
              </w:rPr>
              <w:t>复印件并加盖公章</w:t>
            </w:r>
            <w:r>
              <w:rPr>
                <w:rFonts w:hint="eastAsia" w:ascii="宋体" w:hAnsi="宋体" w:eastAsia="宋体" w:cs="宋体"/>
                <w:color w:val="auto"/>
                <w:sz w:val="24"/>
                <w:szCs w:val="24"/>
                <w:highlight w:val="none"/>
              </w:rPr>
              <w:t>，以合同签订时间为准，不提供不得分。</w:t>
            </w:r>
          </w:p>
        </w:tc>
        <w:tc>
          <w:tcPr>
            <w:tcW w:w="527" w:type="pct"/>
            <w:noWrap w:val="0"/>
            <w:vAlign w:val="center"/>
          </w:tcPr>
          <w:p w14:paraId="331BAD2E">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72" w:type="pct"/>
            <w:noWrap w:val="0"/>
            <w:vAlign w:val="center"/>
          </w:tcPr>
          <w:p w14:paraId="668B0AB0">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7FC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16" w:type="pct"/>
            <w:noWrap w:val="0"/>
            <w:vAlign w:val="center"/>
          </w:tcPr>
          <w:p w14:paraId="45DABF3A">
            <w:pPr>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3584" w:type="pct"/>
            <w:noWrap w:val="0"/>
            <w:vAlign w:val="center"/>
          </w:tcPr>
          <w:p w14:paraId="63CB380F">
            <w:pPr>
              <w:adjustRightInd/>
              <w:spacing w:line="312" w:lineRule="auto"/>
              <w:jc w:val="left"/>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认证证书</w:t>
            </w:r>
            <w:r>
              <w:rPr>
                <w:rFonts w:hint="eastAsia" w:ascii="宋体" w:hAnsi="宋体" w:cs="宋体"/>
                <w:b/>
                <w:bCs/>
                <w:color w:val="auto"/>
                <w:sz w:val="24"/>
                <w:highlight w:val="none"/>
              </w:rPr>
              <w:t>】</w:t>
            </w:r>
          </w:p>
          <w:p w14:paraId="64A0D45A">
            <w:pPr>
              <w:spacing w:line="360" w:lineRule="auto"/>
              <w:jc w:val="left"/>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具有有效期内的质量管理体系认证证书</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具有有效期内的环境管理体系认证证书</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分，具有有效期内的</w:t>
            </w:r>
            <w:r>
              <w:rPr>
                <w:rFonts w:hint="eastAsia" w:ascii="宋体" w:hAnsi="宋体" w:eastAsia="宋体" w:cs="宋体"/>
                <w:color w:val="auto"/>
                <w:sz w:val="24"/>
                <w:szCs w:val="24"/>
                <w:highlight w:val="none"/>
                <w:lang w:val="en-US" w:eastAsia="zh-CN"/>
              </w:rPr>
              <w:t>售后服务认证</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具有有效期内的职业健康安全管理体系认证证书</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DFD9299">
            <w:pPr>
              <w:spacing w:line="360"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证</w:t>
            </w:r>
            <w:r>
              <w:rPr>
                <w:rFonts w:hint="eastAsia" w:ascii="宋体" w:hAnsi="宋体" w:eastAsia="宋体" w:cs="宋体"/>
                <w:color w:val="auto"/>
                <w:sz w:val="24"/>
                <w:szCs w:val="24"/>
                <w:highlight w:val="none"/>
              </w:rPr>
              <w:t>明材料：提供证书复印件</w:t>
            </w:r>
            <w:r>
              <w:rPr>
                <w:rFonts w:hint="eastAsia" w:ascii="宋体" w:hAnsi="宋体" w:cs="宋体"/>
                <w:color w:val="auto"/>
                <w:sz w:val="24"/>
                <w:szCs w:val="24"/>
                <w:highlight w:val="none"/>
                <w:lang w:eastAsia="zh-CN"/>
              </w:rPr>
              <w:t>并加盖公章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未</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不得分。</w:t>
            </w:r>
          </w:p>
        </w:tc>
        <w:tc>
          <w:tcPr>
            <w:tcW w:w="527" w:type="pct"/>
            <w:noWrap w:val="0"/>
            <w:vAlign w:val="center"/>
          </w:tcPr>
          <w:p w14:paraId="56902433">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572" w:type="pct"/>
            <w:noWrap w:val="0"/>
            <w:vAlign w:val="center"/>
          </w:tcPr>
          <w:p w14:paraId="162A3754">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18F3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16" w:type="pct"/>
            <w:noWrap w:val="0"/>
            <w:vAlign w:val="center"/>
          </w:tcPr>
          <w:p w14:paraId="4071203E">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p w14:paraId="239EEA99">
            <w:pPr>
              <w:spacing w:line="360" w:lineRule="auto"/>
              <w:jc w:val="left"/>
              <w:outlineLvl w:val="0"/>
              <w:rPr>
                <w:rFonts w:hint="eastAsia" w:ascii="宋体" w:hAnsi="宋体" w:eastAsia="宋体" w:cs="宋体"/>
                <w:color w:val="auto"/>
                <w:sz w:val="24"/>
                <w:szCs w:val="24"/>
                <w:highlight w:val="none"/>
                <w:lang w:val="en-US" w:eastAsia="zh-CN"/>
              </w:rPr>
            </w:pPr>
          </w:p>
        </w:tc>
        <w:tc>
          <w:tcPr>
            <w:tcW w:w="3584" w:type="pct"/>
            <w:noWrap w:val="0"/>
            <w:vAlign w:val="top"/>
          </w:tcPr>
          <w:p w14:paraId="1CC82FCD">
            <w:pPr>
              <w:spacing w:line="360" w:lineRule="auto"/>
              <w:jc w:val="left"/>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【应急保障车辆】</w:t>
            </w:r>
          </w:p>
          <w:p w14:paraId="29AE6812">
            <w:pPr>
              <w:spacing w:line="360" w:lineRule="auto"/>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为保障项目所需的自有施救车辆，为</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提供道路救援（以行驶证与供应商单位一致为准）</w:t>
            </w:r>
            <w:r>
              <w:rPr>
                <w:rFonts w:hint="eastAsia" w:ascii="宋体" w:hAnsi="宋体" w:eastAsia="宋体" w:cs="宋体"/>
                <w:color w:val="auto"/>
                <w:sz w:val="24"/>
                <w:szCs w:val="24"/>
                <w:highlight w:val="none"/>
                <w:lang w:eastAsia="zh-CN"/>
              </w:rPr>
              <w:t>车辆的每辆</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873E40A">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证</w:t>
            </w:r>
            <w:r>
              <w:rPr>
                <w:rFonts w:hint="eastAsia" w:ascii="宋体" w:hAnsi="宋体" w:eastAsia="宋体" w:cs="宋体"/>
                <w:color w:val="auto"/>
                <w:sz w:val="24"/>
                <w:szCs w:val="24"/>
                <w:highlight w:val="none"/>
              </w:rPr>
              <w:t>明材料：提供</w:t>
            </w:r>
            <w:r>
              <w:rPr>
                <w:rFonts w:hint="eastAsia" w:ascii="宋体" w:hAnsi="宋体" w:eastAsia="宋体" w:cs="宋体"/>
                <w:color w:val="auto"/>
                <w:sz w:val="24"/>
                <w:szCs w:val="24"/>
                <w:highlight w:val="none"/>
                <w:lang w:eastAsia="zh-CN"/>
              </w:rPr>
              <w:t>车辆行驶证</w:t>
            </w:r>
            <w:r>
              <w:rPr>
                <w:rFonts w:hint="eastAsia" w:ascii="宋体" w:hAnsi="宋体" w:eastAsia="宋体" w:cs="宋体"/>
                <w:color w:val="auto"/>
                <w:sz w:val="24"/>
                <w:szCs w:val="24"/>
                <w:highlight w:val="none"/>
              </w:rPr>
              <w:t>及施救车保险复印件</w:t>
            </w:r>
            <w:r>
              <w:rPr>
                <w:rFonts w:hint="eastAsia" w:ascii="宋体" w:hAnsi="宋体" w:cs="宋体"/>
                <w:color w:val="auto"/>
                <w:sz w:val="24"/>
                <w:szCs w:val="24"/>
                <w:highlight w:val="none"/>
                <w:lang w:eastAsia="zh-CN"/>
              </w:rPr>
              <w:t>并加盖公章</w:t>
            </w:r>
            <w:r>
              <w:rPr>
                <w:rFonts w:hint="eastAsia" w:ascii="宋体" w:hAnsi="宋体" w:eastAsia="宋体" w:cs="宋体"/>
                <w:color w:val="auto"/>
                <w:sz w:val="24"/>
                <w:szCs w:val="24"/>
                <w:highlight w:val="none"/>
              </w:rPr>
              <w:t>。不提供不得分。</w:t>
            </w:r>
          </w:p>
        </w:tc>
        <w:tc>
          <w:tcPr>
            <w:tcW w:w="527" w:type="pct"/>
            <w:noWrap w:val="0"/>
            <w:vAlign w:val="center"/>
          </w:tcPr>
          <w:p w14:paraId="2CA0A970">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2" w:type="pct"/>
            <w:noWrap w:val="0"/>
            <w:vAlign w:val="center"/>
          </w:tcPr>
          <w:p w14:paraId="51EF6D29">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13D0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16" w:type="pct"/>
            <w:noWrap w:val="0"/>
            <w:vAlign w:val="center"/>
          </w:tcPr>
          <w:p w14:paraId="56C75D52">
            <w:pPr>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584" w:type="pct"/>
            <w:noWrap w:val="0"/>
            <w:vAlign w:val="center"/>
          </w:tcPr>
          <w:p w14:paraId="00ACBAAA">
            <w:pPr>
              <w:spacing w:line="360" w:lineRule="auto"/>
              <w:jc w:val="left"/>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Hans"/>
              </w:rPr>
              <w:t>项目负责人及技术力量</w:t>
            </w:r>
            <w:r>
              <w:rPr>
                <w:rFonts w:hint="eastAsia" w:ascii="宋体" w:hAnsi="宋体" w:eastAsia="宋体" w:cs="宋体"/>
                <w:b/>
                <w:bCs/>
                <w:color w:val="auto"/>
                <w:sz w:val="24"/>
                <w:szCs w:val="24"/>
                <w:highlight w:val="none"/>
                <w:lang w:eastAsia="zh-CN"/>
              </w:rPr>
              <w:t>】</w:t>
            </w:r>
          </w:p>
          <w:p w14:paraId="4540F0DE">
            <w:pPr>
              <w:spacing w:line="360" w:lineRule="auto"/>
              <w:jc w:val="left"/>
              <w:outlineLvl w:val="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项目负责人及技术力量等情况综合评定：</w:t>
            </w:r>
            <w:r>
              <w:rPr>
                <w:rFonts w:hint="eastAsia" w:ascii="宋体" w:hAnsi="宋体" w:eastAsia="宋体" w:cs="宋体"/>
                <w:color w:val="auto"/>
                <w:sz w:val="24"/>
                <w:szCs w:val="24"/>
                <w:highlight w:val="none"/>
                <w:lang w:eastAsia="zh-Hans"/>
              </w:rPr>
              <w:t>（注：以上配备人员必须是</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Hans"/>
              </w:rPr>
              <w:t>本单位的员工，且须提供</w:t>
            </w:r>
            <w:r>
              <w:rPr>
                <w:rFonts w:hint="eastAsia" w:ascii="宋体" w:hAnsi="宋体" w:eastAsia="宋体" w:cs="宋体"/>
                <w:color w:val="auto"/>
                <w:sz w:val="24"/>
                <w:szCs w:val="24"/>
                <w:highlight w:val="none"/>
              </w:rPr>
              <w:t>劳动合同</w:t>
            </w:r>
            <w:r>
              <w:rPr>
                <w:rFonts w:hint="eastAsia" w:ascii="宋体" w:hAnsi="宋体" w:eastAsia="宋体" w:cs="宋体"/>
                <w:color w:val="auto"/>
                <w:sz w:val="24"/>
                <w:szCs w:val="24"/>
                <w:highlight w:val="none"/>
                <w:lang w:eastAsia="zh-Hans"/>
              </w:rPr>
              <w:t>，否则不得分）</w:t>
            </w:r>
          </w:p>
          <w:p w14:paraId="195B0480">
            <w:p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项目负责人：①大专及以上学历、②从事类似汽修类相关工作3年及以上、③具有</w:t>
            </w:r>
            <w:r>
              <w:rPr>
                <w:rFonts w:hint="eastAsia" w:ascii="宋体" w:hAnsi="宋体" w:eastAsia="宋体" w:cs="宋体"/>
                <w:color w:val="auto"/>
                <w:sz w:val="24"/>
                <w:szCs w:val="24"/>
                <w:highlight w:val="none"/>
                <w:lang w:val="en-US" w:eastAsia="zh-CN"/>
              </w:rPr>
              <w:t>二级及以上汽车修理工证书、</w:t>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lang w:val="zh-CN"/>
              </w:rPr>
              <w:t>周岁及以下</w:t>
            </w:r>
            <w:r>
              <w:rPr>
                <w:rFonts w:hint="eastAsia" w:ascii="宋体" w:hAnsi="宋体" w:eastAsia="宋体" w:cs="宋体"/>
                <w:color w:val="auto"/>
                <w:sz w:val="24"/>
                <w:szCs w:val="24"/>
                <w:highlight w:val="none"/>
              </w:rPr>
              <w:t>。全部符合得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分，3项符合得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分，2项符合得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分，1项符合得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分，全部不符合不得分。</w:t>
            </w:r>
          </w:p>
          <w:p w14:paraId="585E6283">
            <w:p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证明材料：</w:t>
            </w:r>
            <w:r>
              <w:rPr>
                <w:rFonts w:hint="eastAsia" w:ascii="宋体" w:hAnsi="宋体" w:eastAsia="宋体" w:cs="宋体"/>
                <w:color w:val="auto"/>
                <w:sz w:val="24"/>
                <w:szCs w:val="24"/>
                <w:highlight w:val="none"/>
              </w:rPr>
              <w:t>提供相应证书并加盖供应商公章,不提供不得分。</w:t>
            </w:r>
          </w:p>
          <w:p w14:paraId="24BAF77E">
            <w:p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Hans"/>
              </w:rPr>
              <w:t>项目团队人员情况，包括团队人员</w:t>
            </w:r>
            <w:r>
              <w:rPr>
                <w:rFonts w:hint="eastAsia" w:ascii="宋体" w:hAnsi="宋体" w:eastAsia="宋体" w:cs="宋体"/>
                <w:color w:val="auto"/>
                <w:sz w:val="24"/>
                <w:szCs w:val="24"/>
                <w:highlight w:val="none"/>
              </w:rPr>
              <w:t>具有三年及以上汽修工作经验的，每</w:t>
            </w:r>
            <w:r>
              <w:rPr>
                <w:rFonts w:hint="eastAsia" w:ascii="宋体" w:hAnsi="宋体" w:eastAsia="宋体" w:cs="宋体"/>
                <w:b w:val="0"/>
                <w:bCs w:val="0"/>
                <w:color w:val="auto"/>
                <w:sz w:val="24"/>
                <w:szCs w:val="24"/>
                <w:highlight w:val="none"/>
              </w:rPr>
              <w:t>个得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Hans"/>
              </w:rPr>
              <w:t>团队人员</w:t>
            </w:r>
            <w:r>
              <w:rPr>
                <w:rFonts w:hint="eastAsia" w:ascii="宋体" w:hAnsi="宋体" w:eastAsia="宋体" w:cs="宋体"/>
                <w:b w:val="0"/>
                <w:bCs w:val="0"/>
                <w:color w:val="auto"/>
                <w:sz w:val="24"/>
                <w:szCs w:val="24"/>
                <w:highlight w:val="none"/>
              </w:rPr>
              <w:t>具有汽车修理工证书的，每个得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rPr>
              <w:t>分，全部不符合不得分。</w:t>
            </w:r>
          </w:p>
          <w:p w14:paraId="76EB6D92">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证明材料：</w:t>
            </w:r>
            <w:r>
              <w:rPr>
                <w:rFonts w:hint="eastAsia" w:ascii="宋体" w:hAnsi="宋体" w:eastAsia="宋体" w:cs="宋体"/>
                <w:color w:val="auto"/>
                <w:sz w:val="24"/>
                <w:szCs w:val="24"/>
                <w:highlight w:val="none"/>
              </w:rPr>
              <w:t>提供团队人员类似工作单位的劳动合同及相应证书并加盖供应商公章,不提供不得分。</w:t>
            </w:r>
          </w:p>
        </w:tc>
        <w:tc>
          <w:tcPr>
            <w:tcW w:w="527" w:type="pct"/>
            <w:noWrap w:val="0"/>
            <w:vAlign w:val="center"/>
          </w:tcPr>
          <w:p w14:paraId="01EB48DB">
            <w:pPr>
              <w:tabs>
                <w:tab w:val="left" w:pos="258"/>
              </w:tabs>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20</w:t>
            </w:r>
          </w:p>
        </w:tc>
        <w:tc>
          <w:tcPr>
            <w:tcW w:w="572" w:type="pct"/>
            <w:noWrap w:val="0"/>
            <w:vAlign w:val="center"/>
          </w:tcPr>
          <w:p w14:paraId="00A170E6">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r>
      <w:tr w14:paraId="3880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6" w:type="pct"/>
            <w:noWrap w:val="0"/>
            <w:vAlign w:val="center"/>
          </w:tcPr>
          <w:p w14:paraId="05A3C539">
            <w:pPr>
              <w:jc w:val="center"/>
              <w:outlineLvl w:val="0"/>
              <w:rPr>
                <w:rFonts w:hint="eastAsia" w:ascii="宋体" w:hAnsi="宋体" w:eastAsia="宋体" w:cs="宋体"/>
                <w:color w:val="auto"/>
                <w:sz w:val="24"/>
                <w:szCs w:val="24"/>
                <w:highlight w:val="none"/>
                <w:lang w:val="en-US" w:eastAsia="zh-CN"/>
              </w:rPr>
            </w:pPr>
            <w:bookmarkStart w:id="387" w:name="_GoBack" w:colFirst="2" w:colLast="3"/>
            <w:r>
              <w:rPr>
                <w:rFonts w:hint="eastAsia" w:ascii="宋体" w:hAnsi="宋体" w:cs="宋体"/>
                <w:color w:val="auto"/>
                <w:sz w:val="24"/>
                <w:szCs w:val="24"/>
                <w:highlight w:val="none"/>
                <w:lang w:val="en-US" w:eastAsia="zh-CN"/>
              </w:rPr>
              <w:t>5</w:t>
            </w:r>
          </w:p>
        </w:tc>
        <w:tc>
          <w:tcPr>
            <w:tcW w:w="3584" w:type="pct"/>
            <w:noWrap w:val="0"/>
            <w:vAlign w:val="center"/>
          </w:tcPr>
          <w:p w14:paraId="48817CDD">
            <w:pPr>
              <w:spacing w:line="360" w:lineRule="auto"/>
              <w:jc w:val="left"/>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【组织实施方案】</w:t>
            </w:r>
          </w:p>
          <w:p w14:paraId="09146E6F">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根据响应人提供针对本项目的组织实施方案；</w:t>
            </w:r>
            <w:r>
              <w:rPr>
                <w:rFonts w:hint="eastAsia" w:ascii="宋体" w:hAnsi="宋体" w:eastAsia="宋体" w:cs="宋体"/>
                <w:b w:val="0"/>
                <w:bCs w:val="0"/>
                <w:color w:val="auto"/>
                <w:sz w:val="24"/>
                <w:szCs w:val="24"/>
                <w:highlight w:val="none"/>
              </w:rPr>
              <w:t>方案内容详实，逻辑缜密，具有针对性，可实施性强的得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分；较为全面、较为合理的得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分；描述基本全面、合理的得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分；描述较为简单或存在缺漏的得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分；描述简单或缺漏多的得2</w:t>
            </w:r>
            <w:r>
              <w:rPr>
                <w:rFonts w:hint="eastAsia" w:ascii="宋体" w:hAnsi="宋体" w:eastAsia="宋体" w:cs="宋体"/>
                <w:b w:val="0"/>
                <w:bCs w:val="0"/>
                <w:color w:val="auto"/>
                <w:sz w:val="24"/>
                <w:highlight w:val="none"/>
              </w:rPr>
              <w:t>分；描述一般或内容不符的得1分；未提供此项内容的不得分。</w:t>
            </w:r>
          </w:p>
        </w:tc>
        <w:tc>
          <w:tcPr>
            <w:tcW w:w="527" w:type="pct"/>
            <w:noWrap w:val="0"/>
            <w:vAlign w:val="center"/>
          </w:tcPr>
          <w:p w14:paraId="711B60EA">
            <w:pPr>
              <w:tabs>
                <w:tab w:val="left" w:pos="258"/>
              </w:tabs>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 w:type="pct"/>
            <w:noWrap w:val="0"/>
            <w:vAlign w:val="center"/>
          </w:tcPr>
          <w:p w14:paraId="65B01204">
            <w:pPr>
              <w:tabs>
                <w:tab w:val="left" w:pos="258"/>
              </w:tabs>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lang w:eastAsia="zh-CN"/>
              </w:rPr>
              <w:t>观</w:t>
            </w:r>
            <w:r>
              <w:rPr>
                <w:rFonts w:hint="eastAsia" w:ascii="宋体" w:hAnsi="宋体" w:eastAsia="宋体" w:cs="宋体"/>
                <w:color w:val="auto"/>
                <w:sz w:val="24"/>
                <w:szCs w:val="24"/>
                <w:highlight w:val="none"/>
                <w:lang w:val="en-US" w:eastAsia="zh-CN"/>
              </w:rPr>
              <w:t>分</w:t>
            </w:r>
          </w:p>
        </w:tc>
      </w:tr>
      <w:bookmarkEnd w:id="387"/>
      <w:tr w14:paraId="4029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 w:type="pct"/>
            <w:noWrap w:val="0"/>
            <w:vAlign w:val="center"/>
          </w:tcPr>
          <w:p w14:paraId="4E76BC6A">
            <w:pPr>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584" w:type="pct"/>
            <w:noWrap w:val="0"/>
            <w:vAlign w:val="center"/>
          </w:tcPr>
          <w:p w14:paraId="7E84A8D1">
            <w:pPr>
              <w:spacing w:line="360" w:lineRule="auto"/>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pacing w:val="-1"/>
                <w:sz w:val="24"/>
                <w:szCs w:val="24"/>
                <w:highlight w:val="none"/>
                <w:lang w:eastAsia="zh-CN"/>
              </w:rPr>
              <w:t>质量保证措施</w:t>
            </w:r>
            <w:r>
              <w:rPr>
                <w:rFonts w:hint="eastAsia" w:ascii="宋体" w:hAnsi="宋体" w:eastAsia="宋体" w:cs="宋体"/>
                <w:b/>
                <w:bCs/>
                <w:color w:val="auto"/>
                <w:sz w:val="24"/>
                <w:szCs w:val="24"/>
                <w:highlight w:val="none"/>
                <w:lang w:val="en-US" w:eastAsia="zh-CN"/>
              </w:rPr>
              <w:t>】</w:t>
            </w:r>
          </w:p>
          <w:p w14:paraId="2ADD4760">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根据响应人提供的企业组织机构、管理制度、</w:t>
            </w:r>
            <w:r>
              <w:rPr>
                <w:rFonts w:hint="eastAsia" w:ascii="宋体" w:hAnsi="宋体" w:eastAsia="宋体" w:cs="宋体"/>
                <w:color w:val="auto"/>
                <w:sz w:val="24"/>
                <w:szCs w:val="24"/>
                <w:highlight w:val="none"/>
              </w:rPr>
              <w:t>安全生产经营制度和管理措施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 w:val="0"/>
                <w:bCs w:val="0"/>
                <w:color w:val="auto"/>
                <w:sz w:val="24"/>
                <w:szCs w:val="24"/>
                <w:highlight w:val="none"/>
              </w:rPr>
              <w:t>方案内容详实，逻辑缜密，具有针对性，可实施性强的得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分；较为全面、较为合理的得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分；描述基本全面、合理的得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分；描述较为简单或存在缺漏的得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分；描述简单或缺漏多的得2</w:t>
            </w:r>
            <w:r>
              <w:rPr>
                <w:rFonts w:hint="eastAsia" w:ascii="宋体" w:hAnsi="宋体" w:eastAsia="宋体" w:cs="宋体"/>
                <w:b w:val="0"/>
                <w:bCs w:val="0"/>
                <w:color w:val="auto"/>
                <w:sz w:val="24"/>
                <w:highlight w:val="none"/>
              </w:rPr>
              <w:t>分；描述一般或内容不符的得1分；未提供此项内容的不得分。</w:t>
            </w:r>
          </w:p>
        </w:tc>
        <w:tc>
          <w:tcPr>
            <w:tcW w:w="527" w:type="pct"/>
            <w:noWrap w:val="0"/>
            <w:vAlign w:val="center"/>
          </w:tcPr>
          <w:p w14:paraId="6052ED99">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 w:type="pct"/>
            <w:noWrap w:val="0"/>
            <w:vAlign w:val="center"/>
          </w:tcPr>
          <w:p w14:paraId="59332B20">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r w14:paraId="0E8E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316" w:type="pct"/>
            <w:noWrap w:val="0"/>
            <w:vAlign w:val="center"/>
          </w:tcPr>
          <w:p w14:paraId="18F93570">
            <w:pPr>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3584" w:type="pct"/>
            <w:noWrap w:val="0"/>
            <w:vAlign w:val="center"/>
          </w:tcPr>
          <w:p w14:paraId="091D20EC">
            <w:pPr>
              <w:spacing w:line="360" w:lineRule="auto"/>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【安全保密措施】</w:t>
            </w:r>
          </w:p>
          <w:p w14:paraId="1F7626AE">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根据响应人提供针对本项目的安全保密措施；</w:t>
            </w:r>
            <w:r>
              <w:rPr>
                <w:rFonts w:hint="eastAsia" w:ascii="宋体" w:hAnsi="宋体" w:eastAsia="宋体" w:cs="宋体"/>
                <w:b w:val="0"/>
                <w:bCs w:val="0"/>
                <w:color w:val="auto"/>
                <w:sz w:val="24"/>
                <w:szCs w:val="24"/>
                <w:highlight w:val="none"/>
              </w:rPr>
              <w:t>方案内容详实，逻辑缜密，具有针对性，可实施性强的得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分；较为全面、较为合理的得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分；描述基本全面、合理的得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分；描述较为简单或存在缺漏的得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分；描述简单或缺漏多的得2</w:t>
            </w:r>
            <w:r>
              <w:rPr>
                <w:rFonts w:hint="eastAsia" w:ascii="宋体" w:hAnsi="宋体" w:eastAsia="宋体" w:cs="宋体"/>
                <w:b w:val="0"/>
                <w:bCs w:val="0"/>
                <w:color w:val="auto"/>
                <w:sz w:val="24"/>
                <w:highlight w:val="none"/>
              </w:rPr>
              <w:t>分；描述一般或内容不符的得1分；未提供此项内容的不得分。</w:t>
            </w:r>
          </w:p>
        </w:tc>
        <w:tc>
          <w:tcPr>
            <w:tcW w:w="527" w:type="pct"/>
            <w:noWrap w:val="0"/>
            <w:vAlign w:val="center"/>
          </w:tcPr>
          <w:p w14:paraId="303F98E6">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 w:type="pct"/>
            <w:noWrap w:val="0"/>
            <w:vAlign w:val="center"/>
          </w:tcPr>
          <w:p w14:paraId="02899420">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4E08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6" w:type="pct"/>
            <w:noWrap w:val="0"/>
            <w:vAlign w:val="center"/>
          </w:tcPr>
          <w:p w14:paraId="444FC2E0">
            <w:pPr>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3584" w:type="pct"/>
            <w:noWrap w:val="0"/>
            <w:vAlign w:val="center"/>
          </w:tcPr>
          <w:p w14:paraId="2D7C22C6">
            <w:pPr>
              <w:spacing w:line="360" w:lineRule="auto"/>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【应急措施】</w:t>
            </w:r>
          </w:p>
          <w:p w14:paraId="4BBACD15">
            <w:pPr>
              <w:spacing w:line="360" w:lineRule="auto"/>
              <w:jc w:val="left"/>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w:t>
            </w:r>
            <w:r>
              <w:rPr>
                <w:rFonts w:hint="eastAsia" w:ascii="宋体" w:hAnsi="宋体" w:eastAsia="宋体" w:cs="宋体"/>
                <w:b w:val="0"/>
                <w:bCs w:val="0"/>
                <w:color w:val="auto"/>
                <w:sz w:val="24"/>
                <w:szCs w:val="24"/>
                <w:highlight w:val="none"/>
                <w:lang w:val="en-US" w:eastAsia="zh-CN"/>
              </w:rPr>
              <w:t>提供针对本项目实施期间发生的应急措施，</w:t>
            </w:r>
            <w:r>
              <w:rPr>
                <w:rFonts w:hint="eastAsia" w:ascii="宋体" w:hAnsi="宋体" w:eastAsia="宋体" w:cs="宋体"/>
                <w:b w:val="0"/>
                <w:bCs w:val="0"/>
                <w:color w:val="auto"/>
                <w:sz w:val="24"/>
                <w:szCs w:val="24"/>
                <w:highlight w:val="none"/>
              </w:rPr>
              <w:t>方案内容详实，逻辑缜密，具有针对性，可实施性强的得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分；较为全面、较为合理的得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分；描述基本全面、合理的得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分；描述较为简单或存在缺漏的得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分；描述简单或缺漏多的得2</w:t>
            </w:r>
            <w:r>
              <w:rPr>
                <w:rFonts w:hint="eastAsia" w:ascii="宋体" w:hAnsi="宋体" w:eastAsia="宋体" w:cs="宋体"/>
                <w:b w:val="0"/>
                <w:bCs w:val="0"/>
                <w:color w:val="auto"/>
                <w:sz w:val="24"/>
                <w:highlight w:val="none"/>
              </w:rPr>
              <w:t>分；描述一般或内容不符的得1分；未提供此项内容的不得分。</w:t>
            </w:r>
          </w:p>
        </w:tc>
        <w:tc>
          <w:tcPr>
            <w:tcW w:w="527" w:type="pct"/>
            <w:noWrap w:val="0"/>
            <w:vAlign w:val="center"/>
          </w:tcPr>
          <w:p w14:paraId="71EBB781">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 w:type="pct"/>
            <w:noWrap w:val="0"/>
            <w:vAlign w:val="center"/>
          </w:tcPr>
          <w:p w14:paraId="6A593ABA">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w:t>
            </w:r>
            <w:r>
              <w:rPr>
                <w:rFonts w:hint="eastAsia" w:ascii="宋体" w:hAnsi="宋体" w:eastAsia="宋体" w:cs="宋体"/>
                <w:color w:val="auto"/>
                <w:sz w:val="24"/>
                <w:szCs w:val="24"/>
                <w:highlight w:val="none"/>
              </w:rPr>
              <w:t>分</w:t>
            </w:r>
          </w:p>
        </w:tc>
      </w:tr>
      <w:tr w14:paraId="39DC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6" w:type="pct"/>
            <w:noWrap w:val="0"/>
            <w:vAlign w:val="center"/>
          </w:tcPr>
          <w:p w14:paraId="40FB502E">
            <w:pPr>
              <w:pStyle w:val="80"/>
              <w:jc w:val="center"/>
              <w:rPr>
                <w:rFonts w:hint="eastAsia" w:ascii="宋体" w:hAnsi="宋体" w:eastAsia="宋体" w:cs="宋体"/>
                <w:color w:val="auto"/>
                <w:sz w:val="24"/>
                <w:szCs w:val="24"/>
                <w:highlight w:val="none"/>
                <w:lang w:val="en-US" w:eastAsia="zh-CN"/>
              </w:rPr>
            </w:pPr>
          </w:p>
          <w:p w14:paraId="3A7654EE">
            <w:pPr>
              <w:pStyle w:val="81"/>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584" w:type="pct"/>
            <w:noWrap w:val="0"/>
            <w:vAlign w:val="center"/>
          </w:tcPr>
          <w:p w14:paraId="37294313">
            <w:pPr>
              <w:spacing w:line="360" w:lineRule="auto"/>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【重大活动服务保障措施】</w:t>
            </w:r>
          </w:p>
          <w:p w14:paraId="1A1F92B9">
            <w:pPr>
              <w:spacing w:line="360" w:lineRule="auto"/>
              <w:jc w:val="left"/>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w:t>
            </w:r>
            <w:r>
              <w:rPr>
                <w:rFonts w:hint="eastAsia" w:ascii="宋体" w:hAnsi="宋体" w:eastAsia="宋体" w:cs="宋体"/>
                <w:b w:val="0"/>
                <w:bCs w:val="0"/>
                <w:color w:val="auto"/>
                <w:sz w:val="24"/>
                <w:szCs w:val="24"/>
                <w:highlight w:val="none"/>
                <w:lang w:val="en-US" w:eastAsia="zh-CN"/>
              </w:rPr>
              <w:t>提供重大活动服务保障措施，</w:t>
            </w:r>
            <w:r>
              <w:rPr>
                <w:rFonts w:hint="eastAsia" w:ascii="宋体" w:hAnsi="宋体" w:eastAsia="宋体" w:cs="宋体"/>
                <w:b w:val="0"/>
                <w:bCs w:val="0"/>
                <w:color w:val="auto"/>
                <w:sz w:val="24"/>
                <w:szCs w:val="24"/>
                <w:highlight w:val="none"/>
              </w:rPr>
              <w:t>方案内容详实，逻辑缜密，具有针对性，可实施性强的得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分；较为全面、较为合理的得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分；描述基本全面、合理的得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分；描述较为简单或存在缺漏的得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分；描述简单或缺漏多的得2</w:t>
            </w:r>
            <w:r>
              <w:rPr>
                <w:rFonts w:hint="eastAsia" w:ascii="宋体" w:hAnsi="宋体" w:eastAsia="宋体" w:cs="宋体"/>
                <w:b w:val="0"/>
                <w:bCs w:val="0"/>
                <w:color w:val="auto"/>
                <w:sz w:val="24"/>
                <w:highlight w:val="none"/>
              </w:rPr>
              <w:t>分；描述一般或内容不符的得1分；未提供此项内容的不得分。</w:t>
            </w:r>
          </w:p>
        </w:tc>
        <w:tc>
          <w:tcPr>
            <w:tcW w:w="527" w:type="pct"/>
            <w:noWrap w:val="0"/>
            <w:vAlign w:val="center"/>
          </w:tcPr>
          <w:p w14:paraId="46D89F33">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 w:type="pct"/>
            <w:noWrap w:val="0"/>
            <w:vAlign w:val="center"/>
          </w:tcPr>
          <w:p w14:paraId="5B59C74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r w14:paraId="6C26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noWrap w:val="0"/>
            <w:vAlign w:val="center"/>
          </w:tcPr>
          <w:p w14:paraId="4F919BB7">
            <w:pPr>
              <w:pStyle w:val="81"/>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584" w:type="pct"/>
            <w:noWrap w:val="0"/>
            <w:vAlign w:val="center"/>
          </w:tcPr>
          <w:p w14:paraId="29BA8757">
            <w:pPr>
              <w:spacing w:line="360" w:lineRule="auto"/>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【投诉处理】</w:t>
            </w:r>
          </w:p>
          <w:p w14:paraId="3677872F">
            <w:pPr>
              <w:spacing w:line="360" w:lineRule="auto"/>
              <w:jc w:val="left"/>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w:t>
            </w:r>
            <w:r>
              <w:rPr>
                <w:rFonts w:hint="eastAsia" w:ascii="宋体" w:hAnsi="宋体" w:eastAsia="宋体" w:cs="宋体"/>
                <w:b w:val="0"/>
                <w:bCs w:val="0"/>
                <w:color w:val="auto"/>
                <w:sz w:val="24"/>
                <w:szCs w:val="24"/>
                <w:highlight w:val="none"/>
                <w:lang w:val="en-US" w:eastAsia="zh-CN"/>
              </w:rPr>
              <w:t>提供</w:t>
            </w:r>
            <w:r>
              <w:rPr>
                <w:rFonts w:hint="eastAsia" w:ascii="宋体" w:hAnsi="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lang w:val="en-US" w:eastAsia="zh-CN"/>
              </w:rPr>
              <w:t>用户投诉处理（需设置服务质量监督部门，提供投诉受理场所，配备服务质量监督岗位人员）措施，</w:t>
            </w:r>
            <w:r>
              <w:rPr>
                <w:rFonts w:hint="eastAsia" w:ascii="宋体" w:hAnsi="宋体" w:eastAsia="宋体" w:cs="宋体"/>
                <w:b w:val="0"/>
                <w:bCs w:val="0"/>
                <w:color w:val="auto"/>
                <w:sz w:val="24"/>
                <w:szCs w:val="24"/>
                <w:highlight w:val="none"/>
              </w:rPr>
              <w:t>方案内容详实，逻辑缜密，具有针对性，可实施性强的得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分；较为全面、较为合理的得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分；描述基本全面、合理的得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分；描述较为简单或存在缺漏的得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分；描述简单或缺漏多的得2</w:t>
            </w:r>
            <w:r>
              <w:rPr>
                <w:rFonts w:hint="eastAsia" w:ascii="宋体" w:hAnsi="宋体" w:eastAsia="宋体" w:cs="宋体"/>
                <w:b w:val="0"/>
                <w:bCs w:val="0"/>
                <w:color w:val="auto"/>
                <w:sz w:val="24"/>
                <w:highlight w:val="none"/>
              </w:rPr>
              <w:t>分；描述一般或内容不符的得1分；未提供此项内容的不得分。</w:t>
            </w:r>
          </w:p>
        </w:tc>
        <w:tc>
          <w:tcPr>
            <w:tcW w:w="527" w:type="pct"/>
            <w:noWrap w:val="0"/>
            <w:vAlign w:val="center"/>
          </w:tcPr>
          <w:p w14:paraId="555A67B7">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 w:type="pct"/>
            <w:noWrap w:val="0"/>
            <w:vAlign w:val="center"/>
          </w:tcPr>
          <w:p w14:paraId="4C3D266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r w14:paraId="1DC8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6" w:type="pct"/>
            <w:noWrap w:val="0"/>
            <w:vAlign w:val="center"/>
          </w:tcPr>
          <w:p w14:paraId="053B5644">
            <w:pPr>
              <w:pStyle w:val="8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584" w:type="pct"/>
            <w:noWrap w:val="0"/>
            <w:vAlign w:val="center"/>
          </w:tcPr>
          <w:p w14:paraId="7FA7DE89">
            <w:pPr>
              <w:spacing w:line="360" w:lineRule="auto"/>
              <w:jc w:val="left"/>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【车辆保险方案】</w:t>
            </w:r>
          </w:p>
          <w:p w14:paraId="6CE43395">
            <w:pPr>
              <w:spacing w:line="360" w:lineRule="auto"/>
              <w:jc w:val="left"/>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w:t>
            </w:r>
            <w:r>
              <w:rPr>
                <w:rFonts w:hint="eastAsia" w:ascii="宋体" w:hAnsi="宋体" w:eastAsia="宋体" w:cs="宋体"/>
                <w:b w:val="0"/>
                <w:bCs w:val="0"/>
                <w:color w:val="auto"/>
                <w:sz w:val="24"/>
                <w:szCs w:val="24"/>
                <w:highlight w:val="none"/>
                <w:lang w:val="en-US" w:eastAsia="zh-CN"/>
              </w:rPr>
              <w:t>对车辆保险的配置方案，在满足采购人需求情况下提高保险配置并具有实质性意义的进行综合评定。</w:t>
            </w:r>
            <w:r>
              <w:rPr>
                <w:rFonts w:hint="eastAsia" w:ascii="宋体" w:hAnsi="宋体" w:eastAsia="宋体" w:cs="宋体"/>
                <w:b w:val="0"/>
                <w:bCs w:val="0"/>
                <w:color w:val="auto"/>
                <w:sz w:val="24"/>
                <w:szCs w:val="24"/>
                <w:highlight w:val="none"/>
              </w:rPr>
              <w:t>方案内容详实，逻辑缜密，具有针对性，可实施性强的得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分；较为全面、较为合理的得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分；描述基本全面、合理的得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分；描述较为简单或存在缺漏的得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分；描述简单或缺漏多的得2</w:t>
            </w:r>
            <w:r>
              <w:rPr>
                <w:rFonts w:hint="eastAsia" w:ascii="宋体" w:hAnsi="宋体" w:eastAsia="宋体" w:cs="宋体"/>
                <w:b w:val="0"/>
                <w:bCs w:val="0"/>
                <w:color w:val="auto"/>
                <w:sz w:val="24"/>
                <w:highlight w:val="none"/>
              </w:rPr>
              <w:t>分；描述一般或内容不符的得1分；未提供此项内容的不得分。</w:t>
            </w:r>
          </w:p>
        </w:tc>
        <w:tc>
          <w:tcPr>
            <w:tcW w:w="527" w:type="pct"/>
            <w:noWrap w:val="0"/>
            <w:vAlign w:val="center"/>
          </w:tcPr>
          <w:p w14:paraId="624596D6">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 w:type="pct"/>
            <w:noWrap w:val="0"/>
            <w:vAlign w:val="center"/>
          </w:tcPr>
          <w:p w14:paraId="212B3EE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r w14:paraId="334A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6" w:type="pct"/>
            <w:noWrap w:val="0"/>
            <w:vAlign w:val="center"/>
          </w:tcPr>
          <w:p w14:paraId="4302B09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3584" w:type="pct"/>
            <w:noWrap w:val="0"/>
            <w:vAlign w:val="center"/>
          </w:tcPr>
          <w:p w14:paraId="24A1B39E">
            <w:pPr>
              <w:spacing w:line="360" w:lineRule="auto"/>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【售后服务】</w:t>
            </w:r>
          </w:p>
          <w:p w14:paraId="710930D2">
            <w:pPr>
              <w:spacing w:line="360" w:lineRule="auto"/>
              <w:jc w:val="left"/>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w:t>
            </w:r>
            <w:r>
              <w:rPr>
                <w:rFonts w:hint="eastAsia" w:ascii="宋体" w:hAnsi="宋体" w:eastAsia="宋体" w:cs="宋体"/>
                <w:b w:val="0"/>
                <w:bCs w:val="0"/>
                <w:color w:val="auto"/>
                <w:sz w:val="24"/>
                <w:szCs w:val="24"/>
                <w:highlight w:val="none"/>
                <w:lang w:val="en-US" w:eastAsia="zh-CN"/>
              </w:rPr>
              <w:t>提供详细完整的售后服务措施和方案，</w:t>
            </w:r>
            <w:r>
              <w:rPr>
                <w:rFonts w:hint="eastAsia" w:ascii="宋体" w:hAnsi="宋体" w:eastAsia="宋体" w:cs="宋体"/>
                <w:b w:val="0"/>
                <w:bCs w:val="0"/>
                <w:color w:val="auto"/>
                <w:sz w:val="24"/>
                <w:szCs w:val="24"/>
                <w:highlight w:val="none"/>
              </w:rPr>
              <w:t>方案内容详实，逻辑缜密，具有针对性，可实施性强的得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分；较为全面、较为合理的得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分；描述基本全面、合理的得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分；描述较为简单或存在缺漏的得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分；描述简单或缺漏多的得2</w:t>
            </w:r>
            <w:r>
              <w:rPr>
                <w:rFonts w:hint="eastAsia" w:ascii="宋体" w:hAnsi="宋体" w:eastAsia="宋体" w:cs="宋体"/>
                <w:b w:val="0"/>
                <w:bCs w:val="0"/>
                <w:color w:val="auto"/>
                <w:sz w:val="24"/>
                <w:highlight w:val="none"/>
              </w:rPr>
              <w:t>分；描述一般或内容不符的得1分；未提供此项内容的不得分。</w:t>
            </w:r>
          </w:p>
        </w:tc>
        <w:tc>
          <w:tcPr>
            <w:tcW w:w="527" w:type="pct"/>
            <w:noWrap w:val="0"/>
            <w:vAlign w:val="center"/>
          </w:tcPr>
          <w:p w14:paraId="71C7880B">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 w:type="pct"/>
            <w:noWrap w:val="0"/>
            <w:vAlign w:val="center"/>
          </w:tcPr>
          <w:p w14:paraId="44BA102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r w14:paraId="1E06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6" w:type="pct"/>
            <w:noWrap w:val="0"/>
            <w:vAlign w:val="center"/>
          </w:tcPr>
          <w:p w14:paraId="52B63DF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3584" w:type="pct"/>
            <w:noWrap w:val="0"/>
            <w:vAlign w:val="center"/>
          </w:tcPr>
          <w:p w14:paraId="5E1FD670">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故障响应承诺</w:t>
            </w:r>
          </w:p>
          <w:p w14:paraId="1F20C952">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（1）承诺提供7*24小时技术咨询和故障远程支撑服务（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A832450">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（2）承诺在车辆发生故障接到报修电话30分钟内响应（</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12C0DDF">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（3）承诺对车辆故障响应2小时内到达现场（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18CBFD4">
            <w:p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en-US" w:eastAsia="zh-CN"/>
              </w:rPr>
              <w:t>每项出具承诺书（格式自拟），未提供不得分。</w:t>
            </w:r>
          </w:p>
        </w:tc>
        <w:tc>
          <w:tcPr>
            <w:tcW w:w="527" w:type="pct"/>
            <w:noWrap w:val="0"/>
            <w:vAlign w:val="center"/>
          </w:tcPr>
          <w:p w14:paraId="2B9250BD">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 w:type="pct"/>
            <w:noWrap w:val="0"/>
            <w:vAlign w:val="center"/>
          </w:tcPr>
          <w:p w14:paraId="1BE1D43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r>
      <w:tr w14:paraId="276A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16" w:type="pct"/>
            <w:noWrap w:val="0"/>
            <w:vAlign w:val="center"/>
          </w:tcPr>
          <w:p w14:paraId="797CAC09">
            <w:pPr>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3584" w:type="pct"/>
            <w:noWrap w:val="0"/>
            <w:vAlign w:val="top"/>
          </w:tcPr>
          <w:p w14:paraId="6C2AAF5D">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］的计算公式计算。</w:t>
            </w:r>
          </w:p>
          <w:p w14:paraId="6A1C9463">
            <w:pPr>
              <w:widowControl/>
              <w:shd w:val="clear" w:color="auto" w:fill="FFFFFF"/>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27" w:type="pct"/>
            <w:noWrap w:val="0"/>
            <w:vAlign w:val="center"/>
          </w:tcPr>
          <w:p w14:paraId="301DE3E7">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72" w:type="pct"/>
            <w:noWrap w:val="0"/>
            <w:vAlign w:val="center"/>
          </w:tcPr>
          <w:p w14:paraId="0F6BADB8">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bl>
    <w:p w14:paraId="4880ADB5">
      <w:pPr>
        <w:widowControl/>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备注：</w:t>
      </w:r>
    </w:p>
    <w:p w14:paraId="3B155863">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中如附有外文资料，必须逐一对应翻译成中文并加盖响应人公章后附在相关外文资料后面，否则外文资料不予认可。翻译的中文资料与外文资料不符的，均不予认可。翻译严重错误的，将视同提供虚假资料。</w:t>
      </w:r>
    </w:p>
    <w:p w14:paraId="0ACCB11D">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2、响应人编制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（商务技术文件部分）时，建议按此目录（序号和内容）提供评标标准相应的商务技术资料。</w:t>
      </w:r>
    </w:p>
    <w:p w14:paraId="289A21B9">
      <w:pPr>
        <w:pStyle w:val="27"/>
        <w:rPr>
          <w:color w:val="auto"/>
          <w:highlight w:val="none"/>
        </w:rPr>
      </w:pPr>
    </w:p>
    <w:p w14:paraId="541DCB1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9F2E4E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满足交易文件全部实质性要求，且按照评审因素的量化指标评审得分最高的响应人为中标候选人的评标方法。</w:t>
      </w:r>
    </w:p>
    <w:p w14:paraId="7A87A05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25FFE3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DEADD28">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90FE1C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评标委员会应当对符合资格的响应人的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进行符合性审查，以确定其是否满足交易文件的实质性要求。不满足交易文件的实质性要求的，投标无效。</w:t>
      </w:r>
    </w:p>
    <w:p w14:paraId="22D797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14:paraId="4564630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评标委员会各成员应当独立对每个响应人的商务和技术文件进行评价，并汇总商务技术得分情况。</w:t>
      </w:r>
    </w:p>
    <w:p w14:paraId="50FC254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ED38579">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14:paraId="4FB3B39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中开标一览表(报价表)内容与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中相应内容不一致的，以开标一览表(报价表)为准；</w:t>
      </w:r>
    </w:p>
    <w:p w14:paraId="3219A4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7E5B59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B28117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DFF66E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《政府采购货物和服务招标投标管理办法》第五十一条第二款的规定经响应人确认后产生约束力。</w:t>
      </w:r>
    </w:p>
    <w:p w14:paraId="1D3A63F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出现不是唯一的、有选择性投标报价的，投标无效。</w:t>
      </w:r>
    </w:p>
    <w:p w14:paraId="5B9D564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3.4.3投标报价超过交易文件中规定的预算金额或者最高限价的，投标无效。</w:t>
      </w:r>
    </w:p>
    <w:p w14:paraId="6394656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投标处理。</w:t>
      </w:r>
    </w:p>
    <w:p w14:paraId="0899E41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满足交易文件全部实质性要求，且按照评审因素的量化指标评审得分最高的响应人为排名第一的中标候选人。</w:t>
      </w:r>
    </w:p>
    <w:p w14:paraId="3BD7ED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1E4FF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20A23C1">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14:paraId="7F48AB13">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4F5B7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4.2.1响应人不具备交易文件中规定的资格要求的（响应人未提供有效的资格文件的，视为响应人不具备交易文件中规定的资格要求）；</w:t>
      </w:r>
    </w:p>
    <w:p w14:paraId="1AE045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未按照交易文件要求签署、盖章的；</w:t>
      </w:r>
    </w:p>
    <w:p w14:paraId="79651A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拟采购的产品属于政府强制采购的节能产品品目清单范围的，响应人未按交易文件要求提供国家确定的认证机构出具的、处于有效期之内的节能产品认证证书的；</w:t>
      </w:r>
    </w:p>
    <w:p w14:paraId="799722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不能接受的附加条件的；</w:t>
      </w:r>
    </w:p>
    <w:p w14:paraId="40E48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中承诺的投标有效期少于交易文件中载明的投标有效期的；</w:t>
      </w:r>
    </w:p>
    <w:p w14:paraId="00BEB29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出现不是唯一的、有选择性投标报价的；</w:t>
      </w:r>
    </w:p>
    <w:p w14:paraId="1AFFBD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4.2.7投标报价超过交易文件中规定的预算金额或者最高限价的；</w:t>
      </w:r>
    </w:p>
    <w:p w14:paraId="317C5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4.2.8报价明显低于其他通过符合性审查响应人的报价，有可能影响产品质量或者不能诚信履约的，未能按要求提供书面说明或者提交相关证明材料，不能证明其报价合理性的；</w:t>
      </w:r>
    </w:p>
    <w:p w14:paraId="5A952B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4.2.9响应人对根据修正原则修正后的报价不确认的；</w:t>
      </w:r>
    </w:p>
    <w:p w14:paraId="0C51A2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4.2.10响应人提供虚假材料投标的；</w:t>
      </w:r>
    </w:p>
    <w:p w14:paraId="3FEC0A9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4.2.11响应人有恶意串通、妨碍其他响应人的竞争行为、损害</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或者其他响应人的合法权益情形的；</w:t>
      </w:r>
    </w:p>
    <w:p w14:paraId="02B766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4.2.12响应人仅提交备份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的，投标无效；</w:t>
      </w:r>
    </w:p>
    <w:p w14:paraId="2C8EDE50">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4.2.13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不满足交易文件的其它实质性要求的；</w:t>
      </w:r>
    </w:p>
    <w:p w14:paraId="0C3413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28024E9">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参照《中华人民共和国政府采购法》第三十六条之规定，在采购中，出现下列情形之一的，应予废标：</w:t>
      </w:r>
    </w:p>
    <w:p w14:paraId="633259A3">
      <w:pPr>
        <w:pStyle w:val="3"/>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5593C0EE">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3EAAD67B">
      <w:pPr>
        <w:pStyle w:val="3"/>
        <w:snapToGrid w:val="0"/>
        <w:spacing w:line="360" w:lineRule="auto"/>
        <w:rPr>
          <w:rFonts w:cs="宋体"/>
          <w:color w:val="auto"/>
          <w:highlight w:val="none"/>
        </w:rPr>
      </w:pPr>
      <w:r>
        <w:rPr>
          <w:rFonts w:hint="eastAsia" w:cs="宋体"/>
          <w:color w:val="auto"/>
          <w:highlight w:val="none"/>
        </w:rPr>
        <w:t>5.3响应人的报价均超过了采购预算，</w:t>
      </w:r>
      <w:r>
        <w:rPr>
          <w:rFonts w:hint="eastAsia" w:cs="宋体"/>
          <w:color w:val="auto"/>
          <w:highlight w:val="none"/>
          <w:lang w:eastAsia="zh-CN"/>
        </w:rPr>
        <w:t>发包人</w:t>
      </w:r>
      <w:r>
        <w:rPr>
          <w:rFonts w:hint="eastAsia" w:cs="宋体"/>
          <w:color w:val="auto"/>
          <w:highlight w:val="none"/>
        </w:rPr>
        <w:t>不能支付的；</w:t>
      </w:r>
    </w:p>
    <w:p w14:paraId="59AC2D0D">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5F2BCF96">
      <w:pPr>
        <w:pStyle w:val="3"/>
        <w:snapToGrid w:val="0"/>
        <w:spacing w:line="360" w:lineRule="auto"/>
        <w:rPr>
          <w:rFonts w:cs="宋体"/>
          <w:color w:val="auto"/>
          <w:highlight w:val="none"/>
        </w:rPr>
      </w:pPr>
      <w:r>
        <w:rPr>
          <w:rFonts w:hint="eastAsia" w:cs="宋体"/>
          <w:color w:val="auto"/>
          <w:highlight w:val="none"/>
        </w:rPr>
        <w:t>废标后，采购机构应当将废标理由通知所有响应人。</w:t>
      </w:r>
    </w:p>
    <w:p w14:paraId="16D91357">
      <w:pPr>
        <w:pStyle w:val="3"/>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w:t>
      </w:r>
      <w:r>
        <w:rPr>
          <w:rFonts w:hint="eastAsia" w:cs="宋体"/>
          <w:color w:val="auto"/>
          <w:highlight w:val="none"/>
          <w:lang w:eastAsia="zh-CN"/>
        </w:rPr>
        <w:t>发包人</w:t>
      </w:r>
      <w:r>
        <w:rPr>
          <w:rFonts w:hint="eastAsia" w:cs="宋体"/>
          <w:color w:val="auto"/>
          <w:highlight w:val="none"/>
        </w:rPr>
        <w:t>、采购机构沟通并作书面记录。</w:t>
      </w:r>
      <w:r>
        <w:rPr>
          <w:rFonts w:hint="eastAsia" w:cs="宋体"/>
          <w:color w:val="auto"/>
          <w:highlight w:val="none"/>
          <w:lang w:eastAsia="zh-CN"/>
        </w:rPr>
        <w:t>发包人</w:t>
      </w:r>
      <w:r>
        <w:rPr>
          <w:rFonts w:hint="eastAsia" w:cs="宋体"/>
          <w:color w:val="auto"/>
          <w:highlight w:val="none"/>
        </w:rPr>
        <w:t>、采购机构确认后，将修改交易文件，重新组织采购活动。</w:t>
      </w:r>
    </w:p>
    <w:p w14:paraId="2F98446A">
      <w:pPr>
        <w:pStyle w:val="3"/>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14:paraId="7C4943ED">
      <w:pPr>
        <w:pStyle w:val="3"/>
        <w:snapToGrid w:val="0"/>
        <w:spacing w:line="360" w:lineRule="auto"/>
        <w:ind w:firstLine="600" w:firstLineChars="250"/>
        <w:rPr>
          <w:rFonts w:cs="宋体"/>
          <w:color w:val="auto"/>
          <w:highlight w:val="none"/>
        </w:rPr>
      </w:pPr>
      <w:r>
        <w:rPr>
          <w:rFonts w:hint="eastAsia" w:cs="宋体"/>
          <w:color w:val="auto"/>
          <w:highlight w:val="none"/>
        </w:rPr>
        <w:t>7.1未确定中标或者中标人的，终止本次采购活动，重新开展采购活动。</w:t>
      </w:r>
    </w:p>
    <w:p w14:paraId="02353C27">
      <w:pPr>
        <w:pStyle w:val="3"/>
        <w:snapToGrid w:val="0"/>
        <w:spacing w:line="360" w:lineRule="auto"/>
        <w:ind w:firstLine="600" w:firstLineChars="250"/>
        <w:rPr>
          <w:rFonts w:cs="宋体"/>
          <w:color w:val="auto"/>
          <w:highlight w:val="none"/>
        </w:rPr>
      </w:pPr>
      <w:r>
        <w:rPr>
          <w:rFonts w:hint="eastAsia" w:cs="宋体"/>
          <w:color w:val="auto"/>
          <w:highlight w:val="none"/>
        </w:rPr>
        <w:t>7.2已确定中标或者中标人但尚未签订采购合同的，中标或者成交结果无效，从合格的中标或者成交候选人中另行确定中标或者中标人；没有合格的中标或者成交候选人的，重新开展采购活动。</w:t>
      </w:r>
    </w:p>
    <w:p w14:paraId="38823FB6">
      <w:pPr>
        <w:pStyle w:val="3"/>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7.3采购合同已签订但尚未履行的，撤销合同，从合格的中标或者成交候选人中另行确定中标或者中标人；没有合格的中标或者成交候选人的，重新开展采购活动。</w:t>
      </w:r>
    </w:p>
    <w:p w14:paraId="46D6FA7C">
      <w:pPr>
        <w:pStyle w:val="3"/>
        <w:snapToGrid w:val="0"/>
        <w:spacing w:line="360" w:lineRule="auto"/>
        <w:rPr>
          <w:rFonts w:cs="宋体"/>
          <w:color w:val="auto"/>
          <w:highlight w:val="none"/>
        </w:rPr>
      </w:pPr>
      <w:r>
        <w:rPr>
          <w:rFonts w:hint="eastAsia" w:cs="宋体"/>
          <w:color w:val="auto"/>
          <w:highlight w:val="none"/>
        </w:rPr>
        <w:t>7.4采购合同已经履行，给</w:t>
      </w:r>
      <w:r>
        <w:rPr>
          <w:rFonts w:hint="eastAsia" w:cs="宋体"/>
          <w:color w:val="auto"/>
          <w:highlight w:val="none"/>
          <w:lang w:eastAsia="zh-CN"/>
        </w:rPr>
        <w:t>发包人</w:t>
      </w:r>
      <w:r>
        <w:rPr>
          <w:rFonts w:hint="eastAsia" w:cs="宋体"/>
          <w:color w:val="auto"/>
          <w:highlight w:val="none"/>
        </w:rPr>
        <w:t>、供应商造成损失的，由责任人承担赔偿责任。</w:t>
      </w:r>
    </w:p>
    <w:p w14:paraId="44477B56">
      <w:pPr>
        <w:pStyle w:val="3"/>
        <w:snapToGrid w:val="0"/>
        <w:spacing w:line="360" w:lineRule="auto"/>
        <w:rPr>
          <w:rFonts w:cs="宋体"/>
          <w:color w:val="auto"/>
          <w:highlight w:val="none"/>
        </w:rPr>
      </w:pPr>
      <w:r>
        <w:rPr>
          <w:rFonts w:hint="eastAsia" w:cs="宋体"/>
          <w:color w:val="auto"/>
          <w:highlight w:val="none"/>
        </w:rPr>
        <w:t>7.5采购当事人有其他违反采购法</w:t>
      </w:r>
      <w:r>
        <w:rPr>
          <w:rFonts w:hint="eastAsia" w:cs="宋体"/>
          <w:color w:val="auto"/>
          <w:kern w:val="0"/>
          <w:highlight w:val="none"/>
        </w:rPr>
        <w:t>或者采购法实施条例等法律法规规定</w:t>
      </w:r>
      <w:r>
        <w:rPr>
          <w:rFonts w:hint="eastAsia" w:cs="宋体"/>
          <w:color w:val="auto"/>
          <w:highlight w:val="none"/>
        </w:rPr>
        <w:t>的行为，经改正后仍然影响或者可能影响中标、成交结果或者依法被认定为中标、成交无效的，依照7.1-7.4规定处理。</w:t>
      </w:r>
      <w:bookmarkEnd w:id="14"/>
      <w:bookmarkStart w:id="380" w:name="第五部分"/>
      <w:bookmarkStart w:id="381" w:name="_Toc86217003"/>
    </w:p>
    <w:p w14:paraId="77329359">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AD630CA">
      <w:pPr>
        <w:spacing w:line="360" w:lineRule="auto"/>
        <w:jc w:val="center"/>
        <w:outlineLvl w:val="0"/>
        <w:rPr>
          <w:rFonts w:ascii="宋体" w:hAnsi="宋体" w:cs="宋体"/>
          <w:b/>
          <w:color w:val="auto"/>
          <w:sz w:val="36"/>
          <w:szCs w:val="36"/>
          <w:highlight w:val="none"/>
        </w:rPr>
      </w:pPr>
    </w:p>
    <w:p w14:paraId="0DAE2F5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38F39A4">
      <w:pPr>
        <w:spacing w:line="360" w:lineRule="auto"/>
        <w:ind w:left="-420" w:leftChars="-200" w:right="-420" w:rightChars="-200" w:firstLine="480" w:firstLineChars="200"/>
        <w:jc w:val="center"/>
        <w:outlineLvl w:val="0"/>
        <w:rPr>
          <w:rFonts w:ascii="宋体" w:hAnsi="宋体" w:cs="宋体"/>
          <w:color w:val="auto"/>
          <w:sz w:val="24"/>
          <w:highlight w:val="none"/>
        </w:rPr>
      </w:pPr>
    </w:p>
    <w:p w14:paraId="7BE5AF3B">
      <w:pPr>
        <w:snapToGrid w:val="0"/>
        <w:spacing w:line="500" w:lineRule="exact"/>
        <w:ind w:firstLine="627" w:firstLineChars="196"/>
        <w:jc w:val="center"/>
        <w:rPr>
          <w:rFonts w:ascii="宋体" w:hAnsi="宋体"/>
          <w:color w:val="auto"/>
          <w:sz w:val="32"/>
          <w:szCs w:val="32"/>
          <w:highlight w:val="none"/>
        </w:rPr>
      </w:pPr>
      <w:r>
        <w:rPr>
          <w:rFonts w:hint="eastAsia" w:ascii="宋体" w:hAnsi="宋体"/>
          <w:color w:val="auto"/>
          <w:sz w:val="32"/>
          <w:szCs w:val="32"/>
          <w:highlight w:val="none"/>
        </w:rPr>
        <w:t>注：具体以双方签定的正式合同为准，合同内容不得</w:t>
      </w:r>
    </w:p>
    <w:p w14:paraId="5AC3C9BC">
      <w:pPr>
        <w:snapToGrid w:val="0"/>
        <w:spacing w:line="500" w:lineRule="exact"/>
        <w:ind w:firstLine="627" w:firstLineChars="196"/>
        <w:jc w:val="center"/>
        <w:rPr>
          <w:rFonts w:ascii="宋体" w:hAnsi="宋体"/>
          <w:color w:val="auto"/>
          <w:sz w:val="32"/>
          <w:szCs w:val="32"/>
          <w:highlight w:val="none"/>
        </w:rPr>
      </w:pPr>
      <w:r>
        <w:rPr>
          <w:rFonts w:hint="eastAsia" w:ascii="宋体" w:hAnsi="宋体"/>
          <w:color w:val="auto"/>
          <w:sz w:val="32"/>
          <w:szCs w:val="32"/>
          <w:highlight w:val="none"/>
        </w:rPr>
        <w:t>违背本交易文件实质性要求。</w:t>
      </w:r>
    </w:p>
    <w:p w14:paraId="663B337E">
      <w:pPr>
        <w:widowControl/>
        <w:adjustRightInd/>
        <w:jc w:val="left"/>
        <w:rPr>
          <w:rFonts w:ascii="宋体" w:hAnsi="宋体" w:cs="宋体"/>
          <w:color w:val="auto"/>
          <w:sz w:val="24"/>
          <w:highlight w:val="none"/>
        </w:rPr>
      </w:pPr>
    </w:p>
    <w:p w14:paraId="7F0102E4">
      <w:pPr>
        <w:spacing w:line="360" w:lineRule="auto"/>
        <w:ind w:left="-420" w:leftChars="-200" w:right="-420" w:rightChars="-200" w:firstLine="480" w:firstLineChars="200"/>
        <w:jc w:val="center"/>
        <w:outlineLvl w:val="0"/>
        <w:rPr>
          <w:rFonts w:ascii="宋体" w:hAnsi="宋体" w:cs="宋体"/>
          <w:color w:val="auto"/>
          <w:sz w:val="24"/>
          <w:highlight w:val="none"/>
        </w:rPr>
      </w:pPr>
    </w:p>
    <w:p w14:paraId="33C73C9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725B85C">
      <w:pPr>
        <w:spacing w:line="360" w:lineRule="auto"/>
        <w:jc w:val="center"/>
        <w:outlineLvl w:val="0"/>
        <w:rPr>
          <w:rFonts w:hint="eastAsia" w:ascii="宋体" w:hAnsi="宋体" w:cs="宋体"/>
          <w:b/>
          <w:color w:val="auto"/>
          <w:sz w:val="36"/>
          <w:szCs w:val="20"/>
          <w:highlight w:val="none"/>
        </w:rPr>
      </w:pPr>
    </w:p>
    <w:p w14:paraId="694C4364">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0"/>
      <w:r>
        <w:rPr>
          <w:rFonts w:hint="eastAsia" w:ascii="宋体" w:hAnsi="宋体" w:cs="宋体"/>
          <w:b/>
          <w:color w:val="auto"/>
          <w:sz w:val="36"/>
          <w:szCs w:val="20"/>
          <w:highlight w:val="none"/>
        </w:rPr>
        <w:t xml:space="preserve"> </w:t>
      </w:r>
      <w:bookmarkEnd w:id="381"/>
      <w:r>
        <w:rPr>
          <w:rFonts w:hint="eastAsia" w:ascii="宋体" w:hAnsi="宋体" w:cs="宋体"/>
          <w:b/>
          <w:color w:val="auto"/>
          <w:sz w:val="36"/>
          <w:szCs w:val="20"/>
          <w:highlight w:val="none"/>
        </w:rPr>
        <w:t>应提交的有关格式范例</w:t>
      </w:r>
    </w:p>
    <w:p w14:paraId="24854CCA">
      <w:pPr>
        <w:spacing w:line="360" w:lineRule="auto"/>
        <w:jc w:val="center"/>
        <w:outlineLvl w:val="0"/>
        <w:rPr>
          <w:rFonts w:ascii="宋体" w:hAnsi="宋体" w:cs="宋体"/>
          <w:b/>
          <w:color w:val="auto"/>
          <w:kern w:val="0"/>
          <w:sz w:val="36"/>
          <w:szCs w:val="36"/>
          <w:highlight w:val="none"/>
        </w:rPr>
      </w:pPr>
    </w:p>
    <w:p w14:paraId="27C97FE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C91354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5D7F49">
      <w:pPr>
        <w:spacing w:line="360" w:lineRule="auto"/>
        <w:jc w:val="center"/>
        <w:outlineLvl w:val="0"/>
        <w:rPr>
          <w:rFonts w:ascii="宋体" w:hAnsi="宋体" w:cs="宋体"/>
          <w:b/>
          <w:color w:val="auto"/>
          <w:kern w:val="0"/>
          <w:sz w:val="36"/>
          <w:szCs w:val="36"/>
          <w:highlight w:val="none"/>
        </w:rPr>
      </w:pPr>
    </w:p>
    <w:p w14:paraId="3BC382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31C1DE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25517EA9">
      <w:pPr>
        <w:snapToGrid w:val="0"/>
        <w:spacing w:line="360" w:lineRule="auto"/>
        <w:ind w:firstLine="480" w:firstLineChars="200"/>
        <w:rPr>
          <w:rFonts w:ascii="宋体" w:hAnsi="宋体" w:cs="宋体"/>
          <w:color w:val="auto"/>
          <w:sz w:val="24"/>
          <w:highlight w:val="none"/>
        </w:rPr>
      </w:pPr>
    </w:p>
    <w:p w14:paraId="7CD2583E">
      <w:pPr>
        <w:spacing w:line="360" w:lineRule="auto"/>
        <w:ind w:firstLine="480" w:firstLineChars="200"/>
        <w:rPr>
          <w:rFonts w:ascii="宋体" w:hAnsi="宋体" w:cs="宋体"/>
          <w:color w:val="auto"/>
          <w:sz w:val="24"/>
          <w:highlight w:val="none"/>
        </w:rPr>
      </w:pPr>
    </w:p>
    <w:p w14:paraId="58A9518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p>
    <w:p w14:paraId="5C92440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符合参加采购活动应当具备的一般条件的承诺函</w:t>
      </w:r>
    </w:p>
    <w:p w14:paraId="46662F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p>
    <w:p w14:paraId="1920D2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我方参与（项目名称）【招标编号：（采购编号）】采购活动，郑重承诺：</w:t>
      </w:r>
    </w:p>
    <w:p w14:paraId="322C03B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F4F27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EE999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D1CA9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72F80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E19F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0FE09F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568F1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（二）未被信用中国（www.creditchina.gov.cn)、中国政府采购网（www.ccgp.gov.cn）列入失信被执行人、重大税收违法案件当事人名单、采购严重违法失信行为记录名单。</w:t>
      </w:r>
    </w:p>
    <w:p w14:paraId="4B6044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4AEF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2D2584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CD1606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5E583A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9EA621">
      <w:pPr>
        <w:snapToGrid w:val="0"/>
        <w:spacing w:line="360" w:lineRule="auto"/>
        <w:ind w:right="480"/>
        <w:jc w:val="center"/>
        <w:rPr>
          <w:rFonts w:ascii="宋体" w:hAnsi="宋体" w:cs="宋体"/>
          <w:b/>
          <w:color w:val="auto"/>
          <w:kern w:val="0"/>
          <w:sz w:val="32"/>
          <w:szCs w:val="32"/>
          <w:highlight w:val="none"/>
        </w:rPr>
      </w:pPr>
    </w:p>
    <w:p w14:paraId="2998F17D">
      <w:pPr>
        <w:snapToGrid w:val="0"/>
        <w:spacing w:line="360" w:lineRule="auto"/>
        <w:ind w:right="480"/>
        <w:jc w:val="center"/>
        <w:rPr>
          <w:rFonts w:ascii="宋体" w:hAnsi="宋体" w:cs="宋体"/>
          <w:b/>
          <w:color w:val="auto"/>
          <w:kern w:val="0"/>
          <w:sz w:val="32"/>
          <w:szCs w:val="32"/>
          <w:highlight w:val="none"/>
        </w:rPr>
      </w:pPr>
    </w:p>
    <w:p w14:paraId="131B2A50">
      <w:pPr>
        <w:snapToGrid w:val="0"/>
        <w:spacing w:line="360" w:lineRule="auto"/>
        <w:ind w:right="480"/>
        <w:jc w:val="center"/>
        <w:rPr>
          <w:rFonts w:ascii="宋体" w:hAnsi="宋体" w:cs="宋体"/>
          <w:b/>
          <w:color w:val="auto"/>
          <w:kern w:val="0"/>
          <w:sz w:val="32"/>
          <w:szCs w:val="32"/>
          <w:highlight w:val="none"/>
        </w:rPr>
      </w:pPr>
    </w:p>
    <w:p w14:paraId="19076F5E">
      <w:pPr>
        <w:rPr>
          <w:rFonts w:ascii="宋体" w:hAnsi="宋体" w:cs="宋体"/>
          <w:color w:val="auto"/>
          <w:highlight w:val="none"/>
        </w:rPr>
      </w:pPr>
    </w:p>
    <w:p w14:paraId="2683C37D">
      <w:pPr>
        <w:snapToGrid w:val="0"/>
        <w:spacing w:line="360" w:lineRule="auto"/>
        <w:ind w:right="480"/>
        <w:jc w:val="center"/>
        <w:rPr>
          <w:rFonts w:ascii="宋体" w:hAnsi="宋体" w:cs="宋体"/>
          <w:b/>
          <w:color w:val="auto"/>
          <w:kern w:val="0"/>
          <w:sz w:val="32"/>
          <w:szCs w:val="32"/>
          <w:highlight w:val="none"/>
        </w:rPr>
      </w:pPr>
    </w:p>
    <w:p w14:paraId="7A237AE0">
      <w:pPr>
        <w:snapToGrid w:val="0"/>
        <w:spacing w:line="360" w:lineRule="auto"/>
        <w:ind w:right="480"/>
        <w:jc w:val="center"/>
        <w:rPr>
          <w:rFonts w:ascii="宋体" w:hAnsi="宋体" w:cs="宋体"/>
          <w:b/>
          <w:color w:val="auto"/>
          <w:kern w:val="0"/>
          <w:sz w:val="32"/>
          <w:szCs w:val="32"/>
          <w:highlight w:val="none"/>
        </w:rPr>
      </w:pPr>
    </w:p>
    <w:p w14:paraId="56D47482">
      <w:pPr>
        <w:widowControl/>
        <w:spacing w:line="360" w:lineRule="auto"/>
        <w:jc w:val="both"/>
        <w:rPr>
          <w:rFonts w:hint="eastAsia" w:ascii="宋体" w:hAnsi="宋体" w:cs="宋体"/>
          <w:b/>
          <w:color w:val="auto"/>
          <w:kern w:val="0"/>
          <w:sz w:val="32"/>
          <w:szCs w:val="32"/>
          <w:highlight w:val="none"/>
        </w:rPr>
      </w:pPr>
    </w:p>
    <w:p w14:paraId="6C730D5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535D1F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34E804F6">
      <w:pPr>
        <w:rPr>
          <w:rFonts w:ascii="宋体" w:hAnsi="宋体" w:cs="宋体"/>
          <w:color w:val="auto"/>
          <w:highlight w:val="none"/>
        </w:rPr>
      </w:pPr>
    </w:p>
    <w:p w14:paraId="09718BF5">
      <w:pPr>
        <w:snapToGrid w:val="0"/>
        <w:spacing w:line="360" w:lineRule="auto"/>
        <w:ind w:right="480"/>
        <w:jc w:val="center"/>
        <w:rPr>
          <w:rFonts w:ascii="宋体" w:hAnsi="宋体" w:cs="宋体"/>
          <w:b/>
          <w:color w:val="auto"/>
          <w:kern w:val="0"/>
          <w:sz w:val="32"/>
          <w:szCs w:val="32"/>
          <w:highlight w:val="none"/>
        </w:rPr>
      </w:pPr>
    </w:p>
    <w:p w14:paraId="177FABD6">
      <w:pPr>
        <w:snapToGrid w:val="0"/>
        <w:spacing w:line="360" w:lineRule="auto"/>
        <w:ind w:right="480"/>
        <w:jc w:val="center"/>
        <w:rPr>
          <w:rFonts w:ascii="宋体" w:hAnsi="宋体" w:cs="宋体"/>
          <w:b/>
          <w:color w:val="auto"/>
          <w:kern w:val="0"/>
          <w:sz w:val="32"/>
          <w:szCs w:val="32"/>
          <w:highlight w:val="none"/>
        </w:rPr>
      </w:pPr>
    </w:p>
    <w:p w14:paraId="595EC7E5">
      <w:pPr>
        <w:snapToGrid w:val="0"/>
        <w:spacing w:line="360" w:lineRule="auto"/>
        <w:ind w:right="480"/>
        <w:jc w:val="center"/>
        <w:rPr>
          <w:rFonts w:ascii="宋体" w:hAnsi="宋体" w:cs="宋体"/>
          <w:b/>
          <w:color w:val="auto"/>
          <w:kern w:val="0"/>
          <w:sz w:val="32"/>
          <w:szCs w:val="32"/>
          <w:highlight w:val="none"/>
        </w:rPr>
      </w:pPr>
    </w:p>
    <w:p w14:paraId="78E57A41">
      <w:pPr>
        <w:snapToGrid w:val="0"/>
        <w:spacing w:line="360" w:lineRule="auto"/>
        <w:ind w:right="480"/>
        <w:jc w:val="center"/>
        <w:rPr>
          <w:rFonts w:ascii="宋体" w:hAnsi="宋体" w:cs="宋体"/>
          <w:b/>
          <w:color w:val="auto"/>
          <w:kern w:val="0"/>
          <w:sz w:val="32"/>
          <w:szCs w:val="32"/>
          <w:highlight w:val="none"/>
        </w:rPr>
      </w:pPr>
    </w:p>
    <w:p w14:paraId="5925C6FC">
      <w:pPr>
        <w:snapToGrid w:val="0"/>
        <w:spacing w:line="360" w:lineRule="auto"/>
        <w:ind w:right="480"/>
        <w:jc w:val="center"/>
        <w:rPr>
          <w:rFonts w:ascii="宋体" w:hAnsi="宋体" w:cs="宋体"/>
          <w:b/>
          <w:color w:val="auto"/>
          <w:kern w:val="0"/>
          <w:sz w:val="32"/>
          <w:szCs w:val="32"/>
          <w:highlight w:val="none"/>
        </w:rPr>
      </w:pPr>
    </w:p>
    <w:p w14:paraId="50E7A021">
      <w:pPr>
        <w:snapToGrid w:val="0"/>
        <w:spacing w:line="360" w:lineRule="auto"/>
        <w:ind w:right="480"/>
        <w:jc w:val="center"/>
        <w:rPr>
          <w:rFonts w:ascii="宋体" w:hAnsi="宋体" w:cs="宋体"/>
          <w:b/>
          <w:color w:val="auto"/>
          <w:kern w:val="0"/>
          <w:sz w:val="32"/>
          <w:szCs w:val="32"/>
          <w:highlight w:val="none"/>
        </w:rPr>
      </w:pPr>
    </w:p>
    <w:p w14:paraId="02DDD1B1">
      <w:pPr>
        <w:spacing w:line="360" w:lineRule="auto"/>
        <w:jc w:val="center"/>
        <w:outlineLvl w:val="0"/>
        <w:rPr>
          <w:rFonts w:ascii="宋体" w:hAnsi="宋体" w:cs="宋体"/>
          <w:b/>
          <w:color w:val="auto"/>
          <w:kern w:val="0"/>
          <w:sz w:val="36"/>
          <w:szCs w:val="36"/>
          <w:highlight w:val="none"/>
        </w:rPr>
      </w:pPr>
    </w:p>
    <w:p w14:paraId="30CDD92C">
      <w:pPr>
        <w:snapToGrid w:val="0"/>
        <w:spacing w:line="360" w:lineRule="auto"/>
        <w:ind w:right="480"/>
        <w:jc w:val="center"/>
        <w:rPr>
          <w:rFonts w:ascii="宋体" w:hAnsi="宋体" w:cs="宋体"/>
          <w:b/>
          <w:color w:val="auto"/>
          <w:kern w:val="0"/>
          <w:sz w:val="32"/>
          <w:szCs w:val="32"/>
          <w:highlight w:val="none"/>
        </w:rPr>
      </w:pPr>
    </w:p>
    <w:p w14:paraId="07885A81">
      <w:pPr>
        <w:spacing w:line="360" w:lineRule="auto"/>
        <w:jc w:val="center"/>
        <w:outlineLvl w:val="0"/>
        <w:rPr>
          <w:rFonts w:ascii="宋体" w:hAnsi="宋体" w:cs="宋体"/>
          <w:b/>
          <w:color w:val="auto"/>
          <w:kern w:val="0"/>
          <w:sz w:val="36"/>
          <w:szCs w:val="36"/>
          <w:highlight w:val="none"/>
        </w:rPr>
      </w:pPr>
    </w:p>
    <w:p w14:paraId="30C6B0B2">
      <w:pPr>
        <w:spacing w:line="360" w:lineRule="auto"/>
        <w:ind w:right="420" w:firstLine="3614" w:firstLineChars="1000"/>
        <w:rPr>
          <w:rFonts w:ascii="宋体" w:hAnsi="宋体" w:cs="宋体"/>
          <w:b/>
          <w:color w:val="auto"/>
          <w:kern w:val="0"/>
          <w:sz w:val="36"/>
          <w:szCs w:val="36"/>
          <w:highlight w:val="none"/>
        </w:rPr>
      </w:pPr>
    </w:p>
    <w:p w14:paraId="36C42C3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8E5B6AE">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EEA20F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E786D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（1）投标函………………………………………………………………………（页码）（2）授权委托书或法定代表人（单位负责人、自然人本人）身份证明……（页码）</w:t>
      </w:r>
    </w:p>
    <w:p w14:paraId="763F581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（3）联合协议……………………………………………………………………（页码）</w:t>
      </w:r>
    </w:p>
    <w:p w14:paraId="4921FB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（4）分包意向协议………………………………………………………………（页码）</w:t>
      </w:r>
    </w:p>
    <w:p w14:paraId="238801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（5）符合性审查资料……………………………………………………………（页码）</w:t>
      </w:r>
    </w:p>
    <w:p w14:paraId="5CFC8B71">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评标标准相应的商务技术资料……………………………………………（页码）（7）投标标的清单………………………………………………………………（页码）（8）商务技术偏离表……………………………………………………………（页码）</w:t>
      </w:r>
    </w:p>
    <w:p w14:paraId="7970DAA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6F6B58F8">
      <w:pPr>
        <w:snapToGrid w:val="0"/>
        <w:spacing w:line="360" w:lineRule="auto"/>
        <w:jc w:val="center"/>
        <w:rPr>
          <w:rFonts w:ascii="宋体" w:hAnsi="宋体" w:cs="宋体"/>
          <w:b/>
          <w:color w:val="auto"/>
          <w:kern w:val="0"/>
          <w:sz w:val="32"/>
          <w:szCs w:val="32"/>
          <w:highlight w:val="none"/>
          <w:lang w:val="zh-CN"/>
        </w:rPr>
      </w:pPr>
    </w:p>
    <w:p w14:paraId="31200DC7">
      <w:pPr>
        <w:snapToGrid w:val="0"/>
        <w:spacing w:line="360" w:lineRule="auto"/>
        <w:jc w:val="center"/>
        <w:rPr>
          <w:rFonts w:ascii="宋体" w:hAnsi="宋体" w:cs="宋体"/>
          <w:b/>
          <w:color w:val="auto"/>
          <w:kern w:val="0"/>
          <w:sz w:val="32"/>
          <w:szCs w:val="32"/>
          <w:highlight w:val="none"/>
          <w:lang w:val="zh-CN"/>
        </w:rPr>
      </w:pPr>
    </w:p>
    <w:p w14:paraId="0AF3BA29">
      <w:pPr>
        <w:snapToGrid w:val="0"/>
        <w:spacing w:line="360" w:lineRule="auto"/>
        <w:jc w:val="center"/>
        <w:rPr>
          <w:rFonts w:ascii="宋体" w:hAnsi="宋体" w:cs="宋体"/>
          <w:b/>
          <w:color w:val="auto"/>
          <w:kern w:val="0"/>
          <w:sz w:val="32"/>
          <w:szCs w:val="32"/>
          <w:highlight w:val="none"/>
          <w:lang w:val="zh-CN"/>
        </w:rPr>
      </w:pPr>
    </w:p>
    <w:p w14:paraId="7A1E333B">
      <w:pPr>
        <w:snapToGrid w:val="0"/>
        <w:spacing w:line="360" w:lineRule="auto"/>
        <w:jc w:val="center"/>
        <w:rPr>
          <w:rFonts w:ascii="宋体" w:hAnsi="宋体" w:cs="宋体"/>
          <w:b/>
          <w:color w:val="auto"/>
          <w:kern w:val="0"/>
          <w:sz w:val="32"/>
          <w:szCs w:val="32"/>
          <w:highlight w:val="none"/>
          <w:lang w:val="zh-CN"/>
        </w:rPr>
      </w:pPr>
    </w:p>
    <w:p w14:paraId="2941D52A">
      <w:pPr>
        <w:snapToGrid w:val="0"/>
        <w:spacing w:line="360" w:lineRule="auto"/>
        <w:jc w:val="center"/>
        <w:rPr>
          <w:rFonts w:ascii="宋体" w:hAnsi="宋体" w:cs="宋体"/>
          <w:b/>
          <w:color w:val="auto"/>
          <w:kern w:val="0"/>
          <w:sz w:val="32"/>
          <w:szCs w:val="32"/>
          <w:highlight w:val="none"/>
          <w:lang w:val="zh-CN"/>
        </w:rPr>
      </w:pPr>
    </w:p>
    <w:p w14:paraId="00B02E4A">
      <w:pPr>
        <w:snapToGrid w:val="0"/>
        <w:spacing w:line="360" w:lineRule="auto"/>
        <w:jc w:val="center"/>
        <w:outlineLvl w:val="0"/>
        <w:rPr>
          <w:rFonts w:ascii="宋体" w:hAnsi="宋体" w:cs="宋体"/>
          <w:b/>
          <w:color w:val="auto"/>
          <w:kern w:val="0"/>
          <w:sz w:val="32"/>
          <w:szCs w:val="32"/>
          <w:highlight w:val="none"/>
        </w:rPr>
      </w:pPr>
    </w:p>
    <w:p w14:paraId="3E50A40A">
      <w:pPr>
        <w:snapToGrid w:val="0"/>
        <w:spacing w:line="360" w:lineRule="auto"/>
        <w:jc w:val="center"/>
        <w:outlineLvl w:val="0"/>
        <w:rPr>
          <w:rFonts w:ascii="宋体" w:hAnsi="宋体" w:cs="宋体"/>
          <w:b/>
          <w:color w:val="auto"/>
          <w:kern w:val="0"/>
          <w:sz w:val="32"/>
          <w:szCs w:val="32"/>
          <w:highlight w:val="none"/>
        </w:rPr>
      </w:pPr>
    </w:p>
    <w:p w14:paraId="6BF67F53">
      <w:pPr>
        <w:rPr>
          <w:rFonts w:ascii="宋体" w:hAnsi="宋体" w:cs="宋体"/>
          <w:color w:val="auto"/>
          <w:highlight w:val="none"/>
        </w:rPr>
      </w:pPr>
    </w:p>
    <w:p w14:paraId="4B17C00C">
      <w:pPr>
        <w:snapToGrid w:val="0"/>
        <w:spacing w:line="360" w:lineRule="auto"/>
        <w:jc w:val="center"/>
        <w:outlineLvl w:val="0"/>
        <w:rPr>
          <w:rFonts w:ascii="宋体" w:hAnsi="宋体" w:cs="宋体"/>
          <w:b/>
          <w:color w:val="auto"/>
          <w:kern w:val="0"/>
          <w:sz w:val="32"/>
          <w:szCs w:val="32"/>
          <w:highlight w:val="none"/>
        </w:rPr>
      </w:pPr>
    </w:p>
    <w:p w14:paraId="5490A1B3">
      <w:pPr>
        <w:snapToGrid w:val="0"/>
        <w:spacing w:line="360" w:lineRule="auto"/>
        <w:jc w:val="center"/>
        <w:outlineLvl w:val="0"/>
        <w:rPr>
          <w:rFonts w:ascii="宋体" w:hAnsi="宋体" w:cs="宋体"/>
          <w:b/>
          <w:color w:val="auto"/>
          <w:kern w:val="0"/>
          <w:sz w:val="32"/>
          <w:szCs w:val="32"/>
          <w:highlight w:val="none"/>
        </w:rPr>
      </w:pPr>
    </w:p>
    <w:p w14:paraId="2089A5C6">
      <w:pPr>
        <w:snapToGrid w:val="0"/>
        <w:spacing w:line="360" w:lineRule="auto"/>
        <w:jc w:val="center"/>
        <w:outlineLvl w:val="0"/>
        <w:rPr>
          <w:rFonts w:ascii="宋体" w:hAnsi="宋体" w:cs="宋体"/>
          <w:b/>
          <w:color w:val="auto"/>
          <w:kern w:val="0"/>
          <w:sz w:val="32"/>
          <w:szCs w:val="32"/>
          <w:highlight w:val="none"/>
        </w:rPr>
      </w:pPr>
    </w:p>
    <w:p w14:paraId="309A3B77">
      <w:pPr>
        <w:snapToGrid w:val="0"/>
        <w:spacing w:line="360" w:lineRule="auto"/>
        <w:jc w:val="center"/>
        <w:outlineLvl w:val="0"/>
        <w:rPr>
          <w:rFonts w:ascii="宋体" w:hAnsi="宋体" w:cs="宋体"/>
          <w:b/>
          <w:color w:val="auto"/>
          <w:kern w:val="0"/>
          <w:sz w:val="32"/>
          <w:szCs w:val="32"/>
          <w:highlight w:val="none"/>
        </w:rPr>
      </w:pPr>
    </w:p>
    <w:p w14:paraId="16CB68E8">
      <w:pPr>
        <w:snapToGrid w:val="0"/>
        <w:spacing w:line="360" w:lineRule="auto"/>
        <w:jc w:val="center"/>
        <w:outlineLvl w:val="0"/>
        <w:rPr>
          <w:rFonts w:ascii="宋体" w:hAnsi="宋体" w:cs="宋体"/>
          <w:b/>
          <w:color w:val="auto"/>
          <w:kern w:val="0"/>
          <w:sz w:val="32"/>
          <w:szCs w:val="32"/>
          <w:highlight w:val="none"/>
        </w:rPr>
      </w:pPr>
    </w:p>
    <w:p w14:paraId="7C4969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cs="宋体"/>
          <w:b/>
          <w:color w:val="auto"/>
          <w:kern w:val="0"/>
          <w:sz w:val="32"/>
          <w:szCs w:val="32"/>
          <w:highlight w:val="none"/>
        </w:rPr>
      </w:pPr>
    </w:p>
    <w:p w14:paraId="55E15ED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93D5C21">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p>
    <w:p w14:paraId="7583922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95B9DB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在投标有效期满之前均具有约束力。</w:t>
      </w:r>
    </w:p>
    <w:p w14:paraId="00A9500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包括以下内容：</w:t>
      </w:r>
    </w:p>
    <w:p w14:paraId="0C83EC86">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F04EEE5">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8E80A85">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34054E0D">
      <w:pPr>
        <w:snapToGrid w:val="0"/>
        <w:spacing w:line="40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763D096">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481D392">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2BB3CF5">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2.2.3联合协议（如果有）；</w:t>
      </w:r>
    </w:p>
    <w:p w14:paraId="54A8293A">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2.2.4分包意向协议（如果有）；</w:t>
      </w:r>
    </w:p>
    <w:p w14:paraId="7139BB4D">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2.2.5符合性审查资料；</w:t>
      </w:r>
    </w:p>
    <w:p w14:paraId="5CEF9D90">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2.2.6评标标准相应的商务技术资料；</w:t>
      </w:r>
    </w:p>
    <w:p w14:paraId="5C0912F0">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2.2.7投标标的清单；</w:t>
      </w:r>
    </w:p>
    <w:p w14:paraId="716AE9AE">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2.2.8商务技术偏离表；</w:t>
      </w:r>
    </w:p>
    <w:p w14:paraId="046BE079">
      <w:pPr>
        <w:snapToGrid w:val="0"/>
        <w:spacing w:line="400" w:lineRule="exact"/>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采购供应商廉洁自律承诺书；</w:t>
      </w:r>
    </w:p>
    <w:p w14:paraId="1E882536">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86F70F2">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6CEF789">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0E3E1AB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7FE8465">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5971A05">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C82F9F6">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67BE642E">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D6FFF4B">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A68498">
      <w:pPr>
        <w:spacing w:line="40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3F5434D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EB304CF">
      <w:pPr>
        <w:snapToGrid w:val="0"/>
        <w:spacing w:line="400" w:lineRule="exact"/>
        <w:ind w:left="420" w:leftChars="200" w:firstLine="4200" w:firstLineChars="1750"/>
        <w:rPr>
          <w:rFonts w:ascii="宋体" w:hAnsi="宋体" w:cs="宋体"/>
          <w:color w:val="auto"/>
          <w:kern w:val="0"/>
          <w:sz w:val="24"/>
          <w:highlight w:val="none"/>
          <w:u w:val="single"/>
        </w:rPr>
      </w:pPr>
    </w:p>
    <w:p w14:paraId="01D5B08C">
      <w:pPr>
        <w:spacing w:line="400" w:lineRule="exact"/>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07D6A0">
      <w:pPr>
        <w:jc w:val="center"/>
        <w:rPr>
          <w:rFonts w:ascii="宋体" w:hAnsi="宋体" w:cs="宋体"/>
          <w:b/>
          <w:color w:val="auto"/>
          <w:kern w:val="0"/>
          <w:sz w:val="32"/>
          <w:szCs w:val="32"/>
          <w:highlight w:val="none"/>
        </w:rPr>
      </w:pPr>
    </w:p>
    <w:p w14:paraId="0DC4E049">
      <w:pPr>
        <w:jc w:val="center"/>
        <w:rPr>
          <w:rFonts w:ascii="宋体" w:hAnsi="宋体" w:cs="宋体"/>
          <w:b/>
          <w:color w:val="auto"/>
          <w:kern w:val="0"/>
          <w:sz w:val="32"/>
          <w:szCs w:val="32"/>
          <w:highlight w:val="none"/>
        </w:rPr>
      </w:pPr>
    </w:p>
    <w:p w14:paraId="14F8672D">
      <w:pPr>
        <w:widowControl/>
        <w:adjustRightInd/>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14:paraId="149D5EA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321849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ABE832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7EE57E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83515A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采购投标的一切事项，其法律后果由我方承担。</w:t>
      </w:r>
    </w:p>
    <w:p w14:paraId="34DCB3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28E86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D837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62A4A17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0B2CAB7">
      <w:pPr>
        <w:snapToGrid w:val="0"/>
        <w:spacing w:line="360" w:lineRule="auto"/>
        <w:rPr>
          <w:rFonts w:ascii="宋体" w:hAnsi="宋体" w:cs="宋体"/>
          <w:color w:val="auto"/>
          <w:sz w:val="24"/>
          <w:highlight w:val="none"/>
        </w:rPr>
      </w:pPr>
    </w:p>
    <w:p w14:paraId="33DCECE1">
      <w:pPr>
        <w:snapToGrid w:val="0"/>
        <w:spacing w:line="360" w:lineRule="auto"/>
        <w:rPr>
          <w:rFonts w:ascii="宋体" w:hAnsi="宋体" w:cs="宋体"/>
          <w:color w:val="auto"/>
          <w:sz w:val="24"/>
          <w:highlight w:val="none"/>
        </w:rPr>
      </w:pPr>
    </w:p>
    <w:p w14:paraId="2E61B8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6608F0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1CEC55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采购投标的一切事项，其法律后果由我方承担。</w:t>
      </w:r>
    </w:p>
    <w:p w14:paraId="25673B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E2809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55C867">
      <w:pPr>
        <w:jc w:val="center"/>
        <w:rPr>
          <w:rFonts w:ascii="宋体" w:hAnsi="宋体" w:cs="宋体"/>
          <w:b/>
          <w:color w:val="auto"/>
          <w:kern w:val="0"/>
          <w:sz w:val="32"/>
          <w:szCs w:val="32"/>
          <w:highlight w:val="none"/>
        </w:rPr>
      </w:pPr>
    </w:p>
    <w:p w14:paraId="041DBF9A">
      <w:pPr>
        <w:rPr>
          <w:rFonts w:ascii="宋体" w:hAnsi="宋体" w:cs="宋体"/>
          <w:color w:val="auto"/>
          <w:highlight w:val="none"/>
        </w:rPr>
      </w:pPr>
    </w:p>
    <w:p w14:paraId="5C76926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B805C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29BBA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B78D7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AE1D72">
      <w:pPr>
        <w:autoSpaceDE w:val="0"/>
        <w:autoSpaceDN w:val="0"/>
        <w:spacing w:line="360" w:lineRule="auto"/>
        <w:jc w:val="center"/>
        <w:rPr>
          <w:rFonts w:ascii="宋体" w:hAnsi="宋体" w:cs="宋体"/>
          <w:b/>
          <w:color w:val="auto"/>
          <w:kern w:val="0"/>
          <w:sz w:val="32"/>
          <w:szCs w:val="32"/>
          <w:highlight w:val="none"/>
          <w:lang w:val="zh-CN"/>
        </w:rPr>
      </w:pPr>
    </w:p>
    <w:p w14:paraId="395E383B">
      <w:pPr>
        <w:autoSpaceDE w:val="0"/>
        <w:autoSpaceDN w:val="0"/>
        <w:spacing w:line="360" w:lineRule="auto"/>
        <w:jc w:val="center"/>
        <w:rPr>
          <w:rFonts w:ascii="宋体" w:hAnsi="宋体" w:cs="宋体"/>
          <w:b/>
          <w:color w:val="auto"/>
          <w:kern w:val="0"/>
          <w:sz w:val="32"/>
          <w:szCs w:val="32"/>
          <w:highlight w:val="none"/>
          <w:lang w:val="zh-CN"/>
        </w:rPr>
      </w:pPr>
    </w:p>
    <w:p w14:paraId="6994BAC6">
      <w:pPr>
        <w:autoSpaceDE w:val="0"/>
        <w:autoSpaceDN w:val="0"/>
        <w:spacing w:line="360" w:lineRule="auto"/>
        <w:jc w:val="center"/>
        <w:rPr>
          <w:rFonts w:ascii="宋体" w:hAnsi="宋体" w:cs="宋体"/>
          <w:b/>
          <w:color w:val="auto"/>
          <w:kern w:val="0"/>
          <w:sz w:val="32"/>
          <w:szCs w:val="32"/>
          <w:highlight w:val="none"/>
          <w:lang w:val="zh-CN"/>
        </w:rPr>
      </w:pPr>
    </w:p>
    <w:p w14:paraId="1CAA403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5EE7F07D">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5F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24A774">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C78039B">
            <w:pPr>
              <w:pStyle w:val="150"/>
              <w:adjustRightInd w:val="0"/>
              <w:spacing w:line="360" w:lineRule="auto"/>
              <w:rPr>
                <w:rFonts w:hAnsi="宋体" w:cs="宋体"/>
                <w:bCs/>
                <w:color w:val="auto"/>
                <w:sz w:val="24"/>
                <w:highlight w:val="none"/>
              </w:rPr>
            </w:pPr>
          </w:p>
        </w:tc>
      </w:tr>
    </w:tbl>
    <w:p w14:paraId="3C4F413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0A413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217CCB0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881148">
      <w:pPr>
        <w:jc w:val="center"/>
        <w:rPr>
          <w:rFonts w:ascii="宋体" w:hAnsi="宋体" w:cs="宋体"/>
          <w:b/>
          <w:color w:val="auto"/>
          <w:kern w:val="0"/>
          <w:sz w:val="32"/>
          <w:szCs w:val="32"/>
          <w:highlight w:val="none"/>
        </w:rPr>
      </w:pPr>
    </w:p>
    <w:p w14:paraId="78A791EB">
      <w:pPr>
        <w:jc w:val="center"/>
        <w:rPr>
          <w:rFonts w:ascii="宋体" w:hAnsi="宋体" w:cs="宋体"/>
          <w:b/>
          <w:color w:val="auto"/>
          <w:kern w:val="0"/>
          <w:sz w:val="32"/>
          <w:szCs w:val="32"/>
          <w:highlight w:val="none"/>
        </w:rPr>
      </w:pPr>
    </w:p>
    <w:p w14:paraId="1C50D666">
      <w:pPr>
        <w:jc w:val="center"/>
        <w:rPr>
          <w:rFonts w:ascii="宋体" w:hAnsi="宋体" w:cs="宋体"/>
          <w:b/>
          <w:color w:val="auto"/>
          <w:kern w:val="0"/>
          <w:sz w:val="32"/>
          <w:szCs w:val="32"/>
          <w:highlight w:val="none"/>
        </w:rPr>
      </w:pPr>
    </w:p>
    <w:p w14:paraId="1F2AEC25">
      <w:pPr>
        <w:jc w:val="center"/>
        <w:rPr>
          <w:rFonts w:ascii="宋体" w:hAnsi="宋体" w:cs="宋体"/>
          <w:b/>
          <w:color w:val="auto"/>
          <w:kern w:val="0"/>
          <w:sz w:val="32"/>
          <w:szCs w:val="32"/>
          <w:highlight w:val="none"/>
        </w:rPr>
      </w:pPr>
    </w:p>
    <w:p w14:paraId="688B7673">
      <w:pPr>
        <w:jc w:val="center"/>
        <w:rPr>
          <w:rFonts w:ascii="宋体" w:hAnsi="宋体" w:cs="宋体"/>
          <w:b/>
          <w:color w:val="auto"/>
          <w:kern w:val="0"/>
          <w:sz w:val="32"/>
          <w:szCs w:val="32"/>
          <w:highlight w:val="none"/>
        </w:rPr>
      </w:pPr>
    </w:p>
    <w:p w14:paraId="62F959D6">
      <w:pPr>
        <w:jc w:val="center"/>
        <w:rPr>
          <w:rFonts w:ascii="宋体" w:hAnsi="宋体" w:cs="宋体"/>
          <w:b/>
          <w:color w:val="auto"/>
          <w:kern w:val="0"/>
          <w:sz w:val="32"/>
          <w:szCs w:val="32"/>
          <w:highlight w:val="none"/>
        </w:rPr>
      </w:pPr>
    </w:p>
    <w:p w14:paraId="66586D4C">
      <w:pPr>
        <w:jc w:val="center"/>
        <w:rPr>
          <w:rFonts w:ascii="宋体" w:hAnsi="宋体" w:cs="宋体"/>
          <w:b/>
          <w:color w:val="auto"/>
          <w:kern w:val="0"/>
          <w:sz w:val="32"/>
          <w:szCs w:val="32"/>
          <w:highlight w:val="none"/>
        </w:rPr>
      </w:pPr>
    </w:p>
    <w:p w14:paraId="75CCA5D3">
      <w:pPr>
        <w:jc w:val="center"/>
        <w:rPr>
          <w:rFonts w:ascii="宋体" w:hAnsi="宋体" w:cs="宋体"/>
          <w:b/>
          <w:color w:val="auto"/>
          <w:kern w:val="0"/>
          <w:sz w:val="32"/>
          <w:szCs w:val="32"/>
          <w:highlight w:val="none"/>
        </w:rPr>
      </w:pPr>
    </w:p>
    <w:p w14:paraId="3CA0C442">
      <w:pPr>
        <w:jc w:val="center"/>
        <w:rPr>
          <w:rFonts w:ascii="宋体" w:hAnsi="宋体" w:cs="宋体"/>
          <w:b/>
          <w:color w:val="auto"/>
          <w:kern w:val="0"/>
          <w:sz w:val="32"/>
          <w:szCs w:val="32"/>
          <w:highlight w:val="none"/>
        </w:rPr>
      </w:pPr>
    </w:p>
    <w:p w14:paraId="27BEB87B">
      <w:pPr>
        <w:jc w:val="center"/>
        <w:rPr>
          <w:rFonts w:ascii="宋体" w:hAnsi="宋体" w:cs="宋体"/>
          <w:b/>
          <w:color w:val="auto"/>
          <w:kern w:val="0"/>
          <w:sz w:val="32"/>
          <w:szCs w:val="32"/>
          <w:highlight w:val="none"/>
        </w:rPr>
      </w:pPr>
    </w:p>
    <w:p w14:paraId="4104141B">
      <w:pPr>
        <w:jc w:val="center"/>
        <w:rPr>
          <w:rFonts w:ascii="宋体" w:hAnsi="宋体" w:cs="宋体"/>
          <w:b/>
          <w:color w:val="auto"/>
          <w:kern w:val="0"/>
          <w:sz w:val="32"/>
          <w:szCs w:val="32"/>
          <w:highlight w:val="none"/>
        </w:rPr>
      </w:pPr>
    </w:p>
    <w:p w14:paraId="57A38689">
      <w:pPr>
        <w:jc w:val="both"/>
        <w:rPr>
          <w:rFonts w:ascii="宋体" w:hAnsi="宋体" w:cs="宋体"/>
          <w:b/>
          <w:color w:val="auto"/>
          <w:kern w:val="0"/>
          <w:sz w:val="32"/>
          <w:szCs w:val="32"/>
          <w:highlight w:val="none"/>
        </w:rPr>
      </w:pPr>
    </w:p>
    <w:p w14:paraId="17FBD63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联合协议</w:t>
      </w:r>
    </w:p>
    <w:p w14:paraId="7A04C2C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（以联合体形式投标的，提供联合协议；本项目不接受联合体投标或者响应人不以联合体形式投标的，则不需要提供）</w:t>
      </w:r>
    </w:p>
    <w:p w14:paraId="2A23BE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组成一个联合体，以一个响应人的身份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B5230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6ED75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授权代表根据交易文件规定及投标内容而对发包人、采购机构所作的任何合法承诺，包括书面澄清及相应等均对联合投标各方产生约束力。</w:t>
      </w:r>
    </w:p>
    <w:p w14:paraId="150EFE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A3951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四、如果中标，</w:t>
      </w:r>
      <w:r>
        <w:rPr>
          <w:rFonts w:hint="eastAsia" w:ascii="宋体" w:hAnsi="宋体" w:cs="宋体"/>
          <w:color w:val="auto"/>
          <w:sz w:val="24"/>
          <w:highlight w:val="none"/>
        </w:rPr>
        <w:t>联合体各成员方共同与</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签订合同，并就采购合同约定的事项对</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承担连带责任。</w:t>
      </w:r>
    </w:p>
    <w:p w14:paraId="0B2BDB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五、有关本次联合投标的其他事宜：</w:t>
      </w:r>
    </w:p>
    <w:p w14:paraId="1D760C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107C39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A28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3、本协议提交发包人、采购机构后，联合体各方不得以任何形式对上述内容进行修改或撤销。</w:t>
      </w:r>
    </w:p>
    <w:p w14:paraId="76E1A05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4FEE6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D61CE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A7D585">
      <w:pPr>
        <w:snapToGrid w:val="0"/>
        <w:spacing w:line="360" w:lineRule="auto"/>
        <w:ind w:right="480"/>
        <w:rPr>
          <w:rFonts w:ascii="宋体" w:hAnsi="宋体" w:cs="宋体"/>
          <w:b/>
          <w:color w:val="auto"/>
          <w:kern w:val="0"/>
          <w:sz w:val="32"/>
          <w:szCs w:val="32"/>
          <w:highlight w:val="none"/>
        </w:rPr>
        <w:sectPr>
          <w:pgSz w:w="11906" w:h="16838"/>
          <w:pgMar w:top="1440" w:right="1440" w:bottom="1440" w:left="1440" w:header="851" w:footer="992" w:gutter="0"/>
          <w:cols w:space="720" w:num="1"/>
          <w:titlePg/>
          <w:docGrid w:linePitch="312" w:charSpace="0"/>
        </w:sectPr>
      </w:pPr>
    </w:p>
    <w:p w14:paraId="051CE7DA">
      <w:pPr>
        <w:snapToGrid w:val="0"/>
        <w:spacing w:line="360" w:lineRule="auto"/>
        <w:ind w:firstLine="3534" w:firstLineChars="1100"/>
        <w:rPr>
          <w:rFonts w:ascii="宋体" w:hAnsi="宋体" w:cs="宋体"/>
          <w:b/>
          <w:color w:val="auto"/>
          <w:kern w:val="0"/>
          <w:sz w:val="32"/>
          <w:szCs w:val="32"/>
          <w:highlight w:val="none"/>
        </w:rPr>
      </w:pPr>
    </w:p>
    <w:p w14:paraId="7848386C">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四、分包意向协议</w:t>
      </w:r>
    </w:p>
    <w:p w14:paraId="21A17A7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不同意分包或者响应人中标后不以分包方式履行合同的，则不需要提供。</w:t>
      </w:r>
      <w:r>
        <w:rPr>
          <w:rFonts w:hint="eastAsia" w:ascii="宋体" w:hAnsi="宋体" w:cs="宋体"/>
          <w:color w:val="auto"/>
          <w:sz w:val="24"/>
          <w:highlight w:val="none"/>
        </w:rPr>
        <w:t>）</w:t>
      </w:r>
    </w:p>
    <w:p w14:paraId="617873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（响应人名称）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（响应人名称）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D2109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D8A0F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（响应人名称）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EFD662B">
      <w:pPr>
        <w:pStyle w:val="6"/>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11F682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51B1099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329C1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1156F0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02FC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447B0C8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C6B70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366534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7EB4B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3C4BAA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5100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152342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F7425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2D92D1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w:t>
      </w:r>
    </w:p>
    <w:p w14:paraId="4D84F6DB">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7555826">
      <w:pPr>
        <w:spacing w:line="360" w:lineRule="auto"/>
        <w:ind w:right="42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04BBB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173C7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22F0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五、符合性审查资料</w:t>
      </w:r>
    </w:p>
    <w:p w14:paraId="5ED25500">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91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B240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EAA8D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FCB6C5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87DA1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中的</w:t>
            </w:r>
          </w:p>
          <w:p w14:paraId="6A7E29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CC1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3F46DC8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E8C9CAB">
            <w:pPr>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按照交易文件要求签署、盖章。</w:t>
            </w:r>
          </w:p>
        </w:tc>
        <w:tc>
          <w:tcPr>
            <w:tcW w:w="2551" w:type="dxa"/>
            <w:vAlign w:val="center"/>
          </w:tcPr>
          <w:p w14:paraId="56A0C421">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的组成部分</w:t>
            </w:r>
          </w:p>
        </w:tc>
        <w:tc>
          <w:tcPr>
            <w:tcW w:w="1418" w:type="dxa"/>
            <w:vAlign w:val="center"/>
          </w:tcPr>
          <w:p w14:paraId="2A2F2AE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响应文件</w:t>
            </w:r>
          </w:p>
          <w:p w14:paraId="3FE63A7A">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27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5F4CB56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0C55350">
            <w:pPr>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中承诺的投标有效期不少于交易文件中载明的投标有效期。</w:t>
            </w:r>
          </w:p>
        </w:tc>
        <w:tc>
          <w:tcPr>
            <w:tcW w:w="2551" w:type="dxa"/>
            <w:vAlign w:val="center"/>
          </w:tcPr>
          <w:p w14:paraId="16EE027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2ED8B2C2">
            <w:pPr>
              <w:jc w:val="cente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24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46" w:type="dxa"/>
            <w:vAlign w:val="center"/>
          </w:tcPr>
          <w:p w14:paraId="3E7A100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5ACEC888">
            <w:pPr>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满足交易文件的其它实质性要求。</w:t>
            </w:r>
          </w:p>
        </w:tc>
        <w:tc>
          <w:tcPr>
            <w:tcW w:w="2551" w:type="dxa"/>
            <w:vAlign w:val="center"/>
          </w:tcPr>
          <w:p w14:paraId="792B88FA">
            <w:pP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667136CA">
            <w:pPr>
              <w:jc w:val="cente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5B8CA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2C98DE">
      <w:pPr>
        <w:jc w:val="center"/>
        <w:rPr>
          <w:rFonts w:ascii="宋体" w:hAnsi="宋体" w:cs="宋体"/>
          <w:b/>
          <w:color w:val="auto"/>
          <w:kern w:val="0"/>
          <w:sz w:val="32"/>
          <w:szCs w:val="32"/>
          <w:highlight w:val="none"/>
        </w:rPr>
      </w:pPr>
    </w:p>
    <w:p w14:paraId="2DAC83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E8A2E6D">
      <w:pPr>
        <w:jc w:val="center"/>
        <w:rPr>
          <w:rFonts w:ascii="宋体" w:hAnsi="宋体" w:cs="宋体"/>
          <w:b/>
          <w:color w:val="auto"/>
          <w:kern w:val="0"/>
          <w:sz w:val="32"/>
          <w:szCs w:val="32"/>
          <w:highlight w:val="none"/>
        </w:rPr>
      </w:pPr>
    </w:p>
    <w:p w14:paraId="25B212E0">
      <w:pPr>
        <w:jc w:val="center"/>
        <w:rPr>
          <w:rFonts w:ascii="宋体" w:hAnsi="宋体" w:cs="宋体"/>
          <w:b/>
          <w:color w:val="auto"/>
          <w:kern w:val="0"/>
          <w:sz w:val="32"/>
          <w:szCs w:val="32"/>
          <w:highlight w:val="none"/>
        </w:rPr>
      </w:pPr>
    </w:p>
    <w:p w14:paraId="69E3A3F7">
      <w:pPr>
        <w:jc w:val="center"/>
        <w:rPr>
          <w:rFonts w:ascii="宋体" w:hAnsi="宋体" w:cs="宋体"/>
          <w:b/>
          <w:color w:val="auto"/>
          <w:kern w:val="0"/>
          <w:sz w:val="32"/>
          <w:szCs w:val="32"/>
          <w:highlight w:val="none"/>
        </w:rPr>
      </w:pPr>
    </w:p>
    <w:p w14:paraId="240EAA2E">
      <w:pPr>
        <w:rPr>
          <w:rFonts w:ascii="宋体" w:hAnsi="宋体" w:cs="宋体"/>
          <w:b/>
          <w:color w:val="auto"/>
          <w:kern w:val="0"/>
          <w:sz w:val="32"/>
          <w:szCs w:val="32"/>
          <w:highlight w:val="none"/>
        </w:rPr>
      </w:pPr>
    </w:p>
    <w:p w14:paraId="084C2BC9">
      <w:pPr>
        <w:jc w:val="center"/>
        <w:rPr>
          <w:rFonts w:ascii="宋体" w:hAnsi="宋体" w:cs="宋体"/>
          <w:b/>
          <w:color w:val="auto"/>
          <w:kern w:val="0"/>
          <w:sz w:val="32"/>
          <w:szCs w:val="32"/>
          <w:highlight w:val="none"/>
        </w:rPr>
      </w:pPr>
    </w:p>
    <w:p w14:paraId="0DBE7477">
      <w:pPr>
        <w:jc w:val="center"/>
        <w:rPr>
          <w:rFonts w:ascii="宋体" w:hAnsi="宋体" w:cs="宋体"/>
          <w:b/>
          <w:color w:val="auto"/>
          <w:kern w:val="0"/>
          <w:sz w:val="32"/>
          <w:szCs w:val="32"/>
          <w:highlight w:val="none"/>
        </w:rPr>
      </w:pPr>
    </w:p>
    <w:p w14:paraId="6AD080A9">
      <w:pPr>
        <w:jc w:val="center"/>
        <w:rPr>
          <w:rFonts w:ascii="宋体" w:hAnsi="宋体" w:cs="宋体"/>
          <w:b/>
          <w:color w:val="auto"/>
          <w:kern w:val="0"/>
          <w:sz w:val="32"/>
          <w:szCs w:val="32"/>
          <w:highlight w:val="none"/>
        </w:rPr>
      </w:pPr>
    </w:p>
    <w:p w14:paraId="319BD565">
      <w:pPr>
        <w:jc w:val="center"/>
        <w:rPr>
          <w:rFonts w:ascii="宋体" w:hAnsi="宋体" w:cs="宋体"/>
          <w:b/>
          <w:color w:val="auto"/>
          <w:kern w:val="0"/>
          <w:sz w:val="32"/>
          <w:szCs w:val="32"/>
          <w:highlight w:val="none"/>
        </w:rPr>
      </w:pPr>
    </w:p>
    <w:p w14:paraId="7838026A">
      <w:pPr>
        <w:jc w:val="center"/>
        <w:rPr>
          <w:rFonts w:ascii="宋体" w:hAnsi="宋体" w:cs="宋体"/>
          <w:b/>
          <w:color w:val="auto"/>
          <w:kern w:val="0"/>
          <w:sz w:val="32"/>
          <w:szCs w:val="32"/>
          <w:highlight w:val="none"/>
        </w:rPr>
      </w:pPr>
    </w:p>
    <w:p w14:paraId="375150FE">
      <w:pPr>
        <w:jc w:val="center"/>
        <w:rPr>
          <w:rFonts w:ascii="宋体" w:hAnsi="宋体" w:cs="宋体"/>
          <w:b/>
          <w:color w:val="auto"/>
          <w:kern w:val="0"/>
          <w:sz w:val="32"/>
          <w:szCs w:val="32"/>
          <w:highlight w:val="none"/>
        </w:rPr>
      </w:pPr>
    </w:p>
    <w:p w14:paraId="16D61159">
      <w:pPr>
        <w:jc w:val="center"/>
        <w:rPr>
          <w:rFonts w:ascii="宋体" w:hAnsi="宋体" w:cs="宋体"/>
          <w:b/>
          <w:color w:val="auto"/>
          <w:kern w:val="0"/>
          <w:sz w:val="32"/>
          <w:szCs w:val="32"/>
          <w:highlight w:val="none"/>
        </w:rPr>
      </w:pPr>
    </w:p>
    <w:p w14:paraId="2E5C689E">
      <w:pPr>
        <w:jc w:val="center"/>
        <w:rPr>
          <w:rFonts w:ascii="宋体" w:hAnsi="宋体" w:cs="宋体"/>
          <w:b/>
          <w:color w:val="auto"/>
          <w:kern w:val="0"/>
          <w:sz w:val="32"/>
          <w:szCs w:val="32"/>
          <w:highlight w:val="none"/>
        </w:rPr>
      </w:pPr>
    </w:p>
    <w:p w14:paraId="5A2BA1A5">
      <w:pPr>
        <w:jc w:val="center"/>
        <w:rPr>
          <w:rFonts w:ascii="宋体" w:hAnsi="宋体" w:cs="宋体"/>
          <w:b/>
          <w:color w:val="auto"/>
          <w:kern w:val="0"/>
          <w:sz w:val="32"/>
          <w:szCs w:val="32"/>
          <w:highlight w:val="none"/>
        </w:rPr>
      </w:pPr>
    </w:p>
    <w:p w14:paraId="2E8C2D2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5DC6FF7">
      <w:pPr>
        <w:jc w:val="center"/>
        <w:rPr>
          <w:rFonts w:ascii="宋体" w:hAnsi="宋体" w:cs="宋体"/>
          <w:b/>
          <w:color w:val="auto"/>
          <w:kern w:val="0"/>
          <w:sz w:val="32"/>
          <w:szCs w:val="32"/>
          <w:highlight w:val="none"/>
        </w:rPr>
      </w:pPr>
    </w:p>
    <w:p w14:paraId="2E20EAD2">
      <w:pPr>
        <w:jc w:val="center"/>
        <w:rPr>
          <w:rFonts w:ascii="宋体" w:hAnsi="宋体" w:cs="宋体"/>
          <w:color w:val="auto"/>
          <w:highlight w:val="none"/>
        </w:rPr>
      </w:pPr>
      <w:r>
        <w:rPr>
          <w:rFonts w:hint="eastAsia" w:ascii="宋体" w:hAnsi="宋体" w:cs="宋体"/>
          <w:b/>
          <w:color w:val="auto"/>
          <w:kern w:val="0"/>
          <w:sz w:val="32"/>
          <w:szCs w:val="32"/>
          <w:highlight w:val="none"/>
        </w:rPr>
        <w:t>六、评标标准相应的商务技术资料</w:t>
      </w:r>
    </w:p>
    <w:p w14:paraId="25F61B6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中评标标准相应的商务技术资料目录”提供资料。）</w:t>
      </w:r>
    </w:p>
    <w:p w14:paraId="55D19ED8">
      <w:pPr>
        <w:jc w:val="center"/>
        <w:rPr>
          <w:rFonts w:ascii="宋体" w:hAnsi="宋体" w:cs="宋体"/>
          <w:b/>
          <w:color w:val="auto"/>
          <w:kern w:val="0"/>
          <w:sz w:val="32"/>
          <w:szCs w:val="32"/>
          <w:highlight w:val="none"/>
        </w:rPr>
      </w:pPr>
    </w:p>
    <w:p w14:paraId="59111B3D">
      <w:pPr>
        <w:jc w:val="center"/>
        <w:rPr>
          <w:rFonts w:ascii="宋体" w:hAnsi="宋体" w:cs="宋体"/>
          <w:b/>
          <w:color w:val="auto"/>
          <w:kern w:val="0"/>
          <w:sz w:val="32"/>
          <w:szCs w:val="32"/>
          <w:highlight w:val="none"/>
        </w:rPr>
      </w:pPr>
    </w:p>
    <w:p w14:paraId="25F0C7C7">
      <w:pPr>
        <w:ind w:firstLine="2891" w:firstLineChars="900"/>
        <w:rPr>
          <w:rFonts w:ascii="宋体" w:hAnsi="宋体" w:cs="宋体"/>
          <w:b/>
          <w:color w:val="auto"/>
          <w:kern w:val="0"/>
          <w:sz w:val="32"/>
          <w:szCs w:val="32"/>
          <w:highlight w:val="none"/>
        </w:rPr>
      </w:pPr>
    </w:p>
    <w:p w14:paraId="387ED87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6EB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6BF297">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CD9362">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663459B">
            <w:pPr>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96326C4">
            <w:pPr>
              <w:jc w:val="center"/>
              <w:rPr>
                <w:rFonts w:ascii="宋体" w:hAnsi="宋体" w:cs="宋体"/>
                <w:b/>
                <w:color w:val="auto"/>
                <w:sz w:val="24"/>
                <w:highlight w:val="none"/>
              </w:rPr>
            </w:pPr>
            <w:r>
              <w:rPr>
                <w:rFonts w:hint="eastAsia" w:ascii="宋体" w:hAnsi="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91730E4">
            <w:pPr>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A060A15">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6815AD17">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AAE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785037">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20D301">
            <w:pPr>
              <w:snapToGrid w:val="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5FD500">
            <w:pPr>
              <w:snapToGrid w:val="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F5DCB3">
            <w:pPr>
              <w:snapToGrid w:val="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B2C831">
            <w:pPr>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A3950A">
            <w:pPr>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CCE053">
            <w:pPr>
              <w:jc w:val="center"/>
              <w:rPr>
                <w:rFonts w:ascii="宋体" w:hAnsi="宋体" w:cs="宋体"/>
                <w:color w:val="auto"/>
                <w:sz w:val="24"/>
                <w:highlight w:val="none"/>
              </w:rPr>
            </w:pPr>
          </w:p>
        </w:tc>
      </w:tr>
      <w:tr w14:paraId="0D74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37A54B">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4A3A18">
            <w:pPr>
              <w:snapToGrid w:val="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ABD495">
            <w:pPr>
              <w:snapToGrid w:val="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5D0233">
            <w:pPr>
              <w:snapToGrid w:val="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738AFC">
            <w:pPr>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09B9D41">
            <w:pPr>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0B2CD5F">
            <w:pPr>
              <w:jc w:val="center"/>
              <w:rPr>
                <w:rFonts w:ascii="宋体" w:hAnsi="宋体" w:cs="宋体"/>
                <w:color w:val="auto"/>
                <w:sz w:val="24"/>
                <w:highlight w:val="none"/>
              </w:rPr>
            </w:pPr>
          </w:p>
        </w:tc>
      </w:tr>
      <w:tr w14:paraId="4D7F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E7B9AF">
            <w:pPr>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B4E846A">
            <w:pPr>
              <w:snapToGrid w:val="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D42DC6">
            <w:pPr>
              <w:snapToGrid w:val="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604C1D">
            <w:pPr>
              <w:snapToGrid w:val="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9D59EC">
            <w:pPr>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CA74FD">
            <w:pPr>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C33AFD8">
            <w:pPr>
              <w:jc w:val="center"/>
              <w:rPr>
                <w:rFonts w:ascii="宋体" w:hAnsi="宋体" w:cs="宋体"/>
                <w:color w:val="auto"/>
                <w:sz w:val="24"/>
                <w:highlight w:val="none"/>
              </w:rPr>
            </w:pPr>
          </w:p>
        </w:tc>
      </w:tr>
    </w:tbl>
    <w:p w14:paraId="61E9179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9001D8">
      <w:pPr>
        <w:jc w:val="center"/>
        <w:rPr>
          <w:rFonts w:ascii="宋体" w:hAnsi="宋体" w:cs="宋体"/>
          <w:b/>
          <w:color w:val="auto"/>
          <w:kern w:val="0"/>
          <w:sz w:val="32"/>
          <w:szCs w:val="32"/>
          <w:highlight w:val="none"/>
        </w:rPr>
      </w:pPr>
    </w:p>
    <w:p w14:paraId="0DF5551D">
      <w:pPr>
        <w:jc w:val="center"/>
        <w:rPr>
          <w:rFonts w:ascii="宋体" w:hAnsi="宋体" w:cs="宋体"/>
          <w:b/>
          <w:color w:val="auto"/>
          <w:kern w:val="0"/>
          <w:sz w:val="32"/>
          <w:szCs w:val="32"/>
          <w:highlight w:val="none"/>
        </w:rPr>
      </w:pPr>
    </w:p>
    <w:p w14:paraId="5B330C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18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3BE804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5940BE89">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vAlign w:val="center"/>
          </w:tcPr>
          <w:p w14:paraId="2528B360">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章节及具体内容</w:t>
            </w:r>
          </w:p>
        </w:tc>
        <w:tc>
          <w:tcPr>
            <w:tcW w:w="1276" w:type="dxa"/>
            <w:vAlign w:val="center"/>
          </w:tcPr>
          <w:p w14:paraId="4A785C6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7F1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C7FBC3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37BAE561">
            <w:pPr>
              <w:jc w:val="center"/>
              <w:rPr>
                <w:rFonts w:ascii="宋体" w:hAnsi="宋体" w:cs="宋体"/>
                <w:b/>
                <w:color w:val="auto"/>
                <w:kern w:val="0"/>
                <w:sz w:val="32"/>
                <w:szCs w:val="32"/>
                <w:highlight w:val="none"/>
              </w:rPr>
            </w:pPr>
          </w:p>
        </w:tc>
        <w:tc>
          <w:tcPr>
            <w:tcW w:w="3546" w:type="dxa"/>
            <w:vAlign w:val="center"/>
          </w:tcPr>
          <w:p w14:paraId="5FC97BC0">
            <w:pPr>
              <w:jc w:val="center"/>
              <w:rPr>
                <w:rFonts w:ascii="宋体" w:hAnsi="宋体" w:cs="宋体"/>
                <w:b/>
                <w:color w:val="auto"/>
                <w:kern w:val="0"/>
                <w:sz w:val="32"/>
                <w:szCs w:val="32"/>
                <w:highlight w:val="none"/>
              </w:rPr>
            </w:pPr>
          </w:p>
        </w:tc>
        <w:tc>
          <w:tcPr>
            <w:tcW w:w="1276" w:type="dxa"/>
            <w:vAlign w:val="center"/>
          </w:tcPr>
          <w:p w14:paraId="5E9D88E1">
            <w:pPr>
              <w:jc w:val="center"/>
              <w:rPr>
                <w:rFonts w:ascii="宋体" w:hAnsi="宋体" w:cs="宋体"/>
                <w:b/>
                <w:color w:val="auto"/>
                <w:kern w:val="0"/>
                <w:sz w:val="32"/>
                <w:szCs w:val="32"/>
                <w:highlight w:val="none"/>
              </w:rPr>
            </w:pPr>
          </w:p>
        </w:tc>
      </w:tr>
      <w:tr w14:paraId="533E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881A71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4DC1C668">
            <w:pPr>
              <w:jc w:val="center"/>
              <w:rPr>
                <w:rFonts w:ascii="宋体" w:hAnsi="宋体" w:cs="宋体"/>
                <w:b/>
                <w:color w:val="auto"/>
                <w:kern w:val="0"/>
                <w:sz w:val="32"/>
                <w:szCs w:val="32"/>
                <w:highlight w:val="none"/>
              </w:rPr>
            </w:pPr>
          </w:p>
        </w:tc>
        <w:tc>
          <w:tcPr>
            <w:tcW w:w="3546" w:type="dxa"/>
            <w:vAlign w:val="center"/>
          </w:tcPr>
          <w:p w14:paraId="6BF973FF">
            <w:pPr>
              <w:jc w:val="center"/>
              <w:rPr>
                <w:rFonts w:ascii="宋体" w:hAnsi="宋体" w:cs="宋体"/>
                <w:b/>
                <w:color w:val="auto"/>
                <w:kern w:val="0"/>
                <w:sz w:val="32"/>
                <w:szCs w:val="32"/>
                <w:highlight w:val="none"/>
              </w:rPr>
            </w:pPr>
          </w:p>
        </w:tc>
        <w:tc>
          <w:tcPr>
            <w:tcW w:w="1276" w:type="dxa"/>
            <w:vAlign w:val="center"/>
          </w:tcPr>
          <w:p w14:paraId="5756C633">
            <w:pPr>
              <w:jc w:val="center"/>
              <w:rPr>
                <w:rFonts w:ascii="宋体" w:hAnsi="宋体" w:cs="宋体"/>
                <w:b/>
                <w:color w:val="auto"/>
                <w:kern w:val="0"/>
                <w:sz w:val="32"/>
                <w:szCs w:val="32"/>
                <w:highlight w:val="none"/>
              </w:rPr>
            </w:pPr>
          </w:p>
        </w:tc>
      </w:tr>
      <w:tr w14:paraId="5798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E2FEC1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072F0DC9">
            <w:pPr>
              <w:jc w:val="center"/>
              <w:rPr>
                <w:rFonts w:ascii="宋体" w:hAnsi="宋体" w:cs="宋体"/>
                <w:b/>
                <w:color w:val="auto"/>
                <w:kern w:val="0"/>
                <w:sz w:val="32"/>
                <w:szCs w:val="32"/>
                <w:highlight w:val="none"/>
              </w:rPr>
            </w:pPr>
          </w:p>
        </w:tc>
        <w:tc>
          <w:tcPr>
            <w:tcW w:w="3546" w:type="dxa"/>
            <w:vAlign w:val="center"/>
          </w:tcPr>
          <w:p w14:paraId="1C547813">
            <w:pPr>
              <w:jc w:val="center"/>
              <w:rPr>
                <w:rFonts w:ascii="宋体" w:hAnsi="宋体" w:cs="宋体"/>
                <w:b/>
                <w:color w:val="auto"/>
                <w:kern w:val="0"/>
                <w:sz w:val="32"/>
                <w:szCs w:val="32"/>
                <w:highlight w:val="none"/>
              </w:rPr>
            </w:pPr>
          </w:p>
        </w:tc>
        <w:tc>
          <w:tcPr>
            <w:tcW w:w="1276" w:type="dxa"/>
            <w:vAlign w:val="center"/>
          </w:tcPr>
          <w:p w14:paraId="5E068727">
            <w:pPr>
              <w:jc w:val="center"/>
              <w:rPr>
                <w:rFonts w:ascii="宋体" w:hAnsi="宋体" w:cs="宋体"/>
                <w:b/>
                <w:color w:val="auto"/>
                <w:kern w:val="0"/>
                <w:sz w:val="32"/>
                <w:szCs w:val="32"/>
                <w:highlight w:val="none"/>
              </w:rPr>
            </w:pPr>
          </w:p>
        </w:tc>
      </w:tr>
    </w:tbl>
    <w:p w14:paraId="2E9C6AD7">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响应人保证：除商务技术偏离表列出的偏离外，响应人响应交易文件的全部要求</w:t>
      </w:r>
    </w:p>
    <w:p w14:paraId="6AFC6C2A">
      <w:pPr>
        <w:jc w:val="center"/>
        <w:rPr>
          <w:rFonts w:ascii="宋体" w:hAnsi="宋体" w:cs="宋体"/>
          <w:b/>
          <w:color w:val="auto"/>
          <w:kern w:val="0"/>
          <w:sz w:val="32"/>
          <w:szCs w:val="32"/>
          <w:highlight w:val="none"/>
        </w:rPr>
      </w:pPr>
    </w:p>
    <w:p w14:paraId="65DBE0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06F9AE">
      <w:pPr>
        <w:jc w:val="center"/>
        <w:rPr>
          <w:rFonts w:ascii="宋体" w:hAnsi="宋体" w:cs="宋体"/>
          <w:b/>
          <w:color w:val="auto"/>
          <w:kern w:val="0"/>
          <w:sz w:val="32"/>
          <w:szCs w:val="32"/>
          <w:highlight w:val="none"/>
        </w:rPr>
      </w:pPr>
    </w:p>
    <w:p w14:paraId="34445F67">
      <w:pPr>
        <w:ind w:firstLine="1911" w:firstLineChars="595"/>
        <w:rPr>
          <w:rFonts w:ascii="宋体" w:hAnsi="宋体" w:cs="宋体"/>
          <w:b/>
          <w:bCs/>
          <w:color w:val="auto"/>
          <w:sz w:val="32"/>
          <w:szCs w:val="32"/>
          <w:highlight w:val="none"/>
        </w:rPr>
      </w:pPr>
    </w:p>
    <w:p w14:paraId="2D03971C">
      <w:pPr>
        <w:ind w:firstLine="1911" w:firstLineChars="595"/>
        <w:rPr>
          <w:rFonts w:ascii="宋体" w:hAnsi="宋体" w:cs="宋体"/>
          <w:b/>
          <w:bCs/>
          <w:color w:val="auto"/>
          <w:sz w:val="32"/>
          <w:szCs w:val="32"/>
          <w:highlight w:val="none"/>
        </w:rPr>
      </w:pPr>
    </w:p>
    <w:p w14:paraId="2CB386AE">
      <w:pPr>
        <w:ind w:firstLine="1911" w:firstLineChars="595"/>
        <w:rPr>
          <w:rFonts w:ascii="宋体" w:hAnsi="宋体" w:cs="宋体"/>
          <w:b/>
          <w:bCs/>
          <w:color w:val="auto"/>
          <w:sz w:val="32"/>
          <w:szCs w:val="32"/>
          <w:highlight w:val="none"/>
        </w:rPr>
      </w:pPr>
    </w:p>
    <w:p w14:paraId="7E652D59">
      <w:pPr>
        <w:ind w:firstLine="1911" w:firstLineChars="595"/>
        <w:rPr>
          <w:rFonts w:ascii="宋体" w:hAnsi="宋体" w:cs="宋体"/>
          <w:b/>
          <w:bCs/>
          <w:color w:val="auto"/>
          <w:sz w:val="32"/>
          <w:szCs w:val="32"/>
          <w:highlight w:val="none"/>
        </w:rPr>
      </w:pPr>
    </w:p>
    <w:p w14:paraId="2E427DCE">
      <w:pPr>
        <w:ind w:firstLine="1911" w:firstLineChars="595"/>
        <w:rPr>
          <w:rFonts w:ascii="宋体" w:hAnsi="宋体" w:cs="宋体"/>
          <w:b/>
          <w:bCs/>
          <w:color w:val="auto"/>
          <w:sz w:val="32"/>
          <w:szCs w:val="32"/>
          <w:highlight w:val="none"/>
        </w:rPr>
      </w:pPr>
    </w:p>
    <w:p w14:paraId="6A9F07CD">
      <w:pPr>
        <w:ind w:firstLine="1911" w:firstLineChars="595"/>
        <w:rPr>
          <w:rFonts w:ascii="宋体" w:hAnsi="宋体" w:cs="宋体"/>
          <w:b/>
          <w:bCs/>
          <w:color w:val="auto"/>
          <w:sz w:val="32"/>
          <w:szCs w:val="32"/>
          <w:highlight w:val="none"/>
        </w:rPr>
      </w:pPr>
    </w:p>
    <w:p w14:paraId="6290540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24752F5F">
      <w:pPr>
        <w:snapToGrid w:val="0"/>
        <w:spacing w:line="360" w:lineRule="auto"/>
        <w:rPr>
          <w:rFonts w:ascii="宋体" w:hAnsi="宋体" w:cs="宋体"/>
          <w:color w:val="auto"/>
          <w:sz w:val="24"/>
          <w:highlight w:val="none"/>
        </w:rPr>
      </w:pPr>
    </w:p>
    <w:p w14:paraId="007ABC8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3866946F">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12212DF">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EFBB1C7">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C8ADD0B">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1F03975">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7B877C0">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7CA494FF">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CC6B775">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进行项目建设或其他经营活动，并通报财政局。由此引起的相应损失均由我单位承担。</w:t>
      </w:r>
    </w:p>
    <w:p w14:paraId="0E05E027">
      <w:pPr>
        <w:autoSpaceDE w:val="0"/>
        <w:autoSpaceDN w:val="0"/>
        <w:spacing w:line="360" w:lineRule="auto"/>
        <w:ind w:left="2"/>
        <w:jc w:val="left"/>
        <w:rPr>
          <w:rFonts w:ascii="宋体" w:hAnsi="宋体" w:cs="宋体"/>
          <w:color w:val="auto"/>
          <w:kern w:val="0"/>
          <w:sz w:val="24"/>
          <w:highlight w:val="none"/>
          <w:lang w:val="zh-CN"/>
        </w:rPr>
      </w:pPr>
    </w:p>
    <w:p w14:paraId="363DAAF3">
      <w:pPr>
        <w:autoSpaceDE w:val="0"/>
        <w:autoSpaceDN w:val="0"/>
        <w:spacing w:line="360" w:lineRule="auto"/>
        <w:ind w:left="2"/>
        <w:jc w:val="left"/>
        <w:rPr>
          <w:rFonts w:ascii="宋体" w:hAnsi="宋体" w:cs="宋体"/>
          <w:color w:val="auto"/>
          <w:kern w:val="0"/>
          <w:sz w:val="24"/>
          <w:highlight w:val="none"/>
          <w:lang w:val="zh-CN"/>
        </w:rPr>
      </w:pPr>
    </w:p>
    <w:p w14:paraId="08C46D64">
      <w:pPr>
        <w:autoSpaceDE w:val="0"/>
        <w:autoSpaceDN w:val="0"/>
        <w:spacing w:line="360" w:lineRule="auto"/>
        <w:ind w:left="2"/>
        <w:jc w:val="left"/>
        <w:rPr>
          <w:rFonts w:ascii="宋体" w:hAnsi="宋体" w:cs="宋体"/>
          <w:color w:val="auto"/>
          <w:kern w:val="0"/>
          <w:sz w:val="24"/>
          <w:highlight w:val="none"/>
          <w:lang w:val="zh-CN"/>
        </w:rPr>
      </w:pPr>
    </w:p>
    <w:p w14:paraId="4687247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422CC7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9A2517">
      <w:pPr>
        <w:spacing w:line="360" w:lineRule="auto"/>
        <w:jc w:val="center"/>
        <w:rPr>
          <w:rFonts w:ascii="宋体" w:hAnsi="宋体" w:cs="宋体"/>
          <w:b/>
          <w:bCs/>
          <w:color w:val="auto"/>
          <w:sz w:val="24"/>
          <w:highlight w:val="none"/>
        </w:rPr>
      </w:pPr>
    </w:p>
    <w:p w14:paraId="6E9273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9DEC1E">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6" w:h="16838"/>
          <w:pgMar w:top="1440" w:right="1440" w:bottom="1440" w:left="1440" w:header="851" w:footer="992" w:gutter="0"/>
          <w:cols w:space="720" w:num="1"/>
          <w:titlePg/>
          <w:docGrid w:linePitch="312" w:charSpace="0"/>
        </w:sectPr>
      </w:pPr>
    </w:p>
    <w:p w14:paraId="76075DB3">
      <w:pPr>
        <w:spacing w:line="360" w:lineRule="auto"/>
        <w:jc w:val="center"/>
        <w:outlineLvl w:val="0"/>
        <w:rPr>
          <w:rFonts w:ascii="宋体" w:hAnsi="宋体" w:cs="宋体"/>
          <w:b/>
          <w:color w:val="auto"/>
          <w:kern w:val="0"/>
          <w:sz w:val="36"/>
          <w:szCs w:val="36"/>
          <w:highlight w:val="none"/>
        </w:rPr>
      </w:pPr>
    </w:p>
    <w:p w14:paraId="3F8A6DA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08937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B336C1A">
      <w:pPr>
        <w:spacing w:line="360" w:lineRule="auto"/>
        <w:jc w:val="center"/>
        <w:outlineLvl w:val="0"/>
        <w:rPr>
          <w:rFonts w:ascii="宋体" w:hAnsi="宋体" w:cs="宋体"/>
          <w:b/>
          <w:color w:val="auto"/>
          <w:kern w:val="0"/>
          <w:sz w:val="36"/>
          <w:szCs w:val="36"/>
          <w:highlight w:val="none"/>
        </w:rPr>
      </w:pPr>
    </w:p>
    <w:p w14:paraId="1074E6B3">
      <w:pPr>
        <w:snapToGrid w:val="0"/>
        <w:spacing w:line="360" w:lineRule="auto"/>
        <w:rPr>
          <w:rFonts w:ascii="宋体" w:hAnsi="宋体" w:cs="宋体"/>
          <w:color w:val="auto"/>
          <w:sz w:val="24"/>
          <w:highlight w:val="none"/>
        </w:rPr>
        <w:sectPr>
          <w:headerReference r:id="rId14" w:type="first"/>
          <w:footerReference r:id="rId16" w:type="first"/>
          <w:headerReference r:id="rId13" w:type="default"/>
          <w:footerReference r:id="rId15" w:type="default"/>
          <w:pgSz w:w="11906" w:h="16838"/>
          <w:pgMar w:top="1440" w:right="1440" w:bottom="1440" w:left="1440" w:header="851" w:footer="992" w:gutter="0"/>
          <w:cols w:space="720" w:num="1"/>
          <w:titlePg/>
          <w:docGrid w:linePitch="312" w:charSpace="0"/>
        </w:sectPr>
      </w:pPr>
      <w:r>
        <w:rPr>
          <w:rFonts w:hint="eastAsia" w:ascii="宋体" w:hAnsi="宋体" w:cs="宋体"/>
          <w:color w:val="auto"/>
          <w:sz w:val="24"/>
          <w:highlight w:val="none"/>
        </w:rPr>
        <w:t>（1）开标一览表（报价表）………………………………………………………（页码）</w:t>
      </w:r>
    </w:p>
    <w:p w14:paraId="6C977D59">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2898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E237D8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DE439C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14:paraId="5009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86DB90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699BBDC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17D9E151">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具体内容</w:t>
            </w:r>
          </w:p>
        </w:tc>
        <w:tc>
          <w:tcPr>
            <w:tcW w:w="3401" w:type="dxa"/>
            <w:tcBorders>
              <w:top w:val="single" w:color="auto" w:sz="4" w:space="0"/>
              <w:left w:val="single" w:color="auto" w:sz="4" w:space="0"/>
              <w:bottom w:val="single" w:color="auto" w:sz="4" w:space="0"/>
              <w:right w:val="single" w:color="auto" w:sz="4" w:space="0"/>
            </w:tcBorders>
            <w:vAlign w:val="center"/>
          </w:tcPr>
          <w:p w14:paraId="290CCBC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332" w:type="dxa"/>
            <w:tcBorders>
              <w:top w:val="single" w:color="auto" w:sz="4" w:space="0"/>
              <w:left w:val="single" w:color="auto" w:sz="4" w:space="0"/>
              <w:bottom w:val="single" w:color="auto" w:sz="4" w:space="0"/>
              <w:right w:val="single" w:color="auto" w:sz="4" w:space="0"/>
            </w:tcBorders>
            <w:vAlign w:val="center"/>
          </w:tcPr>
          <w:p w14:paraId="6CB5CE2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48" w:type="dxa"/>
            <w:tcBorders>
              <w:top w:val="single" w:color="auto" w:sz="4" w:space="0"/>
              <w:left w:val="single" w:color="auto" w:sz="4" w:space="0"/>
              <w:bottom w:val="single" w:color="auto" w:sz="4" w:space="0"/>
              <w:right w:val="single" w:color="auto" w:sz="4" w:space="0"/>
            </w:tcBorders>
            <w:vAlign w:val="center"/>
          </w:tcPr>
          <w:p w14:paraId="2ED0551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48" w:type="dxa"/>
            <w:tcBorders>
              <w:top w:val="single" w:color="auto" w:sz="4" w:space="0"/>
              <w:left w:val="single" w:color="auto" w:sz="4" w:space="0"/>
              <w:bottom w:val="single" w:color="auto" w:sz="4" w:space="0"/>
              <w:right w:val="single" w:color="auto" w:sz="4" w:space="0"/>
            </w:tcBorders>
            <w:vAlign w:val="center"/>
          </w:tcPr>
          <w:p w14:paraId="22034BD9">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vAlign w:val="center"/>
          </w:tcPr>
          <w:p w14:paraId="3B9C0BD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7C91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A98350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3D357F17">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4AEE41F9">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2C29C9EE">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9B530CF">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2A4F230">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0FD39F1D">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D65250D">
            <w:pPr>
              <w:spacing w:line="240" w:lineRule="auto"/>
              <w:jc w:val="center"/>
              <w:rPr>
                <w:rFonts w:hint="eastAsia" w:ascii="宋体" w:hAnsi="宋体" w:eastAsia="宋体" w:cs="宋体"/>
                <w:color w:val="auto"/>
                <w:sz w:val="24"/>
                <w:highlight w:val="none"/>
              </w:rPr>
            </w:pPr>
          </w:p>
        </w:tc>
      </w:tr>
      <w:tr w14:paraId="684B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5E3AEA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0CEE278D">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2EF9C4F">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47D22512">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A6F9CD4">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6C033F9D">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59D43466">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167D49E">
            <w:pPr>
              <w:spacing w:line="240" w:lineRule="auto"/>
              <w:jc w:val="center"/>
              <w:rPr>
                <w:rFonts w:hint="eastAsia" w:ascii="宋体" w:hAnsi="宋体" w:eastAsia="宋体" w:cs="宋体"/>
                <w:color w:val="auto"/>
                <w:sz w:val="24"/>
                <w:highlight w:val="none"/>
              </w:rPr>
            </w:pPr>
          </w:p>
        </w:tc>
      </w:tr>
      <w:tr w14:paraId="22B3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BA3834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08F1DAEA">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7B3B4B0">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76950740">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994E72B">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7CEC604B">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3EDEE885">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67FF6DD">
            <w:pPr>
              <w:spacing w:line="240" w:lineRule="auto"/>
              <w:jc w:val="center"/>
              <w:rPr>
                <w:rFonts w:hint="eastAsia" w:ascii="宋体" w:hAnsi="宋体" w:eastAsia="宋体" w:cs="宋体"/>
                <w:color w:val="auto"/>
                <w:sz w:val="24"/>
                <w:highlight w:val="none"/>
              </w:rPr>
            </w:pPr>
          </w:p>
        </w:tc>
      </w:tr>
      <w:tr w14:paraId="0EBD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2D26B56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7790DDCE">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EB2F0F4">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6262F7E4">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36F1574">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4586AC6F">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722C0FE4">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65D05679">
            <w:pPr>
              <w:spacing w:line="240" w:lineRule="auto"/>
              <w:jc w:val="center"/>
              <w:rPr>
                <w:rFonts w:hint="eastAsia" w:ascii="宋体" w:hAnsi="宋体" w:eastAsia="宋体" w:cs="宋体"/>
                <w:color w:val="auto"/>
                <w:sz w:val="24"/>
                <w:highlight w:val="none"/>
              </w:rPr>
            </w:pPr>
          </w:p>
        </w:tc>
      </w:tr>
      <w:tr w14:paraId="3EB5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F9973A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002422CD">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9C768A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31735A4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38B0E43">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B9BCEFC">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0350CCD2">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B2DF906">
            <w:pPr>
              <w:spacing w:line="240" w:lineRule="auto"/>
              <w:jc w:val="center"/>
              <w:rPr>
                <w:rFonts w:hint="eastAsia" w:ascii="宋体" w:hAnsi="宋体" w:eastAsia="宋体" w:cs="宋体"/>
                <w:color w:val="auto"/>
                <w:sz w:val="24"/>
                <w:highlight w:val="none"/>
              </w:rPr>
            </w:pPr>
          </w:p>
        </w:tc>
      </w:tr>
      <w:tr w14:paraId="709F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0FDEAA58">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43682B98">
            <w:pPr>
              <w:spacing w:line="240" w:lineRule="auto"/>
              <w:jc w:val="center"/>
              <w:rPr>
                <w:rFonts w:hint="eastAsia" w:ascii="宋体" w:hAnsi="宋体" w:eastAsia="宋体" w:cs="宋体"/>
                <w:color w:val="auto"/>
                <w:sz w:val="24"/>
                <w:highlight w:val="none"/>
              </w:rPr>
            </w:pPr>
          </w:p>
        </w:tc>
      </w:tr>
      <w:tr w14:paraId="65F3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378CD1B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6123C86C">
            <w:pPr>
              <w:spacing w:line="240" w:lineRule="auto"/>
              <w:jc w:val="center"/>
              <w:rPr>
                <w:rFonts w:hint="eastAsia" w:ascii="宋体" w:hAnsi="宋体" w:eastAsia="宋体" w:cs="宋体"/>
                <w:color w:val="auto"/>
                <w:sz w:val="24"/>
                <w:highlight w:val="none"/>
              </w:rPr>
            </w:pPr>
          </w:p>
        </w:tc>
      </w:tr>
    </w:tbl>
    <w:p w14:paraId="102ADF5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344CCE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14:paraId="32D5F7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发包人将以合同形式有偿取得货物或服务，不接受响应人给予的赠品、回扣或者与采购无关的其他商品、服务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含有</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不能接受的附加条件的，投标无效</w:t>
      </w:r>
      <w:r>
        <w:rPr>
          <w:rFonts w:hint="eastAsia" w:ascii="宋体" w:hAnsi="宋体" w:cs="宋体"/>
          <w:b/>
          <w:color w:val="auto"/>
          <w:kern w:val="0"/>
          <w:sz w:val="24"/>
          <w:highlight w:val="none"/>
          <w:lang w:val="zh-CN"/>
        </w:rPr>
        <w:t>；采购内容未包含在《开标一览表（报价表）》名称栏中，响应人不能作出合理解释的，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含有</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不能接受的附加条件的，投标无效。</w:t>
      </w:r>
    </w:p>
    <w:p w14:paraId="7D27D2C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06E8C46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21738C45">
      <w:pPr>
        <w:spacing w:line="360" w:lineRule="auto"/>
        <w:ind w:firstLine="482" w:firstLineChars="200"/>
        <w:rPr>
          <w:rFonts w:ascii="宋体" w:hAnsi="宋体" w:cs="宋体"/>
          <w:color w:val="auto"/>
          <w:sz w:val="32"/>
          <w:szCs w:val="32"/>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15079D4E">
      <w:pPr>
        <w:spacing w:line="360" w:lineRule="auto"/>
        <w:ind w:firstLine="482" w:firstLineChars="200"/>
        <w:rPr>
          <w:rFonts w:ascii="宋体" w:hAnsi="宋体" w:cs="宋体"/>
          <w:b/>
          <w:color w:val="auto"/>
          <w:kern w:val="0"/>
          <w:sz w:val="24"/>
          <w:highlight w:val="none"/>
        </w:rPr>
      </w:pPr>
    </w:p>
    <w:p w14:paraId="4FE925C7">
      <w:pPr>
        <w:autoSpaceDE w:val="0"/>
        <w:autoSpaceDN w:val="0"/>
        <w:spacing w:line="360" w:lineRule="auto"/>
        <w:ind w:left="2" w:leftChars="1" w:right="1120" w:firstLine="4560" w:firstLineChars="19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7E2E4FDF">
      <w:pPr>
        <w:autoSpaceDE w:val="0"/>
        <w:autoSpaceDN w:val="0"/>
        <w:spacing w:line="360" w:lineRule="auto"/>
        <w:ind w:left="2" w:leftChars="1" w:right="1120" w:firstLine="3964" w:firstLineChars="1652"/>
        <w:jc w:val="right"/>
        <w:rPr>
          <w:rFonts w:ascii="宋体" w:hAnsi="宋体" w:cs="宋体"/>
          <w:color w:val="auto"/>
          <w:kern w:val="0"/>
          <w:sz w:val="24"/>
          <w:highlight w:val="none"/>
          <w:lang w:val="zh-CN"/>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kern w:val="0"/>
          <w:sz w:val="24"/>
          <w:highlight w:val="none"/>
          <w:lang w:val="zh-CN"/>
        </w:rPr>
        <w:t xml:space="preserve">    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AA4717A">
      <w:pPr>
        <w:widowControl/>
        <w:adjustRightInd/>
        <w:jc w:val="left"/>
        <w:rPr>
          <w:rFonts w:ascii="宋体" w:hAnsi="宋体" w:cs="宋体"/>
          <w:b/>
          <w:color w:val="auto"/>
          <w:spacing w:val="6"/>
          <w:sz w:val="44"/>
          <w:szCs w:val="44"/>
          <w:highlight w:val="none"/>
        </w:rPr>
      </w:pPr>
      <w:bookmarkStart w:id="382" w:name="_Toc465665161"/>
      <w:r>
        <w:rPr>
          <w:rFonts w:hint="eastAsia" w:ascii="宋体" w:hAnsi="宋体" w:cs="宋体"/>
          <w:b/>
          <w:color w:val="auto"/>
          <w:spacing w:val="6"/>
          <w:sz w:val="44"/>
          <w:szCs w:val="44"/>
          <w:highlight w:val="none"/>
        </w:rPr>
        <w:t>附件</w:t>
      </w:r>
      <w:bookmarkEnd w:id="382"/>
    </w:p>
    <w:p w14:paraId="59CCF720">
      <w:pPr>
        <w:jc w:val="left"/>
        <w:rPr>
          <w:rFonts w:ascii="宋体" w:hAnsi="宋体" w:cs="宋体"/>
          <w:b/>
          <w:color w:val="auto"/>
          <w:spacing w:val="6"/>
          <w:sz w:val="32"/>
          <w:szCs w:val="32"/>
          <w:highlight w:val="none"/>
        </w:rPr>
      </w:pPr>
    </w:p>
    <w:p w14:paraId="6AF6D10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16ECB64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969D6B1">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41C8A3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86DF4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0D05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26F8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05A0B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FDBC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1C2C64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2A387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DB537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BB17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1E8778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0114D3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4B036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7A5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F7D37C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6A681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5AA3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5AFE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712A0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68EDC4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CDF61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862EF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68D21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DC2C36">
      <w:pPr>
        <w:spacing w:line="360" w:lineRule="auto"/>
        <w:rPr>
          <w:rFonts w:ascii="宋体" w:hAnsi="宋体" w:cs="宋体"/>
          <w:b/>
          <w:color w:val="auto"/>
          <w:sz w:val="24"/>
          <w:highlight w:val="none"/>
        </w:rPr>
      </w:pPr>
    </w:p>
    <w:p w14:paraId="26254AF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8C457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F5DB7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35096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29B7A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1DDD7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CF3BB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EA51E26">
      <w:pPr>
        <w:widowControl/>
        <w:spacing w:line="360" w:lineRule="auto"/>
        <w:ind w:firstLine="600" w:firstLineChars="200"/>
        <w:jc w:val="left"/>
        <w:rPr>
          <w:rFonts w:ascii="宋体" w:hAnsi="宋体" w:cs="宋体"/>
          <w:color w:val="auto"/>
          <w:sz w:val="30"/>
          <w:szCs w:val="30"/>
          <w:highlight w:val="none"/>
        </w:rPr>
      </w:pPr>
    </w:p>
    <w:p w14:paraId="4858E2EB">
      <w:pPr>
        <w:spacing w:line="360" w:lineRule="auto"/>
        <w:jc w:val="center"/>
        <w:rPr>
          <w:rFonts w:ascii="宋体" w:hAnsi="宋体" w:cs="宋体"/>
          <w:b/>
          <w:color w:val="auto"/>
          <w:spacing w:val="6"/>
          <w:sz w:val="32"/>
          <w:szCs w:val="32"/>
          <w:highlight w:val="none"/>
        </w:rPr>
      </w:pPr>
    </w:p>
    <w:p w14:paraId="512E41EB">
      <w:pPr>
        <w:spacing w:line="360" w:lineRule="auto"/>
        <w:jc w:val="center"/>
        <w:rPr>
          <w:rFonts w:ascii="宋体" w:hAnsi="宋体" w:cs="宋体"/>
          <w:b/>
          <w:color w:val="auto"/>
          <w:spacing w:val="6"/>
          <w:sz w:val="32"/>
          <w:szCs w:val="32"/>
          <w:highlight w:val="none"/>
        </w:rPr>
      </w:pPr>
    </w:p>
    <w:p w14:paraId="3E43DE16">
      <w:pPr>
        <w:spacing w:line="360" w:lineRule="auto"/>
        <w:jc w:val="center"/>
        <w:rPr>
          <w:rFonts w:ascii="宋体" w:hAnsi="宋体" w:cs="宋体"/>
          <w:b/>
          <w:color w:val="auto"/>
          <w:spacing w:val="6"/>
          <w:sz w:val="32"/>
          <w:szCs w:val="32"/>
          <w:highlight w:val="none"/>
        </w:rPr>
      </w:pPr>
    </w:p>
    <w:p w14:paraId="0A5918C1">
      <w:pPr>
        <w:spacing w:line="360" w:lineRule="auto"/>
        <w:jc w:val="center"/>
        <w:rPr>
          <w:rFonts w:ascii="宋体" w:hAnsi="宋体" w:cs="宋体"/>
          <w:b/>
          <w:color w:val="auto"/>
          <w:spacing w:val="6"/>
          <w:sz w:val="32"/>
          <w:szCs w:val="32"/>
          <w:highlight w:val="none"/>
        </w:rPr>
      </w:pPr>
    </w:p>
    <w:p w14:paraId="6B4FDDB6">
      <w:pPr>
        <w:spacing w:line="360" w:lineRule="auto"/>
        <w:jc w:val="center"/>
        <w:rPr>
          <w:rFonts w:ascii="宋体" w:hAnsi="宋体" w:cs="宋体"/>
          <w:b/>
          <w:color w:val="auto"/>
          <w:spacing w:val="6"/>
          <w:sz w:val="32"/>
          <w:szCs w:val="32"/>
          <w:highlight w:val="none"/>
        </w:rPr>
      </w:pPr>
    </w:p>
    <w:p w14:paraId="30055E3A">
      <w:pPr>
        <w:spacing w:line="360" w:lineRule="auto"/>
        <w:jc w:val="center"/>
        <w:rPr>
          <w:rFonts w:ascii="宋体" w:hAnsi="宋体" w:cs="宋体"/>
          <w:b/>
          <w:color w:val="auto"/>
          <w:spacing w:val="6"/>
          <w:sz w:val="32"/>
          <w:szCs w:val="32"/>
          <w:highlight w:val="none"/>
        </w:rPr>
      </w:pPr>
    </w:p>
    <w:p w14:paraId="69F49DF7">
      <w:pPr>
        <w:spacing w:line="360" w:lineRule="auto"/>
        <w:jc w:val="center"/>
        <w:rPr>
          <w:rFonts w:ascii="宋体" w:hAnsi="宋体" w:cs="宋体"/>
          <w:b/>
          <w:color w:val="auto"/>
          <w:spacing w:val="6"/>
          <w:sz w:val="32"/>
          <w:szCs w:val="32"/>
          <w:highlight w:val="none"/>
        </w:rPr>
      </w:pPr>
    </w:p>
    <w:p w14:paraId="66FF3261">
      <w:pPr>
        <w:spacing w:line="360" w:lineRule="auto"/>
        <w:jc w:val="center"/>
        <w:rPr>
          <w:rFonts w:ascii="宋体" w:hAnsi="宋体" w:cs="宋体"/>
          <w:b/>
          <w:color w:val="auto"/>
          <w:spacing w:val="6"/>
          <w:sz w:val="32"/>
          <w:szCs w:val="32"/>
          <w:highlight w:val="none"/>
        </w:rPr>
      </w:pPr>
    </w:p>
    <w:p w14:paraId="3031ECBF">
      <w:pPr>
        <w:spacing w:line="360" w:lineRule="auto"/>
        <w:jc w:val="center"/>
        <w:rPr>
          <w:rFonts w:ascii="宋体" w:hAnsi="宋体" w:cs="宋体"/>
          <w:b/>
          <w:color w:val="auto"/>
          <w:spacing w:val="6"/>
          <w:sz w:val="32"/>
          <w:szCs w:val="32"/>
          <w:highlight w:val="none"/>
        </w:rPr>
      </w:pPr>
    </w:p>
    <w:p w14:paraId="641A24EA">
      <w:pPr>
        <w:spacing w:line="360" w:lineRule="auto"/>
        <w:jc w:val="center"/>
        <w:rPr>
          <w:rFonts w:ascii="宋体" w:hAnsi="宋体" w:cs="宋体"/>
          <w:b/>
          <w:color w:val="auto"/>
          <w:spacing w:val="6"/>
          <w:sz w:val="32"/>
          <w:szCs w:val="32"/>
          <w:highlight w:val="none"/>
        </w:rPr>
      </w:pPr>
    </w:p>
    <w:p w14:paraId="496E8862">
      <w:pPr>
        <w:spacing w:line="360" w:lineRule="auto"/>
        <w:jc w:val="center"/>
        <w:rPr>
          <w:rFonts w:ascii="宋体" w:hAnsi="宋体" w:cs="宋体"/>
          <w:b/>
          <w:color w:val="auto"/>
          <w:spacing w:val="6"/>
          <w:sz w:val="32"/>
          <w:szCs w:val="32"/>
          <w:highlight w:val="none"/>
        </w:rPr>
      </w:pPr>
    </w:p>
    <w:p w14:paraId="63E68A84">
      <w:pPr>
        <w:spacing w:line="360" w:lineRule="auto"/>
        <w:jc w:val="center"/>
        <w:rPr>
          <w:rFonts w:ascii="宋体" w:hAnsi="宋体" w:cs="宋体"/>
          <w:b/>
          <w:color w:val="auto"/>
          <w:spacing w:val="6"/>
          <w:sz w:val="32"/>
          <w:szCs w:val="32"/>
          <w:highlight w:val="none"/>
        </w:rPr>
      </w:pPr>
    </w:p>
    <w:p w14:paraId="438479C4">
      <w:pPr>
        <w:spacing w:line="360" w:lineRule="auto"/>
        <w:jc w:val="left"/>
        <w:rPr>
          <w:rFonts w:ascii="宋体" w:hAnsi="宋体" w:cs="宋体"/>
          <w:b/>
          <w:color w:val="auto"/>
          <w:spacing w:val="6"/>
          <w:sz w:val="32"/>
          <w:szCs w:val="32"/>
          <w:highlight w:val="none"/>
        </w:rPr>
      </w:pPr>
    </w:p>
    <w:p w14:paraId="232E8A63">
      <w:pPr>
        <w:spacing w:line="360" w:lineRule="auto"/>
        <w:jc w:val="left"/>
        <w:rPr>
          <w:rFonts w:ascii="宋体" w:hAnsi="宋体" w:cs="宋体"/>
          <w:b/>
          <w:color w:val="auto"/>
          <w:spacing w:val="6"/>
          <w:sz w:val="32"/>
          <w:szCs w:val="32"/>
          <w:highlight w:val="none"/>
        </w:rPr>
      </w:pPr>
    </w:p>
    <w:p w14:paraId="481E9A2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6EA3D818">
      <w:pPr>
        <w:spacing w:line="360" w:lineRule="auto"/>
        <w:rPr>
          <w:rFonts w:ascii="宋体" w:hAnsi="宋体" w:cs="宋体"/>
          <w:color w:val="auto"/>
          <w:sz w:val="24"/>
          <w:highlight w:val="none"/>
          <w:u w:val="single"/>
        </w:rPr>
      </w:pPr>
    </w:p>
    <w:p w14:paraId="1DD1810E">
      <w:pPr>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发包人</w:t>
      </w:r>
      <w:r>
        <w:rPr>
          <w:rFonts w:hint="eastAsia" w:ascii="宋体" w:hAnsi="宋体" w:cs="宋体"/>
          <w:color w:val="auto"/>
          <w:sz w:val="24"/>
          <w:highlight w:val="none"/>
          <w:u w:val="single"/>
        </w:rPr>
        <w:t>）、（采购代理机构）</w:t>
      </w:r>
    </w:p>
    <w:p w14:paraId="7B35135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6AA80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CE6CF0E">
      <w:pPr>
        <w:spacing w:line="360" w:lineRule="auto"/>
        <w:ind w:firstLine="494"/>
        <w:rPr>
          <w:rFonts w:ascii="宋体" w:hAnsi="宋体" w:cs="宋体"/>
          <w:color w:val="auto"/>
          <w:sz w:val="24"/>
          <w:highlight w:val="none"/>
        </w:rPr>
      </w:pPr>
    </w:p>
    <w:p w14:paraId="1E4EDA8B">
      <w:pPr>
        <w:spacing w:line="360" w:lineRule="auto"/>
        <w:ind w:firstLine="494"/>
        <w:rPr>
          <w:rFonts w:ascii="宋体" w:hAnsi="宋体" w:cs="宋体"/>
          <w:color w:val="auto"/>
          <w:sz w:val="24"/>
          <w:highlight w:val="none"/>
        </w:rPr>
      </w:pPr>
    </w:p>
    <w:p w14:paraId="107DC6DD">
      <w:pPr>
        <w:spacing w:line="360" w:lineRule="auto"/>
        <w:ind w:firstLine="494"/>
        <w:rPr>
          <w:rFonts w:ascii="宋体" w:hAnsi="宋体" w:cs="宋体"/>
          <w:color w:val="auto"/>
          <w:sz w:val="24"/>
          <w:highlight w:val="none"/>
        </w:rPr>
      </w:pPr>
    </w:p>
    <w:p w14:paraId="01B5CC3F">
      <w:pPr>
        <w:spacing w:line="360" w:lineRule="auto"/>
        <w:ind w:firstLine="494"/>
        <w:rPr>
          <w:rFonts w:ascii="宋体" w:hAnsi="宋体" w:cs="宋体"/>
          <w:color w:val="auto"/>
          <w:sz w:val="24"/>
          <w:highlight w:val="none"/>
        </w:rPr>
      </w:pPr>
    </w:p>
    <w:p w14:paraId="391F1B3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E67CF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8F23E4E">
      <w:pPr>
        <w:rPr>
          <w:rFonts w:ascii="宋体" w:hAnsi="宋体" w:cs="宋体"/>
          <w:color w:val="auto"/>
          <w:sz w:val="24"/>
          <w:highlight w:val="none"/>
        </w:rPr>
      </w:pPr>
      <w:r>
        <w:rPr>
          <w:rFonts w:hint="eastAsia" w:ascii="宋体" w:hAnsi="宋体" w:cs="宋体"/>
          <w:b/>
          <w:bCs/>
          <w:color w:val="auto"/>
          <w:sz w:val="24"/>
          <w:highlight w:val="none"/>
        </w:rPr>
        <w:t>附：</w:t>
      </w:r>
    </w:p>
    <w:p w14:paraId="5768DE1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7977D47">
      <w:pPr>
        <w:autoSpaceDE w:val="0"/>
        <w:autoSpaceDN w:val="0"/>
        <w:jc w:val="center"/>
        <w:rPr>
          <w:rFonts w:ascii="宋体" w:hAnsi="宋体" w:cs="宋体"/>
          <w:b/>
          <w:color w:val="auto"/>
          <w:spacing w:val="6"/>
          <w:sz w:val="32"/>
          <w:szCs w:val="32"/>
          <w:highlight w:val="none"/>
        </w:rPr>
      </w:pPr>
    </w:p>
    <w:p w14:paraId="45C31313">
      <w:pPr>
        <w:autoSpaceDE w:val="0"/>
        <w:autoSpaceDN w:val="0"/>
        <w:jc w:val="center"/>
        <w:rPr>
          <w:rFonts w:ascii="宋体" w:hAnsi="宋体" w:cs="宋体"/>
          <w:b/>
          <w:color w:val="auto"/>
          <w:spacing w:val="6"/>
          <w:sz w:val="32"/>
          <w:szCs w:val="32"/>
          <w:highlight w:val="none"/>
        </w:rPr>
      </w:pPr>
    </w:p>
    <w:p w14:paraId="04EF242B">
      <w:pPr>
        <w:autoSpaceDE w:val="0"/>
        <w:autoSpaceDN w:val="0"/>
        <w:jc w:val="center"/>
        <w:rPr>
          <w:rFonts w:ascii="宋体" w:hAnsi="宋体" w:cs="宋体"/>
          <w:b/>
          <w:color w:val="auto"/>
          <w:spacing w:val="6"/>
          <w:sz w:val="32"/>
          <w:szCs w:val="32"/>
          <w:highlight w:val="none"/>
        </w:rPr>
      </w:pPr>
    </w:p>
    <w:p w14:paraId="64557E1F">
      <w:pPr>
        <w:autoSpaceDE w:val="0"/>
        <w:autoSpaceDN w:val="0"/>
        <w:jc w:val="center"/>
        <w:rPr>
          <w:rFonts w:ascii="宋体" w:hAnsi="宋体" w:cs="宋体"/>
          <w:b/>
          <w:color w:val="auto"/>
          <w:spacing w:val="6"/>
          <w:sz w:val="32"/>
          <w:szCs w:val="32"/>
          <w:highlight w:val="none"/>
        </w:rPr>
      </w:pPr>
    </w:p>
    <w:p w14:paraId="7CFB41FE">
      <w:pPr>
        <w:autoSpaceDE w:val="0"/>
        <w:autoSpaceDN w:val="0"/>
        <w:jc w:val="center"/>
        <w:rPr>
          <w:rFonts w:ascii="宋体" w:hAnsi="宋体" w:cs="宋体"/>
          <w:b/>
          <w:color w:val="auto"/>
          <w:spacing w:val="6"/>
          <w:sz w:val="32"/>
          <w:szCs w:val="32"/>
          <w:highlight w:val="none"/>
        </w:rPr>
      </w:pPr>
    </w:p>
    <w:p w14:paraId="3FEDC03B">
      <w:pPr>
        <w:autoSpaceDE w:val="0"/>
        <w:autoSpaceDN w:val="0"/>
        <w:jc w:val="center"/>
        <w:rPr>
          <w:rFonts w:ascii="宋体" w:hAnsi="宋体" w:cs="宋体"/>
          <w:b/>
          <w:color w:val="auto"/>
          <w:spacing w:val="6"/>
          <w:sz w:val="32"/>
          <w:szCs w:val="32"/>
          <w:highlight w:val="none"/>
        </w:rPr>
      </w:pPr>
    </w:p>
    <w:p w14:paraId="45DCD74B">
      <w:pPr>
        <w:autoSpaceDE w:val="0"/>
        <w:autoSpaceDN w:val="0"/>
        <w:jc w:val="center"/>
        <w:rPr>
          <w:rFonts w:ascii="宋体" w:hAnsi="宋体" w:cs="宋体"/>
          <w:b/>
          <w:color w:val="auto"/>
          <w:spacing w:val="6"/>
          <w:sz w:val="32"/>
          <w:szCs w:val="32"/>
          <w:highlight w:val="none"/>
        </w:rPr>
      </w:pPr>
    </w:p>
    <w:p w14:paraId="1E551C0B">
      <w:pPr>
        <w:autoSpaceDE w:val="0"/>
        <w:autoSpaceDN w:val="0"/>
        <w:jc w:val="center"/>
        <w:rPr>
          <w:rFonts w:ascii="宋体" w:hAnsi="宋体" w:cs="宋体"/>
          <w:b/>
          <w:color w:val="auto"/>
          <w:spacing w:val="6"/>
          <w:sz w:val="32"/>
          <w:szCs w:val="32"/>
          <w:highlight w:val="none"/>
        </w:rPr>
      </w:pPr>
    </w:p>
    <w:p w14:paraId="2B3BEC19">
      <w:pPr>
        <w:autoSpaceDE w:val="0"/>
        <w:autoSpaceDN w:val="0"/>
        <w:jc w:val="center"/>
        <w:rPr>
          <w:rFonts w:ascii="宋体" w:hAnsi="宋体" w:cs="宋体"/>
          <w:b/>
          <w:color w:val="auto"/>
          <w:spacing w:val="6"/>
          <w:sz w:val="32"/>
          <w:szCs w:val="32"/>
          <w:highlight w:val="none"/>
        </w:rPr>
      </w:pPr>
    </w:p>
    <w:p w14:paraId="192F523F">
      <w:pPr>
        <w:autoSpaceDE w:val="0"/>
        <w:autoSpaceDN w:val="0"/>
        <w:jc w:val="center"/>
        <w:rPr>
          <w:rFonts w:ascii="宋体" w:hAnsi="宋体" w:cs="宋体"/>
          <w:b/>
          <w:color w:val="auto"/>
          <w:spacing w:val="6"/>
          <w:sz w:val="32"/>
          <w:szCs w:val="32"/>
          <w:highlight w:val="none"/>
        </w:rPr>
      </w:pPr>
    </w:p>
    <w:p w14:paraId="70F1CE11">
      <w:pPr>
        <w:autoSpaceDE w:val="0"/>
        <w:autoSpaceDN w:val="0"/>
        <w:jc w:val="center"/>
        <w:rPr>
          <w:rFonts w:ascii="宋体" w:hAnsi="宋体" w:cs="宋体"/>
          <w:b/>
          <w:color w:val="auto"/>
          <w:spacing w:val="6"/>
          <w:sz w:val="32"/>
          <w:szCs w:val="32"/>
          <w:highlight w:val="none"/>
        </w:rPr>
      </w:pPr>
    </w:p>
    <w:p w14:paraId="1EE877F4">
      <w:pPr>
        <w:autoSpaceDE w:val="0"/>
        <w:autoSpaceDN w:val="0"/>
        <w:jc w:val="center"/>
        <w:rPr>
          <w:rFonts w:ascii="宋体" w:hAnsi="宋体" w:cs="宋体"/>
          <w:b/>
          <w:color w:val="auto"/>
          <w:spacing w:val="6"/>
          <w:sz w:val="32"/>
          <w:szCs w:val="32"/>
          <w:highlight w:val="none"/>
        </w:rPr>
      </w:pPr>
    </w:p>
    <w:p w14:paraId="622CC0B1">
      <w:pPr>
        <w:autoSpaceDE w:val="0"/>
        <w:autoSpaceDN w:val="0"/>
        <w:jc w:val="center"/>
        <w:rPr>
          <w:rFonts w:ascii="宋体" w:hAnsi="宋体" w:cs="宋体"/>
          <w:b/>
          <w:color w:val="auto"/>
          <w:spacing w:val="6"/>
          <w:sz w:val="32"/>
          <w:szCs w:val="32"/>
          <w:highlight w:val="none"/>
        </w:rPr>
      </w:pPr>
    </w:p>
    <w:p w14:paraId="697E10E4">
      <w:pPr>
        <w:autoSpaceDE w:val="0"/>
        <w:autoSpaceDN w:val="0"/>
        <w:jc w:val="center"/>
        <w:rPr>
          <w:rFonts w:ascii="宋体" w:hAnsi="宋体" w:cs="宋体"/>
          <w:b/>
          <w:color w:val="auto"/>
          <w:spacing w:val="6"/>
          <w:sz w:val="32"/>
          <w:szCs w:val="32"/>
          <w:highlight w:val="none"/>
        </w:rPr>
      </w:pPr>
    </w:p>
    <w:p w14:paraId="5B6F3036">
      <w:pPr>
        <w:autoSpaceDE w:val="0"/>
        <w:autoSpaceDN w:val="0"/>
        <w:jc w:val="center"/>
        <w:rPr>
          <w:rFonts w:ascii="宋体" w:hAnsi="宋体" w:cs="宋体"/>
          <w:b/>
          <w:color w:val="auto"/>
          <w:spacing w:val="6"/>
          <w:sz w:val="32"/>
          <w:szCs w:val="32"/>
          <w:highlight w:val="none"/>
        </w:rPr>
      </w:pPr>
    </w:p>
    <w:p w14:paraId="0AC78874">
      <w:pPr>
        <w:autoSpaceDE w:val="0"/>
        <w:autoSpaceDN w:val="0"/>
        <w:jc w:val="center"/>
        <w:rPr>
          <w:rFonts w:ascii="宋体" w:hAnsi="宋体" w:cs="宋体"/>
          <w:b/>
          <w:color w:val="auto"/>
          <w:spacing w:val="6"/>
          <w:sz w:val="32"/>
          <w:szCs w:val="32"/>
          <w:highlight w:val="none"/>
        </w:rPr>
      </w:pPr>
    </w:p>
    <w:p w14:paraId="7DD79135">
      <w:pPr>
        <w:rPr>
          <w:rFonts w:ascii="宋体" w:hAnsi="宋体" w:cs="宋体"/>
          <w:b/>
          <w:color w:val="auto"/>
          <w:sz w:val="24"/>
          <w:highlight w:val="none"/>
        </w:rPr>
      </w:pPr>
      <w:r>
        <w:rPr>
          <w:rFonts w:hint="eastAsia" w:ascii="宋体" w:hAnsi="宋体" w:cs="宋体"/>
          <w:b/>
          <w:color w:val="auto"/>
          <w:spacing w:val="6"/>
          <w:sz w:val="32"/>
          <w:szCs w:val="32"/>
          <w:highlight w:val="none"/>
        </w:rPr>
        <w:t>附件3</w:t>
      </w:r>
    </w:p>
    <w:p w14:paraId="7E15994B">
      <w:pPr>
        <w:jc w:val="center"/>
        <w:rPr>
          <w:rFonts w:ascii="宋体" w:hAnsi="宋体" w:cs="宋体"/>
          <w:color w:val="auto"/>
          <w:sz w:val="40"/>
          <w:highlight w:val="none"/>
        </w:rPr>
      </w:pPr>
      <w:r>
        <w:rPr>
          <w:rFonts w:hint="eastAsia" w:ascii="宋体" w:hAnsi="宋体" w:cs="宋体"/>
          <w:color w:val="auto"/>
          <w:sz w:val="40"/>
          <w:highlight w:val="none"/>
        </w:rPr>
        <w:t>样品（演示）授权委托书</w:t>
      </w:r>
    </w:p>
    <w:p w14:paraId="49F41E13">
      <w:pPr>
        <w:jc w:val="center"/>
        <w:rPr>
          <w:rFonts w:ascii="宋体" w:hAnsi="宋体" w:cs="宋体"/>
          <w:color w:val="auto"/>
          <w:sz w:val="40"/>
          <w:highlight w:val="none"/>
        </w:rPr>
      </w:pPr>
    </w:p>
    <w:p w14:paraId="647D22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XXX（单位名称或采购机构名称）</w:t>
      </w:r>
      <w:r>
        <w:rPr>
          <w:rFonts w:hint="eastAsia" w:ascii="宋体" w:hAnsi="宋体" w:cs="宋体"/>
          <w:color w:val="auto"/>
          <w:kern w:val="0"/>
          <w:sz w:val="24"/>
          <w:highlight w:val="none"/>
          <w:lang w:val="zh-CN"/>
        </w:rPr>
        <w:t>：</w:t>
      </w:r>
    </w:p>
    <w:p w14:paraId="27D8998F">
      <w:pPr>
        <w:snapToGrid w:val="0"/>
        <w:spacing w:line="360" w:lineRule="auto"/>
        <w:ind w:left="254" w:leftChars="121" w:firstLine="480" w:firstLineChars="200"/>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兹委派</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先生/女士，身份证号：</w:t>
      </w:r>
      <w:r>
        <w:rPr>
          <w:rFonts w:hint="eastAsia" w:ascii="宋体" w:hAnsi="宋体" w:cs="宋体"/>
          <w:color w:val="auto"/>
          <w:kern w:val="0"/>
          <w:sz w:val="24"/>
          <w:highlight w:val="none"/>
          <w:u w:val="single"/>
          <w:lang w:val="zh-CN"/>
        </w:rPr>
        <w:t xml:space="preserve">                   </w:t>
      </w:r>
    </w:p>
    <w:p w14:paraId="6C51FF79">
      <w:pPr>
        <w:snapToGrid w:val="0"/>
        <w:spacing w:line="360" w:lineRule="auto"/>
        <w:ind w:left="254" w:leftChars="121"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，代表我公司前来递交</w:t>
      </w:r>
      <w:r>
        <w:rPr>
          <w:rFonts w:hint="eastAsia" w:ascii="宋体" w:hAnsi="宋体" w:cs="宋体"/>
          <w:color w:val="auto"/>
          <w:kern w:val="0"/>
          <w:sz w:val="24"/>
          <w:highlight w:val="none"/>
          <w:u w:val="single"/>
          <w:lang w:val="zh-CN"/>
        </w:rPr>
        <w:t xml:space="preserve">                           采购项目</w:t>
      </w:r>
      <w:r>
        <w:rPr>
          <w:rFonts w:hint="eastAsia" w:ascii="宋体" w:hAnsi="宋体" w:cs="宋体"/>
          <w:color w:val="auto"/>
          <w:kern w:val="0"/>
          <w:sz w:val="24"/>
          <w:highlight w:val="none"/>
          <w:lang w:val="zh-CN"/>
        </w:rPr>
        <w:t>【项目编号：              】（标项号：  ）投标样品或参加演示，并全权负责标后取回样品等其他处理事宜。</w:t>
      </w:r>
    </w:p>
    <w:p w14:paraId="31CB54CC">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B39D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特此告知。</w:t>
      </w:r>
    </w:p>
    <w:p w14:paraId="0CE86C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响应人名称(公章)：</w:t>
      </w:r>
    </w:p>
    <w:p w14:paraId="0B809C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p>
    <w:p w14:paraId="51B54531">
      <w:pPr>
        <w:snapToGrid w:val="0"/>
        <w:spacing w:line="360" w:lineRule="auto"/>
        <w:ind w:right="24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14:paraId="08513425">
      <w:pPr>
        <w:snapToGrid w:val="0"/>
        <w:spacing w:line="360" w:lineRule="auto"/>
        <w:ind w:right="240"/>
        <w:jc w:val="right"/>
        <w:rPr>
          <w:rFonts w:ascii="宋体" w:hAnsi="宋体" w:cs="宋体"/>
          <w:color w:val="auto"/>
          <w:kern w:val="0"/>
          <w:sz w:val="24"/>
          <w:highlight w:val="none"/>
          <w:lang w:val="zh-CN"/>
        </w:rPr>
      </w:pPr>
    </w:p>
    <w:p w14:paraId="651F9F47">
      <w:pPr>
        <w:snapToGrid w:val="0"/>
        <w:spacing w:line="360" w:lineRule="auto"/>
        <w:ind w:right="240"/>
        <w:jc w:val="right"/>
        <w:rPr>
          <w:rFonts w:ascii="宋体" w:hAnsi="宋体" w:cs="宋体"/>
          <w:color w:val="auto"/>
          <w:kern w:val="0"/>
          <w:sz w:val="24"/>
          <w:highlight w:val="none"/>
          <w:lang w:val="zh-CN"/>
        </w:rPr>
      </w:pPr>
    </w:p>
    <w:p w14:paraId="45D1DBC9">
      <w:pPr>
        <w:snapToGrid w:val="0"/>
        <w:spacing w:line="360" w:lineRule="auto"/>
        <w:ind w:right="240"/>
        <w:jc w:val="right"/>
        <w:rPr>
          <w:rFonts w:ascii="宋体" w:hAnsi="宋体" w:cs="宋体"/>
          <w:color w:val="auto"/>
          <w:kern w:val="0"/>
          <w:sz w:val="24"/>
          <w:highlight w:val="none"/>
          <w:lang w:val="zh-CN"/>
        </w:rPr>
      </w:pPr>
    </w:p>
    <w:p w14:paraId="7D99E26F">
      <w:pPr>
        <w:snapToGrid w:val="0"/>
        <w:spacing w:line="360" w:lineRule="auto"/>
        <w:ind w:right="240"/>
        <w:jc w:val="right"/>
        <w:rPr>
          <w:rFonts w:ascii="宋体" w:hAnsi="宋体" w:cs="宋体"/>
          <w:color w:val="auto"/>
          <w:kern w:val="0"/>
          <w:sz w:val="24"/>
          <w:highlight w:val="none"/>
          <w:lang w:val="zh-CN"/>
        </w:rPr>
      </w:pPr>
    </w:p>
    <w:p w14:paraId="54646719">
      <w:pPr>
        <w:snapToGrid w:val="0"/>
        <w:spacing w:line="360" w:lineRule="auto"/>
        <w:ind w:right="24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受委托人</w:t>
      </w:r>
      <w:r>
        <w:rPr>
          <w:rFonts w:hint="eastAsia" w:ascii="宋体" w:hAnsi="宋体" w:cs="宋体"/>
          <w:color w:val="auto"/>
          <w:kern w:val="0"/>
          <w:sz w:val="24"/>
          <w:highlight w:val="none"/>
          <w:lang w:val="zh-CN"/>
        </w:rPr>
        <w:t>身份证复印件：</w:t>
      </w:r>
    </w:p>
    <w:p w14:paraId="4B9FC9FD">
      <w:pPr>
        <w:snapToGrid w:val="0"/>
        <w:spacing w:line="360" w:lineRule="auto"/>
        <w:ind w:right="240"/>
        <w:jc w:val="left"/>
        <w:rPr>
          <w:rFonts w:ascii="宋体" w:hAnsi="宋体" w:cs="宋体"/>
          <w:color w:val="auto"/>
          <w:kern w:val="0"/>
          <w:sz w:val="24"/>
          <w:highlight w:val="none"/>
          <w:lang w:val="zh-CN"/>
        </w:rPr>
      </w:pPr>
    </w:p>
    <w:p w14:paraId="2A8F30A8">
      <w:pPr>
        <w:snapToGrid w:val="0"/>
        <w:spacing w:line="360" w:lineRule="auto"/>
        <w:ind w:right="240"/>
        <w:jc w:val="left"/>
        <w:rPr>
          <w:rFonts w:ascii="宋体" w:hAnsi="宋体" w:cs="宋体"/>
          <w:color w:val="auto"/>
          <w:kern w:val="0"/>
          <w:sz w:val="24"/>
          <w:highlight w:val="none"/>
          <w:lang w:val="zh-CN"/>
        </w:rPr>
      </w:pPr>
    </w:p>
    <w:p w14:paraId="78233796">
      <w:pPr>
        <w:snapToGrid w:val="0"/>
        <w:spacing w:line="360" w:lineRule="auto"/>
        <w:ind w:right="240"/>
        <w:jc w:val="left"/>
        <w:rPr>
          <w:rFonts w:ascii="宋体" w:hAnsi="宋体" w:cs="宋体"/>
          <w:color w:val="auto"/>
          <w:kern w:val="0"/>
          <w:sz w:val="24"/>
          <w:highlight w:val="none"/>
          <w:lang w:val="zh-CN"/>
        </w:rPr>
      </w:pPr>
    </w:p>
    <w:p w14:paraId="26B10108">
      <w:pPr>
        <w:snapToGrid w:val="0"/>
        <w:spacing w:line="360" w:lineRule="auto"/>
        <w:ind w:right="240"/>
        <w:jc w:val="left"/>
        <w:rPr>
          <w:rFonts w:ascii="宋体" w:hAnsi="宋体" w:cs="宋体"/>
          <w:color w:val="auto"/>
          <w:kern w:val="0"/>
          <w:sz w:val="24"/>
          <w:highlight w:val="none"/>
          <w:lang w:val="zh-CN"/>
        </w:rPr>
      </w:pPr>
    </w:p>
    <w:p w14:paraId="1F1F1F45">
      <w:pPr>
        <w:snapToGrid w:val="0"/>
        <w:spacing w:line="360" w:lineRule="auto"/>
        <w:ind w:right="240"/>
        <w:jc w:val="left"/>
        <w:rPr>
          <w:rFonts w:ascii="宋体" w:hAnsi="宋体" w:cs="宋体"/>
          <w:color w:val="auto"/>
          <w:kern w:val="0"/>
          <w:sz w:val="24"/>
          <w:highlight w:val="none"/>
          <w:lang w:val="zh-CN"/>
        </w:rPr>
      </w:pPr>
    </w:p>
    <w:p w14:paraId="5CF7F494">
      <w:pPr>
        <w:snapToGrid w:val="0"/>
        <w:spacing w:line="360" w:lineRule="auto"/>
        <w:ind w:right="240"/>
        <w:jc w:val="left"/>
        <w:rPr>
          <w:rFonts w:ascii="宋体" w:hAnsi="宋体" w:cs="宋体"/>
          <w:color w:val="auto"/>
          <w:kern w:val="0"/>
          <w:sz w:val="24"/>
          <w:highlight w:val="none"/>
          <w:lang w:val="zh-CN"/>
        </w:rPr>
      </w:pPr>
    </w:p>
    <w:p w14:paraId="478CFE35">
      <w:pPr>
        <w:snapToGrid w:val="0"/>
        <w:spacing w:line="360" w:lineRule="auto"/>
        <w:ind w:right="24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说明：本委托书在有样品或演示时由受委托人携带至指定地点。</w:t>
      </w:r>
    </w:p>
    <w:p w14:paraId="1278F3BB">
      <w:pPr>
        <w:spacing w:line="360" w:lineRule="auto"/>
        <w:rPr>
          <w:rFonts w:ascii="宋体" w:hAnsi="宋体" w:cs="宋体"/>
          <w:b/>
          <w:color w:val="auto"/>
          <w:sz w:val="24"/>
          <w:highlight w:val="none"/>
        </w:rPr>
      </w:pPr>
      <w:r>
        <w:rPr>
          <w:rFonts w:hint="eastAsia" w:ascii="宋体" w:hAnsi="宋体" w:cs="宋体"/>
          <w:b/>
          <w:color w:val="auto"/>
          <w:sz w:val="24"/>
          <w:highlight w:val="none"/>
        </w:rPr>
        <w:t>同时有样品和演示的，可委托不同人员。</w:t>
      </w:r>
    </w:p>
    <w:p w14:paraId="053D0CA1">
      <w:pPr>
        <w:pStyle w:val="6"/>
        <w:ind w:left="0" w:firstLine="0"/>
        <w:rPr>
          <w:rFonts w:ascii="宋体" w:hAnsi="宋体" w:eastAsia="宋体" w:cs="宋体"/>
          <w:color w:val="auto"/>
          <w:highlight w:val="none"/>
          <w:lang w:val="en-US"/>
        </w:rPr>
      </w:pPr>
    </w:p>
    <w:p w14:paraId="706FDA44">
      <w:pPr>
        <w:spacing w:line="360" w:lineRule="auto"/>
        <w:ind w:right="420"/>
        <w:rPr>
          <w:rFonts w:ascii="宋体" w:hAnsi="宋体" w:cs="宋体"/>
          <w:color w:val="auto"/>
          <w:highlight w:val="none"/>
        </w:rPr>
      </w:pPr>
    </w:p>
    <w:p w14:paraId="48CDE073">
      <w:pPr>
        <w:spacing w:line="360" w:lineRule="auto"/>
        <w:rPr>
          <w:rFonts w:ascii="宋体" w:hAnsi="宋体" w:cs="宋体"/>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955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39BA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bookmarkStart w:id="383" w:name="_Toc164085800"/>
    <w:bookmarkStart w:id="384" w:name="_Toc91899912"/>
    <w:bookmarkStart w:id="385" w:name="_Toc131845147"/>
    <w:bookmarkStart w:id="386" w:name="_Toc36110187"/>
    <w:r>
      <w:rPr>
        <w:rFonts w:hint="eastAsia" w:ascii="仿宋_GB2312" w:eastAsia="仿宋_GB2312"/>
        <w:kern w:val="0"/>
        <w:szCs w:val="21"/>
      </w:rPr>
      <w:t xml:space="preserve"> 页</w:t>
    </w:r>
    <w:bookmarkEnd w:id="383"/>
    <w:bookmarkEnd w:id="384"/>
    <w:bookmarkEnd w:id="385"/>
    <w:bookmarkEnd w:id="38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F1C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5EA2253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3D7C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5B2F770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94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08F1AEE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C40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08BEF1B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84FF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5039DA2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1BC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3F4FFF9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255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84D5">
    <w:pPr>
      <w:pStyle w:val="42"/>
      <w:framePr w:wrap="around" w:vAnchor="text" w:hAnchor="margin" w:xAlign="right" w:y="1"/>
      <w:rPr>
        <w:rStyle w:val="73"/>
      </w:rPr>
    </w:pPr>
    <w:r>
      <w:fldChar w:fldCharType="begin"/>
    </w:r>
    <w:r>
      <w:rPr>
        <w:rStyle w:val="73"/>
      </w:rPr>
      <w:instrText xml:space="preserve">PAGE  </w:instrText>
    </w:r>
    <w:r>
      <w:fldChar w:fldCharType="end"/>
    </w:r>
  </w:p>
  <w:p w14:paraId="6198CF26">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44BE">
    <w:pPr>
      <w:pStyle w:val="43"/>
      <w:pBdr>
        <w:bottom w:val="single" w:color="auto" w:sz="6" w:space="4"/>
      </w:pBdr>
      <w:jc w:val="right"/>
    </w:pPr>
    <w:r>
      <w:t></w:t>
    </w:r>
    <w:r>
      <w:rPr>
        <w:rFonts w:hint="eastAsia"/>
      </w:rPr>
      <w:t xml:space="preserve">             交易</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AF65">
    <w:pPr>
      <w:pStyle w:val="43"/>
      <w:jc w:val="right"/>
      <w:rPr>
        <w:rFonts w:ascii="仿宋_GB2312" w:eastAsia="仿宋_GB2312"/>
        <w:b/>
        <w:i/>
        <w:u w:val="single"/>
      </w:rPr>
    </w:pPr>
    <w:r>
      <w:t></w:t>
    </w: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DBA4">
    <w:pPr>
      <w:pStyle w:val="43"/>
    </w:pPr>
    <w:r>
      <w:rPr>
        <w:rFonts w:hint="eastAsia"/>
      </w:rPr>
      <w:t xml:space="preserve">                                                                                          交易</w:t>
    </w:r>
    <w: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1A754">
    <w:pPr>
      <w:pStyle w:val="43"/>
      <w:rPr>
        <w:rFonts w:ascii="仿宋_GB2312" w:eastAsia="仿宋_GB2312"/>
        <w:b/>
        <w:i/>
        <w:u w:val="single"/>
      </w:rPr>
    </w:pPr>
    <w:r>
      <w:t></w:t>
    </w:r>
    <w:r>
      <w:rPr>
        <w:rFonts w:hint="eastAsia"/>
      </w:rPr>
      <w:t xml:space="preserve">                                                                      交易</w:t>
    </w:r>
    <w:r>
      <w:t>文件</w:t>
    </w:r>
  </w:p>
  <w:p w14:paraId="2430B05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C20F">
    <w:pPr>
      <w:pStyle w:val="43"/>
      <w:jc w:val="right"/>
    </w:pPr>
    <w:r>
      <w:t></w:t>
    </w:r>
    <w:r>
      <w:rPr>
        <w:rFonts w:hint="eastAsia"/>
      </w:rPr>
      <w:t xml:space="preserve">                                                                           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7F26">
    <w:pPr>
      <w:pStyle w:val="43"/>
      <w:jc w:val="right"/>
      <w:rPr>
        <w:rFonts w:ascii="仿宋_GB2312" w:eastAsia="仿宋_GB2312"/>
        <w:b/>
        <w:i/>
        <w:u w:val="single"/>
      </w:rPr>
    </w:pPr>
    <w:r>
      <w:rPr>
        <w:rFonts w:hint="eastAsia"/>
      </w:rPr>
      <w:t xml:space="preserve">                                  </w:t>
    </w:r>
    <w:r>
      <w:t>采购公开招标文件</w:t>
    </w:r>
  </w:p>
  <w:p w14:paraId="2305592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4D40">
    <w:pPr>
      <w:pStyle w:val="43"/>
      <w:jc w:val="right"/>
    </w:pPr>
    <w:r>
      <w:rPr>
        <w:rFonts w:hint="eastAsia"/>
      </w:rPr>
      <w:t xml:space="preserve">                                                                                                      交易</w:t>
    </w:r>
    <w: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1BE37">
    <w:pPr>
      <w:pStyle w:val="43"/>
      <w:jc w:val="right"/>
      <w:rPr>
        <w:rFonts w:ascii="仿宋_GB2312" w:eastAsia="仿宋_GB2312"/>
        <w:b/>
        <w:i/>
        <w:iCs/>
        <w:u w:val="single"/>
      </w:rPr>
    </w:pPr>
    <w:r>
      <w:t></w:t>
    </w:r>
    <w:r>
      <w:rPr>
        <w:rFonts w:hint="eastAsia"/>
      </w:rPr>
      <w:t>交易</w:t>
    </w:r>
    <w:r>
      <w:t>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CBE79">
    <w:pPr>
      <w:pStyle w:val="43"/>
    </w:pPr>
    <w:r>
      <w:t></w:t>
    </w:r>
    <w:r>
      <w:rPr>
        <w:rFonts w:hint="eastAsia"/>
      </w:rPr>
      <w:t xml:space="preserve">                                                              交易</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c0Nzc5N2E2N2RlMDE4ZGE3NWNkYzFiNzNiYzgifQ=="/>
    <w:docVar w:name="KSO_WPS_MARK_KEY" w:val="943858a3-597b-471d-b55b-9bf773b554f3"/>
  </w:docVars>
  <w:rsids>
    <w:rsidRoot w:val="00172A27"/>
    <w:rsid w:val="00000451"/>
    <w:rsid w:val="0000108B"/>
    <w:rsid w:val="0000133D"/>
    <w:rsid w:val="00001509"/>
    <w:rsid w:val="000032B2"/>
    <w:rsid w:val="0000363B"/>
    <w:rsid w:val="000053C6"/>
    <w:rsid w:val="000058BD"/>
    <w:rsid w:val="00005ED5"/>
    <w:rsid w:val="00006109"/>
    <w:rsid w:val="00006150"/>
    <w:rsid w:val="000063E8"/>
    <w:rsid w:val="00006725"/>
    <w:rsid w:val="0000675E"/>
    <w:rsid w:val="00006CE1"/>
    <w:rsid w:val="00007CAA"/>
    <w:rsid w:val="00010FE9"/>
    <w:rsid w:val="0001122F"/>
    <w:rsid w:val="00011A4B"/>
    <w:rsid w:val="00012251"/>
    <w:rsid w:val="0001337C"/>
    <w:rsid w:val="000138C4"/>
    <w:rsid w:val="00013C1F"/>
    <w:rsid w:val="00013F31"/>
    <w:rsid w:val="000140D8"/>
    <w:rsid w:val="00014530"/>
    <w:rsid w:val="00014BBC"/>
    <w:rsid w:val="000150EE"/>
    <w:rsid w:val="00015441"/>
    <w:rsid w:val="000168D8"/>
    <w:rsid w:val="000170C8"/>
    <w:rsid w:val="000173F4"/>
    <w:rsid w:val="00020287"/>
    <w:rsid w:val="000202FE"/>
    <w:rsid w:val="00020B5F"/>
    <w:rsid w:val="000211BC"/>
    <w:rsid w:val="000217D9"/>
    <w:rsid w:val="0002207B"/>
    <w:rsid w:val="000232FD"/>
    <w:rsid w:val="00023323"/>
    <w:rsid w:val="000233E4"/>
    <w:rsid w:val="00023495"/>
    <w:rsid w:val="00023777"/>
    <w:rsid w:val="000239BD"/>
    <w:rsid w:val="00024130"/>
    <w:rsid w:val="00024584"/>
    <w:rsid w:val="000247F4"/>
    <w:rsid w:val="00024962"/>
    <w:rsid w:val="000249AA"/>
    <w:rsid w:val="00025350"/>
    <w:rsid w:val="000253E5"/>
    <w:rsid w:val="00025776"/>
    <w:rsid w:val="00026EAC"/>
    <w:rsid w:val="000270F2"/>
    <w:rsid w:val="00027540"/>
    <w:rsid w:val="00030572"/>
    <w:rsid w:val="00030A97"/>
    <w:rsid w:val="00030CB3"/>
    <w:rsid w:val="0003206A"/>
    <w:rsid w:val="000326A7"/>
    <w:rsid w:val="00032A51"/>
    <w:rsid w:val="00032EA0"/>
    <w:rsid w:val="000331B0"/>
    <w:rsid w:val="000336D4"/>
    <w:rsid w:val="00033C74"/>
    <w:rsid w:val="00034FA7"/>
    <w:rsid w:val="0003533D"/>
    <w:rsid w:val="000357E4"/>
    <w:rsid w:val="00035ACA"/>
    <w:rsid w:val="00040447"/>
    <w:rsid w:val="00040494"/>
    <w:rsid w:val="000404E9"/>
    <w:rsid w:val="00040B70"/>
    <w:rsid w:val="00042441"/>
    <w:rsid w:val="00042533"/>
    <w:rsid w:val="00042DBB"/>
    <w:rsid w:val="00042E65"/>
    <w:rsid w:val="0004347C"/>
    <w:rsid w:val="00043907"/>
    <w:rsid w:val="00044106"/>
    <w:rsid w:val="00044F48"/>
    <w:rsid w:val="0004677E"/>
    <w:rsid w:val="00047354"/>
    <w:rsid w:val="00050656"/>
    <w:rsid w:val="00050A19"/>
    <w:rsid w:val="000511B6"/>
    <w:rsid w:val="00051B00"/>
    <w:rsid w:val="00051C72"/>
    <w:rsid w:val="00052192"/>
    <w:rsid w:val="0005238F"/>
    <w:rsid w:val="00052787"/>
    <w:rsid w:val="00052BB8"/>
    <w:rsid w:val="00053332"/>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3C1"/>
    <w:rsid w:val="00060C48"/>
    <w:rsid w:val="00061A3C"/>
    <w:rsid w:val="00061C48"/>
    <w:rsid w:val="00064278"/>
    <w:rsid w:val="000646CA"/>
    <w:rsid w:val="0006497D"/>
    <w:rsid w:val="00065B4D"/>
    <w:rsid w:val="000665C4"/>
    <w:rsid w:val="00067821"/>
    <w:rsid w:val="0006785E"/>
    <w:rsid w:val="000679B4"/>
    <w:rsid w:val="00067F92"/>
    <w:rsid w:val="00067FA7"/>
    <w:rsid w:val="0007038E"/>
    <w:rsid w:val="0007077C"/>
    <w:rsid w:val="00070825"/>
    <w:rsid w:val="00071CD8"/>
    <w:rsid w:val="00071DB2"/>
    <w:rsid w:val="00072816"/>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32"/>
    <w:rsid w:val="00077B7F"/>
    <w:rsid w:val="000808C1"/>
    <w:rsid w:val="00080970"/>
    <w:rsid w:val="00081671"/>
    <w:rsid w:val="000825F8"/>
    <w:rsid w:val="00082AD4"/>
    <w:rsid w:val="00083E07"/>
    <w:rsid w:val="00084D27"/>
    <w:rsid w:val="00084ED6"/>
    <w:rsid w:val="0008580E"/>
    <w:rsid w:val="00085A0E"/>
    <w:rsid w:val="00085C4F"/>
    <w:rsid w:val="00086EFD"/>
    <w:rsid w:val="00086F8A"/>
    <w:rsid w:val="00087031"/>
    <w:rsid w:val="0008799F"/>
    <w:rsid w:val="0009009C"/>
    <w:rsid w:val="00090243"/>
    <w:rsid w:val="000904F6"/>
    <w:rsid w:val="00090918"/>
    <w:rsid w:val="00090ED8"/>
    <w:rsid w:val="00090F9F"/>
    <w:rsid w:val="0009145F"/>
    <w:rsid w:val="0009184E"/>
    <w:rsid w:val="000918D6"/>
    <w:rsid w:val="00091B4E"/>
    <w:rsid w:val="00092467"/>
    <w:rsid w:val="00092D1E"/>
    <w:rsid w:val="00092FE9"/>
    <w:rsid w:val="00093404"/>
    <w:rsid w:val="000936BF"/>
    <w:rsid w:val="0009382F"/>
    <w:rsid w:val="00093A30"/>
    <w:rsid w:val="00094342"/>
    <w:rsid w:val="000945BA"/>
    <w:rsid w:val="0009554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23"/>
    <w:rsid w:val="000B04BD"/>
    <w:rsid w:val="000B0C8F"/>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5F"/>
    <w:rsid w:val="000C1ADE"/>
    <w:rsid w:val="000C1C38"/>
    <w:rsid w:val="000C21DC"/>
    <w:rsid w:val="000C2264"/>
    <w:rsid w:val="000C256B"/>
    <w:rsid w:val="000C3970"/>
    <w:rsid w:val="000C3B1A"/>
    <w:rsid w:val="000C4727"/>
    <w:rsid w:val="000C47AE"/>
    <w:rsid w:val="000C4BE2"/>
    <w:rsid w:val="000C51AD"/>
    <w:rsid w:val="000C5374"/>
    <w:rsid w:val="000C5EC0"/>
    <w:rsid w:val="000C6162"/>
    <w:rsid w:val="000C64CC"/>
    <w:rsid w:val="000C6688"/>
    <w:rsid w:val="000C692E"/>
    <w:rsid w:val="000C6B28"/>
    <w:rsid w:val="000C7BEB"/>
    <w:rsid w:val="000D0124"/>
    <w:rsid w:val="000D11E5"/>
    <w:rsid w:val="000D19E8"/>
    <w:rsid w:val="000D1F87"/>
    <w:rsid w:val="000D1FA1"/>
    <w:rsid w:val="000D2834"/>
    <w:rsid w:val="000D2B7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30"/>
    <w:rsid w:val="000F1604"/>
    <w:rsid w:val="000F287A"/>
    <w:rsid w:val="000F2940"/>
    <w:rsid w:val="000F2AB3"/>
    <w:rsid w:val="000F3D08"/>
    <w:rsid w:val="000F4495"/>
    <w:rsid w:val="000F4A05"/>
    <w:rsid w:val="000F4AA8"/>
    <w:rsid w:val="000F4AEA"/>
    <w:rsid w:val="000F4E67"/>
    <w:rsid w:val="000F4F4C"/>
    <w:rsid w:val="000F505B"/>
    <w:rsid w:val="000F5677"/>
    <w:rsid w:val="000F5DDB"/>
    <w:rsid w:val="000F628E"/>
    <w:rsid w:val="000F68A0"/>
    <w:rsid w:val="000F6CC2"/>
    <w:rsid w:val="000F729C"/>
    <w:rsid w:val="000F7D4B"/>
    <w:rsid w:val="0010118C"/>
    <w:rsid w:val="0010125E"/>
    <w:rsid w:val="001015F8"/>
    <w:rsid w:val="00101967"/>
    <w:rsid w:val="0010322B"/>
    <w:rsid w:val="00103251"/>
    <w:rsid w:val="00103509"/>
    <w:rsid w:val="0010393D"/>
    <w:rsid w:val="00103EBD"/>
    <w:rsid w:val="00104699"/>
    <w:rsid w:val="00104E5B"/>
    <w:rsid w:val="00104EEC"/>
    <w:rsid w:val="001050DC"/>
    <w:rsid w:val="00105482"/>
    <w:rsid w:val="001056A5"/>
    <w:rsid w:val="00105BA9"/>
    <w:rsid w:val="00105FE1"/>
    <w:rsid w:val="001066CE"/>
    <w:rsid w:val="00106AAA"/>
    <w:rsid w:val="00106E0E"/>
    <w:rsid w:val="001078A5"/>
    <w:rsid w:val="00107BBD"/>
    <w:rsid w:val="00107BC7"/>
    <w:rsid w:val="00110033"/>
    <w:rsid w:val="001102B5"/>
    <w:rsid w:val="00110767"/>
    <w:rsid w:val="00111C7D"/>
    <w:rsid w:val="00112038"/>
    <w:rsid w:val="001127FF"/>
    <w:rsid w:val="00112B0B"/>
    <w:rsid w:val="00112EB5"/>
    <w:rsid w:val="0011383E"/>
    <w:rsid w:val="00113EE3"/>
    <w:rsid w:val="0011468F"/>
    <w:rsid w:val="00114847"/>
    <w:rsid w:val="00115453"/>
    <w:rsid w:val="0011585B"/>
    <w:rsid w:val="00115B1A"/>
    <w:rsid w:val="001160FF"/>
    <w:rsid w:val="001164F4"/>
    <w:rsid w:val="001168F8"/>
    <w:rsid w:val="00117111"/>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B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2AB"/>
    <w:rsid w:val="0014042F"/>
    <w:rsid w:val="00140693"/>
    <w:rsid w:val="00140D7A"/>
    <w:rsid w:val="00141D28"/>
    <w:rsid w:val="00141DFE"/>
    <w:rsid w:val="00142185"/>
    <w:rsid w:val="001422E2"/>
    <w:rsid w:val="00142613"/>
    <w:rsid w:val="001433BC"/>
    <w:rsid w:val="00143872"/>
    <w:rsid w:val="00143A85"/>
    <w:rsid w:val="00144649"/>
    <w:rsid w:val="00145022"/>
    <w:rsid w:val="00145662"/>
    <w:rsid w:val="00145C6D"/>
    <w:rsid w:val="001460FC"/>
    <w:rsid w:val="00146151"/>
    <w:rsid w:val="00146326"/>
    <w:rsid w:val="00147032"/>
    <w:rsid w:val="00147EA7"/>
    <w:rsid w:val="0015019E"/>
    <w:rsid w:val="00151820"/>
    <w:rsid w:val="00151B2F"/>
    <w:rsid w:val="001524DC"/>
    <w:rsid w:val="001525E5"/>
    <w:rsid w:val="00153859"/>
    <w:rsid w:val="00153915"/>
    <w:rsid w:val="001539F0"/>
    <w:rsid w:val="00154BBA"/>
    <w:rsid w:val="00154BC8"/>
    <w:rsid w:val="00155B95"/>
    <w:rsid w:val="00156853"/>
    <w:rsid w:val="00157432"/>
    <w:rsid w:val="00161185"/>
    <w:rsid w:val="001620BA"/>
    <w:rsid w:val="001623AC"/>
    <w:rsid w:val="00162BAA"/>
    <w:rsid w:val="00162FA9"/>
    <w:rsid w:val="00163C40"/>
    <w:rsid w:val="0016488B"/>
    <w:rsid w:val="00164F2D"/>
    <w:rsid w:val="00165758"/>
    <w:rsid w:val="00165A65"/>
    <w:rsid w:val="00166317"/>
    <w:rsid w:val="00167216"/>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4C9"/>
    <w:rsid w:val="00190782"/>
    <w:rsid w:val="00190942"/>
    <w:rsid w:val="001909A7"/>
    <w:rsid w:val="001909C3"/>
    <w:rsid w:val="00191459"/>
    <w:rsid w:val="00191603"/>
    <w:rsid w:val="0019173E"/>
    <w:rsid w:val="0019174E"/>
    <w:rsid w:val="0019196B"/>
    <w:rsid w:val="001923D5"/>
    <w:rsid w:val="00192991"/>
    <w:rsid w:val="00193019"/>
    <w:rsid w:val="00193470"/>
    <w:rsid w:val="00193B94"/>
    <w:rsid w:val="001940A7"/>
    <w:rsid w:val="001946C6"/>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ED"/>
    <w:rsid w:val="001A1F0E"/>
    <w:rsid w:val="001A3335"/>
    <w:rsid w:val="001A379C"/>
    <w:rsid w:val="001A473A"/>
    <w:rsid w:val="001A4ED9"/>
    <w:rsid w:val="001A5785"/>
    <w:rsid w:val="001A5FD7"/>
    <w:rsid w:val="001A66A6"/>
    <w:rsid w:val="001A68B9"/>
    <w:rsid w:val="001A6BAF"/>
    <w:rsid w:val="001A6BBB"/>
    <w:rsid w:val="001A79A2"/>
    <w:rsid w:val="001B06A6"/>
    <w:rsid w:val="001B13BF"/>
    <w:rsid w:val="001B16F5"/>
    <w:rsid w:val="001B1C1F"/>
    <w:rsid w:val="001B219B"/>
    <w:rsid w:val="001B2703"/>
    <w:rsid w:val="001B2973"/>
    <w:rsid w:val="001B3DCD"/>
    <w:rsid w:val="001B45B9"/>
    <w:rsid w:val="001B46B2"/>
    <w:rsid w:val="001B4725"/>
    <w:rsid w:val="001B48B2"/>
    <w:rsid w:val="001B49DA"/>
    <w:rsid w:val="001B4CA8"/>
    <w:rsid w:val="001B572D"/>
    <w:rsid w:val="001B576E"/>
    <w:rsid w:val="001B5B10"/>
    <w:rsid w:val="001B6025"/>
    <w:rsid w:val="001B6D58"/>
    <w:rsid w:val="001B6FA7"/>
    <w:rsid w:val="001B70A7"/>
    <w:rsid w:val="001B7A15"/>
    <w:rsid w:val="001B7B69"/>
    <w:rsid w:val="001B7DC1"/>
    <w:rsid w:val="001C08DB"/>
    <w:rsid w:val="001C10BD"/>
    <w:rsid w:val="001C123F"/>
    <w:rsid w:val="001C1F01"/>
    <w:rsid w:val="001C2092"/>
    <w:rsid w:val="001C232F"/>
    <w:rsid w:val="001C2544"/>
    <w:rsid w:val="001C2A17"/>
    <w:rsid w:val="001C31F5"/>
    <w:rsid w:val="001C374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9C7"/>
    <w:rsid w:val="001D4AB6"/>
    <w:rsid w:val="001D4AD3"/>
    <w:rsid w:val="001D5281"/>
    <w:rsid w:val="001D75E7"/>
    <w:rsid w:val="001E17E3"/>
    <w:rsid w:val="001E2052"/>
    <w:rsid w:val="001E2492"/>
    <w:rsid w:val="001E257C"/>
    <w:rsid w:val="001E286C"/>
    <w:rsid w:val="001E2D6B"/>
    <w:rsid w:val="001E2DCA"/>
    <w:rsid w:val="001E2F34"/>
    <w:rsid w:val="001E35EE"/>
    <w:rsid w:val="001E4B2C"/>
    <w:rsid w:val="001E4B31"/>
    <w:rsid w:val="001E507F"/>
    <w:rsid w:val="001E56C2"/>
    <w:rsid w:val="001E59FB"/>
    <w:rsid w:val="001E68DD"/>
    <w:rsid w:val="001E7F81"/>
    <w:rsid w:val="001F0FD1"/>
    <w:rsid w:val="001F1526"/>
    <w:rsid w:val="001F19D1"/>
    <w:rsid w:val="001F1CB9"/>
    <w:rsid w:val="001F1F18"/>
    <w:rsid w:val="001F2F92"/>
    <w:rsid w:val="001F3D3A"/>
    <w:rsid w:val="001F3DCA"/>
    <w:rsid w:val="001F5DA1"/>
    <w:rsid w:val="001F612E"/>
    <w:rsid w:val="001F6A92"/>
    <w:rsid w:val="001F77E8"/>
    <w:rsid w:val="00201A0C"/>
    <w:rsid w:val="00201B0F"/>
    <w:rsid w:val="0020255A"/>
    <w:rsid w:val="00202800"/>
    <w:rsid w:val="00202D33"/>
    <w:rsid w:val="00202E58"/>
    <w:rsid w:val="00202F99"/>
    <w:rsid w:val="00203C85"/>
    <w:rsid w:val="0020449A"/>
    <w:rsid w:val="00204758"/>
    <w:rsid w:val="00204E9B"/>
    <w:rsid w:val="00205298"/>
    <w:rsid w:val="002055C0"/>
    <w:rsid w:val="0020569E"/>
    <w:rsid w:val="00206338"/>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200"/>
    <w:rsid w:val="002213CE"/>
    <w:rsid w:val="00221AF7"/>
    <w:rsid w:val="00222494"/>
    <w:rsid w:val="00222775"/>
    <w:rsid w:val="00222A31"/>
    <w:rsid w:val="00222CF6"/>
    <w:rsid w:val="00224037"/>
    <w:rsid w:val="002244E4"/>
    <w:rsid w:val="00224D2A"/>
    <w:rsid w:val="00224D8D"/>
    <w:rsid w:val="0022555A"/>
    <w:rsid w:val="0022653C"/>
    <w:rsid w:val="00227214"/>
    <w:rsid w:val="00227DDC"/>
    <w:rsid w:val="0023079F"/>
    <w:rsid w:val="00230FAD"/>
    <w:rsid w:val="00231135"/>
    <w:rsid w:val="00231B0B"/>
    <w:rsid w:val="00232383"/>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D52"/>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48"/>
    <w:rsid w:val="00256986"/>
    <w:rsid w:val="00256D61"/>
    <w:rsid w:val="00256E23"/>
    <w:rsid w:val="00257246"/>
    <w:rsid w:val="00257438"/>
    <w:rsid w:val="0026119C"/>
    <w:rsid w:val="00261325"/>
    <w:rsid w:val="00261AFE"/>
    <w:rsid w:val="0026212A"/>
    <w:rsid w:val="002621D7"/>
    <w:rsid w:val="00262996"/>
    <w:rsid w:val="00263044"/>
    <w:rsid w:val="00263759"/>
    <w:rsid w:val="002638BD"/>
    <w:rsid w:val="0026470B"/>
    <w:rsid w:val="0026486D"/>
    <w:rsid w:val="00264C4B"/>
    <w:rsid w:val="00264ED0"/>
    <w:rsid w:val="00265346"/>
    <w:rsid w:val="00265BB6"/>
    <w:rsid w:val="00266045"/>
    <w:rsid w:val="002660C3"/>
    <w:rsid w:val="00266C21"/>
    <w:rsid w:val="00266DE1"/>
    <w:rsid w:val="00266F0A"/>
    <w:rsid w:val="00267A92"/>
    <w:rsid w:val="00267E43"/>
    <w:rsid w:val="00270282"/>
    <w:rsid w:val="00270780"/>
    <w:rsid w:val="00270CF6"/>
    <w:rsid w:val="00271097"/>
    <w:rsid w:val="00271C53"/>
    <w:rsid w:val="00271D2B"/>
    <w:rsid w:val="0027244F"/>
    <w:rsid w:val="00273052"/>
    <w:rsid w:val="002739CE"/>
    <w:rsid w:val="00273C5F"/>
    <w:rsid w:val="002741D4"/>
    <w:rsid w:val="002743AC"/>
    <w:rsid w:val="0027499D"/>
    <w:rsid w:val="002751CA"/>
    <w:rsid w:val="0027544D"/>
    <w:rsid w:val="00276FD9"/>
    <w:rsid w:val="00277196"/>
    <w:rsid w:val="002775ED"/>
    <w:rsid w:val="002778AB"/>
    <w:rsid w:val="002802A5"/>
    <w:rsid w:val="00280CFB"/>
    <w:rsid w:val="00280D24"/>
    <w:rsid w:val="002815C4"/>
    <w:rsid w:val="00281BCB"/>
    <w:rsid w:val="00281C02"/>
    <w:rsid w:val="00281C76"/>
    <w:rsid w:val="0028316D"/>
    <w:rsid w:val="00283296"/>
    <w:rsid w:val="002840C4"/>
    <w:rsid w:val="002848A5"/>
    <w:rsid w:val="0028583E"/>
    <w:rsid w:val="00285853"/>
    <w:rsid w:val="00285AED"/>
    <w:rsid w:val="00285B1A"/>
    <w:rsid w:val="00285FF3"/>
    <w:rsid w:val="00286348"/>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715"/>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B1"/>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A9E"/>
    <w:rsid w:val="002C70E7"/>
    <w:rsid w:val="002D0C27"/>
    <w:rsid w:val="002D0E88"/>
    <w:rsid w:val="002D0EA7"/>
    <w:rsid w:val="002D0F31"/>
    <w:rsid w:val="002D1593"/>
    <w:rsid w:val="002D1A1E"/>
    <w:rsid w:val="002D22A6"/>
    <w:rsid w:val="002D2819"/>
    <w:rsid w:val="002D2CD6"/>
    <w:rsid w:val="002D2F81"/>
    <w:rsid w:val="002D34B0"/>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CE2"/>
    <w:rsid w:val="002E4D50"/>
    <w:rsid w:val="002E55FF"/>
    <w:rsid w:val="002E587E"/>
    <w:rsid w:val="002E672A"/>
    <w:rsid w:val="002E6853"/>
    <w:rsid w:val="002E7EC1"/>
    <w:rsid w:val="002E7EE5"/>
    <w:rsid w:val="002F0323"/>
    <w:rsid w:val="002F0829"/>
    <w:rsid w:val="002F0DFB"/>
    <w:rsid w:val="002F134F"/>
    <w:rsid w:val="002F1D0B"/>
    <w:rsid w:val="002F1E1D"/>
    <w:rsid w:val="002F1F02"/>
    <w:rsid w:val="002F27E5"/>
    <w:rsid w:val="002F2D81"/>
    <w:rsid w:val="002F2E67"/>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0E9"/>
    <w:rsid w:val="003066C6"/>
    <w:rsid w:val="003066FA"/>
    <w:rsid w:val="00306AD6"/>
    <w:rsid w:val="003077F4"/>
    <w:rsid w:val="00307DC7"/>
    <w:rsid w:val="00307FF2"/>
    <w:rsid w:val="00310EDB"/>
    <w:rsid w:val="00311C51"/>
    <w:rsid w:val="00311D12"/>
    <w:rsid w:val="00311D56"/>
    <w:rsid w:val="00312016"/>
    <w:rsid w:val="00312340"/>
    <w:rsid w:val="00312DFC"/>
    <w:rsid w:val="0031318C"/>
    <w:rsid w:val="0031372F"/>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878"/>
    <w:rsid w:val="00321DB7"/>
    <w:rsid w:val="00321E7A"/>
    <w:rsid w:val="0032226D"/>
    <w:rsid w:val="00322E12"/>
    <w:rsid w:val="003235E6"/>
    <w:rsid w:val="00324038"/>
    <w:rsid w:val="00324951"/>
    <w:rsid w:val="003249F6"/>
    <w:rsid w:val="00324B2F"/>
    <w:rsid w:val="00325FCC"/>
    <w:rsid w:val="00326106"/>
    <w:rsid w:val="00326805"/>
    <w:rsid w:val="003269B7"/>
    <w:rsid w:val="00326C0E"/>
    <w:rsid w:val="003272A3"/>
    <w:rsid w:val="003272E4"/>
    <w:rsid w:val="00327B31"/>
    <w:rsid w:val="00327B71"/>
    <w:rsid w:val="00330E34"/>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6A8"/>
    <w:rsid w:val="003369C7"/>
    <w:rsid w:val="00336AD2"/>
    <w:rsid w:val="003373A6"/>
    <w:rsid w:val="00337409"/>
    <w:rsid w:val="00337E18"/>
    <w:rsid w:val="003405AF"/>
    <w:rsid w:val="0034088F"/>
    <w:rsid w:val="00340B3E"/>
    <w:rsid w:val="00340C6F"/>
    <w:rsid w:val="003413D2"/>
    <w:rsid w:val="00341525"/>
    <w:rsid w:val="0034257E"/>
    <w:rsid w:val="003429A1"/>
    <w:rsid w:val="003429FC"/>
    <w:rsid w:val="00343079"/>
    <w:rsid w:val="00343127"/>
    <w:rsid w:val="00343320"/>
    <w:rsid w:val="00344066"/>
    <w:rsid w:val="00344ACC"/>
    <w:rsid w:val="00344BBF"/>
    <w:rsid w:val="0034509B"/>
    <w:rsid w:val="00345644"/>
    <w:rsid w:val="00345D0E"/>
    <w:rsid w:val="00345D7A"/>
    <w:rsid w:val="00345F89"/>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5C"/>
    <w:rsid w:val="0036528B"/>
    <w:rsid w:val="00365B6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884"/>
    <w:rsid w:val="003729A5"/>
    <w:rsid w:val="00372C89"/>
    <w:rsid w:val="00372E9A"/>
    <w:rsid w:val="003735B9"/>
    <w:rsid w:val="00373634"/>
    <w:rsid w:val="00374677"/>
    <w:rsid w:val="0037510C"/>
    <w:rsid w:val="003757F4"/>
    <w:rsid w:val="00375850"/>
    <w:rsid w:val="00375A8E"/>
    <w:rsid w:val="0037632F"/>
    <w:rsid w:val="00377B26"/>
    <w:rsid w:val="00380DA2"/>
    <w:rsid w:val="00381014"/>
    <w:rsid w:val="00381604"/>
    <w:rsid w:val="00381C68"/>
    <w:rsid w:val="00381F60"/>
    <w:rsid w:val="00383204"/>
    <w:rsid w:val="00383AB0"/>
    <w:rsid w:val="00384466"/>
    <w:rsid w:val="003847BB"/>
    <w:rsid w:val="00384814"/>
    <w:rsid w:val="00384C0A"/>
    <w:rsid w:val="003850E3"/>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EE"/>
    <w:rsid w:val="00392E35"/>
    <w:rsid w:val="00393247"/>
    <w:rsid w:val="00393551"/>
    <w:rsid w:val="00393816"/>
    <w:rsid w:val="00393E1E"/>
    <w:rsid w:val="00393FCD"/>
    <w:rsid w:val="003944EA"/>
    <w:rsid w:val="00394639"/>
    <w:rsid w:val="00394DF6"/>
    <w:rsid w:val="00394EC6"/>
    <w:rsid w:val="00395A02"/>
    <w:rsid w:val="00395CD9"/>
    <w:rsid w:val="003962E6"/>
    <w:rsid w:val="00396831"/>
    <w:rsid w:val="003971A1"/>
    <w:rsid w:val="003A0AD2"/>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CC1"/>
    <w:rsid w:val="003B2930"/>
    <w:rsid w:val="003B31A7"/>
    <w:rsid w:val="003B4587"/>
    <w:rsid w:val="003B4A01"/>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C4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857"/>
    <w:rsid w:val="003D4A41"/>
    <w:rsid w:val="003D4CDF"/>
    <w:rsid w:val="003D514A"/>
    <w:rsid w:val="003D5ADB"/>
    <w:rsid w:val="003D6448"/>
    <w:rsid w:val="003D646C"/>
    <w:rsid w:val="003D663E"/>
    <w:rsid w:val="003D664B"/>
    <w:rsid w:val="003D6793"/>
    <w:rsid w:val="003D6B03"/>
    <w:rsid w:val="003D75D8"/>
    <w:rsid w:val="003E006E"/>
    <w:rsid w:val="003E0947"/>
    <w:rsid w:val="003E0966"/>
    <w:rsid w:val="003E0E96"/>
    <w:rsid w:val="003E20F7"/>
    <w:rsid w:val="003E2579"/>
    <w:rsid w:val="003E336A"/>
    <w:rsid w:val="003E3E2F"/>
    <w:rsid w:val="003E4048"/>
    <w:rsid w:val="003E4CE5"/>
    <w:rsid w:val="003E5C4C"/>
    <w:rsid w:val="003E604C"/>
    <w:rsid w:val="003E60DA"/>
    <w:rsid w:val="003E64E8"/>
    <w:rsid w:val="003E6E00"/>
    <w:rsid w:val="003E7111"/>
    <w:rsid w:val="003E7940"/>
    <w:rsid w:val="003F01BD"/>
    <w:rsid w:val="003F0486"/>
    <w:rsid w:val="003F048E"/>
    <w:rsid w:val="003F09FA"/>
    <w:rsid w:val="003F0AFF"/>
    <w:rsid w:val="003F107E"/>
    <w:rsid w:val="003F164C"/>
    <w:rsid w:val="003F1AA2"/>
    <w:rsid w:val="003F26DC"/>
    <w:rsid w:val="003F42FF"/>
    <w:rsid w:val="003F4B48"/>
    <w:rsid w:val="003F4DDC"/>
    <w:rsid w:val="003F56B8"/>
    <w:rsid w:val="003F57CB"/>
    <w:rsid w:val="003F5F1A"/>
    <w:rsid w:val="003F624E"/>
    <w:rsid w:val="003F6327"/>
    <w:rsid w:val="003F683F"/>
    <w:rsid w:val="003F6FBB"/>
    <w:rsid w:val="003F7425"/>
    <w:rsid w:val="003F765B"/>
    <w:rsid w:val="003F7CB8"/>
    <w:rsid w:val="00400CB4"/>
    <w:rsid w:val="00401386"/>
    <w:rsid w:val="004013E6"/>
    <w:rsid w:val="00401E31"/>
    <w:rsid w:val="00402BBA"/>
    <w:rsid w:val="004035D0"/>
    <w:rsid w:val="0040361D"/>
    <w:rsid w:val="00403795"/>
    <w:rsid w:val="004041FB"/>
    <w:rsid w:val="0040443E"/>
    <w:rsid w:val="004049FD"/>
    <w:rsid w:val="004056B6"/>
    <w:rsid w:val="00405764"/>
    <w:rsid w:val="00405850"/>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2D6"/>
    <w:rsid w:val="00414909"/>
    <w:rsid w:val="00415034"/>
    <w:rsid w:val="00415B1A"/>
    <w:rsid w:val="00415DFD"/>
    <w:rsid w:val="00416208"/>
    <w:rsid w:val="004167B9"/>
    <w:rsid w:val="0041690F"/>
    <w:rsid w:val="004169D3"/>
    <w:rsid w:val="00416C2B"/>
    <w:rsid w:val="00416D41"/>
    <w:rsid w:val="00416E70"/>
    <w:rsid w:val="00417264"/>
    <w:rsid w:val="004210C0"/>
    <w:rsid w:val="004211DD"/>
    <w:rsid w:val="00421762"/>
    <w:rsid w:val="00421D4B"/>
    <w:rsid w:val="00421E9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17"/>
    <w:rsid w:val="00431A2A"/>
    <w:rsid w:val="00432ECA"/>
    <w:rsid w:val="00435130"/>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2D1"/>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2B7"/>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4D"/>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73"/>
    <w:rsid w:val="00492503"/>
    <w:rsid w:val="004925C8"/>
    <w:rsid w:val="004927F7"/>
    <w:rsid w:val="00492AF9"/>
    <w:rsid w:val="00492B76"/>
    <w:rsid w:val="0049333E"/>
    <w:rsid w:val="0049418F"/>
    <w:rsid w:val="00494F0D"/>
    <w:rsid w:val="00495020"/>
    <w:rsid w:val="0049570D"/>
    <w:rsid w:val="00495C48"/>
    <w:rsid w:val="00495DC6"/>
    <w:rsid w:val="0049639C"/>
    <w:rsid w:val="00496CCE"/>
    <w:rsid w:val="004978C1"/>
    <w:rsid w:val="00497AAD"/>
    <w:rsid w:val="00497BD7"/>
    <w:rsid w:val="00497D1A"/>
    <w:rsid w:val="004A00C9"/>
    <w:rsid w:val="004A03D0"/>
    <w:rsid w:val="004A1049"/>
    <w:rsid w:val="004A1AFA"/>
    <w:rsid w:val="004A1EA7"/>
    <w:rsid w:val="004A239C"/>
    <w:rsid w:val="004A26F5"/>
    <w:rsid w:val="004A2EF8"/>
    <w:rsid w:val="004A394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EC3"/>
    <w:rsid w:val="004C02C5"/>
    <w:rsid w:val="004C0BF0"/>
    <w:rsid w:val="004C0D40"/>
    <w:rsid w:val="004C114F"/>
    <w:rsid w:val="004C11A9"/>
    <w:rsid w:val="004C27CF"/>
    <w:rsid w:val="004C2CA7"/>
    <w:rsid w:val="004C3592"/>
    <w:rsid w:val="004C45C8"/>
    <w:rsid w:val="004C4F8F"/>
    <w:rsid w:val="004C5AE3"/>
    <w:rsid w:val="004C5F4B"/>
    <w:rsid w:val="004C612E"/>
    <w:rsid w:val="004C61B8"/>
    <w:rsid w:val="004C69FE"/>
    <w:rsid w:val="004C6C0A"/>
    <w:rsid w:val="004C6C6D"/>
    <w:rsid w:val="004C739F"/>
    <w:rsid w:val="004C73C0"/>
    <w:rsid w:val="004C77FF"/>
    <w:rsid w:val="004C7DB0"/>
    <w:rsid w:val="004C7FFC"/>
    <w:rsid w:val="004D0223"/>
    <w:rsid w:val="004D0C4C"/>
    <w:rsid w:val="004D16A3"/>
    <w:rsid w:val="004D1934"/>
    <w:rsid w:val="004D1E41"/>
    <w:rsid w:val="004D2326"/>
    <w:rsid w:val="004D2E11"/>
    <w:rsid w:val="004D3108"/>
    <w:rsid w:val="004D329C"/>
    <w:rsid w:val="004D34D1"/>
    <w:rsid w:val="004D3C8F"/>
    <w:rsid w:val="004D4523"/>
    <w:rsid w:val="004D4990"/>
    <w:rsid w:val="004D51D6"/>
    <w:rsid w:val="004D5477"/>
    <w:rsid w:val="004D6BF2"/>
    <w:rsid w:val="004D6F29"/>
    <w:rsid w:val="004D7BF5"/>
    <w:rsid w:val="004D7F9C"/>
    <w:rsid w:val="004E03F4"/>
    <w:rsid w:val="004E068F"/>
    <w:rsid w:val="004E0860"/>
    <w:rsid w:val="004E09CF"/>
    <w:rsid w:val="004E0B75"/>
    <w:rsid w:val="004E0C29"/>
    <w:rsid w:val="004E0DC4"/>
    <w:rsid w:val="004E0F29"/>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1A"/>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A41"/>
    <w:rsid w:val="00507300"/>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685"/>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2E4A"/>
    <w:rsid w:val="00533233"/>
    <w:rsid w:val="005335A2"/>
    <w:rsid w:val="00533D13"/>
    <w:rsid w:val="00533DEC"/>
    <w:rsid w:val="00534026"/>
    <w:rsid w:val="0053486D"/>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3C9"/>
    <w:rsid w:val="005444C6"/>
    <w:rsid w:val="00544BF9"/>
    <w:rsid w:val="00544F05"/>
    <w:rsid w:val="00544FCC"/>
    <w:rsid w:val="005454B8"/>
    <w:rsid w:val="005455AE"/>
    <w:rsid w:val="00545ACB"/>
    <w:rsid w:val="00545DB9"/>
    <w:rsid w:val="005462ED"/>
    <w:rsid w:val="00546585"/>
    <w:rsid w:val="0054680A"/>
    <w:rsid w:val="00546BF8"/>
    <w:rsid w:val="00547811"/>
    <w:rsid w:val="00547A70"/>
    <w:rsid w:val="00547BA2"/>
    <w:rsid w:val="00550975"/>
    <w:rsid w:val="00550AC5"/>
    <w:rsid w:val="00550B7E"/>
    <w:rsid w:val="00551052"/>
    <w:rsid w:val="005524ED"/>
    <w:rsid w:val="00553F91"/>
    <w:rsid w:val="00554007"/>
    <w:rsid w:val="00554189"/>
    <w:rsid w:val="00554C03"/>
    <w:rsid w:val="00554C58"/>
    <w:rsid w:val="00554D5D"/>
    <w:rsid w:val="005550F9"/>
    <w:rsid w:val="00556338"/>
    <w:rsid w:val="00556441"/>
    <w:rsid w:val="00556D3E"/>
    <w:rsid w:val="00557031"/>
    <w:rsid w:val="00557F87"/>
    <w:rsid w:val="00560E8B"/>
    <w:rsid w:val="00560FCB"/>
    <w:rsid w:val="00561001"/>
    <w:rsid w:val="0056111C"/>
    <w:rsid w:val="00561140"/>
    <w:rsid w:val="005611F9"/>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EDD"/>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022"/>
    <w:rsid w:val="005A2FB8"/>
    <w:rsid w:val="005A361D"/>
    <w:rsid w:val="005A36C2"/>
    <w:rsid w:val="005A3719"/>
    <w:rsid w:val="005A3DD7"/>
    <w:rsid w:val="005A40FA"/>
    <w:rsid w:val="005A4C20"/>
    <w:rsid w:val="005A4D89"/>
    <w:rsid w:val="005A4F48"/>
    <w:rsid w:val="005A54F1"/>
    <w:rsid w:val="005A57B8"/>
    <w:rsid w:val="005A5DDE"/>
    <w:rsid w:val="005A64A8"/>
    <w:rsid w:val="005A65C5"/>
    <w:rsid w:val="005A6875"/>
    <w:rsid w:val="005A7016"/>
    <w:rsid w:val="005A79AB"/>
    <w:rsid w:val="005A7A32"/>
    <w:rsid w:val="005A7F85"/>
    <w:rsid w:val="005B00DD"/>
    <w:rsid w:val="005B03B1"/>
    <w:rsid w:val="005B07D5"/>
    <w:rsid w:val="005B0BA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2A"/>
    <w:rsid w:val="005C039B"/>
    <w:rsid w:val="005C059F"/>
    <w:rsid w:val="005C07CE"/>
    <w:rsid w:val="005C0B8F"/>
    <w:rsid w:val="005C194E"/>
    <w:rsid w:val="005C1C83"/>
    <w:rsid w:val="005C1DB1"/>
    <w:rsid w:val="005C226F"/>
    <w:rsid w:val="005C2294"/>
    <w:rsid w:val="005C2776"/>
    <w:rsid w:val="005C2C63"/>
    <w:rsid w:val="005C2E48"/>
    <w:rsid w:val="005C3344"/>
    <w:rsid w:val="005C4CFA"/>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72"/>
    <w:rsid w:val="005E2CF7"/>
    <w:rsid w:val="005E4543"/>
    <w:rsid w:val="005E4A1C"/>
    <w:rsid w:val="005E56C9"/>
    <w:rsid w:val="005E5CF7"/>
    <w:rsid w:val="005E5FF0"/>
    <w:rsid w:val="005E642A"/>
    <w:rsid w:val="005E65A7"/>
    <w:rsid w:val="005E721E"/>
    <w:rsid w:val="005F0857"/>
    <w:rsid w:val="005F1470"/>
    <w:rsid w:val="005F15A9"/>
    <w:rsid w:val="005F16DE"/>
    <w:rsid w:val="005F2083"/>
    <w:rsid w:val="005F2807"/>
    <w:rsid w:val="005F2CD5"/>
    <w:rsid w:val="005F3382"/>
    <w:rsid w:val="005F3720"/>
    <w:rsid w:val="005F3E24"/>
    <w:rsid w:val="005F471C"/>
    <w:rsid w:val="005F489C"/>
    <w:rsid w:val="005F4F00"/>
    <w:rsid w:val="005F5506"/>
    <w:rsid w:val="005F5A0D"/>
    <w:rsid w:val="005F60DF"/>
    <w:rsid w:val="005F615B"/>
    <w:rsid w:val="005F61DF"/>
    <w:rsid w:val="005F6534"/>
    <w:rsid w:val="005F680A"/>
    <w:rsid w:val="005F6880"/>
    <w:rsid w:val="005F6B3E"/>
    <w:rsid w:val="005F6ED2"/>
    <w:rsid w:val="005F745B"/>
    <w:rsid w:val="005F77F8"/>
    <w:rsid w:val="005F7A77"/>
    <w:rsid w:val="005F7CA8"/>
    <w:rsid w:val="00600DE1"/>
    <w:rsid w:val="006011DA"/>
    <w:rsid w:val="006013AD"/>
    <w:rsid w:val="00601506"/>
    <w:rsid w:val="00601596"/>
    <w:rsid w:val="00601C92"/>
    <w:rsid w:val="00601F66"/>
    <w:rsid w:val="00602555"/>
    <w:rsid w:val="00602764"/>
    <w:rsid w:val="00602B29"/>
    <w:rsid w:val="00602DAD"/>
    <w:rsid w:val="00603373"/>
    <w:rsid w:val="006036D0"/>
    <w:rsid w:val="00603B1C"/>
    <w:rsid w:val="006042CD"/>
    <w:rsid w:val="00605085"/>
    <w:rsid w:val="00605217"/>
    <w:rsid w:val="006054A5"/>
    <w:rsid w:val="006059E4"/>
    <w:rsid w:val="00605AC2"/>
    <w:rsid w:val="00605D60"/>
    <w:rsid w:val="006062A0"/>
    <w:rsid w:val="00607015"/>
    <w:rsid w:val="00607C6B"/>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9F5"/>
    <w:rsid w:val="006160F0"/>
    <w:rsid w:val="0061618F"/>
    <w:rsid w:val="0061624B"/>
    <w:rsid w:val="006166AD"/>
    <w:rsid w:val="00616C1E"/>
    <w:rsid w:val="00617EFC"/>
    <w:rsid w:val="00620055"/>
    <w:rsid w:val="00620336"/>
    <w:rsid w:val="006203CB"/>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255"/>
    <w:rsid w:val="006308EE"/>
    <w:rsid w:val="00630C70"/>
    <w:rsid w:val="00630D67"/>
    <w:rsid w:val="00630D9F"/>
    <w:rsid w:val="00631005"/>
    <w:rsid w:val="00631C79"/>
    <w:rsid w:val="00632727"/>
    <w:rsid w:val="0063283D"/>
    <w:rsid w:val="00633114"/>
    <w:rsid w:val="00633769"/>
    <w:rsid w:val="00633FE3"/>
    <w:rsid w:val="00634276"/>
    <w:rsid w:val="00634570"/>
    <w:rsid w:val="0063487C"/>
    <w:rsid w:val="00635B73"/>
    <w:rsid w:val="00635BB7"/>
    <w:rsid w:val="00636CC7"/>
    <w:rsid w:val="0063781F"/>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032"/>
    <w:rsid w:val="00647664"/>
    <w:rsid w:val="00650121"/>
    <w:rsid w:val="00650D19"/>
    <w:rsid w:val="00652CF5"/>
    <w:rsid w:val="0065343E"/>
    <w:rsid w:val="006536BB"/>
    <w:rsid w:val="0065398F"/>
    <w:rsid w:val="00653C7C"/>
    <w:rsid w:val="00653D1E"/>
    <w:rsid w:val="00654252"/>
    <w:rsid w:val="006543B7"/>
    <w:rsid w:val="00654EA5"/>
    <w:rsid w:val="0065587E"/>
    <w:rsid w:val="006558CD"/>
    <w:rsid w:val="00655C26"/>
    <w:rsid w:val="0065637A"/>
    <w:rsid w:val="00656998"/>
    <w:rsid w:val="00656E4D"/>
    <w:rsid w:val="0065735F"/>
    <w:rsid w:val="006576BA"/>
    <w:rsid w:val="006600BF"/>
    <w:rsid w:val="00660AF7"/>
    <w:rsid w:val="00660D3E"/>
    <w:rsid w:val="00661691"/>
    <w:rsid w:val="00661B5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3E4"/>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188"/>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45"/>
    <w:rsid w:val="006D43C1"/>
    <w:rsid w:val="006D518C"/>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3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CBA"/>
    <w:rsid w:val="006F41F4"/>
    <w:rsid w:val="006F4576"/>
    <w:rsid w:val="006F5813"/>
    <w:rsid w:val="006F59A8"/>
    <w:rsid w:val="006F5A1D"/>
    <w:rsid w:val="006F71A6"/>
    <w:rsid w:val="006F7974"/>
    <w:rsid w:val="006F7C2C"/>
    <w:rsid w:val="006F7E06"/>
    <w:rsid w:val="006F7FD5"/>
    <w:rsid w:val="00700214"/>
    <w:rsid w:val="00700405"/>
    <w:rsid w:val="00700A33"/>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938"/>
    <w:rsid w:val="00716C67"/>
    <w:rsid w:val="007170AB"/>
    <w:rsid w:val="0071779C"/>
    <w:rsid w:val="00717808"/>
    <w:rsid w:val="007208A7"/>
    <w:rsid w:val="00720B6A"/>
    <w:rsid w:val="007210F6"/>
    <w:rsid w:val="0072129A"/>
    <w:rsid w:val="0072139F"/>
    <w:rsid w:val="0072198A"/>
    <w:rsid w:val="00721AD9"/>
    <w:rsid w:val="00721FC3"/>
    <w:rsid w:val="007226A8"/>
    <w:rsid w:val="00722A86"/>
    <w:rsid w:val="00722BC6"/>
    <w:rsid w:val="00722C69"/>
    <w:rsid w:val="0072311F"/>
    <w:rsid w:val="0072388C"/>
    <w:rsid w:val="00723C91"/>
    <w:rsid w:val="0072454E"/>
    <w:rsid w:val="007249D1"/>
    <w:rsid w:val="00724FE4"/>
    <w:rsid w:val="00725328"/>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E14"/>
    <w:rsid w:val="00750D12"/>
    <w:rsid w:val="00751073"/>
    <w:rsid w:val="00751AF2"/>
    <w:rsid w:val="00751B1A"/>
    <w:rsid w:val="00751BD2"/>
    <w:rsid w:val="00751CE5"/>
    <w:rsid w:val="00752188"/>
    <w:rsid w:val="00752CC6"/>
    <w:rsid w:val="00753938"/>
    <w:rsid w:val="00753A57"/>
    <w:rsid w:val="00753F80"/>
    <w:rsid w:val="007543CE"/>
    <w:rsid w:val="0075497E"/>
    <w:rsid w:val="00754A29"/>
    <w:rsid w:val="007553A9"/>
    <w:rsid w:val="00755B6F"/>
    <w:rsid w:val="00755BCF"/>
    <w:rsid w:val="00756C5F"/>
    <w:rsid w:val="00756D69"/>
    <w:rsid w:val="00756D8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0B"/>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77A60"/>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820"/>
    <w:rsid w:val="00790EBB"/>
    <w:rsid w:val="00791C6E"/>
    <w:rsid w:val="007921F7"/>
    <w:rsid w:val="00792909"/>
    <w:rsid w:val="00792BC6"/>
    <w:rsid w:val="00792C3F"/>
    <w:rsid w:val="00792EE2"/>
    <w:rsid w:val="00792EFD"/>
    <w:rsid w:val="00793105"/>
    <w:rsid w:val="007931E8"/>
    <w:rsid w:val="00793333"/>
    <w:rsid w:val="007937B5"/>
    <w:rsid w:val="00794158"/>
    <w:rsid w:val="00794509"/>
    <w:rsid w:val="00794E46"/>
    <w:rsid w:val="007952DE"/>
    <w:rsid w:val="00795479"/>
    <w:rsid w:val="00796292"/>
    <w:rsid w:val="007965D9"/>
    <w:rsid w:val="00796BA2"/>
    <w:rsid w:val="007972D5"/>
    <w:rsid w:val="0079778D"/>
    <w:rsid w:val="00797D73"/>
    <w:rsid w:val="007A006C"/>
    <w:rsid w:val="007A0133"/>
    <w:rsid w:val="007A0789"/>
    <w:rsid w:val="007A130E"/>
    <w:rsid w:val="007A18B1"/>
    <w:rsid w:val="007A1BBD"/>
    <w:rsid w:val="007A1F08"/>
    <w:rsid w:val="007A2542"/>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8E"/>
    <w:rsid w:val="007A7618"/>
    <w:rsid w:val="007B00C9"/>
    <w:rsid w:val="007B02C7"/>
    <w:rsid w:val="007B0306"/>
    <w:rsid w:val="007B08E4"/>
    <w:rsid w:val="007B0D86"/>
    <w:rsid w:val="007B12F9"/>
    <w:rsid w:val="007B28C3"/>
    <w:rsid w:val="007B29A5"/>
    <w:rsid w:val="007B3A8E"/>
    <w:rsid w:val="007B3C9B"/>
    <w:rsid w:val="007B4271"/>
    <w:rsid w:val="007B497D"/>
    <w:rsid w:val="007B4EE9"/>
    <w:rsid w:val="007B5234"/>
    <w:rsid w:val="007B54C7"/>
    <w:rsid w:val="007B5637"/>
    <w:rsid w:val="007B5DC5"/>
    <w:rsid w:val="007B5F32"/>
    <w:rsid w:val="007B63FC"/>
    <w:rsid w:val="007B6708"/>
    <w:rsid w:val="007B6709"/>
    <w:rsid w:val="007B6C20"/>
    <w:rsid w:val="007B6E8D"/>
    <w:rsid w:val="007C029E"/>
    <w:rsid w:val="007C0636"/>
    <w:rsid w:val="007C0CF5"/>
    <w:rsid w:val="007C10E4"/>
    <w:rsid w:val="007C17B4"/>
    <w:rsid w:val="007C20F8"/>
    <w:rsid w:val="007C21C5"/>
    <w:rsid w:val="007C2229"/>
    <w:rsid w:val="007C2313"/>
    <w:rsid w:val="007C2B5A"/>
    <w:rsid w:val="007C3590"/>
    <w:rsid w:val="007C387A"/>
    <w:rsid w:val="007C3A0D"/>
    <w:rsid w:val="007C3EB0"/>
    <w:rsid w:val="007C43D6"/>
    <w:rsid w:val="007C47FF"/>
    <w:rsid w:val="007C60A8"/>
    <w:rsid w:val="007C6485"/>
    <w:rsid w:val="007C660F"/>
    <w:rsid w:val="007C6664"/>
    <w:rsid w:val="007C66FF"/>
    <w:rsid w:val="007C69AE"/>
    <w:rsid w:val="007C6FE9"/>
    <w:rsid w:val="007C7688"/>
    <w:rsid w:val="007C76E3"/>
    <w:rsid w:val="007C76F3"/>
    <w:rsid w:val="007C78FA"/>
    <w:rsid w:val="007C7DD9"/>
    <w:rsid w:val="007C7E22"/>
    <w:rsid w:val="007D03BC"/>
    <w:rsid w:val="007D0618"/>
    <w:rsid w:val="007D0DC9"/>
    <w:rsid w:val="007D0ECD"/>
    <w:rsid w:val="007D1C26"/>
    <w:rsid w:val="007D2882"/>
    <w:rsid w:val="007D296C"/>
    <w:rsid w:val="007D2C31"/>
    <w:rsid w:val="007D2E50"/>
    <w:rsid w:val="007D3280"/>
    <w:rsid w:val="007D3D74"/>
    <w:rsid w:val="007D445F"/>
    <w:rsid w:val="007D4DED"/>
    <w:rsid w:val="007D5BA2"/>
    <w:rsid w:val="007D5ED3"/>
    <w:rsid w:val="007D682F"/>
    <w:rsid w:val="007D6C81"/>
    <w:rsid w:val="007D6FB9"/>
    <w:rsid w:val="007D7211"/>
    <w:rsid w:val="007E0595"/>
    <w:rsid w:val="007E0A63"/>
    <w:rsid w:val="007E0C63"/>
    <w:rsid w:val="007E0E05"/>
    <w:rsid w:val="007E0F5D"/>
    <w:rsid w:val="007E23A1"/>
    <w:rsid w:val="007E259F"/>
    <w:rsid w:val="007E347E"/>
    <w:rsid w:val="007E39C6"/>
    <w:rsid w:val="007E41A4"/>
    <w:rsid w:val="007E4360"/>
    <w:rsid w:val="007E43E3"/>
    <w:rsid w:val="007E54B8"/>
    <w:rsid w:val="007E5908"/>
    <w:rsid w:val="007E5D12"/>
    <w:rsid w:val="007E6420"/>
    <w:rsid w:val="007E677F"/>
    <w:rsid w:val="007E6B25"/>
    <w:rsid w:val="007E6E06"/>
    <w:rsid w:val="007E6F4A"/>
    <w:rsid w:val="007E79CC"/>
    <w:rsid w:val="007F1124"/>
    <w:rsid w:val="007F152D"/>
    <w:rsid w:val="007F20C4"/>
    <w:rsid w:val="007F20EE"/>
    <w:rsid w:val="007F23D8"/>
    <w:rsid w:val="007F2AB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C7F"/>
    <w:rsid w:val="007F7F8F"/>
    <w:rsid w:val="00800509"/>
    <w:rsid w:val="0080078E"/>
    <w:rsid w:val="00800B7F"/>
    <w:rsid w:val="008012B1"/>
    <w:rsid w:val="0080176B"/>
    <w:rsid w:val="00801D63"/>
    <w:rsid w:val="0080348B"/>
    <w:rsid w:val="00803D82"/>
    <w:rsid w:val="00803D98"/>
    <w:rsid w:val="008041A3"/>
    <w:rsid w:val="008052CE"/>
    <w:rsid w:val="008058D0"/>
    <w:rsid w:val="00806A4C"/>
    <w:rsid w:val="0080705B"/>
    <w:rsid w:val="0080723C"/>
    <w:rsid w:val="00807F71"/>
    <w:rsid w:val="0081000F"/>
    <w:rsid w:val="008113AE"/>
    <w:rsid w:val="00812657"/>
    <w:rsid w:val="00812A1A"/>
    <w:rsid w:val="00812DFF"/>
    <w:rsid w:val="0081362F"/>
    <w:rsid w:val="0081383A"/>
    <w:rsid w:val="00813CB4"/>
    <w:rsid w:val="0081497F"/>
    <w:rsid w:val="00814B90"/>
    <w:rsid w:val="00814FC7"/>
    <w:rsid w:val="008159AA"/>
    <w:rsid w:val="0081660C"/>
    <w:rsid w:val="00816EAA"/>
    <w:rsid w:val="00817195"/>
    <w:rsid w:val="00817416"/>
    <w:rsid w:val="00817658"/>
    <w:rsid w:val="00817E52"/>
    <w:rsid w:val="008206AE"/>
    <w:rsid w:val="00821271"/>
    <w:rsid w:val="00821306"/>
    <w:rsid w:val="008213D9"/>
    <w:rsid w:val="008216CE"/>
    <w:rsid w:val="008218AE"/>
    <w:rsid w:val="00821D85"/>
    <w:rsid w:val="00821E47"/>
    <w:rsid w:val="008220F6"/>
    <w:rsid w:val="00822456"/>
    <w:rsid w:val="00823181"/>
    <w:rsid w:val="00823819"/>
    <w:rsid w:val="00823C4B"/>
    <w:rsid w:val="0082427D"/>
    <w:rsid w:val="00824CA1"/>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6CA"/>
    <w:rsid w:val="00834FEF"/>
    <w:rsid w:val="008358A3"/>
    <w:rsid w:val="00836323"/>
    <w:rsid w:val="008379FF"/>
    <w:rsid w:val="00837D3D"/>
    <w:rsid w:val="00837E9B"/>
    <w:rsid w:val="008404AA"/>
    <w:rsid w:val="008406D7"/>
    <w:rsid w:val="0084074F"/>
    <w:rsid w:val="008407BA"/>
    <w:rsid w:val="00840AA3"/>
    <w:rsid w:val="00840AAC"/>
    <w:rsid w:val="0084101C"/>
    <w:rsid w:val="0084181B"/>
    <w:rsid w:val="00841F29"/>
    <w:rsid w:val="008420C6"/>
    <w:rsid w:val="008425CC"/>
    <w:rsid w:val="00842B7A"/>
    <w:rsid w:val="00842DC2"/>
    <w:rsid w:val="0084357B"/>
    <w:rsid w:val="008465B4"/>
    <w:rsid w:val="00846D25"/>
    <w:rsid w:val="00850013"/>
    <w:rsid w:val="008500DD"/>
    <w:rsid w:val="00850A0A"/>
    <w:rsid w:val="00850A94"/>
    <w:rsid w:val="00851E96"/>
    <w:rsid w:val="00851F1C"/>
    <w:rsid w:val="00852FA5"/>
    <w:rsid w:val="00853F7D"/>
    <w:rsid w:val="00854CF4"/>
    <w:rsid w:val="0085517F"/>
    <w:rsid w:val="0085562D"/>
    <w:rsid w:val="00855A78"/>
    <w:rsid w:val="00856154"/>
    <w:rsid w:val="00856286"/>
    <w:rsid w:val="0085657E"/>
    <w:rsid w:val="00856F0E"/>
    <w:rsid w:val="008573AF"/>
    <w:rsid w:val="008576B0"/>
    <w:rsid w:val="0086004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C89"/>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4EA"/>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B"/>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D5E"/>
    <w:rsid w:val="008A5F2F"/>
    <w:rsid w:val="008A6BAE"/>
    <w:rsid w:val="008A7350"/>
    <w:rsid w:val="008A7A72"/>
    <w:rsid w:val="008B09F3"/>
    <w:rsid w:val="008B0AAA"/>
    <w:rsid w:val="008B111A"/>
    <w:rsid w:val="008B16E6"/>
    <w:rsid w:val="008B1AB2"/>
    <w:rsid w:val="008B1D9B"/>
    <w:rsid w:val="008B1FF7"/>
    <w:rsid w:val="008B2042"/>
    <w:rsid w:val="008B25F1"/>
    <w:rsid w:val="008B3567"/>
    <w:rsid w:val="008B36D0"/>
    <w:rsid w:val="008B38AF"/>
    <w:rsid w:val="008B3D7F"/>
    <w:rsid w:val="008B3E1B"/>
    <w:rsid w:val="008B3F4B"/>
    <w:rsid w:val="008B48EC"/>
    <w:rsid w:val="008B4AF0"/>
    <w:rsid w:val="008B518E"/>
    <w:rsid w:val="008B527B"/>
    <w:rsid w:val="008B59D1"/>
    <w:rsid w:val="008B5AB9"/>
    <w:rsid w:val="008B67E6"/>
    <w:rsid w:val="008B69B8"/>
    <w:rsid w:val="008B7042"/>
    <w:rsid w:val="008B770C"/>
    <w:rsid w:val="008C0325"/>
    <w:rsid w:val="008C05A3"/>
    <w:rsid w:val="008C094A"/>
    <w:rsid w:val="008C1570"/>
    <w:rsid w:val="008C1792"/>
    <w:rsid w:val="008C17B2"/>
    <w:rsid w:val="008C1E3E"/>
    <w:rsid w:val="008C2059"/>
    <w:rsid w:val="008C21D0"/>
    <w:rsid w:val="008C2347"/>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6C4"/>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03"/>
    <w:rsid w:val="008E2626"/>
    <w:rsid w:val="008E27A9"/>
    <w:rsid w:val="008E323C"/>
    <w:rsid w:val="008E32E0"/>
    <w:rsid w:val="008E35A6"/>
    <w:rsid w:val="008E36D9"/>
    <w:rsid w:val="008E3A5C"/>
    <w:rsid w:val="008E3A9A"/>
    <w:rsid w:val="008E429E"/>
    <w:rsid w:val="008E4B3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9D0"/>
    <w:rsid w:val="00901F0E"/>
    <w:rsid w:val="00902A26"/>
    <w:rsid w:val="00902A57"/>
    <w:rsid w:val="00902B29"/>
    <w:rsid w:val="00903241"/>
    <w:rsid w:val="00903C83"/>
    <w:rsid w:val="00903D77"/>
    <w:rsid w:val="0090408F"/>
    <w:rsid w:val="0090446A"/>
    <w:rsid w:val="00904537"/>
    <w:rsid w:val="00904DC3"/>
    <w:rsid w:val="0090534A"/>
    <w:rsid w:val="00905469"/>
    <w:rsid w:val="00906078"/>
    <w:rsid w:val="0090629C"/>
    <w:rsid w:val="009063B2"/>
    <w:rsid w:val="00906EA2"/>
    <w:rsid w:val="00907278"/>
    <w:rsid w:val="00910041"/>
    <w:rsid w:val="0091112B"/>
    <w:rsid w:val="00911D61"/>
    <w:rsid w:val="00912850"/>
    <w:rsid w:val="009128B8"/>
    <w:rsid w:val="0091472C"/>
    <w:rsid w:val="00914DC9"/>
    <w:rsid w:val="00915351"/>
    <w:rsid w:val="00915679"/>
    <w:rsid w:val="009159C2"/>
    <w:rsid w:val="0091627F"/>
    <w:rsid w:val="00916DE8"/>
    <w:rsid w:val="00916E45"/>
    <w:rsid w:val="0092077A"/>
    <w:rsid w:val="00920DC0"/>
    <w:rsid w:val="009219F3"/>
    <w:rsid w:val="009221CB"/>
    <w:rsid w:val="00922320"/>
    <w:rsid w:val="00923643"/>
    <w:rsid w:val="00923E1A"/>
    <w:rsid w:val="009245CC"/>
    <w:rsid w:val="0092490A"/>
    <w:rsid w:val="00924EBA"/>
    <w:rsid w:val="00925A3E"/>
    <w:rsid w:val="009261DB"/>
    <w:rsid w:val="00926939"/>
    <w:rsid w:val="00926F4C"/>
    <w:rsid w:val="00927330"/>
    <w:rsid w:val="0092764B"/>
    <w:rsid w:val="00927710"/>
    <w:rsid w:val="009307CA"/>
    <w:rsid w:val="00930AB9"/>
    <w:rsid w:val="009312F9"/>
    <w:rsid w:val="00931445"/>
    <w:rsid w:val="00931AB8"/>
    <w:rsid w:val="00931C19"/>
    <w:rsid w:val="00931C63"/>
    <w:rsid w:val="00931D10"/>
    <w:rsid w:val="0093218A"/>
    <w:rsid w:val="0093386D"/>
    <w:rsid w:val="00934C8E"/>
    <w:rsid w:val="00935194"/>
    <w:rsid w:val="00936909"/>
    <w:rsid w:val="00936EA5"/>
    <w:rsid w:val="00937114"/>
    <w:rsid w:val="0094015D"/>
    <w:rsid w:val="00940916"/>
    <w:rsid w:val="009412B7"/>
    <w:rsid w:val="00941B13"/>
    <w:rsid w:val="00941F08"/>
    <w:rsid w:val="0094215C"/>
    <w:rsid w:val="00942F8E"/>
    <w:rsid w:val="00943543"/>
    <w:rsid w:val="00943F91"/>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6AF"/>
    <w:rsid w:val="009557A9"/>
    <w:rsid w:val="00956577"/>
    <w:rsid w:val="00956647"/>
    <w:rsid w:val="00956CF3"/>
    <w:rsid w:val="00957380"/>
    <w:rsid w:val="00957409"/>
    <w:rsid w:val="00957499"/>
    <w:rsid w:val="00957ED2"/>
    <w:rsid w:val="00960229"/>
    <w:rsid w:val="00960439"/>
    <w:rsid w:val="009604AE"/>
    <w:rsid w:val="009609AF"/>
    <w:rsid w:val="00960DE4"/>
    <w:rsid w:val="009610C7"/>
    <w:rsid w:val="00961164"/>
    <w:rsid w:val="00961867"/>
    <w:rsid w:val="00961A4F"/>
    <w:rsid w:val="00961C2A"/>
    <w:rsid w:val="009625B7"/>
    <w:rsid w:val="00962FB8"/>
    <w:rsid w:val="00963183"/>
    <w:rsid w:val="0096373F"/>
    <w:rsid w:val="00964007"/>
    <w:rsid w:val="00964283"/>
    <w:rsid w:val="009642A4"/>
    <w:rsid w:val="009643F4"/>
    <w:rsid w:val="009645A6"/>
    <w:rsid w:val="00964F5A"/>
    <w:rsid w:val="0096527F"/>
    <w:rsid w:val="009653ED"/>
    <w:rsid w:val="009654E4"/>
    <w:rsid w:val="00966A21"/>
    <w:rsid w:val="00966AD2"/>
    <w:rsid w:val="0096787E"/>
    <w:rsid w:val="009704B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E5F"/>
    <w:rsid w:val="009851F5"/>
    <w:rsid w:val="0098534B"/>
    <w:rsid w:val="00986019"/>
    <w:rsid w:val="00986281"/>
    <w:rsid w:val="00986FC9"/>
    <w:rsid w:val="0098764E"/>
    <w:rsid w:val="00987683"/>
    <w:rsid w:val="00987826"/>
    <w:rsid w:val="00987B4F"/>
    <w:rsid w:val="00987D58"/>
    <w:rsid w:val="00990225"/>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733"/>
    <w:rsid w:val="00995B01"/>
    <w:rsid w:val="00995B44"/>
    <w:rsid w:val="00996055"/>
    <w:rsid w:val="00996EF4"/>
    <w:rsid w:val="00997044"/>
    <w:rsid w:val="009977FF"/>
    <w:rsid w:val="00997BC9"/>
    <w:rsid w:val="009A113D"/>
    <w:rsid w:val="009A1ECA"/>
    <w:rsid w:val="009A2BE9"/>
    <w:rsid w:val="009A2BF3"/>
    <w:rsid w:val="009A3688"/>
    <w:rsid w:val="009A3713"/>
    <w:rsid w:val="009A3C3E"/>
    <w:rsid w:val="009A4153"/>
    <w:rsid w:val="009A48F1"/>
    <w:rsid w:val="009A4C2C"/>
    <w:rsid w:val="009A59B3"/>
    <w:rsid w:val="009A5FAE"/>
    <w:rsid w:val="009A6B3A"/>
    <w:rsid w:val="009A70A3"/>
    <w:rsid w:val="009A7E7C"/>
    <w:rsid w:val="009B05D2"/>
    <w:rsid w:val="009B142F"/>
    <w:rsid w:val="009B152B"/>
    <w:rsid w:val="009B1F90"/>
    <w:rsid w:val="009B2731"/>
    <w:rsid w:val="009B2DCF"/>
    <w:rsid w:val="009B39D8"/>
    <w:rsid w:val="009B3D38"/>
    <w:rsid w:val="009B4368"/>
    <w:rsid w:val="009B4D4C"/>
    <w:rsid w:val="009B66F5"/>
    <w:rsid w:val="009B7505"/>
    <w:rsid w:val="009C0020"/>
    <w:rsid w:val="009C03F7"/>
    <w:rsid w:val="009C10DA"/>
    <w:rsid w:val="009C19FC"/>
    <w:rsid w:val="009C27F7"/>
    <w:rsid w:val="009C3682"/>
    <w:rsid w:val="009C3BC4"/>
    <w:rsid w:val="009C3C93"/>
    <w:rsid w:val="009C3E97"/>
    <w:rsid w:val="009C4017"/>
    <w:rsid w:val="009C414A"/>
    <w:rsid w:val="009C424E"/>
    <w:rsid w:val="009C4708"/>
    <w:rsid w:val="009C4870"/>
    <w:rsid w:val="009C4C4E"/>
    <w:rsid w:val="009C4D37"/>
    <w:rsid w:val="009C574C"/>
    <w:rsid w:val="009C5753"/>
    <w:rsid w:val="009C586F"/>
    <w:rsid w:val="009C59D5"/>
    <w:rsid w:val="009C5E42"/>
    <w:rsid w:val="009C620F"/>
    <w:rsid w:val="009C657D"/>
    <w:rsid w:val="009C724B"/>
    <w:rsid w:val="009C7266"/>
    <w:rsid w:val="009C748A"/>
    <w:rsid w:val="009C7533"/>
    <w:rsid w:val="009D03B7"/>
    <w:rsid w:val="009D07AD"/>
    <w:rsid w:val="009D0824"/>
    <w:rsid w:val="009D1172"/>
    <w:rsid w:val="009D13CC"/>
    <w:rsid w:val="009D1654"/>
    <w:rsid w:val="009D1AAC"/>
    <w:rsid w:val="009D1BDB"/>
    <w:rsid w:val="009D1D22"/>
    <w:rsid w:val="009D298F"/>
    <w:rsid w:val="009D2F9C"/>
    <w:rsid w:val="009D4207"/>
    <w:rsid w:val="009D470A"/>
    <w:rsid w:val="009D4E4A"/>
    <w:rsid w:val="009D5130"/>
    <w:rsid w:val="009D53D1"/>
    <w:rsid w:val="009D53FB"/>
    <w:rsid w:val="009D56A4"/>
    <w:rsid w:val="009D6081"/>
    <w:rsid w:val="009D678C"/>
    <w:rsid w:val="009D6B31"/>
    <w:rsid w:val="009D6B9A"/>
    <w:rsid w:val="009D6D30"/>
    <w:rsid w:val="009D7523"/>
    <w:rsid w:val="009D76B5"/>
    <w:rsid w:val="009D7807"/>
    <w:rsid w:val="009D7AF1"/>
    <w:rsid w:val="009D7BC7"/>
    <w:rsid w:val="009D7FAC"/>
    <w:rsid w:val="009E0109"/>
    <w:rsid w:val="009E0342"/>
    <w:rsid w:val="009E098B"/>
    <w:rsid w:val="009E09AB"/>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080C"/>
    <w:rsid w:val="009F1109"/>
    <w:rsid w:val="009F143E"/>
    <w:rsid w:val="009F1DE8"/>
    <w:rsid w:val="009F2056"/>
    <w:rsid w:val="009F2186"/>
    <w:rsid w:val="009F227C"/>
    <w:rsid w:val="009F242D"/>
    <w:rsid w:val="009F28DC"/>
    <w:rsid w:val="009F2EDB"/>
    <w:rsid w:val="009F33DC"/>
    <w:rsid w:val="009F3F99"/>
    <w:rsid w:val="009F4550"/>
    <w:rsid w:val="009F56C0"/>
    <w:rsid w:val="009F5C76"/>
    <w:rsid w:val="009F79FE"/>
    <w:rsid w:val="00A000C5"/>
    <w:rsid w:val="00A007B4"/>
    <w:rsid w:val="00A00930"/>
    <w:rsid w:val="00A00CA0"/>
    <w:rsid w:val="00A00DD7"/>
    <w:rsid w:val="00A00E00"/>
    <w:rsid w:val="00A01221"/>
    <w:rsid w:val="00A012A8"/>
    <w:rsid w:val="00A012F1"/>
    <w:rsid w:val="00A016FF"/>
    <w:rsid w:val="00A01886"/>
    <w:rsid w:val="00A0207F"/>
    <w:rsid w:val="00A021AF"/>
    <w:rsid w:val="00A027B1"/>
    <w:rsid w:val="00A0307A"/>
    <w:rsid w:val="00A03A7C"/>
    <w:rsid w:val="00A044AA"/>
    <w:rsid w:val="00A06B8D"/>
    <w:rsid w:val="00A0700C"/>
    <w:rsid w:val="00A102F8"/>
    <w:rsid w:val="00A10A20"/>
    <w:rsid w:val="00A117D5"/>
    <w:rsid w:val="00A11C11"/>
    <w:rsid w:val="00A11F8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FEB"/>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1D"/>
    <w:rsid w:val="00A451B4"/>
    <w:rsid w:val="00A462FD"/>
    <w:rsid w:val="00A4665D"/>
    <w:rsid w:val="00A46756"/>
    <w:rsid w:val="00A46859"/>
    <w:rsid w:val="00A46D39"/>
    <w:rsid w:val="00A47019"/>
    <w:rsid w:val="00A472B8"/>
    <w:rsid w:val="00A5004A"/>
    <w:rsid w:val="00A5017C"/>
    <w:rsid w:val="00A502D6"/>
    <w:rsid w:val="00A502F5"/>
    <w:rsid w:val="00A504F4"/>
    <w:rsid w:val="00A507C4"/>
    <w:rsid w:val="00A508AA"/>
    <w:rsid w:val="00A509EF"/>
    <w:rsid w:val="00A50EE7"/>
    <w:rsid w:val="00A526CE"/>
    <w:rsid w:val="00A54909"/>
    <w:rsid w:val="00A54DC0"/>
    <w:rsid w:val="00A55033"/>
    <w:rsid w:val="00A550C9"/>
    <w:rsid w:val="00A55228"/>
    <w:rsid w:val="00A55410"/>
    <w:rsid w:val="00A55A04"/>
    <w:rsid w:val="00A564DE"/>
    <w:rsid w:val="00A6054E"/>
    <w:rsid w:val="00A60799"/>
    <w:rsid w:val="00A61445"/>
    <w:rsid w:val="00A6170B"/>
    <w:rsid w:val="00A61991"/>
    <w:rsid w:val="00A61B7F"/>
    <w:rsid w:val="00A61B91"/>
    <w:rsid w:val="00A61C3A"/>
    <w:rsid w:val="00A620E8"/>
    <w:rsid w:val="00A63335"/>
    <w:rsid w:val="00A634C0"/>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3E2"/>
    <w:rsid w:val="00A82D32"/>
    <w:rsid w:val="00A82EAE"/>
    <w:rsid w:val="00A82FC7"/>
    <w:rsid w:val="00A847F9"/>
    <w:rsid w:val="00A84F27"/>
    <w:rsid w:val="00A85070"/>
    <w:rsid w:val="00A8519C"/>
    <w:rsid w:val="00A855EE"/>
    <w:rsid w:val="00A8597A"/>
    <w:rsid w:val="00A85B87"/>
    <w:rsid w:val="00A85F83"/>
    <w:rsid w:val="00A86019"/>
    <w:rsid w:val="00A86EED"/>
    <w:rsid w:val="00A8733A"/>
    <w:rsid w:val="00A91450"/>
    <w:rsid w:val="00A9151F"/>
    <w:rsid w:val="00A9196B"/>
    <w:rsid w:val="00A91BB5"/>
    <w:rsid w:val="00A91BEE"/>
    <w:rsid w:val="00A91D4B"/>
    <w:rsid w:val="00A920B2"/>
    <w:rsid w:val="00A92A96"/>
    <w:rsid w:val="00A92AF0"/>
    <w:rsid w:val="00A933FE"/>
    <w:rsid w:val="00A937D5"/>
    <w:rsid w:val="00A938C0"/>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F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82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82F"/>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5F"/>
    <w:rsid w:val="00B038F1"/>
    <w:rsid w:val="00B03C1B"/>
    <w:rsid w:val="00B04678"/>
    <w:rsid w:val="00B047C9"/>
    <w:rsid w:val="00B04A04"/>
    <w:rsid w:val="00B04B78"/>
    <w:rsid w:val="00B04C37"/>
    <w:rsid w:val="00B04D92"/>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AE"/>
    <w:rsid w:val="00B163E8"/>
    <w:rsid w:val="00B16DC0"/>
    <w:rsid w:val="00B17040"/>
    <w:rsid w:val="00B1767E"/>
    <w:rsid w:val="00B20032"/>
    <w:rsid w:val="00B20760"/>
    <w:rsid w:val="00B2125C"/>
    <w:rsid w:val="00B21676"/>
    <w:rsid w:val="00B219E1"/>
    <w:rsid w:val="00B21ECF"/>
    <w:rsid w:val="00B22150"/>
    <w:rsid w:val="00B226DE"/>
    <w:rsid w:val="00B22FB5"/>
    <w:rsid w:val="00B241D5"/>
    <w:rsid w:val="00B2437E"/>
    <w:rsid w:val="00B24BE9"/>
    <w:rsid w:val="00B2551D"/>
    <w:rsid w:val="00B25AC0"/>
    <w:rsid w:val="00B25F8C"/>
    <w:rsid w:val="00B260BE"/>
    <w:rsid w:val="00B26677"/>
    <w:rsid w:val="00B26A96"/>
    <w:rsid w:val="00B26DE2"/>
    <w:rsid w:val="00B274E3"/>
    <w:rsid w:val="00B2765C"/>
    <w:rsid w:val="00B27C4B"/>
    <w:rsid w:val="00B30563"/>
    <w:rsid w:val="00B3069E"/>
    <w:rsid w:val="00B3072C"/>
    <w:rsid w:val="00B30A76"/>
    <w:rsid w:val="00B31246"/>
    <w:rsid w:val="00B32295"/>
    <w:rsid w:val="00B33AB5"/>
    <w:rsid w:val="00B3412E"/>
    <w:rsid w:val="00B343E0"/>
    <w:rsid w:val="00B35B6D"/>
    <w:rsid w:val="00B35B8F"/>
    <w:rsid w:val="00B35D53"/>
    <w:rsid w:val="00B367C4"/>
    <w:rsid w:val="00B36D3E"/>
    <w:rsid w:val="00B37B8E"/>
    <w:rsid w:val="00B40222"/>
    <w:rsid w:val="00B404C3"/>
    <w:rsid w:val="00B41A04"/>
    <w:rsid w:val="00B42743"/>
    <w:rsid w:val="00B430E9"/>
    <w:rsid w:val="00B4311F"/>
    <w:rsid w:val="00B431AE"/>
    <w:rsid w:val="00B44288"/>
    <w:rsid w:val="00B448BF"/>
    <w:rsid w:val="00B451DC"/>
    <w:rsid w:val="00B45A59"/>
    <w:rsid w:val="00B45F9F"/>
    <w:rsid w:val="00B4627C"/>
    <w:rsid w:val="00B4641F"/>
    <w:rsid w:val="00B46793"/>
    <w:rsid w:val="00B46953"/>
    <w:rsid w:val="00B47090"/>
    <w:rsid w:val="00B47455"/>
    <w:rsid w:val="00B47979"/>
    <w:rsid w:val="00B47A59"/>
    <w:rsid w:val="00B47ECD"/>
    <w:rsid w:val="00B47FF3"/>
    <w:rsid w:val="00B503D6"/>
    <w:rsid w:val="00B50C4E"/>
    <w:rsid w:val="00B51520"/>
    <w:rsid w:val="00B515C3"/>
    <w:rsid w:val="00B517C2"/>
    <w:rsid w:val="00B518CE"/>
    <w:rsid w:val="00B51F56"/>
    <w:rsid w:val="00B52234"/>
    <w:rsid w:val="00B53623"/>
    <w:rsid w:val="00B53D1D"/>
    <w:rsid w:val="00B53E98"/>
    <w:rsid w:val="00B53F9B"/>
    <w:rsid w:val="00B54389"/>
    <w:rsid w:val="00B54B19"/>
    <w:rsid w:val="00B55F64"/>
    <w:rsid w:val="00B56ECA"/>
    <w:rsid w:val="00B57093"/>
    <w:rsid w:val="00B57775"/>
    <w:rsid w:val="00B5790C"/>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B87"/>
    <w:rsid w:val="00B66054"/>
    <w:rsid w:val="00B66492"/>
    <w:rsid w:val="00B6677F"/>
    <w:rsid w:val="00B66C7A"/>
    <w:rsid w:val="00B672EA"/>
    <w:rsid w:val="00B6747B"/>
    <w:rsid w:val="00B70200"/>
    <w:rsid w:val="00B702D7"/>
    <w:rsid w:val="00B70389"/>
    <w:rsid w:val="00B70E01"/>
    <w:rsid w:val="00B727F8"/>
    <w:rsid w:val="00B72CF0"/>
    <w:rsid w:val="00B7380E"/>
    <w:rsid w:val="00B740F6"/>
    <w:rsid w:val="00B74615"/>
    <w:rsid w:val="00B74789"/>
    <w:rsid w:val="00B755B6"/>
    <w:rsid w:val="00B75977"/>
    <w:rsid w:val="00B75A48"/>
    <w:rsid w:val="00B75C1D"/>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24F"/>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DC2"/>
    <w:rsid w:val="00BB2E4E"/>
    <w:rsid w:val="00BB2E62"/>
    <w:rsid w:val="00BB36C9"/>
    <w:rsid w:val="00BB396D"/>
    <w:rsid w:val="00BB3A66"/>
    <w:rsid w:val="00BB40D1"/>
    <w:rsid w:val="00BB777D"/>
    <w:rsid w:val="00BB7EC0"/>
    <w:rsid w:val="00BB7F88"/>
    <w:rsid w:val="00BC0207"/>
    <w:rsid w:val="00BC05D0"/>
    <w:rsid w:val="00BC089F"/>
    <w:rsid w:val="00BC0A0C"/>
    <w:rsid w:val="00BC0A5A"/>
    <w:rsid w:val="00BC0E64"/>
    <w:rsid w:val="00BC211D"/>
    <w:rsid w:val="00BC25D1"/>
    <w:rsid w:val="00BC2DBD"/>
    <w:rsid w:val="00BC3BCB"/>
    <w:rsid w:val="00BC3CF1"/>
    <w:rsid w:val="00BC428A"/>
    <w:rsid w:val="00BC4C40"/>
    <w:rsid w:val="00BC5A29"/>
    <w:rsid w:val="00BC5AE3"/>
    <w:rsid w:val="00BC5BAD"/>
    <w:rsid w:val="00BC692A"/>
    <w:rsid w:val="00BC7623"/>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AEE"/>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ABF"/>
    <w:rsid w:val="00BF2021"/>
    <w:rsid w:val="00BF21D4"/>
    <w:rsid w:val="00BF2DDC"/>
    <w:rsid w:val="00BF32DE"/>
    <w:rsid w:val="00BF4A15"/>
    <w:rsid w:val="00BF4E0E"/>
    <w:rsid w:val="00BF4E27"/>
    <w:rsid w:val="00BF4F7C"/>
    <w:rsid w:val="00BF537B"/>
    <w:rsid w:val="00BF5901"/>
    <w:rsid w:val="00BF5F5C"/>
    <w:rsid w:val="00BF626A"/>
    <w:rsid w:val="00BF688E"/>
    <w:rsid w:val="00BF6D77"/>
    <w:rsid w:val="00BF704C"/>
    <w:rsid w:val="00BF739A"/>
    <w:rsid w:val="00BF7731"/>
    <w:rsid w:val="00BF7EF5"/>
    <w:rsid w:val="00C00235"/>
    <w:rsid w:val="00C00BF6"/>
    <w:rsid w:val="00C0234A"/>
    <w:rsid w:val="00C0247B"/>
    <w:rsid w:val="00C0378E"/>
    <w:rsid w:val="00C04314"/>
    <w:rsid w:val="00C049B5"/>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121"/>
    <w:rsid w:val="00C22350"/>
    <w:rsid w:val="00C22950"/>
    <w:rsid w:val="00C2302B"/>
    <w:rsid w:val="00C23615"/>
    <w:rsid w:val="00C2397E"/>
    <w:rsid w:val="00C23A83"/>
    <w:rsid w:val="00C24381"/>
    <w:rsid w:val="00C24801"/>
    <w:rsid w:val="00C24C2E"/>
    <w:rsid w:val="00C24C7A"/>
    <w:rsid w:val="00C24FFB"/>
    <w:rsid w:val="00C25CFF"/>
    <w:rsid w:val="00C25EA6"/>
    <w:rsid w:val="00C26164"/>
    <w:rsid w:val="00C261C1"/>
    <w:rsid w:val="00C2635C"/>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60"/>
    <w:rsid w:val="00C379EF"/>
    <w:rsid w:val="00C405C8"/>
    <w:rsid w:val="00C40C2F"/>
    <w:rsid w:val="00C415AC"/>
    <w:rsid w:val="00C4297A"/>
    <w:rsid w:val="00C4360C"/>
    <w:rsid w:val="00C439B8"/>
    <w:rsid w:val="00C43A0B"/>
    <w:rsid w:val="00C43EDA"/>
    <w:rsid w:val="00C43FEC"/>
    <w:rsid w:val="00C4414C"/>
    <w:rsid w:val="00C44750"/>
    <w:rsid w:val="00C44995"/>
    <w:rsid w:val="00C45512"/>
    <w:rsid w:val="00C4602B"/>
    <w:rsid w:val="00C46564"/>
    <w:rsid w:val="00C46BFA"/>
    <w:rsid w:val="00C46DDF"/>
    <w:rsid w:val="00C4776C"/>
    <w:rsid w:val="00C500A1"/>
    <w:rsid w:val="00C50A02"/>
    <w:rsid w:val="00C51149"/>
    <w:rsid w:val="00C5117E"/>
    <w:rsid w:val="00C51261"/>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A1B"/>
    <w:rsid w:val="00C65BD3"/>
    <w:rsid w:val="00C664FB"/>
    <w:rsid w:val="00C665DE"/>
    <w:rsid w:val="00C667C3"/>
    <w:rsid w:val="00C6728B"/>
    <w:rsid w:val="00C70718"/>
    <w:rsid w:val="00C70B25"/>
    <w:rsid w:val="00C71528"/>
    <w:rsid w:val="00C717D8"/>
    <w:rsid w:val="00C717E4"/>
    <w:rsid w:val="00C7191B"/>
    <w:rsid w:val="00C71F09"/>
    <w:rsid w:val="00C720F1"/>
    <w:rsid w:val="00C72588"/>
    <w:rsid w:val="00C727B9"/>
    <w:rsid w:val="00C72F44"/>
    <w:rsid w:val="00C73670"/>
    <w:rsid w:val="00C737D1"/>
    <w:rsid w:val="00C738A0"/>
    <w:rsid w:val="00C73DE0"/>
    <w:rsid w:val="00C74609"/>
    <w:rsid w:val="00C749AB"/>
    <w:rsid w:val="00C75A8F"/>
    <w:rsid w:val="00C76129"/>
    <w:rsid w:val="00C76C07"/>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610"/>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8E0"/>
    <w:rsid w:val="00CA6157"/>
    <w:rsid w:val="00CA6A2E"/>
    <w:rsid w:val="00CA6B56"/>
    <w:rsid w:val="00CA7D3E"/>
    <w:rsid w:val="00CB0317"/>
    <w:rsid w:val="00CB0662"/>
    <w:rsid w:val="00CB0A82"/>
    <w:rsid w:val="00CB0F2F"/>
    <w:rsid w:val="00CB1556"/>
    <w:rsid w:val="00CB2913"/>
    <w:rsid w:val="00CB3777"/>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26"/>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282"/>
    <w:rsid w:val="00CD1484"/>
    <w:rsid w:val="00CD1892"/>
    <w:rsid w:val="00CD1C01"/>
    <w:rsid w:val="00CD1D00"/>
    <w:rsid w:val="00CD2009"/>
    <w:rsid w:val="00CD261C"/>
    <w:rsid w:val="00CD27AC"/>
    <w:rsid w:val="00CD2A82"/>
    <w:rsid w:val="00CD3CAB"/>
    <w:rsid w:val="00CD44FF"/>
    <w:rsid w:val="00CD46A7"/>
    <w:rsid w:val="00CD47BC"/>
    <w:rsid w:val="00CD4E50"/>
    <w:rsid w:val="00CD53DC"/>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A5D"/>
    <w:rsid w:val="00CE6BA9"/>
    <w:rsid w:val="00CE71C3"/>
    <w:rsid w:val="00CE727A"/>
    <w:rsid w:val="00CF029C"/>
    <w:rsid w:val="00CF0AF0"/>
    <w:rsid w:val="00CF157E"/>
    <w:rsid w:val="00CF1631"/>
    <w:rsid w:val="00CF1707"/>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C22"/>
    <w:rsid w:val="00D04F01"/>
    <w:rsid w:val="00D04F8B"/>
    <w:rsid w:val="00D054EF"/>
    <w:rsid w:val="00D05637"/>
    <w:rsid w:val="00D05BA9"/>
    <w:rsid w:val="00D05EB1"/>
    <w:rsid w:val="00D0650B"/>
    <w:rsid w:val="00D068AA"/>
    <w:rsid w:val="00D06E71"/>
    <w:rsid w:val="00D06E9C"/>
    <w:rsid w:val="00D0714B"/>
    <w:rsid w:val="00D075F6"/>
    <w:rsid w:val="00D0764E"/>
    <w:rsid w:val="00D07D82"/>
    <w:rsid w:val="00D10327"/>
    <w:rsid w:val="00D103C9"/>
    <w:rsid w:val="00D10BE1"/>
    <w:rsid w:val="00D11C94"/>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A2"/>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F0"/>
    <w:rsid w:val="00D32FA0"/>
    <w:rsid w:val="00D33112"/>
    <w:rsid w:val="00D331CB"/>
    <w:rsid w:val="00D338B2"/>
    <w:rsid w:val="00D3426D"/>
    <w:rsid w:val="00D3497A"/>
    <w:rsid w:val="00D35F2F"/>
    <w:rsid w:val="00D35FC6"/>
    <w:rsid w:val="00D36BB8"/>
    <w:rsid w:val="00D37362"/>
    <w:rsid w:val="00D377D4"/>
    <w:rsid w:val="00D401A1"/>
    <w:rsid w:val="00D40217"/>
    <w:rsid w:val="00D40385"/>
    <w:rsid w:val="00D404CE"/>
    <w:rsid w:val="00D40E8F"/>
    <w:rsid w:val="00D41247"/>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675"/>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7B"/>
    <w:rsid w:val="00D63724"/>
    <w:rsid w:val="00D640CC"/>
    <w:rsid w:val="00D640D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5FF"/>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1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B5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2F79"/>
    <w:rsid w:val="00D9384E"/>
    <w:rsid w:val="00D93AEE"/>
    <w:rsid w:val="00D93DB4"/>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BA5"/>
    <w:rsid w:val="00DA6EE2"/>
    <w:rsid w:val="00DA718A"/>
    <w:rsid w:val="00DA78CF"/>
    <w:rsid w:val="00DA78D5"/>
    <w:rsid w:val="00DA7A89"/>
    <w:rsid w:val="00DA7BF4"/>
    <w:rsid w:val="00DB052F"/>
    <w:rsid w:val="00DB14D3"/>
    <w:rsid w:val="00DB154B"/>
    <w:rsid w:val="00DB1BDC"/>
    <w:rsid w:val="00DB2372"/>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A8E"/>
    <w:rsid w:val="00DC1395"/>
    <w:rsid w:val="00DC224E"/>
    <w:rsid w:val="00DC32FC"/>
    <w:rsid w:val="00DC3D89"/>
    <w:rsid w:val="00DC4567"/>
    <w:rsid w:val="00DC4D6C"/>
    <w:rsid w:val="00DC4F47"/>
    <w:rsid w:val="00DC5059"/>
    <w:rsid w:val="00DC5860"/>
    <w:rsid w:val="00DC599E"/>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1B1"/>
    <w:rsid w:val="00DD573B"/>
    <w:rsid w:val="00DD57E7"/>
    <w:rsid w:val="00DD5A1E"/>
    <w:rsid w:val="00DD5B8C"/>
    <w:rsid w:val="00DD5DFA"/>
    <w:rsid w:val="00DD5E91"/>
    <w:rsid w:val="00DD5F40"/>
    <w:rsid w:val="00DD68A3"/>
    <w:rsid w:val="00DD6CE2"/>
    <w:rsid w:val="00DD712F"/>
    <w:rsid w:val="00DD720D"/>
    <w:rsid w:val="00DE0229"/>
    <w:rsid w:val="00DE04E0"/>
    <w:rsid w:val="00DE12F1"/>
    <w:rsid w:val="00DE1A9D"/>
    <w:rsid w:val="00DE1CB1"/>
    <w:rsid w:val="00DE2073"/>
    <w:rsid w:val="00DE30AC"/>
    <w:rsid w:val="00DE38D1"/>
    <w:rsid w:val="00DE4106"/>
    <w:rsid w:val="00DE466B"/>
    <w:rsid w:val="00DE48F4"/>
    <w:rsid w:val="00DE5196"/>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DC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53F"/>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552"/>
    <w:rsid w:val="00E279B2"/>
    <w:rsid w:val="00E303C0"/>
    <w:rsid w:val="00E3055B"/>
    <w:rsid w:val="00E314AE"/>
    <w:rsid w:val="00E31687"/>
    <w:rsid w:val="00E31699"/>
    <w:rsid w:val="00E31761"/>
    <w:rsid w:val="00E31812"/>
    <w:rsid w:val="00E31889"/>
    <w:rsid w:val="00E31964"/>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B29"/>
    <w:rsid w:val="00E5206C"/>
    <w:rsid w:val="00E52AAB"/>
    <w:rsid w:val="00E5448E"/>
    <w:rsid w:val="00E54E0D"/>
    <w:rsid w:val="00E55247"/>
    <w:rsid w:val="00E558E5"/>
    <w:rsid w:val="00E55B3C"/>
    <w:rsid w:val="00E56795"/>
    <w:rsid w:val="00E57932"/>
    <w:rsid w:val="00E606C4"/>
    <w:rsid w:val="00E60811"/>
    <w:rsid w:val="00E60AB8"/>
    <w:rsid w:val="00E60DC1"/>
    <w:rsid w:val="00E6103E"/>
    <w:rsid w:val="00E6185F"/>
    <w:rsid w:val="00E61D32"/>
    <w:rsid w:val="00E63C60"/>
    <w:rsid w:val="00E64050"/>
    <w:rsid w:val="00E649C1"/>
    <w:rsid w:val="00E64B7B"/>
    <w:rsid w:val="00E6514D"/>
    <w:rsid w:val="00E65161"/>
    <w:rsid w:val="00E652C9"/>
    <w:rsid w:val="00E6593B"/>
    <w:rsid w:val="00E65D74"/>
    <w:rsid w:val="00E662BD"/>
    <w:rsid w:val="00E66E11"/>
    <w:rsid w:val="00E672C6"/>
    <w:rsid w:val="00E70192"/>
    <w:rsid w:val="00E70C55"/>
    <w:rsid w:val="00E70E34"/>
    <w:rsid w:val="00E71809"/>
    <w:rsid w:val="00E71D1E"/>
    <w:rsid w:val="00E724F4"/>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B8B"/>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03"/>
    <w:rsid w:val="00E87A37"/>
    <w:rsid w:val="00E87CF7"/>
    <w:rsid w:val="00E87F17"/>
    <w:rsid w:val="00E9036E"/>
    <w:rsid w:val="00E903AB"/>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25C"/>
    <w:rsid w:val="00EA48C3"/>
    <w:rsid w:val="00EA613D"/>
    <w:rsid w:val="00EA6744"/>
    <w:rsid w:val="00EA7270"/>
    <w:rsid w:val="00EA7308"/>
    <w:rsid w:val="00EA7474"/>
    <w:rsid w:val="00EB03F6"/>
    <w:rsid w:val="00EB0831"/>
    <w:rsid w:val="00EB089C"/>
    <w:rsid w:val="00EB0AA8"/>
    <w:rsid w:val="00EB0B65"/>
    <w:rsid w:val="00EB0C65"/>
    <w:rsid w:val="00EB10EA"/>
    <w:rsid w:val="00EB1624"/>
    <w:rsid w:val="00EB169F"/>
    <w:rsid w:val="00EB2635"/>
    <w:rsid w:val="00EB2961"/>
    <w:rsid w:val="00EB2E1A"/>
    <w:rsid w:val="00EB2F8A"/>
    <w:rsid w:val="00EB3268"/>
    <w:rsid w:val="00EB3298"/>
    <w:rsid w:val="00EB3939"/>
    <w:rsid w:val="00EB3CE6"/>
    <w:rsid w:val="00EB3E92"/>
    <w:rsid w:val="00EB45C5"/>
    <w:rsid w:val="00EB5178"/>
    <w:rsid w:val="00EB54AB"/>
    <w:rsid w:val="00EB6257"/>
    <w:rsid w:val="00EB68E6"/>
    <w:rsid w:val="00EB6AE9"/>
    <w:rsid w:val="00EB6B2D"/>
    <w:rsid w:val="00EB71C9"/>
    <w:rsid w:val="00EB763E"/>
    <w:rsid w:val="00EB7B67"/>
    <w:rsid w:val="00EC07F1"/>
    <w:rsid w:val="00EC0ED7"/>
    <w:rsid w:val="00EC184B"/>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32F"/>
    <w:rsid w:val="00ED3692"/>
    <w:rsid w:val="00ED37FA"/>
    <w:rsid w:val="00ED4A77"/>
    <w:rsid w:val="00ED4B6E"/>
    <w:rsid w:val="00ED5981"/>
    <w:rsid w:val="00ED613A"/>
    <w:rsid w:val="00ED6187"/>
    <w:rsid w:val="00ED6514"/>
    <w:rsid w:val="00ED66B2"/>
    <w:rsid w:val="00ED71BA"/>
    <w:rsid w:val="00ED728F"/>
    <w:rsid w:val="00ED73A1"/>
    <w:rsid w:val="00ED7CA2"/>
    <w:rsid w:val="00EE04F9"/>
    <w:rsid w:val="00EE0570"/>
    <w:rsid w:val="00EE05E0"/>
    <w:rsid w:val="00EE13DA"/>
    <w:rsid w:val="00EE1595"/>
    <w:rsid w:val="00EE1E71"/>
    <w:rsid w:val="00EE2087"/>
    <w:rsid w:val="00EE20C2"/>
    <w:rsid w:val="00EE2A9D"/>
    <w:rsid w:val="00EE3384"/>
    <w:rsid w:val="00EE401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FE"/>
    <w:rsid w:val="00F0187E"/>
    <w:rsid w:val="00F01BE6"/>
    <w:rsid w:val="00F01F75"/>
    <w:rsid w:val="00F0217A"/>
    <w:rsid w:val="00F026D3"/>
    <w:rsid w:val="00F027E8"/>
    <w:rsid w:val="00F0281F"/>
    <w:rsid w:val="00F03395"/>
    <w:rsid w:val="00F034E6"/>
    <w:rsid w:val="00F03E4C"/>
    <w:rsid w:val="00F04D19"/>
    <w:rsid w:val="00F050A3"/>
    <w:rsid w:val="00F05347"/>
    <w:rsid w:val="00F06340"/>
    <w:rsid w:val="00F0665D"/>
    <w:rsid w:val="00F06D42"/>
    <w:rsid w:val="00F07134"/>
    <w:rsid w:val="00F0719E"/>
    <w:rsid w:val="00F0724D"/>
    <w:rsid w:val="00F07378"/>
    <w:rsid w:val="00F10B81"/>
    <w:rsid w:val="00F10BC9"/>
    <w:rsid w:val="00F113C9"/>
    <w:rsid w:val="00F11C01"/>
    <w:rsid w:val="00F11D80"/>
    <w:rsid w:val="00F14A0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048"/>
    <w:rsid w:val="00F2525D"/>
    <w:rsid w:val="00F254C4"/>
    <w:rsid w:val="00F25641"/>
    <w:rsid w:val="00F256D8"/>
    <w:rsid w:val="00F25824"/>
    <w:rsid w:val="00F25AE1"/>
    <w:rsid w:val="00F25E8C"/>
    <w:rsid w:val="00F26065"/>
    <w:rsid w:val="00F266E3"/>
    <w:rsid w:val="00F2689C"/>
    <w:rsid w:val="00F27E44"/>
    <w:rsid w:val="00F302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5C3"/>
    <w:rsid w:val="00F37C99"/>
    <w:rsid w:val="00F37FCC"/>
    <w:rsid w:val="00F419B8"/>
    <w:rsid w:val="00F41C0F"/>
    <w:rsid w:val="00F42856"/>
    <w:rsid w:val="00F42ED7"/>
    <w:rsid w:val="00F43777"/>
    <w:rsid w:val="00F43AB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42"/>
    <w:rsid w:val="00F5052D"/>
    <w:rsid w:val="00F5091C"/>
    <w:rsid w:val="00F51A82"/>
    <w:rsid w:val="00F51B78"/>
    <w:rsid w:val="00F51BDD"/>
    <w:rsid w:val="00F52065"/>
    <w:rsid w:val="00F521CE"/>
    <w:rsid w:val="00F5253E"/>
    <w:rsid w:val="00F5254B"/>
    <w:rsid w:val="00F52CB7"/>
    <w:rsid w:val="00F53A44"/>
    <w:rsid w:val="00F54097"/>
    <w:rsid w:val="00F54ADD"/>
    <w:rsid w:val="00F54E5E"/>
    <w:rsid w:val="00F551DB"/>
    <w:rsid w:val="00F551F4"/>
    <w:rsid w:val="00F55810"/>
    <w:rsid w:val="00F559BE"/>
    <w:rsid w:val="00F56F7E"/>
    <w:rsid w:val="00F56FEF"/>
    <w:rsid w:val="00F57521"/>
    <w:rsid w:val="00F60123"/>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32"/>
    <w:rsid w:val="00F67079"/>
    <w:rsid w:val="00F67B58"/>
    <w:rsid w:val="00F67E81"/>
    <w:rsid w:val="00F7044B"/>
    <w:rsid w:val="00F70FD4"/>
    <w:rsid w:val="00F71342"/>
    <w:rsid w:val="00F71C68"/>
    <w:rsid w:val="00F724E2"/>
    <w:rsid w:val="00F74103"/>
    <w:rsid w:val="00F7410A"/>
    <w:rsid w:val="00F745A4"/>
    <w:rsid w:val="00F74C0C"/>
    <w:rsid w:val="00F758E1"/>
    <w:rsid w:val="00F75AF3"/>
    <w:rsid w:val="00F75BB5"/>
    <w:rsid w:val="00F75FD5"/>
    <w:rsid w:val="00F7604C"/>
    <w:rsid w:val="00F77077"/>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23"/>
    <w:rsid w:val="00F912D9"/>
    <w:rsid w:val="00F91A44"/>
    <w:rsid w:val="00F91BFA"/>
    <w:rsid w:val="00F91F8F"/>
    <w:rsid w:val="00F9217B"/>
    <w:rsid w:val="00F936F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237"/>
    <w:rsid w:val="00FB0D60"/>
    <w:rsid w:val="00FB18FD"/>
    <w:rsid w:val="00FB2BF5"/>
    <w:rsid w:val="00FB2F8E"/>
    <w:rsid w:val="00FB30C3"/>
    <w:rsid w:val="00FB39B0"/>
    <w:rsid w:val="00FB5138"/>
    <w:rsid w:val="00FB547F"/>
    <w:rsid w:val="00FB5676"/>
    <w:rsid w:val="00FB5A71"/>
    <w:rsid w:val="00FB63F6"/>
    <w:rsid w:val="00FB7823"/>
    <w:rsid w:val="00FC05B2"/>
    <w:rsid w:val="00FC08B3"/>
    <w:rsid w:val="00FC09D7"/>
    <w:rsid w:val="00FC0ABE"/>
    <w:rsid w:val="00FC1269"/>
    <w:rsid w:val="00FC192D"/>
    <w:rsid w:val="00FC22D0"/>
    <w:rsid w:val="00FC2CD3"/>
    <w:rsid w:val="00FC38D4"/>
    <w:rsid w:val="00FC391E"/>
    <w:rsid w:val="00FC39B3"/>
    <w:rsid w:val="00FC3BB7"/>
    <w:rsid w:val="00FC3C4E"/>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1ED"/>
    <w:rsid w:val="00FD24D7"/>
    <w:rsid w:val="00FD29CE"/>
    <w:rsid w:val="00FD3AE2"/>
    <w:rsid w:val="00FD3E41"/>
    <w:rsid w:val="00FD3EFA"/>
    <w:rsid w:val="00FD54A8"/>
    <w:rsid w:val="00FD5AE4"/>
    <w:rsid w:val="00FD5F25"/>
    <w:rsid w:val="00FD60BE"/>
    <w:rsid w:val="00FD6291"/>
    <w:rsid w:val="00FD6894"/>
    <w:rsid w:val="00FD6AF0"/>
    <w:rsid w:val="00FD704D"/>
    <w:rsid w:val="00FD74EF"/>
    <w:rsid w:val="00FD79B8"/>
    <w:rsid w:val="00FD79F6"/>
    <w:rsid w:val="00FE033F"/>
    <w:rsid w:val="00FE07A8"/>
    <w:rsid w:val="00FE0AD1"/>
    <w:rsid w:val="00FE0CC0"/>
    <w:rsid w:val="00FE1852"/>
    <w:rsid w:val="00FE190D"/>
    <w:rsid w:val="00FE1963"/>
    <w:rsid w:val="00FE1981"/>
    <w:rsid w:val="00FE1BF1"/>
    <w:rsid w:val="00FE33DB"/>
    <w:rsid w:val="00FE33F5"/>
    <w:rsid w:val="00FE352A"/>
    <w:rsid w:val="00FE37DD"/>
    <w:rsid w:val="00FE3C31"/>
    <w:rsid w:val="00FE4015"/>
    <w:rsid w:val="00FE40E9"/>
    <w:rsid w:val="00FE44F5"/>
    <w:rsid w:val="00FE4783"/>
    <w:rsid w:val="00FE480D"/>
    <w:rsid w:val="00FE4ACC"/>
    <w:rsid w:val="00FE4F27"/>
    <w:rsid w:val="00FE4F80"/>
    <w:rsid w:val="00FE54D5"/>
    <w:rsid w:val="00FE570E"/>
    <w:rsid w:val="00FE6870"/>
    <w:rsid w:val="00FE713E"/>
    <w:rsid w:val="00FE7877"/>
    <w:rsid w:val="00FE7DD1"/>
    <w:rsid w:val="00FF0B4F"/>
    <w:rsid w:val="00FF0F58"/>
    <w:rsid w:val="00FF183C"/>
    <w:rsid w:val="00FF1A06"/>
    <w:rsid w:val="00FF1AD3"/>
    <w:rsid w:val="00FF1B46"/>
    <w:rsid w:val="00FF219D"/>
    <w:rsid w:val="00FF2A7B"/>
    <w:rsid w:val="00FF31DF"/>
    <w:rsid w:val="00FF3D2B"/>
    <w:rsid w:val="00FF49B4"/>
    <w:rsid w:val="00FF49F4"/>
    <w:rsid w:val="00FF5C6A"/>
    <w:rsid w:val="00FF5DB6"/>
    <w:rsid w:val="00FF651D"/>
    <w:rsid w:val="00FF6843"/>
    <w:rsid w:val="00FF6C25"/>
    <w:rsid w:val="010651D9"/>
    <w:rsid w:val="0117101D"/>
    <w:rsid w:val="011F6449"/>
    <w:rsid w:val="01236AFB"/>
    <w:rsid w:val="019F7441"/>
    <w:rsid w:val="01B37585"/>
    <w:rsid w:val="01D55165"/>
    <w:rsid w:val="01DF6BF8"/>
    <w:rsid w:val="01EC2C57"/>
    <w:rsid w:val="025F0711"/>
    <w:rsid w:val="026B2E25"/>
    <w:rsid w:val="027F6AB2"/>
    <w:rsid w:val="02824D4D"/>
    <w:rsid w:val="02D94F25"/>
    <w:rsid w:val="02DC4B10"/>
    <w:rsid w:val="02DD76CE"/>
    <w:rsid w:val="02E269E3"/>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5FC1594"/>
    <w:rsid w:val="060E5941"/>
    <w:rsid w:val="06110FAF"/>
    <w:rsid w:val="06121F4E"/>
    <w:rsid w:val="06493CA7"/>
    <w:rsid w:val="065A6178"/>
    <w:rsid w:val="066F1CF3"/>
    <w:rsid w:val="06930BB8"/>
    <w:rsid w:val="07245D42"/>
    <w:rsid w:val="07264C62"/>
    <w:rsid w:val="0779354C"/>
    <w:rsid w:val="08061376"/>
    <w:rsid w:val="08452D77"/>
    <w:rsid w:val="086401F8"/>
    <w:rsid w:val="08751CAA"/>
    <w:rsid w:val="087E4C40"/>
    <w:rsid w:val="088F5A18"/>
    <w:rsid w:val="08980644"/>
    <w:rsid w:val="08A871D0"/>
    <w:rsid w:val="08D66AD6"/>
    <w:rsid w:val="08DA33A3"/>
    <w:rsid w:val="08E80F13"/>
    <w:rsid w:val="09335624"/>
    <w:rsid w:val="0944690F"/>
    <w:rsid w:val="09535675"/>
    <w:rsid w:val="095F057D"/>
    <w:rsid w:val="09642282"/>
    <w:rsid w:val="09733572"/>
    <w:rsid w:val="09772C16"/>
    <w:rsid w:val="098353B5"/>
    <w:rsid w:val="09A735CF"/>
    <w:rsid w:val="09A92330"/>
    <w:rsid w:val="09B06B87"/>
    <w:rsid w:val="09C13146"/>
    <w:rsid w:val="09E04166"/>
    <w:rsid w:val="09FB3EC4"/>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2C52AF"/>
    <w:rsid w:val="0C571A41"/>
    <w:rsid w:val="0C5C1171"/>
    <w:rsid w:val="0C5E1CBC"/>
    <w:rsid w:val="0C615B50"/>
    <w:rsid w:val="0C8445DA"/>
    <w:rsid w:val="0C87121B"/>
    <w:rsid w:val="0CC007F7"/>
    <w:rsid w:val="0CC617AC"/>
    <w:rsid w:val="0CEA5D9A"/>
    <w:rsid w:val="0CFE707A"/>
    <w:rsid w:val="0D063BDA"/>
    <w:rsid w:val="0D08375F"/>
    <w:rsid w:val="0D184CFB"/>
    <w:rsid w:val="0D4A7419"/>
    <w:rsid w:val="0D827401"/>
    <w:rsid w:val="0D84094E"/>
    <w:rsid w:val="0D8A00E9"/>
    <w:rsid w:val="0D8D589E"/>
    <w:rsid w:val="0DA01C73"/>
    <w:rsid w:val="0DD63300"/>
    <w:rsid w:val="0DE85800"/>
    <w:rsid w:val="0DEE56BA"/>
    <w:rsid w:val="0DF50604"/>
    <w:rsid w:val="0DF702FE"/>
    <w:rsid w:val="0E060E51"/>
    <w:rsid w:val="0E5604B2"/>
    <w:rsid w:val="0E6D5D79"/>
    <w:rsid w:val="0E9D0089"/>
    <w:rsid w:val="0EB803EE"/>
    <w:rsid w:val="0ED308B1"/>
    <w:rsid w:val="0EF94D4B"/>
    <w:rsid w:val="0F4958DC"/>
    <w:rsid w:val="0F515DF7"/>
    <w:rsid w:val="0F596BA8"/>
    <w:rsid w:val="0F6248D2"/>
    <w:rsid w:val="0F693536"/>
    <w:rsid w:val="0F7B0511"/>
    <w:rsid w:val="0F7B76D9"/>
    <w:rsid w:val="0F816ACD"/>
    <w:rsid w:val="0F9832DB"/>
    <w:rsid w:val="0FBF3FD2"/>
    <w:rsid w:val="0FBF7FF3"/>
    <w:rsid w:val="104E3285"/>
    <w:rsid w:val="10646583"/>
    <w:rsid w:val="107D4B15"/>
    <w:rsid w:val="108A3C80"/>
    <w:rsid w:val="10B37569"/>
    <w:rsid w:val="10C26171"/>
    <w:rsid w:val="10F33360"/>
    <w:rsid w:val="10FC16EA"/>
    <w:rsid w:val="1109680C"/>
    <w:rsid w:val="110F1D40"/>
    <w:rsid w:val="11266F33"/>
    <w:rsid w:val="118963A1"/>
    <w:rsid w:val="11C6522A"/>
    <w:rsid w:val="11E104CC"/>
    <w:rsid w:val="11E20309"/>
    <w:rsid w:val="11FE772F"/>
    <w:rsid w:val="12255233"/>
    <w:rsid w:val="12530213"/>
    <w:rsid w:val="127723A9"/>
    <w:rsid w:val="12862074"/>
    <w:rsid w:val="12883966"/>
    <w:rsid w:val="129E45B4"/>
    <w:rsid w:val="12D21374"/>
    <w:rsid w:val="12D81596"/>
    <w:rsid w:val="13072A44"/>
    <w:rsid w:val="131A1B7F"/>
    <w:rsid w:val="135F4BE2"/>
    <w:rsid w:val="139B1A0A"/>
    <w:rsid w:val="139D25C7"/>
    <w:rsid w:val="13BF3CE4"/>
    <w:rsid w:val="13C04D1D"/>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12B83"/>
    <w:rsid w:val="1B530544"/>
    <w:rsid w:val="1B713184"/>
    <w:rsid w:val="1B8F790E"/>
    <w:rsid w:val="1BA209CF"/>
    <w:rsid w:val="1BB4777D"/>
    <w:rsid w:val="1BD75AB8"/>
    <w:rsid w:val="1BE22A26"/>
    <w:rsid w:val="1C0459C2"/>
    <w:rsid w:val="1C1B3B4A"/>
    <w:rsid w:val="1C515B8A"/>
    <w:rsid w:val="1C6D1D6F"/>
    <w:rsid w:val="1C88086E"/>
    <w:rsid w:val="1D266CE1"/>
    <w:rsid w:val="1D3963AF"/>
    <w:rsid w:val="1D6A673C"/>
    <w:rsid w:val="1D9247AE"/>
    <w:rsid w:val="1DB567EC"/>
    <w:rsid w:val="1DF51A98"/>
    <w:rsid w:val="1E1C0117"/>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40147"/>
    <w:rsid w:val="208921B3"/>
    <w:rsid w:val="20973DEB"/>
    <w:rsid w:val="20B26522"/>
    <w:rsid w:val="20B44310"/>
    <w:rsid w:val="211116EB"/>
    <w:rsid w:val="21267A20"/>
    <w:rsid w:val="216133FC"/>
    <w:rsid w:val="21D56769"/>
    <w:rsid w:val="21E52EF3"/>
    <w:rsid w:val="21F879BF"/>
    <w:rsid w:val="21FB5D7B"/>
    <w:rsid w:val="220B1C3D"/>
    <w:rsid w:val="221D1D20"/>
    <w:rsid w:val="22334A87"/>
    <w:rsid w:val="22364F86"/>
    <w:rsid w:val="22BE6801"/>
    <w:rsid w:val="23135A49"/>
    <w:rsid w:val="233500BF"/>
    <w:rsid w:val="23377FF7"/>
    <w:rsid w:val="236B425F"/>
    <w:rsid w:val="23836192"/>
    <w:rsid w:val="23901F29"/>
    <w:rsid w:val="239C0061"/>
    <w:rsid w:val="23B908A4"/>
    <w:rsid w:val="23E95BEF"/>
    <w:rsid w:val="23FD0064"/>
    <w:rsid w:val="245375B0"/>
    <w:rsid w:val="24642C0A"/>
    <w:rsid w:val="249307DC"/>
    <w:rsid w:val="24A24E04"/>
    <w:rsid w:val="24B22173"/>
    <w:rsid w:val="24B95AD9"/>
    <w:rsid w:val="24BE24DA"/>
    <w:rsid w:val="24CF5825"/>
    <w:rsid w:val="24D05D44"/>
    <w:rsid w:val="24D663E6"/>
    <w:rsid w:val="24D77F2B"/>
    <w:rsid w:val="258B00E2"/>
    <w:rsid w:val="25A917A6"/>
    <w:rsid w:val="25BE27CC"/>
    <w:rsid w:val="25F74A5C"/>
    <w:rsid w:val="2628662C"/>
    <w:rsid w:val="262D45DE"/>
    <w:rsid w:val="267327D2"/>
    <w:rsid w:val="26871DC8"/>
    <w:rsid w:val="26A46FEC"/>
    <w:rsid w:val="26A53EF9"/>
    <w:rsid w:val="26A94201"/>
    <w:rsid w:val="26AC274F"/>
    <w:rsid w:val="27044A29"/>
    <w:rsid w:val="271D34C8"/>
    <w:rsid w:val="276142BF"/>
    <w:rsid w:val="27783712"/>
    <w:rsid w:val="27907362"/>
    <w:rsid w:val="27BB382E"/>
    <w:rsid w:val="27E33311"/>
    <w:rsid w:val="28333E1D"/>
    <w:rsid w:val="28454BD6"/>
    <w:rsid w:val="28455253"/>
    <w:rsid w:val="28551971"/>
    <w:rsid w:val="285B1C53"/>
    <w:rsid w:val="289F7086"/>
    <w:rsid w:val="28C32028"/>
    <w:rsid w:val="28CC490F"/>
    <w:rsid w:val="28DE40AA"/>
    <w:rsid w:val="291A1AE1"/>
    <w:rsid w:val="29345E77"/>
    <w:rsid w:val="294C65AD"/>
    <w:rsid w:val="29806583"/>
    <w:rsid w:val="298B3C4C"/>
    <w:rsid w:val="29F26D24"/>
    <w:rsid w:val="2A15033F"/>
    <w:rsid w:val="2A1662C1"/>
    <w:rsid w:val="2A1C7367"/>
    <w:rsid w:val="2A2815FA"/>
    <w:rsid w:val="2A6D6092"/>
    <w:rsid w:val="2A7B579C"/>
    <w:rsid w:val="2A7D76B4"/>
    <w:rsid w:val="2AE5365E"/>
    <w:rsid w:val="2B2E22BA"/>
    <w:rsid w:val="2B437463"/>
    <w:rsid w:val="2B7807EE"/>
    <w:rsid w:val="2BA50BF7"/>
    <w:rsid w:val="2BA83028"/>
    <w:rsid w:val="2BBF00EC"/>
    <w:rsid w:val="2BC37CFD"/>
    <w:rsid w:val="2BD5237F"/>
    <w:rsid w:val="2BE536CE"/>
    <w:rsid w:val="2BE758D9"/>
    <w:rsid w:val="2C09049E"/>
    <w:rsid w:val="2C0A653C"/>
    <w:rsid w:val="2C191F85"/>
    <w:rsid w:val="2CE82D6F"/>
    <w:rsid w:val="2D343236"/>
    <w:rsid w:val="2DB3308F"/>
    <w:rsid w:val="2DD15014"/>
    <w:rsid w:val="2DE93141"/>
    <w:rsid w:val="2DF72DE4"/>
    <w:rsid w:val="2E0220AF"/>
    <w:rsid w:val="2E4B082A"/>
    <w:rsid w:val="2E4E3F40"/>
    <w:rsid w:val="2E5D4E86"/>
    <w:rsid w:val="2E5D790B"/>
    <w:rsid w:val="2E996999"/>
    <w:rsid w:val="2E9A3C18"/>
    <w:rsid w:val="2EAB50E6"/>
    <w:rsid w:val="2EBB0FEE"/>
    <w:rsid w:val="2EC63002"/>
    <w:rsid w:val="2ECF737B"/>
    <w:rsid w:val="2F0A6B38"/>
    <w:rsid w:val="2F10084D"/>
    <w:rsid w:val="2F946CCB"/>
    <w:rsid w:val="2FD25781"/>
    <w:rsid w:val="2FFD7934"/>
    <w:rsid w:val="30733ACD"/>
    <w:rsid w:val="308C3862"/>
    <w:rsid w:val="309379D8"/>
    <w:rsid w:val="30A270F7"/>
    <w:rsid w:val="30C145B6"/>
    <w:rsid w:val="30DF1478"/>
    <w:rsid w:val="30EC586F"/>
    <w:rsid w:val="31212AE2"/>
    <w:rsid w:val="319C6071"/>
    <w:rsid w:val="31A05C9A"/>
    <w:rsid w:val="31AC537E"/>
    <w:rsid w:val="31E3679B"/>
    <w:rsid w:val="31E732FD"/>
    <w:rsid w:val="32206EAC"/>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51F03"/>
    <w:rsid w:val="34CB4388"/>
    <w:rsid w:val="34FA6E12"/>
    <w:rsid w:val="354D7158"/>
    <w:rsid w:val="358D5588"/>
    <w:rsid w:val="35D3250D"/>
    <w:rsid w:val="361B53D8"/>
    <w:rsid w:val="363A3B40"/>
    <w:rsid w:val="365302AE"/>
    <w:rsid w:val="36607A0A"/>
    <w:rsid w:val="366E227C"/>
    <w:rsid w:val="366F2E0D"/>
    <w:rsid w:val="367B6A5C"/>
    <w:rsid w:val="36A74ADA"/>
    <w:rsid w:val="36AD60D5"/>
    <w:rsid w:val="36B224F9"/>
    <w:rsid w:val="36EC0CC9"/>
    <w:rsid w:val="3703112E"/>
    <w:rsid w:val="373069F1"/>
    <w:rsid w:val="373F410B"/>
    <w:rsid w:val="37883E82"/>
    <w:rsid w:val="37EE7094"/>
    <w:rsid w:val="3822770C"/>
    <w:rsid w:val="38296C89"/>
    <w:rsid w:val="383002EB"/>
    <w:rsid w:val="38586797"/>
    <w:rsid w:val="38615996"/>
    <w:rsid w:val="38BC0149"/>
    <w:rsid w:val="38D87D1C"/>
    <w:rsid w:val="3902751A"/>
    <w:rsid w:val="39636459"/>
    <w:rsid w:val="396B7F6C"/>
    <w:rsid w:val="39B417A9"/>
    <w:rsid w:val="39BC2BD2"/>
    <w:rsid w:val="39FC5695"/>
    <w:rsid w:val="3A006D8E"/>
    <w:rsid w:val="3A3651E5"/>
    <w:rsid w:val="3A4C28FB"/>
    <w:rsid w:val="3A680E1B"/>
    <w:rsid w:val="3A744481"/>
    <w:rsid w:val="3A8C1658"/>
    <w:rsid w:val="3A8C7BEF"/>
    <w:rsid w:val="3A906246"/>
    <w:rsid w:val="3B083D80"/>
    <w:rsid w:val="3B2349B7"/>
    <w:rsid w:val="3B5E36D5"/>
    <w:rsid w:val="3B616CFF"/>
    <w:rsid w:val="3B6259F6"/>
    <w:rsid w:val="3B976654"/>
    <w:rsid w:val="3BC01EFC"/>
    <w:rsid w:val="3BCA786A"/>
    <w:rsid w:val="3BD31E2F"/>
    <w:rsid w:val="3BF15831"/>
    <w:rsid w:val="3C105946"/>
    <w:rsid w:val="3C471448"/>
    <w:rsid w:val="3C5F759A"/>
    <w:rsid w:val="3C6C525A"/>
    <w:rsid w:val="3CB004E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B3607"/>
    <w:rsid w:val="3E7B5D6B"/>
    <w:rsid w:val="3E843E66"/>
    <w:rsid w:val="3E8E15FC"/>
    <w:rsid w:val="3E8F51FE"/>
    <w:rsid w:val="3E926F87"/>
    <w:rsid w:val="3E9A59DE"/>
    <w:rsid w:val="3EAF1D59"/>
    <w:rsid w:val="3EAF4836"/>
    <w:rsid w:val="3EBD5DF8"/>
    <w:rsid w:val="3EC33DFA"/>
    <w:rsid w:val="3F060E16"/>
    <w:rsid w:val="3F1D1096"/>
    <w:rsid w:val="3F2F0234"/>
    <w:rsid w:val="3F6363FE"/>
    <w:rsid w:val="3F756B8F"/>
    <w:rsid w:val="3F95482B"/>
    <w:rsid w:val="3F976828"/>
    <w:rsid w:val="3FE37B0A"/>
    <w:rsid w:val="4019356B"/>
    <w:rsid w:val="40592157"/>
    <w:rsid w:val="406E1CAE"/>
    <w:rsid w:val="40A0133A"/>
    <w:rsid w:val="40C31A53"/>
    <w:rsid w:val="40FF545D"/>
    <w:rsid w:val="410067C8"/>
    <w:rsid w:val="418F0D2A"/>
    <w:rsid w:val="41A66AB3"/>
    <w:rsid w:val="41D01505"/>
    <w:rsid w:val="42474939"/>
    <w:rsid w:val="424C3C57"/>
    <w:rsid w:val="42594B93"/>
    <w:rsid w:val="42613FF3"/>
    <w:rsid w:val="42660D96"/>
    <w:rsid w:val="428667D2"/>
    <w:rsid w:val="42CD1CE0"/>
    <w:rsid w:val="42E1381E"/>
    <w:rsid w:val="42ED6459"/>
    <w:rsid w:val="42FE58DD"/>
    <w:rsid w:val="43174B3D"/>
    <w:rsid w:val="434B790E"/>
    <w:rsid w:val="4360274F"/>
    <w:rsid w:val="43977AB6"/>
    <w:rsid w:val="43A3342B"/>
    <w:rsid w:val="43AC7BC5"/>
    <w:rsid w:val="43C77C27"/>
    <w:rsid w:val="43CC70A2"/>
    <w:rsid w:val="43DE09EE"/>
    <w:rsid w:val="44002FAD"/>
    <w:rsid w:val="44050821"/>
    <w:rsid w:val="4430589B"/>
    <w:rsid w:val="44845093"/>
    <w:rsid w:val="449101DD"/>
    <w:rsid w:val="449D00C3"/>
    <w:rsid w:val="44DE1391"/>
    <w:rsid w:val="451B225C"/>
    <w:rsid w:val="452410C9"/>
    <w:rsid w:val="45317DFB"/>
    <w:rsid w:val="45560921"/>
    <w:rsid w:val="4557168B"/>
    <w:rsid w:val="456D3CE4"/>
    <w:rsid w:val="4579042C"/>
    <w:rsid w:val="457F0571"/>
    <w:rsid w:val="45851176"/>
    <w:rsid w:val="45C63B94"/>
    <w:rsid w:val="45E467CB"/>
    <w:rsid w:val="460E7DA5"/>
    <w:rsid w:val="46422483"/>
    <w:rsid w:val="4659254A"/>
    <w:rsid w:val="465B0637"/>
    <w:rsid w:val="465E3F0D"/>
    <w:rsid w:val="466A16E6"/>
    <w:rsid w:val="46893F2B"/>
    <w:rsid w:val="46C4686E"/>
    <w:rsid w:val="47641209"/>
    <w:rsid w:val="477B778F"/>
    <w:rsid w:val="478203EC"/>
    <w:rsid w:val="47B025FA"/>
    <w:rsid w:val="47D84AFB"/>
    <w:rsid w:val="4809698F"/>
    <w:rsid w:val="4811697D"/>
    <w:rsid w:val="487A3E25"/>
    <w:rsid w:val="488B5503"/>
    <w:rsid w:val="48937E21"/>
    <w:rsid w:val="489A0361"/>
    <w:rsid w:val="48B94FF3"/>
    <w:rsid w:val="48E37AAB"/>
    <w:rsid w:val="48FD4B4C"/>
    <w:rsid w:val="490541ED"/>
    <w:rsid w:val="490A68E0"/>
    <w:rsid w:val="491055FE"/>
    <w:rsid w:val="495F5B3E"/>
    <w:rsid w:val="496F77D7"/>
    <w:rsid w:val="497654FD"/>
    <w:rsid w:val="49B64211"/>
    <w:rsid w:val="49E35F93"/>
    <w:rsid w:val="49EE6C1C"/>
    <w:rsid w:val="49F6167F"/>
    <w:rsid w:val="4A064FA0"/>
    <w:rsid w:val="4A16615C"/>
    <w:rsid w:val="4A2E1DC8"/>
    <w:rsid w:val="4A32126B"/>
    <w:rsid w:val="4A4424D7"/>
    <w:rsid w:val="4AB82D0F"/>
    <w:rsid w:val="4AEB7664"/>
    <w:rsid w:val="4AFD7C19"/>
    <w:rsid w:val="4B0567D1"/>
    <w:rsid w:val="4B236AAE"/>
    <w:rsid w:val="4B707271"/>
    <w:rsid w:val="4B9739F7"/>
    <w:rsid w:val="4BEE2503"/>
    <w:rsid w:val="4C245A30"/>
    <w:rsid w:val="4C676029"/>
    <w:rsid w:val="4CAE2EAA"/>
    <w:rsid w:val="4CB6685F"/>
    <w:rsid w:val="4CC367FE"/>
    <w:rsid w:val="4CCB30C8"/>
    <w:rsid w:val="4D077F3C"/>
    <w:rsid w:val="4D123355"/>
    <w:rsid w:val="4D177624"/>
    <w:rsid w:val="4D2A3B31"/>
    <w:rsid w:val="4D312C52"/>
    <w:rsid w:val="4D905305"/>
    <w:rsid w:val="4D964A72"/>
    <w:rsid w:val="4D9964C4"/>
    <w:rsid w:val="4D9C1254"/>
    <w:rsid w:val="4E793892"/>
    <w:rsid w:val="4E800872"/>
    <w:rsid w:val="4EC569ED"/>
    <w:rsid w:val="4ED50EA1"/>
    <w:rsid w:val="4EEC050C"/>
    <w:rsid w:val="4F104EC3"/>
    <w:rsid w:val="4F47354A"/>
    <w:rsid w:val="4F911C54"/>
    <w:rsid w:val="4FE625E0"/>
    <w:rsid w:val="5021480F"/>
    <w:rsid w:val="50681141"/>
    <w:rsid w:val="50730AA9"/>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75D84"/>
    <w:rsid w:val="5244713B"/>
    <w:rsid w:val="524A061A"/>
    <w:rsid w:val="52591150"/>
    <w:rsid w:val="52615633"/>
    <w:rsid w:val="52977FD4"/>
    <w:rsid w:val="52A25790"/>
    <w:rsid w:val="52A96B6F"/>
    <w:rsid w:val="52B45975"/>
    <w:rsid w:val="52BD660C"/>
    <w:rsid w:val="52CF6267"/>
    <w:rsid w:val="52D94AA4"/>
    <w:rsid w:val="52EA3A62"/>
    <w:rsid w:val="52F50BB8"/>
    <w:rsid w:val="53097272"/>
    <w:rsid w:val="5323761D"/>
    <w:rsid w:val="53544462"/>
    <w:rsid w:val="537A201C"/>
    <w:rsid w:val="53816FFC"/>
    <w:rsid w:val="5397158E"/>
    <w:rsid w:val="54013861"/>
    <w:rsid w:val="54487265"/>
    <w:rsid w:val="544D6070"/>
    <w:rsid w:val="54605E1E"/>
    <w:rsid w:val="547B3D6B"/>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BA1AED"/>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81E34"/>
    <w:rsid w:val="58917D2F"/>
    <w:rsid w:val="5894085C"/>
    <w:rsid w:val="58AE4F0C"/>
    <w:rsid w:val="58B85899"/>
    <w:rsid w:val="58DB2739"/>
    <w:rsid w:val="58E363A9"/>
    <w:rsid w:val="593F1E1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A6507"/>
    <w:rsid w:val="5C02690E"/>
    <w:rsid w:val="5C196DA7"/>
    <w:rsid w:val="5C2A048C"/>
    <w:rsid w:val="5C80234E"/>
    <w:rsid w:val="5C8A680C"/>
    <w:rsid w:val="5D0C4701"/>
    <w:rsid w:val="5D0F0395"/>
    <w:rsid w:val="5D221076"/>
    <w:rsid w:val="5D397964"/>
    <w:rsid w:val="5D5A391C"/>
    <w:rsid w:val="5D5F10C0"/>
    <w:rsid w:val="5D891B7B"/>
    <w:rsid w:val="5DAD38EE"/>
    <w:rsid w:val="5DAF515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102847"/>
    <w:rsid w:val="60232584"/>
    <w:rsid w:val="605864BB"/>
    <w:rsid w:val="607330CE"/>
    <w:rsid w:val="60825176"/>
    <w:rsid w:val="609F2AC4"/>
    <w:rsid w:val="60FA2EE8"/>
    <w:rsid w:val="6100440D"/>
    <w:rsid w:val="61054A27"/>
    <w:rsid w:val="610A52BC"/>
    <w:rsid w:val="611B4D6D"/>
    <w:rsid w:val="611D2366"/>
    <w:rsid w:val="61421856"/>
    <w:rsid w:val="615227C4"/>
    <w:rsid w:val="61654E3F"/>
    <w:rsid w:val="6182292A"/>
    <w:rsid w:val="619F7F92"/>
    <w:rsid w:val="61E374FF"/>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6D4056"/>
    <w:rsid w:val="648B6EEF"/>
    <w:rsid w:val="64C158BF"/>
    <w:rsid w:val="64CE2EAA"/>
    <w:rsid w:val="653C3090"/>
    <w:rsid w:val="65854376"/>
    <w:rsid w:val="658767BE"/>
    <w:rsid w:val="65892531"/>
    <w:rsid w:val="65F8567D"/>
    <w:rsid w:val="66195831"/>
    <w:rsid w:val="6628428F"/>
    <w:rsid w:val="662E75B1"/>
    <w:rsid w:val="66342C2E"/>
    <w:rsid w:val="663E784C"/>
    <w:rsid w:val="66551A38"/>
    <w:rsid w:val="668B6A45"/>
    <w:rsid w:val="671C5BD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B0A2A"/>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BC42979"/>
    <w:rsid w:val="6C196F71"/>
    <w:rsid w:val="6C226FCB"/>
    <w:rsid w:val="6C31226F"/>
    <w:rsid w:val="6C552F0B"/>
    <w:rsid w:val="6C8C67B7"/>
    <w:rsid w:val="6C9D744C"/>
    <w:rsid w:val="6CFE67A8"/>
    <w:rsid w:val="6D167928"/>
    <w:rsid w:val="6D26299B"/>
    <w:rsid w:val="6D4772EC"/>
    <w:rsid w:val="6D9078AF"/>
    <w:rsid w:val="6DA61AFC"/>
    <w:rsid w:val="6DAA3FEF"/>
    <w:rsid w:val="6DB60126"/>
    <w:rsid w:val="6DC0172B"/>
    <w:rsid w:val="6DCB690C"/>
    <w:rsid w:val="6DD41A5B"/>
    <w:rsid w:val="6DE25B6F"/>
    <w:rsid w:val="6DF43C2E"/>
    <w:rsid w:val="6DF51CA3"/>
    <w:rsid w:val="6DF8131E"/>
    <w:rsid w:val="6E8335BD"/>
    <w:rsid w:val="6E8E12EF"/>
    <w:rsid w:val="6E972936"/>
    <w:rsid w:val="6EAA4321"/>
    <w:rsid w:val="6EC73F63"/>
    <w:rsid w:val="6ED446C5"/>
    <w:rsid w:val="6F2A7D94"/>
    <w:rsid w:val="6F8331F1"/>
    <w:rsid w:val="6FAE1A09"/>
    <w:rsid w:val="6FC82BF6"/>
    <w:rsid w:val="6FD75BF8"/>
    <w:rsid w:val="6FFE7D34"/>
    <w:rsid w:val="70660D18"/>
    <w:rsid w:val="707723D0"/>
    <w:rsid w:val="708654E7"/>
    <w:rsid w:val="70F5661B"/>
    <w:rsid w:val="71360107"/>
    <w:rsid w:val="713B688E"/>
    <w:rsid w:val="71D43752"/>
    <w:rsid w:val="71F1796A"/>
    <w:rsid w:val="72154626"/>
    <w:rsid w:val="72262B5D"/>
    <w:rsid w:val="72283FF7"/>
    <w:rsid w:val="722E7212"/>
    <w:rsid w:val="723A0474"/>
    <w:rsid w:val="7251176B"/>
    <w:rsid w:val="725923E4"/>
    <w:rsid w:val="72864BF7"/>
    <w:rsid w:val="729023FC"/>
    <w:rsid w:val="73C0646E"/>
    <w:rsid w:val="742222F5"/>
    <w:rsid w:val="742614BF"/>
    <w:rsid w:val="74476126"/>
    <w:rsid w:val="74706664"/>
    <w:rsid w:val="747F3682"/>
    <w:rsid w:val="748A603A"/>
    <w:rsid w:val="749C4185"/>
    <w:rsid w:val="74D12AF8"/>
    <w:rsid w:val="75067759"/>
    <w:rsid w:val="752A676C"/>
    <w:rsid w:val="752E6DCD"/>
    <w:rsid w:val="7551380D"/>
    <w:rsid w:val="75600BE5"/>
    <w:rsid w:val="7564475C"/>
    <w:rsid w:val="75657150"/>
    <w:rsid w:val="7583797F"/>
    <w:rsid w:val="75A847A4"/>
    <w:rsid w:val="75D20F1D"/>
    <w:rsid w:val="75DA2C18"/>
    <w:rsid w:val="75F54412"/>
    <w:rsid w:val="761D08E0"/>
    <w:rsid w:val="765D347C"/>
    <w:rsid w:val="76826699"/>
    <w:rsid w:val="76C87133"/>
    <w:rsid w:val="76CD08D5"/>
    <w:rsid w:val="76CE47F6"/>
    <w:rsid w:val="76DB4B92"/>
    <w:rsid w:val="77052AA4"/>
    <w:rsid w:val="77136511"/>
    <w:rsid w:val="772F416F"/>
    <w:rsid w:val="77340A39"/>
    <w:rsid w:val="77351FD0"/>
    <w:rsid w:val="77472422"/>
    <w:rsid w:val="776D5A49"/>
    <w:rsid w:val="777F31F2"/>
    <w:rsid w:val="778A061A"/>
    <w:rsid w:val="77D1700D"/>
    <w:rsid w:val="77EC04CC"/>
    <w:rsid w:val="78775729"/>
    <w:rsid w:val="78A42DB0"/>
    <w:rsid w:val="78A656AB"/>
    <w:rsid w:val="78B2245C"/>
    <w:rsid w:val="78C50594"/>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E32F2"/>
    <w:rsid w:val="7C254906"/>
    <w:rsid w:val="7C590818"/>
    <w:rsid w:val="7C7C10F6"/>
    <w:rsid w:val="7C853BEA"/>
    <w:rsid w:val="7C881368"/>
    <w:rsid w:val="7CE27788"/>
    <w:rsid w:val="7D0357E5"/>
    <w:rsid w:val="7D0C32F1"/>
    <w:rsid w:val="7D0F408D"/>
    <w:rsid w:val="7D3E3E65"/>
    <w:rsid w:val="7D491C6C"/>
    <w:rsid w:val="7D5429C0"/>
    <w:rsid w:val="7D6E6D43"/>
    <w:rsid w:val="7D7069D2"/>
    <w:rsid w:val="7DB57A34"/>
    <w:rsid w:val="7DE60973"/>
    <w:rsid w:val="7DEF0916"/>
    <w:rsid w:val="7E1E5218"/>
    <w:rsid w:val="7E6A3164"/>
    <w:rsid w:val="7E9A4E1F"/>
    <w:rsid w:val="7EA7723A"/>
    <w:rsid w:val="7EC825AC"/>
    <w:rsid w:val="7EF56FBB"/>
    <w:rsid w:val="7F0768EB"/>
    <w:rsid w:val="7F143BEC"/>
    <w:rsid w:val="7F2C5515"/>
    <w:rsid w:val="7F39205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94"/>
    <w:qFormat/>
    <w:uiPriority w:val="0"/>
    <w:pPr>
      <w:widowControl/>
      <w:snapToGrid w:val="0"/>
      <w:spacing w:line="480" w:lineRule="exact"/>
      <w:ind w:firstLine="567"/>
    </w:pPr>
    <w:rPr>
      <w:rFonts w:ascii="宋体"/>
      <w:snapToGrid w:val="0"/>
      <w:color w:val="000000"/>
      <w:kern w:val="28"/>
      <w:sz w:val="28"/>
      <w:szCs w:val="20"/>
    </w:rPr>
  </w:style>
  <w:style w:type="paragraph" w:styleId="3">
    <w:name w:val="Body Text Indent"/>
    <w:basedOn w:val="1"/>
    <w:next w:val="4"/>
    <w:link w:val="265"/>
    <w:qFormat/>
    <w:uiPriority w:val="0"/>
    <w:pPr>
      <w:spacing w:line="480" w:lineRule="exact"/>
      <w:ind w:firstLine="480" w:firstLineChars="200"/>
    </w:pPr>
    <w:rPr>
      <w:rFonts w:ascii="宋体" w:hAnsi="宋体"/>
      <w:sz w:val="24"/>
    </w:rPr>
  </w:style>
  <w:style w:type="paragraph" w:customStyle="1" w:styleId="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2"/>
    <w:basedOn w:val="3"/>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大标题"/>
    <w:basedOn w:val="1"/>
    <w:next w:val="62"/>
    <w:qFormat/>
    <w:uiPriority w:val="0"/>
    <w:pPr>
      <w:jc w:val="left"/>
    </w:pPr>
    <w:rPr>
      <w:rFonts w:ascii="Arial" w:hAnsi="Arial"/>
      <w:sz w:val="28"/>
    </w:rPr>
  </w:style>
  <w:style w:type="paragraph" w:customStyle="1" w:styleId="82">
    <w:name w:val="xl53"/>
    <w:basedOn w:val="1"/>
    <w:next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0"/>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0"/>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0"/>
    <w:next w:val="8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0"/>
    <w:next w:val="80"/>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Other|1"/>
    <w:basedOn w:val="1"/>
    <w:qFormat/>
    <w:uiPriority w:val="0"/>
    <w:pPr>
      <w:spacing w:line="313" w:lineRule="exact"/>
    </w:pPr>
    <w:rPr>
      <w:rFonts w:ascii="宋体" w:hAnsi="宋体" w:cs="宋体"/>
      <w:sz w:val="22"/>
      <w:szCs w:val="22"/>
      <w:lang w:val="zh-TW" w:eastAsia="zh-TW" w:bidi="zh-TW"/>
    </w:rPr>
  </w:style>
  <w:style w:type="paragraph" w:customStyle="1" w:styleId="964">
    <w:name w:val="PlainText"/>
    <w:basedOn w:val="1"/>
    <w:qFormat/>
    <w:uiPriority w:val="0"/>
    <w:pPr>
      <w:textAlignment w:val="baseline"/>
    </w:pPr>
    <w:rPr>
      <w:rFonts w:ascii="宋体" w:hAnsi="Courier New"/>
      <w:szCs w:val="20"/>
    </w:rPr>
  </w:style>
  <w:style w:type="character" w:customStyle="1" w:styleId="965">
    <w:name w:val="未处理的提及2"/>
    <w:basedOn w:val="70"/>
    <w:semiHidden/>
    <w:unhideWhenUsed/>
    <w:qFormat/>
    <w:uiPriority w:val="99"/>
    <w:rPr>
      <w:color w:val="605E5C"/>
      <w:shd w:val="clear" w:color="auto" w:fill="E1DFDD"/>
    </w:rPr>
  </w:style>
  <w:style w:type="character" w:customStyle="1" w:styleId="966">
    <w:name w:val="bookmark-item"/>
    <w:basedOn w:val="70"/>
    <w:qFormat/>
    <w:uiPriority w:val="0"/>
  </w:style>
  <w:style w:type="character" w:customStyle="1" w:styleId="967">
    <w:name w:val="未处理的提及3"/>
    <w:basedOn w:val="70"/>
    <w:semiHidden/>
    <w:unhideWhenUsed/>
    <w:qFormat/>
    <w:uiPriority w:val="99"/>
    <w:rPr>
      <w:color w:val="605E5C"/>
      <w:shd w:val="clear" w:color="auto" w:fill="E1DFDD"/>
    </w:rPr>
  </w:style>
  <w:style w:type="character" w:customStyle="1" w:styleId="968">
    <w:name w:val="NormalCharacter"/>
    <w:link w:val="969"/>
    <w:semiHidden/>
    <w:qFormat/>
    <w:uiPriority w:val="0"/>
    <w:rPr>
      <w:rFonts w:ascii="Calibri"/>
      <w:kern w:val="0"/>
      <w:sz w:val="20"/>
      <w:szCs w:val="22"/>
    </w:rPr>
  </w:style>
  <w:style w:type="paragraph" w:customStyle="1" w:styleId="969">
    <w:name w:val="UserStyle_127"/>
    <w:basedOn w:val="1"/>
    <w:link w:val="968"/>
    <w:qFormat/>
    <w:uiPriority w:val="0"/>
    <w:pPr>
      <w:spacing w:after="160" w:line="240" w:lineRule="exact"/>
      <w:jc w:val="left"/>
    </w:pPr>
    <w:rPr>
      <w:rFonts w:ascii="Calibri"/>
      <w:kern w:val="0"/>
      <w:sz w:val="20"/>
      <w:szCs w:val="22"/>
    </w:rPr>
  </w:style>
  <w:style w:type="paragraph" w:customStyle="1" w:styleId="970">
    <w:name w:val="[Normal]"/>
    <w:qFormat/>
    <w:uiPriority w:val="0"/>
    <w:rPr>
      <w:rFonts w:ascii="宋体" w:hAnsi="宋体" w:eastAsia="宋体" w:cs="Times New Roman"/>
      <w:sz w:val="24"/>
      <w:szCs w:val="22"/>
      <w:lang w:val="zh-CN" w:eastAsia="zh-CN" w:bidi="ar-SA"/>
    </w:rPr>
  </w:style>
  <w:style w:type="character" w:customStyle="1" w:styleId="971">
    <w:name w:val="未处理的提及4"/>
    <w:basedOn w:val="70"/>
    <w:semiHidden/>
    <w:unhideWhenUsed/>
    <w:qFormat/>
    <w:uiPriority w:val="99"/>
    <w:rPr>
      <w:color w:val="605E5C"/>
      <w:shd w:val="clear" w:color="auto" w:fill="E1DFDD"/>
    </w:rPr>
  </w:style>
  <w:style w:type="character" w:customStyle="1" w:styleId="972">
    <w:name w:val="Unresolved Mention"/>
    <w:basedOn w:val="70"/>
    <w:semiHidden/>
    <w:unhideWhenUsed/>
    <w:qFormat/>
    <w:uiPriority w:val="99"/>
    <w:rPr>
      <w:color w:val="605E5C"/>
      <w:shd w:val="clear" w:color="auto" w:fill="E1DFDD"/>
    </w:rPr>
  </w:style>
  <w:style w:type="paragraph" w:customStyle="1" w:styleId="973">
    <w:name w:val="_Style 4"/>
    <w:basedOn w:val="1"/>
    <w:qFormat/>
    <w:uiPriority w:val="34"/>
    <w:pPr>
      <w:widowControl/>
      <w:adjustRightInd/>
      <w:spacing w:after="200"/>
      <w:ind w:firstLine="420" w:firstLineChars="200"/>
      <w:jc w:val="left"/>
    </w:pPr>
    <w:rPr>
      <w:rFonts w:ascii="仿宋" w:hAnsi="仿宋" w:eastAsia="仿宋_GB2312" w:cstheme="majorBidi"/>
      <w:kern w:val="0"/>
      <w:sz w:val="28"/>
      <w:szCs w:val="22"/>
    </w:rPr>
  </w:style>
  <w:style w:type="paragraph" w:customStyle="1" w:styleId="974">
    <w:name w:val="纯文本11"/>
    <w:basedOn w:val="1"/>
    <w:qFormat/>
    <w:uiPriority w:val="0"/>
    <w:pPr>
      <w:widowControl/>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9195</Words>
  <Characters>10090</Characters>
  <Lines>46</Lines>
  <Paragraphs>48</Paragraphs>
  <TotalTime>14</TotalTime>
  <ScaleCrop>false</ScaleCrop>
  <LinksUpToDate>false</LinksUpToDate>
  <CharactersWithSpaces>10270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cp:lastModifiedBy>
  <cp:lastPrinted>2024-09-02T03:00:00Z</cp:lastPrinted>
  <dcterms:modified xsi:type="dcterms:W3CDTF">2025-01-14T07:21:55Z</dcterms:modified>
  <dc:title>杭州市市民卡扩大发卡工程</dc:title>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3472F65386E94187947AD4B80726A2A9</vt:lpwstr>
  </property>
  <property fmtid="{D5CDD505-2E9C-101B-9397-08002B2CF9AE}" pid="5" name="KSOTemplateDocerSaveRecord">
    <vt:lpwstr>eyJoZGlkIjoiOGI4NjI5OTBmMDM1ODFlMDkzNDFlZTFiMWNhZWU5ZTMifQ==</vt:lpwstr>
  </property>
</Properties>
</file>