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6AA721">
      <w:pPr>
        <w:spacing w:line="360" w:lineRule="auto"/>
        <w:jc w:val="center"/>
        <w:rPr>
          <w:rFonts w:ascii="仿宋" w:hAnsi="仿宋" w:eastAsia="仿宋" w:cs="仿宋_GB2312"/>
          <w:b/>
          <w:sz w:val="24"/>
        </w:rPr>
      </w:pPr>
      <w:r>
        <w:rPr>
          <w:rFonts w:hint="eastAsia" w:ascii="仿宋" w:hAnsi="仿宋" w:eastAsia="仿宋" w:cs="仿宋_GB2312"/>
          <w:b/>
          <w:sz w:val="24"/>
        </w:rPr>
        <w:t xml:space="preserve">                                                     </w:t>
      </w:r>
    </w:p>
    <w:p w14:paraId="6F3114A7">
      <w:pPr>
        <w:adjustRightInd/>
        <w:spacing w:line="360" w:lineRule="auto"/>
        <w:rPr>
          <w:rFonts w:ascii="仿宋" w:hAnsi="仿宋" w:eastAsia="仿宋" w:cs="仿宋_GB2312"/>
          <w:b/>
          <w:sz w:val="44"/>
          <w:szCs w:val="44"/>
        </w:rPr>
      </w:pPr>
    </w:p>
    <w:p w14:paraId="3A62DC5F">
      <w:pPr>
        <w:spacing w:line="600" w:lineRule="exact"/>
        <w:jc w:val="center"/>
        <w:rPr>
          <w:rFonts w:hint="eastAsia" w:ascii="仿宋" w:hAnsi="仿宋" w:eastAsia="宋体"/>
          <w:b/>
          <w:bCs/>
          <w:sz w:val="36"/>
          <w:szCs w:val="36"/>
          <w:lang w:val="en-US" w:eastAsia="zh-CN"/>
        </w:rPr>
      </w:pPr>
      <w:r>
        <w:rPr>
          <w:rFonts w:hint="eastAsia" w:ascii="仿宋" w:hAnsi="仿宋" w:eastAsia="仿宋"/>
          <w:b/>
          <w:bCs/>
          <w:sz w:val="36"/>
          <w:szCs w:val="36"/>
          <w:lang w:eastAsia="zh-CN"/>
        </w:rPr>
        <w:t>临空光电信息产业园区西区一期及临空智能制造产业园北区一期配套道路工程招标代理及标底审核服务</w:t>
      </w:r>
      <w:r>
        <w:rPr>
          <w:rFonts w:hint="eastAsia" w:ascii="仿宋" w:hAnsi="仿宋" w:eastAsia="仿宋"/>
          <w:b/>
          <w:bCs/>
          <w:sz w:val="36"/>
          <w:szCs w:val="36"/>
          <w:lang w:val="en-US" w:eastAsia="zh-CN"/>
        </w:rPr>
        <w:t>项目</w:t>
      </w:r>
    </w:p>
    <w:p w14:paraId="5514043E">
      <w:pPr>
        <w:snapToGrid w:val="0"/>
        <w:spacing w:line="360" w:lineRule="auto"/>
        <w:jc w:val="center"/>
        <w:rPr>
          <w:rFonts w:ascii="仿宋" w:hAnsi="仿宋" w:eastAsia="仿宋" w:cs="仿宋_GB2312"/>
          <w:sz w:val="30"/>
          <w:szCs w:val="30"/>
        </w:rPr>
      </w:pPr>
    </w:p>
    <w:p w14:paraId="077A6E00">
      <w:pPr>
        <w:snapToGrid w:val="0"/>
        <w:spacing w:line="360" w:lineRule="auto"/>
        <w:jc w:val="center"/>
        <w:rPr>
          <w:rFonts w:hint="eastAsia" w:ascii="仿宋" w:hAnsi="仿宋" w:eastAsia="仿宋" w:cs="仿宋_GB2312"/>
          <w:sz w:val="30"/>
          <w:szCs w:val="30"/>
          <w:highlight w:val="none"/>
        </w:rPr>
      </w:pPr>
      <w:r>
        <w:rPr>
          <w:rFonts w:hint="eastAsia" w:ascii="仿宋" w:hAnsi="仿宋" w:eastAsia="仿宋" w:cs="仿宋_GB2312"/>
          <w:sz w:val="30"/>
          <w:szCs w:val="30"/>
        </w:rPr>
        <w:t>项目编号:</w:t>
      </w:r>
      <w:r>
        <w:rPr>
          <w:rFonts w:hint="eastAsia" w:ascii="仿宋" w:hAnsi="仿宋" w:eastAsia="仿宋" w:cs="仿宋_GB2312"/>
          <w:sz w:val="30"/>
          <w:szCs w:val="30"/>
          <w:highlight w:val="none"/>
        </w:rPr>
        <w:t>绍柯企{2025}281号</w:t>
      </w:r>
    </w:p>
    <w:p w14:paraId="5628AA57">
      <w:pPr>
        <w:spacing w:line="360" w:lineRule="auto"/>
        <w:jc w:val="center"/>
        <w:rPr>
          <w:rFonts w:ascii="仿宋" w:hAnsi="仿宋" w:eastAsia="仿宋" w:cs="仿宋_GB2312"/>
          <w:b/>
          <w:sz w:val="44"/>
          <w:szCs w:val="44"/>
        </w:rPr>
      </w:pPr>
    </w:p>
    <w:p w14:paraId="47AC8E7F">
      <w:pPr>
        <w:spacing w:line="360" w:lineRule="auto"/>
        <w:jc w:val="center"/>
        <w:rPr>
          <w:rFonts w:ascii="仿宋" w:hAnsi="仿宋" w:eastAsia="仿宋" w:cs="仿宋_GB2312"/>
          <w:b/>
          <w:sz w:val="44"/>
          <w:szCs w:val="44"/>
        </w:rPr>
      </w:pPr>
    </w:p>
    <w:p w14:paraId="4E4054DB">
      <w:pPr>
        <w:jc w:val="center"/>
        <w:outlineLvl w:val="0"/>
        <w:rPr>
          <w:rFonts w:ascii="仿宋" w:hAnsi="仿宋" w:eastAsia="仿宋" w:cs="Arial"/>
          <w:b/>
          <w:sz w:val="56"/>
          <w:szCs w:val="56"/>
        </w:rPr>
      </w:pPr>
      <w:r>
        <w:rPr>
          <w:rFonts w:hint="eastAsia" w:ascii="仿宋" w:hAnsi="仿宋" w:eastAsia="仿宋" w:cs="Arial"/>
          <w:b/>
          <w:sz w:val="56"/>
          <w:szCs w:val="56"/>
        </w:rPr>
        <w:t>公</w:t>
      </w:r>
    </w:p>
    <w:p w14:paraId="7ECFF0D1">
      <w:pPr>
        <w:jc w:val="center"/>
        <w:outlineLvl w:val="0"/>
        <w:rPr>
          <w:rFonts w:ascii="仿宋" w:hAnsi="仿宋" w:eastAsia="仿宋" w:cs="Arial"/>
          <w:b/>
          <w:sz w:val="56"/>
          <w:szCs w:val="56"/>
        </w:rPr>
      </w:pPr>
      <w:r>
        <w:rPr>
          <w:rFonts w:hint="eastAsia" w:ascii="仿宋" w:hAnsi="仿宋" w:eastAsia="仿宋" w:cs="Arial"/>
          <w:b/>
          <w:sz w:val="56"/>
          <w:szCs w:val="56"/>
        </w:rPr>
        <w:t>开</w:t>
      </w:r>
    </w:p>
    <w:p w14:paraId="094693A9">
      <w:pPr>
        <w:jc w:val="center"/>
        <w:outlineLvl w:val="0"/>
        <w:rPr>
          <w:rFonts w:ascii="仿宋" w:hAnsi="仿宋" w:eastAsia="仿宋" w:cs="Arial"/>
          <w:b/>
          <w:sz w:val="56"/>
          <w:szCs w:val="56"/>
        </w:rPr>
      </w:pPr>
      <w:r>
        <w:rPr>
          <w:rFonts w:hint="eastAsia" w:ascii="仿宋" w:hAnsi="仿宋" w:eastAsia="仿宋" w:cs="Arial"/>
          <w:b/>
          <w:sz w:val="56"/>
          <w:szCs w:val="56"/>
        </w:rPr>
        <w:t>招</w:t>
      </w:r>
    </w:p>
    <w:p w14:paraId="29737417">
      <w:pPr>
        <w:jc w:val="center"/>
        <w:outlineLvl w:val="0"/>
        <w:rPr>
          <w:rFonts w:ascii="仿宋" w:hAnsi="仿宋" w:eastAsia="仿宋" w:cs="Arial"/>
          <w:b/>
          <w:sz w:val="56"/>
          <w:szCs w:val="56"/>
        </w:rPr>
      </w:pPr>
      <w:r>
        <w:rPr>
          <w:rFonts w:hint="eastAsia" w:ascii="仿宋" w:hAnsi="仿宋" w:eastAsia="仿宋" w:cs="Arial"/>
          <w:b/>
          <w:sz w:val="56"/>
          <w:szCs w:val="56"/>
        </w:rPr>
        <w:t>标</w:t>
      </w:r>
    </w:p>
    <w:p w14:paraId="61CFD858">
      <w:pPr>
        <w:jc w:val="center"/>
        <w:outlineLvl w:val="0"/>
        <w:rPr>
          <w:rFonts w:ascii="仿宋" w:hAnsi="仿宋" w:eastAsia="仿宋"/>
          <w:b/>
          <w:sz w:val="56"/>
          <w:szCs w:val="56"/>
        </w:rPr>
      </w:pPr>
      <w:r>
        <w:rPr>
          <w:rFonts w:hint="eastAsia" w:ascii="仿宋" w:hAnsi="仿宋" w:eastAsia="仿宋"/>
          <w:b/>
          <w:sz w:val="56"/>
          <w:szCs w:val="56"/>
        </w:rPr>
        <w:t>文</w:t>
      </w:r>
    </w:p>
    <w:p w14:paraId="21CC6B66">
      <w:pPr>
        <w:adjustRightInd/>
        <w:spacing w:line="360" w:lineRule="auto"/>
        <w:jc w:val="center"/>
        <w:rPr>
          <w:rFonts w:ascii="仿宋" w:hAnsi="仿宋" w:eastAsia="仿宋"/>
          <w:b/>
          <w:sz w:val="56"/>
          <w:szCs w:val="56"/>
        </w:rPr>
      </w:pPr>
      <w:r>
        <w:rPr>
          <w:rFonts w:hint="eastAsia" w:ascii="仿宋" w:hAnsi="仿宋" w:eastAsia="仿宋"/>
          <w:b/>
          <w:sz w:val="56"/>
          <w:szCs w:val="56"/>
        </w:rPr>
        <w:t>件</w:t>
      </w:r>
    </w:p>
    <w:p w14:paraId="4E7113AF">
      <w:pPr>
        <w:spacing w:line="360" w:lineRule="auto"/>
        <w:jc w:val="center"/>
        <w:rPr>
          <w:rFonts w:ascii="仿宋" w:hAnsi="仿宋" w:eastAsia="仿宋" w:cs="仿宋_GB2312"/>
          <w:b/>
          <w:sz w:val="24"/>
        </w:rPr>
      </w:pPr>
    </w:p>
    <w:p w14:paraId="2E97A986">
      <w:pPr>
        <w:spacing w:line="360" w:lineRule="auto"/>
        <w:rPr>
          <w:rFonts w:ascii="仿宋" w:hAnsi="仿宋" w:eastAsia="仿宋" w:cs="仿宋_GB2312"/>
          <w:b/>
          <w:sz w:val="24"/>
        </w:rPr>
      </w:pPr>
    </w:p>
    <w:p w14:paraId="7A430065">
      <w:pPr>
        <w:spacing w:line="360" w:lineRule="auto"/>
        <w:jc w:val="center"/>
        <w:rPr>
          <w:rFonts w:ascii="仿宋" w:hAnsi="仿宋" w:eastAsia="仿宋" w:cs="仿宋_GB2312"/>
          <w:b/>
          <w:sz w:val="24"/>
        </w:rPr>
      </w:pPr>
    </w:p>
    <w:p w14:paraId="19856BF5">
      <w:pPr>
        <w:snapToGrid w:val="0"/>
        <w:spacing w:line="360" w:lineRule="auto"/>
        <w:jc w:val="center"/>
        <w:rPr>
          <w:rFonts w:hint="eastAsia" w:ascii="仿宋" w:hAnsi="仿宋" w:eastAsia="仿宋" w:cs="仿宋_GB2312"/>
          <w:sz w:val="32"/>
          <w:szCs w:val="32"/>
          <w:highlight w:val="none"/>
          <w:lang w:eastAsia="zh-CN"/>
        </w:rPr>
      </w:pPr>
      <w:r>
        <w:rPr>
          <w:rFonts w:hint="eastAsia" w:ascii="仿宋" w:hAnsi="仿宋" w:eastAsia="仿宋" w:cs="仿宋_GB2312"/>
          <w:sz w:val="32"/>
          <w:szCs w:val="32"/>
        </w:rPr>
        <w:t>采</w:t>
      </w:r>
      <w:r>
        <w:rPr>
          <w:rFonts w:hint="eastAsia" w:ascii="仿宋" w:hAnsi="仿宋" w:eastAsia="仿宋" w:cs="仿宋_GB2312"/>
          <w:sz w:val="32"/>
          <w:szCs w:val="32"/>
          <w:highlight w:val="none"/>
        </w:rPr>
        <w:t>购单位：</w:t>
      </w:r>
      <w:r>
        <w:rPr>
          <w:rFonts w:hint="eastAsia" w:ascii="仿宋" w:hAnsi="仿宋" w:eastAsia="仿宋" w:cs="仿宋_GB2312"/>
          <w:sz w:val="32"/>
          <w:szCs w:val="32"/>
          <w:lang w:val="en-US" w:eastAsia="zh-CN"/>
        </w:rPr>
        <w:t>浙江绍兴杭绍临空示范区产业发展集团有限公司</w:t>
      </w:r>
    </w:p>
    <w:p w14:paraId="0804AEB9">
      <w:pPr>
        <w:pStyle w:val="58"/>
        <w:rPr>
          <w:rFonts w:hint="default"/>
          <w:lang w:val="en-US" w:eastAsia="zh-CN"/>
        </w:rPr>
      </w:pPr>
      <w:r>
        <w:rPr>
          <w:rFonts w:hint="eastAsia" w:ascii="仿宋" w:hAnsi="仿宋" w:eastAsia="仿宋" w:cs="仿宋_GB2312"/>
          <w:sz w:val="32"/>
          <w:szCs w:val="32"/>
          <w:highlight w:val="none"/>
          <w:lang w:val="en-US" w:eastAsia="zh-CN"/>
        </w:rPr>
        <w:t xml:space="preserve">            </w:t>
      </w:r>
    </w:p>
    <w:p w14:paraId="62A8C77F">
      <w:pPr>
        <w:snapToGrid w:val="0"/>
        <w:spacing w:line="360" w:lineRule="auto"/>
        <w:jc w:val="center"/>
        <w:rPr>
          <w:rFonts w:ascii="仿宋_GB2312" w:hAnsi="仿宋_GB2312" w:eastAsia="仿宋_GB2312" w:cs="仿宋_GB2312"/>
          <w:bCs/>
          <w:sz w:val="32"/>
          <w:szCs w:val="32"/>
          <w:highlight w:val="red"/>
        </w:rPr>
      </w:pPr>
      <w:r>
        <w:rPr>
          <w:rFonts w:hint="eastAsia" w:ascii="仿宋_GB2312" w:hAnsi="仿宋_GB2312" w:eastAsia="仿宋_GB2312" w:cs="仿宋_GB2312"/>
          <w:bCs/>
          <w:sz w:val="32"/>
          <w:szCs w:val="32"/>
        </w:rPr>
        <w:t xml:space="preserve"> </w:t>
      </w:r>
      <w:r>
        <w:rPr>
          <w:rFonts w:ascii="仿宋_GB2312" w:hAnsi="仿宋_GB2312" w:eastAsia="仿宋_GB2312" w:cs="仿宋_GB2312"/>
          <w:bCs/>
          <w:sz w:val="32"/>
          <w:szCs w:val="32"/>
        </w:rPr>
        <w:t xml:space="preserve">  </w:t>
      </w:r>
      <w:r>
        <w:rPr>
          <w:rFonts w:hint="eastAsia" w:ascii="仿宋_GB2312" w:hAnsi="仿宋_GB2312" w:eastAsia="仿宋_GB2312" w:cs="仿宋_GB2312"/>
          <w:bCs/>
          <w:sz w:val="32"/>
          <w:szCs w:val="32"/>
        </w:rPr>
        <w:t>202</w:t>
      </w:r>
      <w:r>
        <w:rPr>
          <w:rFonts w:hint="eastAsia" w:ascii="仿宋_GB2312" w:hAnsi="仿宋_GB2312" w:eastAsia="仿宋_GB2312" w:cs="仿宋_GB2312"/>
          <w:bCs/>
          <w:sz w:val="32"/>
          <w:szCs w:val="32"/>
          <w:lang w:val="en-US" w:eastAsia="zh-CN"/>
        </w:rPr>
        <w:t>5</w:t>
      </w:r>
      <w:r>
        <w:rPr>
          <w:rFonts w:hint="eastAsia" w:ascii="仿宋_GB2312" w:hAnsi="仿宋_GB2312" w:eastAsia="仿宋_GB2312" w:cs="仿宋_GB2312"/>
          <w:bCs/>
          <w:sz w:val="32"/>
          <w:szCs w:val="32"/>
        </w:rPr>
        <w:t>年</w:t>
      </w:r>
      <w:r>
        <w:rPr>
          <w:rFonts w:hint="eastAsia" w:ascii="仿宋_GB2312" w:hAnsi="仿宋_GB2312" w:eastAsia="仿宋_GB2312" w:cs="仿宋_GB2312"/>
          <w:bCs/>
          <w:sz w:val="32"/>
          <w:szCs w:val="32"/>
          <w:lang w:val="en-US" w:eastAsia="zh-CN"/>
        </w:rPr>
        <w:t>4</w:t>
      </w:r>
      <w:r>
        <w:rPr>
          <w:rFonts w:hint="eastAsia" w:ascii="仿宋_GB2312" w:hAnsi="仿宋_GB2312" w:eastAsia="仿宋_GB2312" w:cs="仿宋_GB2312"/>
          <w:bCs/>
          <w:sz w:val="32"/>
          <w:szCs w:val="32"/>
        </w:rPr>
        <w:t>月</w:t>
      </w:r>
      <w:r>
        <w:rPr>
          <w:rFonts w:hint="eastAsia" w:ascii="仿宋_GB2312" w:hAnsi="仿宋_GB2312" w:eastAsia="仿宋_GB2312" w:cs="仿宋_GB2312"/>
          <w:bCs/>
          <w:sz w:val="32"/>
          <w:szCs w:val="32"/>
          <w:lang w:val="en-US" w:eastAsia="zh-CN"/>
        </w:rPr>
        <w:t>7</w:t>
      </w:r>
      <w:r>
        <w:rPr>
          <w:rFonts w:hint="eastAsia" w:ascii="仿宋_GB2312" w:hAnsi="仿宋_GB2312" w:eastAsia="仿宋_GB2312" w:cs="仿宋_GB2312"/>
          <w:bCs/>
          <w:sz w:val="32"/>
          <w:szCs w:val="32"/>
        </w:rPr>
        <w:t>日</w:t>
      </w:r>
    </w:p>
    <w:p w14:paraId="7F1CEB98">
      <w:pPr>
        <w:spacing w:line="360" w:lineRule="auto"/>
        <w:jc w:val="center"/>
        <w:rPr>
          <w:rFonts w:ascii="仿宋" w:hAnsi="仿宋" w:eastAsia="仿宋" w:cs="仿宋_GB2312"/>
          <w:b/>
          <w:sz w:val="48"/>
          <w:szCs w:val="48"/>
        </w:rPr>
      </w:pPr>
      <w:r>
        <w:rPr>
          <w:rFonts w:hint="eastAsia" w:ascii="仿宋" w:hAnsi="仿宋" w:eastAsia="仿宋" w:cs="仿宋_GB2312"/>
          <w:sz w:val="24"/>
        </w:rPr>
        <w:br w:type="page"/>
      </w:r>
      <w:bookmarkStart w:id="0" w:name="_Hlt67893495"/>
      <w:bookmarkEnd w:id="0"/>
      <w:r>
        <w:rPr>
          <w:rFonts w:hint="eastAsia" w:ascii="仿宋" w:hAnsi="仿宋" w:eastAsia="仿宋" w:cs="仿宋_GB2312"/>
          <w:b/>
          <w:sz w:val="48"/>
          <w:szCs w:val="48"/>
        </w:rPr>
        <w:t>目  录</w:t>
      </w:r>
    </w:p>
    <w:p w14:paraId="6DA3AE03">
      <w:pPr>
        <w:spacing w:line="360" w:lineRule="auto"/>
        <w:rPr>
          <w:rFonts w:ascii="仿宋" w:hAnsi="仿宋" w:eastAsia="仿宋" w:cs="仿宋_GB2312"/>
          <w:sz w:val="32"/>
          <w:szCs w:val="32"/>
        </w:rPr>
      </w:pPr>
    </w:p>
    <w:p w14:paraId="448C52A8">
      <w:pPr>
        <w:spacing w:line="360" w:lineRule="auto"/>
        <w:rPr>
          <w:rFonts w:ascii="仿宋" w:hAnsi="仿宋" w:eastAsia="仿宋" w:cs="仿宋_GB2312"/>
          <w:sz w:val="32"/>
          <w:szCs w:val="32"/>
        </w:rPr>
      </w:pPr>
    </w:p>
    <w:p w14:paraId="16F4D12A">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第一部分      招标公告</w:t>
      </w:r>
    </w:p>
    <w:p w14:paraId="6C2A0866">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第二部分      投标人须知</w:t>
      </w:r>
    </w:p>
    <w:p w14:paraId="0E76EE57">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第三部分      采购需求</w:t>
      </w:r>
    </w:p>
    <w:p w14:paraId="100BFF1C">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第四部分      评标方法及评分标准</w:t>
      </w:r>
    </w:p>
    <w:p w14:paraId="1F0194B3">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第五部分      拟签订的合同文本</w:t>
      </w:r>
    </w:p>
    <w:p w14:paraId="223509DB">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第六部分      应提交的有关格式范例</w:t>
      </w:r>
    </w:p>
    <w:p w14:paraId="25AE5896">
      <w:pPr>
        <w:spacing w:line="360" w:lineRule="auto"/>
        <w:ind w:firstLine="549" w:firstLineChars="229"/>
        <w:rPr>
          <w:rFonts w:ascii="仿宋" w:hAnsi="仿宋" w:eastAsia="仿宋" w:cs="仿宋_GB2312"/>
          <w:sz w:val="24"/>
        </w:rPr>
      </w:pPr>
      <w:bookmarkStart w:id="1" w:name="_Hlt91233176"/>
      <w:bookmarkEnd w:id="1"/>
      <w:bookmarkStart w:id="2" w:name="_Toc91899869"/>
    </w:p>
    <w:p w14:paraId="2817418B">
      <w:pPr>
        <w:spacing w:line="360" w:lineRule="auto"/>
        <w:ind w:firstLine="549" w:firstLineChars="229"/>
        <w:rPr>
          <w:rFonts w:ascii="仿宋" w:hAnsi="仿宋" w:eastAsia="仿宋" w:cs="仿宋_GB2312"/>
          <w:sz w:val="24"/>
        </w:rPr>
      </w:pPr>
    </w:p>
    <w:p w14:paraId="52C92AD7">
      <w:pPr>
        <w:spacing w:line="360" w:lineRule="auto"/>
        <w:ind w:firstLine="549" w:firstLineChars="229"/>
        <w:rPr>
          <w:rFonts w:ascii="仿宋" w:hAnsi="仿宋" w:eastAsia="仿宋" w:cs="仿宋_GB2312"/>
          <w:sz w:val="24"/>
        </w:rPr>
      </w:pPr>
    </w:p>
    <w:p w14:paraId="6168D5DD">
      <w:pPr>
        <w:spacing w:line="360" w:lineRule="auto"/>
        <w:ind w:firstLine="549" w:firstLineChars="229"/>
        <w:rPr>
          <w:rFonts w:ascii="仿宋" w:hAnsi="仿宋" w:eastAsia="仿宋" w:cs="仿宋_GB2312"/>
          <w:sz w:val="24"/>
        </w:rPr>
      </w:pPr>
    </w:p>
    <w:p w14:paraId="3F4527DD">
      <w:pPr>
        <w:spacing w:line="360" w:lineRule="auto"/>
        <w:ind w:firstLine="549" w:firstLineChars="229"/>
        <w:rPr>
          <w:rFonts w:ascii="仿宋" w:hAnsi="仿宋" w:eastAsia="仿宋" w:cs="仿宋_GB2312"/>
          <w:sz w:val="24"/>
        </w:rPr>
      </w:pPr>
    </w:p>
    <w:p w14:paraId="4385BE62">
      <w:pPr>
        <w:spacing w:line="360" w:lineRule="auto"/>
        <w:ind w:firstLine="549" w:firstLineChars="229"/>
        <w:rPr>
          <w:rFonts w:ascii="仿宋" w:hAnsi="仿宋" w:eastAsia="仿宋" w:cs="仿宋_GB2312"/>
          <w:sz w:val="24"/>
        </w:rPr>
      </w:pPr>
    </w:p>
    <w:p w14:paraId="35623575">
      <w:pPr>
        <w:spacing w:line="360" w:lineRule="auto"/>
        <w:ind w:firstLine="549" w:firstLineChars="229"/>
        <w:rPr>
          <w:rFonts w:ascii="仿宋" w:hAnsi="仿宋" w:eastAsia="仿宋" w:cs="仿宋_GB2312"/>
          <w:sz w:val="24"/>
        </w:rPr>
      </w:pPr>
    </w:p>
    <w:p w14:paraId="3332F621">
      <w:pPr>
        <w:spacing w:line="360" w:lineRule="auto"/>
        <w:ind w:firstLine="549" w:firstLineChars="229"/>
        <w:rPr>
          <w:rFonts w:ascii="仿宋" w:hAnsi="仿宋" w:eastAsia="仿宋" w:cs="仿宋_GB2312"/>
          <w:sz w:val="24"/>
        </w:rPr>
      </w:pPr>
    </w:p>
    <w:p w14:paraId="781C080C">
      <w:pPr>
        <w:spacing w:line="360" w:lineRule="auto"/>
        <w:ind w:firstLine="549" w:firstLineChars="229"/>
        <w:rPr>
          <w:rFonts w:ascii="仿宋" w:hAnsi="仿宋" w:eastAsia="仿宋" w:cs="仿宋_GB2312"/>
          <w:sz w:val="24"/>
        </w:rPr>
      </w:pPr>
    </w:p>
    <w:p w14:paraId="17F91D1A">
      <w:pPr>
        <w:spacing w:line="360" w:lineRule="auto"/>
        <w:ind w:firstLine="549" w:firstLineChars="229"/>
        <w:rPr>
          <w:rFonts w:ascii="仿宋" w:hAnsi="仿宋" w:eastAsia="仿宋" w:cs="仿宋_GB2312"/>
          <w:sz w:val="24"/>
        </w:rPr>
      </w:pPr>
    </w:p>
    <w:p w14:paraId="25D33921">
      <w:pPr>
        <w:spacing w:line="360" w:lineRule="auto"/>
        <w:ind w:firstLine="549" w:firstLineChars="229"/>
        <w:rPr>
          <w:rFonts w:ascii="仿宋" w:hAnsi="仿宋" w:eastAsia="仿宋" w:cs="仿宋_GB2312"/>
          <w:sz w:val="24"/>
        </w:rPr>
      </w:pPr>
    </w:p>
    <w:p w14:paraId="6D1B9A34">
      <w:pPr>
        <w:spacing w:line="360" w:lineRule="auto"/>
        <w:ind w:firstLine="549" w:firstLineChars="229"/>
        <w:rPr>
          <w:rFonts w:ascii="仿宋" w:hAnsi="仿宋" w:eastAsia="仿宋" w:cs="仿宋_GB2312"/>
          <w:sz w:val="24"/>
        </w:rPr>
      </w:pPr>
    </w:p>
    <w:p w14:paraId="115C5F2C">
      <w:pPr>
        <w:spacing w:line="360" w:lineRule="auto"/>
        <w:ind w:firstLine="549" w:firstLineChars="229"/>
        <w:rPr>
          <w:rFonts w:ascii="仿宋" w:hAnsi="仿宋" w:eastAsia="仿宋" w:cs="仿宋_GB2312"/>
          <w:sz w:val="24"/>
        </w:rPr>
      </w:pPr>
    </w:p>
    <w:p w14:paraId="66B94BA4">
      <w:pPr>
        <w:spacing w:line="360" w:lineRule="auto"/>
        <w:rPr>
          <w:rFonts w:ascii="仿宋" w:hAnsi="仿宋" w:eastAsia="仿宋" w:cs="仿宋_GB2312"/>
          <w:sz w:val="24"/>
        </w:rPr>
      </w:pPr>
    </w:p>
    <w:p w14:paraId="3D6F3269">
      <w:pPr>
        <w:adjustRightInd/>
        <w:spacing w:line="360" w:lineRule="auto"/>
        <w:jc w:val="center"/>
        <w:outlineLvl w:val="0"/>
        <w:rPr>
          <w:rFonts w:ascii="仿宋" w:hAnsi="仿宋" w:eastAsia="仿宋" w:cs="仿宋_GB2312"/>
          <w:b/>
          <w:sz w:val="36"/>
          <w:szCs w:val="20"/>
        </w:rPr>
      </w:pPr>
      <w:bookmarkStart w:id="3" w:name="第一部分"/>
      <w:r>
        <w:rPr>
          <w:rFonts w:hint="eastAsia" w:ascii="仿宋" w:hAnsi="仿宋" w:eastAsia="仿宋" w:cs="仿宋_GB2312"/>
          <w:b/>
          <w:sz w:val="36"/>
          <w:szCs w:val="36"/>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仿宋" w:hAnsi="仿宋" w:eastAsia="仿宋" w:cs="仿宋_GB2312"/>
          <w:b/>
          <w:sz w:val="36"/>
          <w:szCs w:val="20"/>
        </w:rPr>
        <w:t>第一部分 招标公告</w:t>
      </w:r>
    </w:p>
    <w:p w14:paraId="176C5D88">
      <w:pPr>
        <w:pBdr>
          <w:top w:val="single" w:color="auto" w:sz="4" w:space="1"/>
          <w:left w:val="single" w:color="auto" w:sz="4" w:space="4"/>
          <w:bottom w:val="single" w:color="auto" w:sz="4" w:space="1"/>
          <w:right w:val="single" w:color="auto" w:sz="4" w:space="4"/>
        </w:pBdr>
        <w:ind w:left="840"/>
        <w:rPr>
          <w:rFonts w:ascii="仿宋" w:hAnsi="仿宋" w:eastAsia="仿宋"/>
          <w:sz w:val="24"/>
          <w:szCs w:val="28"/>
        </w:rPr>
      </w:pPr>
      <w:r>
        <w:rPr>
          <w:rFonts w:hint="eastAsia" w:ascii="仿宋" w:hAnsi="仿宋" w:eastAsia="仿宋"/>
          <w:sz w:val="24"/>
          <w:szCs w:val="28"/>
        </w:rPr>
        <w:t>项目概况</w:t>
      </w:r>
    </w:p>
    <w:p w14:paraId="650E0B65">
      <w:pPr>
        <w:pBdr>
          <w:top w:val="single" w:color="auto" w:sz="4" w:space="1"/>
          <w:left w:val="single" w:color="auto" w:sz="4" w:space="4"/>
          <w:bottom w:val="single" w:color="auto" w:sz="4" w:space="1"/>
          <w:right w:val="single" w:color="auto" w:sz="4" w:space="4"/>
        </w:pBdr>
        <w:ind w:left="840"/>
        <w:rPr>
          <w:rFonts w:ascii="仿宋" w:hAnsi="仿宋" w:eastAsia="仿宋"/>
          <w:sz w:val="24"/>
          <w:szCs w:val="28"/>
          <w:highlight w:val="none"/>
        </w:rPr>
      </w:pPr>
      <w:r>
        <w:rPr>
          <w:rFonts w:hint="eastAsia" w:ascii="仿宋" w:hAnsi="仿宋" w:eastAsia="仿宋"/>
          <w:sz w:val="24"/>
          <w:szCs w:val="28"/>
          <w:highlight w:val="none"/>
          <w:u w:val="single"/>
          <w:lang w:eastAsia="zh-CN"/>
        </w:rPr>
        <w:t>临空光电信息产业园区西区一期及临空智能制造产业园北区一期配套道路工程招标代理及标底审核服务</w:t>
      </w:r>
      <w:r>
        <w:rPr>
          <w:rFonts w:hint="eastAsia" w:ascii="仿宋" w:hAnsi="仿宋" w:eastAsia="仿宋"/>
          <w:sz w:val="24"/>
          <w:szCs w:val="28"/>
        </w:rPr>
        <w:t>招标项目的潜在投标人应在</w:t>
      </w:r>
      <w:r>
        <w:rPr>
          <w:rFonts w:hint="eastAsia" w:ascii="仿宋" w:hAnsi="仿宋" w:eastAsia="仿宋"/>
          <w:sz w:val="24"/>
          <w:szCs w:val="28"/>
          <w:u w:val="single"/>
        </w:rPr>
        <w:t>政采云系统在线</w:t>
      </w:r>
      <w:r>
        <w:rPr>
          <w:rFonts w:hint="eastAsia" w:ascii="仿宋" w:hAnsi="仿宋" w:eastAsia="仿宋"/>
          <w:sz w:val="24"/>
          <w:szCs w:val="28"/>
        </w:rPr>
        <w:t>获取招标文件，并于</w:t>
      </w:r>
      <w:r>
        <w:rPr>
          <w:rFonts w:ascii="仿宋" w:hAnsi="仿宋" w:eastAsia="仿宋"/>
          <w:sz w:val="24"/>
          <w:szCs w:val="28"/>
          <w:highlight w:val="none"/>
          <w:u w:val="single"/>
        </w:rPr>
        <w:t xml:space="preserve"> </w:t>
      </w:r>
      <w:r>
        <w:rPr>
          <w:rFonts w:hint="eastAsia" w:ascii="仿宋" w:hAnsi="仿宋" w:eastAsia="仿宋"/>
          <w:sz w:val="24"/>
          <w:szCs w:val="28"/>
          <w:highlight w:val="none"/>
          <w:u w:val="single"/>
        </w:rPr>
        <w:t>20</w:t>
      </w:r>
      <w:r>
        <w:rPr>
          <w:rFonts w:hint="eastAsia" w:ascii="仿宋" w:hAnsi="仿宋" w:eastAsia="仿宋"/>
          <w:sz w:val="24"/>
          <w:szCs w:val="28"/>
          <w:highlight w:val="none"/>
          <w:u w:val="single"/>
          <w:lang w:val="en-US" w:eastAsia="zh-CN"/>
        </w:rPr>
        <w:t>25</w:t>
      </w:r>
      <w:r>
        <w:rPr>
          <w:rFonts w:hint="eastAsia" w:ascii="仿宋" w:hAnsi="仿宋" w:eastAsia="仿宋"/>
          <w:bCs/>
          <w:sz w:val="24"/>
          <w:szCs w:val="28"/>
          <w:highlight w:val="none"/>
          <w:u w:val="single"/>
        </w:rPr>
        <w:t>年</w:t>
      </w:r>
      <w:r>
        <w:rPr>
          <w:rFonts w:hint="eastAsia" w:ascii="仿宋" w:hAnsi="仿宋" w:eastAsia="仿宋"/>
          <w:bCs/>
          <w:sz w:val="24"/>
          <w:szCs w:val="28"/>
          <w:highlight w:val="none"/>
          <w:u w:val="single"/>
          <w:lang w:val="en-US" w:eastAsia="zh-CN"/>
        </w:rPr>
        <w:t>4</w:t>
      </w:r>
      <w:r>
        <w:rPr>
          <w:rFonts w:hint="eastAsia" w:ascii="仿宋" w:hAnsi="仿宋" w:eastAsia="仿宋"/>
          <w:bCs/>
          <w:sz w:val="24"/>
          <w:szCs w:val="28"/>
          <w:highlight w:val="none"/>
          <w:u w:val="single"/>
        </w:rPr>
        <w:t>月</w:t>
      </w:r>
      <w:r>
        <w:rPr>
          <w:rFonts w:hint="eastAsia" w:ascii="仿宋" w:hAnsi="仿宋" w:eastAsia="仿宋"/>
          <w:bCs/>
          <w:sz w:val="24"/>
          <w:szCs w:val="28"/>
          <w:highlight w:val="none"/>
          <w:u w:val="single"/>
          <w:lang w:val="en-US" w:eastAsia="zh-CN"/>
        </w:rPr>
        <w:t>18</w:t>
      </w:r>
      <w:r>
        <w:rPr>
          <w:rFonts w:hint="eastAsia" w:ascii="仿宋" w:hAnsi="仿宋" w:eastAsia="仿宋"/>
          <w:bCs/>
          <w:sz w:val="24"/>
          <w:szCs w:val="28"/>
          <w:highlight w:val="none"/>
          <w:u w:val="single"/>
        </w:rPr>
        <w:t>日09点00分（</w:t>
      </w:r>
      <w:r>
        <w:rPr>
          <w:rFonts w:hint="eastAsia" w:ascii="仿宋" w:hAnsi="仿宋" w:eastAsia="仿宋"/>
          <w:bCs/>
          <w:sz w:val="24"/>
          <w:szCs w:val="28"/>
          <w:highlight w:val="none"/>
        </w:rPr>
        <w:t>北京时间）前递交投标</w:t>
      </w:r>
      <w:r>
        <w:rPr>
          <w:rFonts w:ascii="仿宋" w:hAnsi="仿宋" w:eastAsia="仿宋"/>
          <w:bCs/>
          <w:sz w:val="24"/>
          <w:szCs w:val="28"/>
          <w:highlight w:val="none"/>
        </w:rPr>
        <w:t>文件</w:t>
      </w:r>
      <w:r>
        <w:rPr>
          <w:rFonts w:hint="eastAsia" w:ascii="仿宋" w:hAnsi="仿宋" w:eastAsia="仿宋"/>
          <w:sz w:val="24"/>
          <w:szCs w:val="28"/>
          <w:highlight w:val="none"/>
        </w:rPr>
        <w:t>。</w:t>
      </w:r>
    </w:p>
    <w:p w14:paraId="37455A83">
      <w:pPr>
        <w:rPr>
          <w:sz w:val="24"/>
          <w:szCs w:val="28"/>
          <w:highlight w:val="none"/>
        </w:rPr>
      </w:pPr>
    </w:p>
    <w:p w14:paraId="3D9384CC">
      <w:pPr>
        <w:pStyle w:val="3"/>
        <w:ind w:left="0" w:firstLine="0"/>
        <w:rPr>
          <w:rFonts w:ascii="黑体" w:hAnsi="黑体" w:cs="宋体"/>
          <w:sz w:val="24"/>
          <w:szCs w:val="28"/>
          <w:highlight w:val="none"/>
        </w:rPr>
      </w:pPr>
      <w:bookmarkStart w:id="11" w:name="_Toc35393790"/>
      <w:bookmarkStart w:id="12" w:name="_Toc28359079"/>
      <w:bookmarkStart w:id="13" w:name="_Toc35393621"/>
      <w:bookmarkStart w:id="14" w:name="_Toc28359002"/>
      <w:bookmarkStart w:id="15" w:name="_Hlk24379207"/>
      <w:r>
        <w:rPr>
          <w:rFonts w:hint="eastAsia" w:ascii="黑体" w:hAnsi="黑体" w:cs="宋体"/>
          <w:sz w:val="24"/>
          <w:szCs w:val="28"/>
          <w:highlight w:val="none"/>
        </w:rPr>
        <w:t>一、项目基本情况</w:t>
      </w:r>
      <w:bookmarkEnd w:id="11"/>
      <w:bookmarkEnd w:id="12"/>
      <w:bookmarkEnd w:id="13"/>
      <w:bookmarkEnd w:id="14"/>
    </w:p>
    <w:bookmarkEnd w:id="15"/>
    <w:p w14:paraId="766C56FB">
      <w:pPr>
        <w:spacing w:line="360" w:lineRule="auto"/>
        <w:ind w:left="420" w:leftChars="200"/>
        <w:jc w:val="left"/>
        <w:rPr>
          <w:rFonts w:ascii="仿宋" w:hAnsi="仿宋" w:eastAsia="仿宋"/>
          <w:sz w:val="24"/>
          <w:szCs w:val="28"/>
          <w:highlight w:val="none"/>
        </w:rPr>
      </w:pPr>
      <w:r>
        <w:rPr>
          <w:rFonts w:hint="eastAsia" w:ascii="仿宋" w:hAnsi="仿宋" w:eastAsia="仿宋"/>
          <w:sz w:val="24"/>
          <w:szCs w:val="28"/>
          <w:highlight w:val="none"/>
        </w:rPr>
        <w:t>项目编号：绍柯企[20</w:t>
      </w:r>
      <w:r>
        <w:rPr>
          <w:rFonts w:hint="eastAsia" w:ascii="仿宋" w:hAnsi="仿宋" w:eastAsia="仿宋"/>
          <w:sz w:val="24"/>
          <w:szCs w:val="28"/>
          <w:highlight w:val="none"/>
          <w:lang w:val="en-US" w:eastAsia="zh-CN"/>
        </w:rPr>
        <w:t>25</w:t>
      </w:r>
      <w:r>
        <w:rPr>
          <w:rFonts w:hint="eastAsia" w:ascii="仿宋" w:hAnsi="仿宋" w:eastAsia="仿宋"/>
          <w:sz w:val="24"/>
          <w:szCs w:val="28"/>
          <w:highlight w:val="none"/>
        </w:rPr>
        <w:t>]</w:t>
      </w:r>
      <w:r>
        <w:rPr>
          <w:rFonts w:hint="eastAsia" w:ascii="仿宋" w:hAnsi="仿宋" w:eastAsia="仿宋"/>
          <w:sz w:val="24"/>
          <w:szCs w:val="28"/>
          <w:highlight w:val="none"/>
          <w:lang w:val="en-US" w:eastAsia="zh-CN"/>
        </w:rPr>
        <w:t>281</w:t>
      </w:r>
      <w:r>
        <w:rPr>
          <w:rFonts w:hint="eastAsia" w:ascii="仿宋" w:hAnsi="仿宋" w:eastAsia="仿宋"/>
          <w:sz w:val="24"/>
          <w:szCs w:val="28"/>
          <w:highlight w:val="none"/>
        </w:rPr>
        <w:t>号</w:t>
      </w:r>
      <w:r>
        <w:rPr>
          <w:rFonts w:hint="eastAsia" w:ascii="仿宋" w:hAnsi="仿宋" w:eastAsia="仿宋"/>
          <w:sz w:val="24"/>
          <w:szCs w:val="28"/>
          <w:highlight w:val="none"/>
        </w:rPr>
        <w:t xml:space="preserve"> </w:t>
      </w:r>
    </w:p>
    <w:p w14:paraId="4A764755">
      <w:pPr>
        <w:spacing w:line="360" w:lineRule="auto"/>
        <w:ind w:left="900" w:leftChars="200" w:hanging="480" w:hangingChars="200"/>
        <w:jc w:val="left"/>
        <w:rPr>
          <w:rFonts w:hint="eastAsia" w:ascii="仿宋" w:hAnsi="仿宋" w:eastAsia="仿宋"/>
          <w:sz w:val="24"/>
          <w:szCs w:val="28"/>
          <w:highlight w:val="none"/>
          <w:lang w:eastAsia="zh-CN"/>
        </w:rPr>
      </w:pPr>
      <w:r>
        <w:rPr>
          <w:rFonts w:hint="eastAsia" w:ascii="仿宋" w:hAnsi="仿宋" w:eastAsia="仿宋"/>
          <w:sz w:val="24"/>
          <w:szCs w:val="28"/>
          <w:highlight w:val="none"/>
        </w:rPr>
        <w:t>项目名称：</w:t>
      </w:r>
      <w:r>
        <w:rPr>
          <w:rFonts w:hint="eastAsia" w:ascii="仿宋" w:hAnsi="仿宋" w:eastAsia="仿宋"/>
          <w:sz w:val="24"/>
          <w:szCs w:val="28"/>
          <w:highlight w:val="none"/>
          <w:u w:val="single"/>
          <w:lang w:eastAsia="zh-CN"/>
        </w:rPr>
        <w:t>临空光电信息产业园区西区一期及临空智能制造产业园北区一期配套道路工程招标代理及标底审核服务项目</w:t>
      </w:r>
    </w:p>
    <w:p w14:paraId="22B6FA94">
      <w:pPr>
        <w:spacing w:line="360" w:lineRule="auto"/>
        <w:ind w:left="900" w:leftChars="200" w:hanging="480" w:hangingChars="200"/>
        <w:jc w:val="left"/>
        <w:rPr>
          <w:rFonts w:ascii="仿宋" w:hAnsi="仿宋" w:eastAsia="仿宋"/>
          <w:sz w:val="24"/>
          <w:szCs w:val="28"/>
          <w:highlight w:val="none"/>
        </w:rPr>
      </w:pPr>
      <w:r>
        <w:rPr>
          <w:rFonts w:hint="eastAsia" w:ascii="仿宋" w:hAnsi="仿宋" w:eastAsia="仿宋"/>
          <w:sz w:val="24"/>
          <w:szCs w:val="28"/>
          <w:highlight w:val="none"/>
        </w:rPr>
        <w:t>预算金额（元）：</w:t>
      </w:r>
      <w:r>
        <w:rPr>
          <w:rFonts w:hint="eastAsia" w:ascii="仿宋" w:hAnsi="仿宋" w:eastAsia="仿宋"/>
          <w:sz w:val="24"/>
          <w:szCs w:val="28"/>
          <w:highlight w:val="none"/>
          <w:u w:val="single"/>
          <w:lang w:val="en-US" w:eastAsia="zh-CN"/>
        </w:rPr>
        <w:t>40.9937万</w:t>
      </w:r>
      <w:r>
        <w:rPr>
          <w:rFonts w:hint="eastAsia" w:ascii="仿宋" w:hAnsi="仿宋" w:eastAsia="仿宋"/>
          <w:sz w:val="24"/>
          <w:szCs w:val="28"/>
          <w:highlight w:val="none"/>
          <w:u w:val="single"/>
        </w:rPr>
        <w:t>元</w:t>
      </w:r>
    </w:p>
    <w:p w14:paraId="7A07C141">
      <w:pPr>
        <w:spacing w:line="360" w:lineRule="auto"/>
        <w:ind w:left="420" w:leftChars="200"/>
        <w:jc w:val="left"/>
        <w:rPr>
          <w:rFonts w:hint="eastAsia" w:ascii="仿宋" w:hAnsi="仿宋" w:eastAsia="仿宋"/>
          <w:sz w:val="24"/>
          <w:szCs w:val="28"/>
          <w:highlight w:val="none"/>
          <w:u w:val="single"/>
        </w:rPr>
      </w:pPr>
      <w:r>
        <w:rPr>
          <w:rFonts w:hint="eastAsia" w:ascii="仿宋" w:hAnsi="仿宋" w:eastAsia="仿宋"/>
          <w:sz w:val="24"/>
          <w:szCs w:val="28"/>
          <w:highlight w:val="none"/>
        </w:rPr>
        <w:t>最高限价（元）：</w:t>
      </w:r>
      <w:r>
        <w:rPr>
          <w:rFonts w:hint="eastAsia" w:ascii="仿宋" w:hAnsi="仿宋" w:eastAsia="仿宋"/>
          <w:sz w:val="24"/>
          <w:szCs w:val="28"/>
          <w:highlight w:val="none"/>
          <w:u w:val="single"/>
          <w:lang w:val="en-US" w:eastAsia="zh-CN"/>
        </w:rPr>
        <w:t>40.9937万</w:t>
      </w:r>
      <w:r>
        <w:rPr>
          <w:rFonts w:hint="eastAsia" w:ascii="仿宋" w:hAnsi="仿宋" w:eastAsia="仿宋"/>
          <w:sz w:val="24"/>
          <w:szCs w:val="28"/>
          <w:highlight w:val="none"/>
          <w:u w:val="single"/>
        </w:rPr>
        <w:t>元</w:t>
      </w:r>
    </w:p>
    <w:p w14:paraId="5CE1F87B">
      <w:pPr>
        <w:spacing w:line="360" w:lineRule="auto"/>
        <w:ind w:left="420" w:leftChars="200"/>
        <w:jc w:val="left"/>
        <w:rPr>
          <w:rFonts w:ascii="仿宋" w:hAnsi="仿宋" w:eastAsia="仿宋"/>
          <w:b/>
          <w:sz w:val="24"/>
          <w:szCs w:val="28"/>
          <w:highlight w:val="none"/>
        </w:rPr>
      </w:pPr>
      <w:r>
        <w:rPr>
          <w:rFonts w:hint="eastAsia" w:ascii="仿宋" w:hAnsi="仿宋" w:eastAsia="仿宋"/>
          <w:sz w:val="24"/>
          <w:szCs w:val="28"/>
          <w:highlight w:val="none"/>
        </w:rPr>
        <w:t xml:space="preserve">采购需求：详见招标文件 </w:t>
      </w:r>
    </w:p>
    <w:p w14:paraId="58882413">
      <w:pPr>
        <w:spacing w:line="360" w:lineRule="auto"/>
        <w:ind w:left="420" w:leftChars="200"/>
        <w:jc w:val="left"/>
        <w:rPr>
          <w:rFonts w:hint="eastAsia" w:ascii="仿宋" w:hAnsi="仿宋" w:eastAsia="仿宋"/>
          <w:sz w:val="24"/>
          <w:szCs w:val="28"/>
          <w:highlight w:val="none"/>
          <w:lang w:eastAsia="zh-CN"/>
        </w:rPr>
      </w:pPr>
      <w:r>
        <w:rPr>
          <w:rFonts w:hint="eastAsia" w:ascii="仿宋" w:hAnsi="仿宋" w:eastAsia="仿宋"/>
          <w:sz w:val="24"/>
          <w:szCs w:val="28"/>
          <w:highlight w:val="none"/>
        </w:rPr>
        <w:t>标项名称：</w:t>
      </w:r>
      <w:r>
        <w:rPr>
          <w:rFonts w:hint="eastAsia" w:ascii="仿宋" w:hAnsi="仿宋" w:eastAsia="仿宋"/>
          <w:sz w:val="24"/>
          <w:szCs w:val="28"/>
          <w:highlight w:val="none"/>
          <w:u w:val="single"/>
          <w:lang w:eastAsia="zh-CN"/>
        </w:rPr>
        <w:t>临空光电信息产业园区西区一期及临空智能制造产业园北区一期配套道路工程招标代理及标底审核服务项目</w:t>
      </w:r>
    </w:p>
    <w:p w14:paraId="3373C7C1">
      <w:pPr>
        <w:spacing w:line="360" w:lineRule="auto"/>
        <w:ind w:left="420" w:leftChars="200"/>
        <w:jc w:val="left"/>
        <w:rPr>
          <w:rFonts w:ascii="仿宋" w:hAnsi="仿宋" w:eastAsia="仿宋"/>
          <w:sz w:val="24"/>
          <w:szCs w:val="28"/>
          <w:highlight w:val="none"/>
        </w:rPr>
      </w:pPr>
      <w:r>
        <w:rPr>
          <w:rFonts w:hint="eastAsia" w:ascii="仿宋" w:hAnsi="仿宋" w:eastAsia="仿宋"/>
          <w:sz w:val="24"/>
          <w:szCs w:val="28"/>
          <w:highlight w:val="none"/>
        </w:rPr>
        <w:t>数量：1</w:t>
      </w:r>
    </w:p>
    <w:p w14:paraId="13E5013B">
      <w:pPr>
        <w:spacing w:line="360" w:lineRule="auto"/>
        <w:ind w:left="420" w:leftChars="200"/>
        <w:jc w:val="left"/>
        <w:rPr>
          <w:rFonts w:hint="default" w:ascii="仿宋" w:hAnsi="仿宋" w:eastAsia="仿宋"/>
          <w:sz w:val="24"/>
          <w:szCs w:val="28"/>
          <w:highlight w:val="none"/>
          <w:u w:val="single"/>
          <w:lang w:val="en-US"/>
        </w:rPr>
      </w:pPr>
      <w:r>
        <w:rPr>
          <w:rFonts w:hint="eastAsia" w:ascii="仿宋" w:hAnsi="仿宋" w:eastAsia="仿宋"/>
          <w:sz w:val="24"/>
          <w:szCs w:val="28"/>
          <w:highlight w:val="none"/>
        </w:rPr>
        <w:t>预算金额（元）:</w:t>
      </w:r>
      <w:r>
        <w:rPr>
          <w:rFonts w:hint="eastAsia" w:ascii="仿宋" w:hAnsi="仿宋" w:eastAsia="仿宋"/>
          <w:sz w:val="24"/>
          <w:szCs w:val="28"/>
          <w:highlight w:val="none"/>
          <w:lang w:val="en-US" w:eastAsia="zh-CN"/>
        </w:rPr>
        <w:t xml:space="preserve"> </w:t>
      </w:r>
      <w:r>
        <w:rPr>
          <w:rFonts w:hint="eastAsia" w:ascii="仿宋" w:hAnsi="仿宋" w:eastAsia="仿宋"/>
          <w:sz w:val="24"/>
          <w:szCs w:val="28"/>
          <w:highlight w:val="none"/>
          <w:u w:val="single"/>
          <w:lang w:val="en-US" w:eastAsia="zh-CN"/>
        </w:rPr>
        <w:t>40.9937万</w:t>
      </w:r>
      <w:r>
        <w:rPr>
          <w:rFonts w:hint="eastAsia" w:ascii="仿宋" w:hAnsi="仿宋" w:eastAsia="仿宋"/>
          <w:sz w:val="24"/>
          <w:szCs w:val="28"/>
          <w:highlight w:val="none"/>
          <w:u w:val="single"/>
        </w:rPr>
        <w:t>元</w:t>
      </w:r>
    </w:p>
    <w:p w14:paraId="5DEA252E">
      <w:pPr>
        <w:spacing w:line="360" w:lineRule="auto"/>
        <w:ind w:left="420" w:leftChars="200"/>
        <w:jc w:val="left"/>
        <w:rPr>
          <w:rFonts w:ascii="仿宋" w:hAnsi="仿宋" w:eastAsia="仿宋"/>
          <w:sz w:val="24"/>
          <w:szCs w:val="28"/>
          <w:highlight w:val="none"/>
        </w:rPr>
      </w:pPr>
      <w:r>
        <w:rPr>
          <w:rFonts w:ascii="仿宋" w:hAnsi="仿宋" w:eastAsia="仿宋"/>
          <w:sz w:val="24"/>
          <w:szCs w:val="28"/>
          <w:highlight w:val="none"/>
        </w:rPr>
        <w:t>简要规格描述或项目基本概况介绍、用途：</w:t>
      </w:r>
    </w:p>
    <w:p w14:paraId="6A31AE24">
      <w:pPr>
        <w:spacing w:line="560" w:lineRule="exact"/>
        <w:ind w:firstLine="480" w:firstLineChars="200"/>
        <w:rPr>
          <w:rFonts w:hint="eastAsia" w:ascii="仿宋" w:hAnsi="仿宋" w:eastAsia="仿宋"/>
          <w:sz w:val="24"/>
          <w:szCs w:val="28"/>
          <w:u w:val="none"/>
          <w:lang w:eastAsia="zh-CN"/>
        </w:rPr>
      </w:pPr>
      <w:r>
        <w:rPr>
          <w:rFonts w:hint="eastAsia" w:ascii="仿宋" w:hAnsi="仿宋" w:eastAsia="仿宋"/>
          <w:sz w:val="24"/>
          <w:szCs w:val="28"/>
          <w:u w:val="none"/>
        </w:rPr>
        <w:t>主要建设内容为</w:t>
      </w:r>
      <w:r>
        <w:rPr>
          <w:rFonts w:hint="eastAsia" w:ascii="仿宋" w:hAnsi="仿宋" w:eastAsia="仿宋"/>
          <w:sz w:val="24"/>
          <w:szCs w:val="28"/>
          <w:u w:val="none"/>
          <w:lang w:eastAsia="zh-CN"/>
        </w:rPr>
        <w:t>：</w:t>
      </w:r>
    </w:p>
    <w:p w14:paraId="56F621BE">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1、临空光电信息产业园区西区一期配套道路包括：</w:t>
      </w:r>
    </w:p>
    <w:p w14:paraId="39E3D1A3">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（1）兴业路：南起霓裳路，北至杭甬客运专线。道路长约389米，红线宽18米，城市支路，双向二车道，建安费约为770万元。</w:t>
      </w:r>
    </w:p>
    <w:p w14:paraId="7548E176">
      <w:pPr>
        <w:spacing w:line="560" w:lineRule="exact"/>
        <w:ind w:firstLine="480" w:firstLineChars="200"/>
        <w:rPr>
          <w:rFonts w:hint="default"/>
          <w:lang w:val="en-US" w:eastAsia="zh-CN"/>
        </w:rPr>
      </w:pPr>
      <w:r>
        <w:rPr>
          <w:rFonts w:hint="eastAsia" w:ascii="仿宋" w:hAnsi="仿宋" w:eastAsia="仿宋"/>
          <w:sz w:val="24"/>
          <w:szCs w:val="28"/>
          <w:highlight w:val="none"/>
          <w:lang w:val="en-US" w:eastAsia="zh-CN"/>
        </w:rPr>
        <w:t>（2）霓裳路：西起万绣路，东至规划东沙路。道路长700米，红线宽28米，城市次干路，双向四车道包含一座1×16m桥梁，建安费约为3200万元。</w:t>
      </w:r>
    </w:p>
    <w:p w14:paraId="480E4105">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（3）园北路：西起QQ-02-03-46地块西北角，东至规划东沙路。道路长413米，红线宽18米，城市支路，双向二车道。建安费约为820万元。</w:t>
      </w:r>
    </w:p>
    <w:p w14:paraId="72D2A33A">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（4）东沙路：南起群贤路，北至霓裳路。道路长492米，红线宽28米，城市次干路，双向四车道，包含一座1×13m桥梁，建安费约为2490万元。</w:t>
      </w:r>
    </w:p>
    <w:p w14:paraId="761576F2">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（5）群贤路（万绣路—东沙路段）：单侧往南拓宽约6.75米，总长约650米，主要补全南侧侧分带、非机动车道及人行道。建安费估算约615万元。</w:t>
      </w:r>
    </w:p>
    <w:p w14:paraId="564335B5">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（6）万绣路（群贤路—瓜渚路段）：往东拓宽，主要补全人行道，及桥下地块接入道路，总长约950m，建安费估算约1064万元。</w:t>
      </w:r>
    </w:p>
    <w:p w14:paraId="71F8B141">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2、临空智能制造产业园北区一期配套道路包括：</w:t>
      </w:r>
    </w:p>
    <w:p w14:paraId="2DB44AD7">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（1）中兴路：西起建吴路东侧现状河道，东至规划螺山路。道路长约980米，红线宽22米，城市次干路，双向二车道，包含3×10m桥梁一座，建安费约为4250万元。</w:t>
      </w:r>
    </w:p>
    <w:p w14:paraId="5ACB19C3">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（2）滨江路：西起建吴路东侧现状河道，东至规划公园路。道路长547米，红线宽16米，城市支路，双向二车道，建安费约为1100万元。</w:t>
      </w:r>
    </w:p>
    <w:p w14:paraId="28051A14">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（3）螺山路：北起规划中兴路，南至杨江大道。道路长274米，红线宽20米，城市支路，双向二车道，建安费约为727万元。</w:t>
      </w:r>
    </w:p>
    <w:p w14:paraId="38CBC1E7">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（4）公园路：北起规划滨江路，南至杨江大道。道路长469米，红线宽22米，城市次干路，双线二车道，建安费约为1485万元。</w:t>
      </w:r>
    </w:p>
    <w:p w14:paraId="434629CA">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（5）紫辰路：北起规划滨江路，南至杨江大道。道路长274米，红线宽18米，城市支路，双向二车道，建安费约为574万元。</w:t>
      </w:r>
    </w:p>
    <w:p w14:paraId="01E39F2C">
      <w:pPr>
        <w:spacing w:line="560" w:lineRule="exact"/>
        <w:ind w:firstLine="480" w:firstLineChars="200"/>
        <w:rPr>
          <w:rFonts w:ascii="仿宋" w:hAnsi="仿宋" w:eastAsia="仿宋"/>
          <w:sz w:val="24"/>
          <w:szCs w:val="28"/>
          <w:highlight w:val="none"/>
        </w:rPr>
      </w:pPr>
      <w:r>
        <w:rPr>
          <w:rFonts w:hint="eastAsia" w:ascii="仿宋" w:hAnsi="仿宋" w:eastAsia="仿宋"/>
          <w:sz w:val="24"/>
          <w:szCs w:val="28"/>
          <w:highlight w:val="none"/>
          <w:u w:val="none"/>
        </w:rPr>
        <w:t xml:space="preserve"> 服务内容包括以上项目施工、监理、材料设备采购等涉及的所有项目（已完成招标的项目除外）招标文件编制</w:t>
      </w:r>
      <w:r>
        <w:rPr>
          <w:rFonts w:hint="eastAsia" w:ascii="仿宋" w:hAnsi="仿宋" w:eastAsia="仿宋"/>
          <w:sz w:val="24"/>
          <w:szCs w:val="28"/>
          <w:highlight w:val="none"/>
          <w:u w:val="none"/>
          <w:lang w:val="en-US" w:eastAsia="zh-CN"/>
        </w:rPr>
        <w:t>及施工类标底审核服务</w:t>
      </w:r>
      <w:r>
        <w:rPr>
          <w:rFonts w:hint="eastAsia" w:ascii="仿宋" w:hAnsi="仿宋" w:eastAsia="仿宋"/>
          <w:sz w:val="24"/>
          <w:szCs w:val="28"/>
          <w:highlight w:val="none"/>
          <w:u w:val="none"/>
          <w:lang w:eastAsia="zh-CN"/>
        </w:rPr>
        <w:t>。</w:t>
      </w:r>
      <w:r>
        <w:rPr>
          <w:rFonts w:hint="eastAsia" w:ascii="仿宋" w:hAnsi="仿宋" w:eastAsia="仿宋"/>
          <w:sz w:val="24"/>
          <w:szCs w:val="28"/>
          <w:highlight w:val="none"/>
        </w:rPr>
        <w:t>估算建安工程</w:t>
      </w:r>
      <w:r>
        <w:rPr>
          <w:rFonts w:hint="eastAsia" w:ascii="仿宋" w:hAnsi="仿宋" w:eastAsia="仿宋"/>
          <w:sz w:val="24"/>
          <w:szCs w:val="28"/>
          <w:highlight w:val="none"/>
          <w:lang w:val="en-US" w:eastAsia="zh-CN"/>
        </w:rPr>
        <w:t>投资约</w:t>
      </w:r>
      <w:r>
        <w:rPr>
          <w:rFonts w:hint="eastAsia" w:ascii="仿宋" w:hAnsi="仿宋" w:eastAsia="仿宋"/>
          <w:sz w:val="24"/>
          <w:szCs w:val="28"/>
          <w:highlight w:val="none"/>
          <w:u w:val="single"/>
          <w:lang w:val="en-US" w:eastAsia="zh-CN"/>
        </w:rPr>
        <w:t>17095</w:t>
      </w:r>
      <w:r>
        <w:rPr>
          <w:rFonts w:hint="eastAsia" w:ascii="仿宋" w:hAnsi="仿宋" w:eastAsia="仿宋"/>
          <w:sz w:val="24"/>
          <w:szCs w:val="28"/>
          <w:highlight w:val="none"/>
          <w:lang w:eastAsia="zh-CN"/>
        </w:rPr>
        <w:t>万</w:t>
      </w:r>
      <w:r>
        <w:rPr>
          <w:rFonts w:hint="eastAsia" w:ascii="仿宋" w:hAnsi="仿宋" w:eastAsia="仿宋"/>
          <w:sz w:val="24"/>
          <w:szCs w:val="28"/>
          <w:highlight w:val="none"/>
        </w:rPr>
        <w:t>元。</w:t>
      </w:r>
      <w:r>
        <w:rPr>
          <w:rFonts w:hint="eastAsia" w:ascii="仿宋" w:hAnsi="仿宋" w:eastAsia="仿宋"/>
          <w:sz w:val="24"/>
          <w:szCs w:val="28"/>
          <w:highlight w:val="none"/>
          <w:u w:val="none"/>
        </w:rPr>
        <w:t>估算服务费约</w:t>
      </w:r>
      <w:r>
        <w:rPr>
          <w:rFonts w:hint="eastAsia" w:ascii="仿宋" w:hAnsi="仿宋" w:eastAsia="仿宋"/>
          <w:sz w:val="24"/>
          <w:szCs w:val="28"/>
          <w:highlight w:val="none"/>
          <w:u w:val="single"/>
          <w:lang w:val="en-US" w:eastAsia="zh-CN"/>
        </w:rPr>
        <w:t>40.9937万</w:t>
      </w:r>
      <w:r>
        <w:rPr>
          <w:rFonts w:hint="eastAsia" w:ascii="仿宋" w:hAnsi="仿宋" w:eastAsia="仿宋"/>
          <w:sz w:val="24"/>
          <w:szCs w:val="28"/>
          <w:highlight w:val="none"/>
          <w:u w:val="single"/>
        </w:rPr>
        <w:t>元</w:t>
      </w:r>
      <w:r>
        <w:rPr>
          <w:rFonts w:hint="eastAsia" w:ascii="仿宋" w:hAnsi="仿宋" w:eastAsia="仿宋"/>
          <w:sz w:val="24"/>
          <w:szCs w:val="28"/>
          <w:highlight w:val="none"/>
          <w:u w:val="none"/>
        </w:rPr>
        <w:t>。</w:t>
      </w:r>
    </w:p>
    <w:p w14:paraId="0A66EAD5">
      <w:pPr>
        <w:spacing w:line="560" w:lineRule="exact"/>
        <w:ind w:firstLine="480" w:firstLineChars="200"/>
        <w:rPr>
          <w:rFonts w:hint="eastAsia" w:ascii="仿宋" w:hAnsi="仿宋" w:eastAsia="仿宋"/>
          <w:strike/>
          <w:dstrike w:val="0"/>
          <w:sz w:val="24"/>
          <w:szCs w:val="28"/>
          <w:highlight w:val="none"/>
          <w:lang w:eastAsia="zh-CN"/>
        </w:rPr>
      </w:pPr>
      <w:r>
        <w:rPr>
          <w:rFonts w:hint="eastAsia" w:ascii="仿宋" w:hAnsi="仿宋" w:eastAsia="仿宋"/>
          <w:sz w:val="24"/>
          <w:szCs w:val="28"/>
          <w:highlight w:val="none"/>
        </w:rPr>
        <w:t>备注：</w:t>
      </w:r>
      <w:r>
        <w:rPr>
          <w:rFonts w:hint="eastAsia" w:ascii="仿宋" w:hAnsi="仿宋" w:eastAsia="仿宋"/>
          <w:strike w:val="0"/>
          <w:dstrike w:val="0"/>
          <w:sz w:val="24"/>
          <w:szCs w:val="28"/>
          <w:highlight w:val="none"/>
          <w:lang w:eastAsia="zh-CN"/>
        </w:rPr>
        <w:t>本项目如因招标人原因引起后续发包人或委托人名称（浙江绍兴杭绍临空示范区开发集团（区轨道交通集团）及下属各级子公司）与本次招标人不一致的，另行签订三方协议明确；本项目如因招标人立项方案变化引起项目规模缩减（建安减少）或项目取消，中标人须无条件服从，涉及项目取消的双方自动解除合同，互相不追究责任。</w:t>
      </w:r>
    </w:p>
    <w:p w14:paraId="65FBB78A">
      <w:pPr>
        <w:spacing w:line="360" w:lineRule="auto"/>
        <w:ind w:left="420" w:leftChars="200"/>
        <w:jc w:val="left"/>
        <w:rPr>
          <w:rFonts w:ascii="仿宋" w:hAnsi="仿宋" w:eastAsia="仿宋"/>
          <w:sz w:val="24"/>
          <w:szCs w:val="28"/>
          <w:highlight w:val="none"/>
        </w:rPr>
      </w:pPr>
    </w:p>
    <w:p w14:paraId="47C81703">
      <w:pPr>
        <w:spacing w:line="360" w:lineRule="auto"/>
        <w:ind w:left="420" w:leftChars="200"/>
        <w:jc w:val="left"/>
        <w:rPr>
          <w:rFonts w:ascii="仿宋" w:hAnsi="仿宋" w:eastAsia="仿宋"/>
          <w:sz w:val="24"/>
          <w:szCs w:val="28"/>
          <w:u w:val="single"/>
        </w:rPr>
      </w:pPr>
      <w:r>
        <w:rPr>
          <w:rFonts w:hint="eastAsia" w:ascii="仿宋" w:hAnsi="仿宋" w:eastAsia="仿宋"/>
          <w:sz w:val="24"/>
          <w:szCs w:val="28"/>
        </w:rPr>
        <w:t>合同履行期限：详见招标文件</w:t>
      </w:r>
    </w:p>
    <w:p w14:paraId="16561D08">
      <w:pPr>
        <w:spacing w:line="360" w:lineRule="auto"/>
        <w:ind w:left="420" w:leftChars="200"/>
        <w:jc w:val="left"/>
        <w:rPr>
          <w:rFonts w:ascii="仿宋" w:hAnsi="仿宋" w:eastAsia="仿宋"/>
          <w:sz w:val="24"/>
          <w:szCs w:val="28"/>
        </w:rPr>
      </w:pPr>
      <w:r>
        <w:rPr>
          <w:rFonts w:hint="eastAsia" w:ascii="仿宋" w:hAnsi="仿宋" w:eastAsia="仿宋"/>
          <w:sz w:val="24"/>
          <w:szCs w:val="28"/>
        </w:rPr>
        <w:t>本项目</w:t>
      </w:r>
      <w:r>
        <w:rPr>
          <w:rFonts w:hint="eastAsia" w:ascii="仿宋" w:hAnsi="仿宋" w:eastAsia="仿宋"/>
          <w:b/>
          <w:sz w:val="24"/>
          <w:szCs w:val="28"/>
        </w:rPr>
        <w:t>（</w:t>
      </w:r>
      <w:r>
        <w:rPr>
          <w:rFonts w:ascii="仿宋" w:hAnsi="仿宋" w:eastAsia="仿宋"/>
          <w:b/>
          <w:i/>
          <w:sz w:val="24"/>
          <w:szCs w:val="28"/>
        </w:rPr>
        <w:t>否</w:t>
      </w:r>
      <w:r>
        <w:rPr>
          <w:rFonts w:hint="eastAsia" w:ascii="仿宋" w:hAnsi="仿宋" w:eastAsia="仿宋"/>
          <w:b/>
          <w:sz w:val="24"/>
          <w:szCs w:val="28"/>
        </w:rPr>
        <w:t>）</w:t>
      </w:r>
      <w:r>
        <w:rPr>
          <w:rFonts w:hint="eastAsia" w:ascii="仿宋" w:hAnsi="仿宋" w:eastAsia="仿宋"/>
          <w:sz w:val="24"/>
          <w:szCs w:val="28"/>
        </w:rPr>
        <w:t>接受联合体</w:t>
      </w:r>
    </w:p>
    <w:p w14:paraId="65B13407">
      <w:pPr>
        <w:pStyle w:val="3"/>
        <w:ind w:left="0" w:firstLine="0"/>
        <w:rPr>
          <w:rFonts w:ascii="黑体" w:hAnsi="黑体" w:cs="宋体"/>
          <w:sz w:val="24"/>
          <w:szCs w:val="28"/>
        </w:rPr>
      </w:pPr>
      <w:bookmarkStart w:id="16" w:name="_Toc28359003"/>
      <w:bookmarkStart w:id="17" w:name="_Toc35393791"/>
      <w:bookmarkStart w:id="18" w:name="_Toc28359080"/>
      <w:bookmarkStart w:id="19" w:name="_Toc35393622"/>
      <w:r>
        <w:rPr>
          <w:rFonts w:hint="eastAsia" w:ascii="黑体" w:hAnsi="黑体" w:cs="宋体"/>
          <w:sz w:val="24"/>
          <w:szCs w:val="28"/>
        </w:rPr>
        <w:t>二、申请人的资格要求：</w:t>
      </w:r>
      <w:bookmarkEnd w:id="16"/>
      <w:bookmarkEnd w:id="17"/>
      <w:bookmarkEnd w:id="18"/>
      <w:bookmarkEnd w:id="19"/>
    </w:p>
    <w:p w14:paraId="3977F50E">
      <w:pPr>
        <w:spacing w:line="360" w:lineRule="auto"/>
        <w:ind w:firstLine="480" w:firstLineChars="200"/>
        <w:jc w:val="left"/>
        <w:rPr>
          <w:rFonts w:ascii="仿宋" w:hAnsi="仿宋" w:eastAsia="仿宋"/>
          <w:sz w:val="24"/>
          <w:szCs w:val="28"/>
        </w:rPr>
      </w:pPr>
      <w:r>
        <w:rPr>
          <w:rFonts w:hint="eastAsia" w:ascii="仿宋" w:hAnsi="仿宋" w:eastAsia="仿宋"/>
          <w:sz w:val="24"/>
          <w:szCs w:val="28"/>
        </w:rPr>
        <w:t>满足《中华人民共和国政府采购法》第二十二条规定；且未被“信用中国”（www.creditchina.gov.cn）、中国政府采购网（www.ccgp.gov.cn）列入失信被执行人、重大税收违法案件当事人名单、政府采购严重违法失信行为记录名单；</w:t>
      </w:r>
    </w:p>
    <w:p w14:paraId="44A702FB">
      <w:pPr>
        <w:spacing w:line="360" w:lineRule="auto"/>
        <w:ind w:firstLine="480" w:firstLineChars="200"/>
        <w:jc w:val="left"/>
        <w:rPr>
          <w:rFonts w:hint="eastAsia" w:ascii="仿宋" w:hAnsi="仿宋" w:eastAsia="仿宋"/>
          <w:b/>
          <w:sz w:val="24"/>
          <w:szCs w:val="28"/>
          <w:u w:val="single"/>
          <w:lang w:val="en-US" w:eastAsia="zh-CN"/>
        </w:rPr>
      </w:pPr>
      <w:bookmarkStart w:id="20" w:name="_Toc28359081"/>
      <w:bookmarkStart w:id="21" w:name="_Toc28359004"/>
      <w:r>
        <w:rPr>
          <w:rFonts w:hint="eastAsia" w:ascii="仿宋" w:hAnsi="仿宋" w:eastAsia="仿宋"/>
          <w:sz w:val="24"/>
          <w:szCs w:val="28"/>
        </w:rPr>
        <w:t>本项目的特定资格要求：</w:t>
      </w:r>
      <w:r>
        <w:rPr>
          <w:rFonts w:hint="eastAsia" w:ascii="仿宋" w:hAnsi="仿宋" w:eastAsia="仿宋"/>
          <w:sz w:val="24"/>
          <w:szCs w:val="28"/>
          <w:lang w:val="en-US" w:eastAsia="zh-CN"/>
        </w:rPr>
        <w:t>/</w:t>
      </w:r>
    </w:p>
    <w:p w14:paraId="4F3EF441">
      <w:pPr>
        <w:pStyle w:val="3"/>
        <w:ind w:left="0" w:firstLine="0"/>
        <w:rPr>
          <w:rFonts w:ascii="黑体" w:hAnsi="黑体" w:cs="宋体"/>
          <w:sz w:val="24"/>
          <w:szCs w:val="28"/>
        </w:rPr>
      </w:pPr>
      <w:bookmarkStart w:id="22" w:name="_Toc35393623"/>
      <w:bookmarkStart w:id="23" w:name="_Toc35393792"/>
      <w:r>
        <w:rPr>
          <w:rFonts w:hint="eastAsia" w:ascii="黑体" w:hAnsi="黑体" w:cs="宋体"/>
          <w:sz w:val="24"/>
          <w:szCs w:val="28"/>
        </w:rPr>
        <w:t>三、获取招标文件</w:t>
      </w:r>
      <w:bookmarkEnd w:id="20"/>
      <w:bookmarkEnd w:id="21"/>
      <w:bookmarkEnd w:id="22"/>
      <w:bookmarkEnd w:id="23"/>
    </w:p>
    <w:p w14:paraId="7649D4DA">
      <w:pPr>
        <w:spacing w:line="360" w:lineRule="auto"/>
        <w:ind w:firstLine="480" w:firstLineChars="200"/>
        <w:jc w:val="left"/>
        <w:rPr>
          <w:rFonts w:ascii="仿宋" w:hAnsi="仿宋" w:eastAsia="仿宋" w:cs="宋体"/>
          <w:sz w:val="24"/>
          <w:szCs w:val="28"/>
        </w:rPr>
      </w:pPr>
      <w:r>
        <w:rPr>
          <w:rFonts w:hint="eastAsia" w:ascii="仿宋" w:hAnsi="仿宋" w:eastAsia="仿宋" w:cs="宋体"/>
          <w:sz w:val="24"/>
          <w:szCs w:val="28"/>
        </w:rPr>
        <w:t>时间</w:t>
      </w:r>
      <w:r>
        <w:rPr>
          <w:rFonts w:hint="eastAsia" w:ascii="仿宋" w:hAnsi="仿宋" w:eastAsia="仿宋" w:cs="宋体"/>
          <w:sz w:val="24"/>
          <w:szCs w:val="28"/>
          <w:highlight w:val="yellow"/>
        </w:rPr>
        <w:t>：</w:t>
      </w:r>
      <w:r>
        <w:rPr>
          <w:rFonts w:hint="eastAsia" w:ascii="仿宋" w:hAnsi="仿宋" w:eastAsia="仿宋"/>
          <w:sz w:val="24"/>
          <w:szCs w:val="28"/>
          <w:highlight w:val="yellow"/>
        </w:rPr>
        <w:t>/至</w:t>
      </w:r>
      <w:r>
        <w:rPr>
          <w:rFonts w:hint="eastAsia" w:ascii="仿宋" w:hAnsi="仿宋" w:eastAsia="仿宋"/>
          <w:bCs/>
          <w:sz w:val="24"/>
          <w:szCs w:val="28"/>
          <w:highlight w:val="yellow"/>
          <w:u w:val="single"/>
        </w:rPr>
        <w:t>20</w:t>
      </w:r>
      <w:r>
        <w:rPr>
          <w:rFonts w:hint="eastAsia" w:ascii="仿宋" w:hAnsi="仿宋" w:eastAsia="仿宋"/>
          <w:bCs/>
          <w:sz w:val="24"/>
          <w:szCs w:val="28"/>
          <w:highlight w:val="yellow"/>
          <w:u w:val="single"/>
          <w:lang w:val="en-US" w:eastAsia="zh-CN"/>
        </w:rPr>
        <w:t>25</w:t>
      </w:r>
      <w:r>
        <w:rPr>
          <w:rFonts w:hint="eastAsia" w:ascii="仿宋" w:hAnsi="仿宋" w:eastAsia="仿宋"/>
          <w:bCs/>
          <w:sz w:val="24"/>
          <w:szCs w:val="28"/>
          <w:highlight w:val="yellow"/>
          <w:u w:val="single"/>
        </w:rPr>
        <w:t>年</w:t>
      </w:r>
      <w:r>
        <w:rPr>
          <w:rFonts w:hint="eastAsia" w:ascii="仿宋" w:hAnsi="仿宋" w:eastAsia="仿宋"/>
          <w:bCs/>
          <w:sz w:val="24"/>
          <w:szCs w:val="28"/>
          <w:highlight w:val="yellow"/>
          <w:u w:val="single"/>
          <w:lang w:val="en-US" w:eastAsia="zh-CN"/>
        </w:rPr>
        <w:t>4</w:t>
      </w:r>
      <w:r>
        <w:rPr>
          <w:rFonts w:hint="eastAsia" w:ascii="仿宋" w:hAnsi="仿宋" w:eastAsia="仿宋"/>
          <w:bCs/>
          <w:sz w:val="24"/>
          <w:szCs w:val="28"/>
          <w:highlight w:val="yellow"/>
          <w:u w:val="single"/>
        </w:rPr>
        <w:t>月</w:t>
      </w:r>
      <w:r>
        <w:rPr>
          <w:rFonts w:hint="eastAsia" w:ascii="仿宋" w:hAnsi="仿宋" w:eastAsia="仿宋"/>
          <w:bCs/>
          <w:sz w:val="24"/>
          <w:szCs w:val="28"/>
          <w:highlight w:val="yellow"/>
          <w:u w:val="single"/>
          <w:lang w:val="en-US" w:eastAsia="zh-CN"/>
        </w:rPr>
        <w:t>18</w:t>
      </w:r>
      <w:r>
        <w:rPr>
          <w:rFonts w:hint="eastAsia" w:ascii="仿宋" w:hAnsi="仿宋" w:eastAsia="仿宋"/>
          <w:bCs/>
          <w:sz w:val="24"/>
          <w:szCs w:val="28"/>
          <w:highlight w:val="yellow"/>
          <w:u w:val="single"/>
        </w:rPr>
        <w:t>日</w:t>
      </w:r>
      <w:r>
        <w:rPr>
          <w:rFonts w:ascii="仿宋" w:hAnsi="仿宋" w:eastAsia="仿宋"/>
          <w:sz w:val="24"/>
          <w:szCs w:val="28"/>
          <w:highlight w:val="yellow"/>
        </w:rPr>
        <w:t>，每天上午</w:t>
      </w:r>
      <w:r>
        <w:rPr>
          <w:rFonts w:ascii="仿宋" w:hAnsi="仿宋" w:eastAsia="仿宋"/>
          <w:snapToGrid w:val="0"/>
          <w:sz w:val="24"/>
          <w:szCs w:val="28"/>
          <w:highlight w:val="yellow"/>
        </w:rPr>
        <w:t>00:00至12:00</w:t>
      </w:r>
      <w:r>
        <w:rPr>
          <w:rFonts w:ascii="仿宋" w:hAnsi="仿宋" w:eastAsia="仿宋"/>
          <w:sz w:val="24"/>
          <w:szCs w:val="28"/>
          <w:highlight w:val="yellow"/>
        </w:rPr>
        <w:t> ，下午</w:t>
      </w:r>
      <w:r>
        <w:rPr>
          <w:rFonts w:ascii="仿宋" w:hAnsi="仿宋" w:eastAsia="仿宋"/>
          <w:snapToGrid w:val="0"/>
          <w:sz w:val="24"/>
          <w:szCs w:val="28"/>
          <w:highlight w:val="yellow"/>
        </w:rPr>
        <w:t>12:00至23:59</w:t>
      </w:r>
      <w:r>
        <w:rPr>
          <w:rFonts w:ascii="仿宋" w:hAnsi="仿宋" w:eastAsia="仿宋"/>
          <w:sz w:val="24"/>
          <w:szCs w:val="28"/>
        </w:rPr>
        <w:t>（北京时间，线上获取法定节假日均可，线下获取文件法定节假日除外）</w:t>
      </w:r>
    </w:p>
    <w:p w14:paraId="54FFE3BD">
      <w:pPr>
        <w:spacing w:line="360" w:lineRule="auto"/>
        <w:ind w:firstLine="480" w:firstLineChars="200"/>
        <w:jc w:val="left"/>
        <w:rPr>
          <w:rFonts w:ascii="仿宋" w:hAnsi="仿宋" w:eastAsia="仿宋" w:cs="宋体"/>
          <w:sz w:val="24"/>
          <w:szCs w:val="28"/>
        </w:rPr>
      </w:pPr>
      <w:r>
        <w:rPr>
          <w:rFonts w:hint="eastAsia" w:ascii="仿宋" w:hAnsi="仿宋" w:eastAsia="仿宋" w:cs="宋体"/>
          <w:sz w:val="24"/>
          <w:szCs w:val="28"/>
        </w:rPr>
        <w:t>地点（网址）：</w:t>
      </w:r>
      <w:r>
        <w:rPr>
          <w:rFonts w:ascii="仿宋" w:hAnsi="仿宋" w:eastAsia="仿宋" w:cs="宋体"/>
          <w:snapToGrid w:val="0"/>
          <w:sz w:val="24"/>
          <w:szCs w:val="28"/>
        </w:rPr>
        <w:t>浙江政府采购网（</w:t>
      </w:r>
      <w:r>
        <w:fldChar w:fldCharType="begin"/>
      </w:r>
      <w:r>
        <w:instrText xml:space="preserve"> HYPERLINK "http://zfcg.czt.zj.gov.cn/" </w:instrText>
      </w:r>
      <w:r>
        <w:fldChar w:fldCharType="separate"/>
      </w:r>
      <w:r>
        <w:rPr>
          <w:rStyle w:val="68"/>
          <w:rFonts w:ascii="仿宋" w:hAnsi="仿宋" w:eastAsia="仿宋" w:cs="宋体"/>
          <w:color w:val="auto"/>
          <w:kern w:val="2"/>
          <w:sz w:val="24"/>
          <w:szCs w:val="28"/>
        </w:rPr>
        <w:t>http://zfcg.czt.zj.gov.cn/</w:t>
      </w:r>
      <w:r>
        <w:rPr>
          <w:rStyle w:val="68"/>
          <w:rFonts w:ascii="仿宋" w:hAnsi="仿宋" w:eastAsia="仿宋" w:cs="宋体"/>
          <w:color w:val="auto"/>
          <w:kern w:val="2"/>
          <w:sz w:val="24"/>
          <w:szCs w:val="28"/>
        </w:rPr>
        <w:fldChar w:fldCharType="end"/>
      </w:r>
      <w:r>
        <w:rPr>
          <w:rFonts w:ascii="仿宋" w:hAnsi="仿宋" w:eastAsia="仿宋" w:cs="宋体"/>
          <w:snapToGrid w:val="0"/>
          <w:sz w:val="24"/>
          <w:szCs w:val="28"/>
        </w:rPr>
        <w:t>）</w:t>
      </w:r>
      <w:r>
        <w:rPr>
          <w:rFonts w:hint="eastAsia" w:ascii="仿宋" w:hAnsi="仿宋" w:eastAsia="仿宋" w:cs="宋体"/>
          <w:sz w:val="24"/>
          <w:szCs w:val="28"/>
        </w:rPr>
        <w:t>；</w:t>
      </w:r>
    </w:p>
    <w:p w14:paraId="3F29A600">
      <w:pPr>
        <w:spacing w:line="360" w:lineRule="auto"/>
        <w:ind w:firstLine="480" w:firstLineChars="200"/>
        <w:jc w:val="left"/>
        <w:rPr>
          <w:rFonts w:hint="eastAsia" w:ascii="仿宋" w:hAnsi="仿宋" w:eastAsia="仿宋" w:cs="宋体"/>
          <w:sz w:val="24"/>
          <w:szCs w:val="28"/>
          <w:highlight w:val="none"/>
        </w:rPr>
      </w:pPr>
      <w:r>
        <w:rPr>
          <w:rFonts w:hint="eastAsia" w:ascii="仿宋" w:hAnsi="仿宋" w:eastAsia="仿宋" w:cs="宋体"/>
          <w:sz w:val="24"/>
          <w:szCs w:val="28"/>
          <w:highlight w:val="none"/>
        </w:rPr>
        <w:t>方式：供应商登录乐采云平台www.lecaiyun.com，在线申请获取采购文件（进入“项目采购”应用，在获取采购文件菜单中选择项目，申请获取采购文件）。公告页面附件招标文件可以下载，仅供浏览使用；</w:t>
      </w:r>
    </w:p>
    <w:p w14:paraId="5F9C468D">
      <w:pPr>
        <w:spacing w:line="360" w:lineRule="auto"/>
        <w:ind w:firstLine="480" w:firstLineChars="200"/>
        <w:jc w:val="left"/>
        <w:rPr>
          <w:rFonts w:ascii="仿宋" w:hAnsi="仿宋" w:eastAsia="仿宋" w:cs="宋体"/>
          <w:sz w:val="24"/>
          <w:szCs w:val="28"/>
        </w:rPr>
      </w:pPr>
      <w:r>
        <w:rPr>
          <w:rFonts w:hint="eastAsia" w:ascii="仿宋" w:hAnsi="仿宋" w:eastAsia="仿宋" w:cs="宋体"/>
          <w:sz w:val="24"/>
          <w:szCs w:val="28"/>
        </w:rPr>
        <w:t>售价：0。</w:t>
      </w:r>
    </w:p>
    <w:p w14:paraId="00CA822C">
      <w:pPr>
        <w:pStyle w:val="3"/>
        <w:ind w:left="0" w:firstLine="0"/>
        <w:rPr>
          <w:rFonts w:ascii="黑体" w:hAnsi="黑体" w:cs="宋体"/>
          <w:sz w:val="24"/>
          <w:szCs w:val="28"/>
          <w:highlight w:val="none"/>
        </w:rPr>
      </w:pPr>
      <w:bookmarkStart w:id="24" w:name="_Toc28359082"/>
      <w:bookmarkStart w:id="25" w:name="_Toc28359005"/>
      <w:bookmarkStart w:id="26" w:name="_Toc35393624"/>
      <w:bookmarkStart w:id="27" w:name="_Toc35393793"/>
      <w:r>
        <w:rPr>
          <w:rFonts w:hint="eastAsia" w:ascii="黑体" w:hAnsi="黑体" w:cs="宋体"/>
          <w:sz w:val="24"/>
          <w:szCs w:val="28"/>
        </w:rPr>
        <w:t>四、</w:t>
      </w:r>
      <w:r>
        <w:rPr>
          <w:rFonts w:hint="eastAsia" w:ascii="黑体" w:hAnsi="黑体" w:cs="宋体"/>
          <w:sz w:val="24"/>
          <w:szCs w:val="28"/>
          <w:highlight w:val="none"/>
        </w:rPr>
        <w:t>提交投标文件</w:t>
      </w:r>
      <w:bookmarkEnd w:id="24"/>
      <w:bookmarkEnd w:id="25"/>
      <w:r>
        <w:rPr>
          <w:rFonts w:hint="eastAsia" w:ascii="黑体" w:hAnsi="黑体" w:cs="宋体"/>
          <w:sz w:val="24"/>
          <w:szCs w:val="28"/>
          <w:highlight w:val="none"/>
        </w:rPr>
        <w:t>截止时间、开标时间和地点</w:t>
      </w:r>
      <w:bookmarkEnd w:id="26"/>
      <w:bookmarkEnd w:id="27"/>
    </w:p>
    <w:p w14:paraId="022D61F2">
      <w:pPr>
        <w:spacing w:line="360" w:lineRule="auto"/>
        <w:ind w:firstLine="480" w:firstLineChars="200"/>
        <w:jc w:val="left"/>
        <w:rPr>
          <w:rFonts w:ascii="仿宋" w:hAnsi="仿宋" w:eastAsia="仿宋" w:cs="宋体"/>
          <w:sz w:val="24"/>
          <w:szCs w:val="28"/>
          <w:highlight w:val="none"/>
        </w:rPr>
      </w:pPr>
      <w:r>
        <w:rPr>
          <w:rFonts w:hint="eastAsia" w:ascii="仿宋" w:hAnsi="仿宋" w:eastAsia="仿宋" w:cs="宋体"/>
          <w:sz w:val="24"/>
          <w:szCs w:val="28"/>
          <w:highlight w:val="none"/>
        </w:rPr>
        <w:t>提交投标文件截止时间</w:t>
      </w:r>
      <w:r>
        <w:rPr>
          <w:rFonts w:hint="eastAsia" w:ascii="仿宋" w:hAnsi="仿宋" w:eastAsia="仿宋" w:cs="宋体"/>
          <w:sz w:val="24"/>
          <w:szCs w:val="28"/>
          <w:highlight w:val="yellow"/>
        </w:rPr>
        <w:t>：20</w:t>
      </w:r>
      <w:r>
        <w:rPr>
          <w:rFonts w:hint="eastAsia" w:ascii="仿宋" w:hAnsi="仿宋" w:eastAsia="仿宋" w:cs="宋体"/>
          <w:sz w:val="24"/>
          <w:szCs w:val="28"/>
          <w:highlight w:val="yellow"/>
          <w:lang w:val="en-US" w:eastAsia="zh-CN"/>
        </w:rPr>
        <w:t>25</w:t>
      </w:r>
      <w:r>
        <w:rPr>
          <w:rFonts w:ascii="仿宋" w:hAnsi="仿宋" w:eastAsia="仿宋" w:cs="宋体"/>
          <w:sz w:val="24"/>
          <w:szCs w:val="28"/>
          <w:highlight w:val="yellow"/>
        </w:rPr>
        <w:t>年</w:t>
      </w:r>
      <w:r>
        <w:rPr>
          <w:rFonts w:hint="eastAsia" w:ascii="仿宋" w:hAnsi="仿宋" w:eastAsia="仿宋" w:cs="宋体"/>
          <w:sz w:val="24"/>
          <w:szCs w:val="28"/>
          <w:highlight w:val="yellow"/>
          <w:lang w:val="en-US" w:eastAsia="zh-CN"/>
        </w:rPr>
        <w:t>4</w:t>
      </w:r>
      <w:r>
        <w:rPr>
          <w:rFonts w:ascii="仿宋" w:hAnsi="仿宋" w:eastAsia="仿宋" w:cs="宋体"/>
          <w:sz w:val="24"/>
          <w:szCs w:val="28"/>
          <w:highlight w:val="yellow"/>
        </w:rPr>
        <w:t>月</w:t>
      </w:r>
      <w:r>
        <w:rPr>
          <w:rFonts w:hint="eastAsia" w:ascii="仿宋" w:hAnsi="仿宋" w:eastAsia="仿宋" w:cs="宋体"/>
          <w:sz w:val="24"/>
          <w:szCs w:val="28"/>
          <w:highlight w:val="yellow"/>
          <w:lang w:val="en-US" w:eastAsia="zh-CN"/>
        </w:rPr>
        <w:t>18</w:t>
      </w:r>
      <w:r>
        <w:rPr>
          <w:rFonts w:ascii="仿宋" w:hAnsi="仿宋" w:eastAsia="仿宋" w:cs="宋体"/>
          <w:sz w:val="24"/>
          <w:szCs w:val="28"/>
          <w:highlight w:val="yellow"/>
        </w:rPr>
        <w:t xml:space="preserve">日 </w:t>
      </w:r>
      <w:r>
        <w:rPr>
          <w:rFonts w:hint="eastAsia" w:ascii="仿宋" w:hAnsi="仿宋" w:eastAsia="仿宋" w:cs="宋体"/>
          <w:sz w:val="24"/>
          <w:szCs w:val="28"/>
          <w:highlight w:val="yellow"/>
        </w:rPr>
        <w:t>09</w:t>
      </w:r>
      <w:r>
        <w:rPr>
          <w:rFonts w:ascii="仿宋" w:hAnsi="仿宋" w:eastAsia="仿宋" w:cs="宋体"/>
          <w:sz w:val="24"/>
          <w:szCs w:val="28"/>
          <w:highlight w:val="yellow"/>
        </w:rPr>
        <w:t>:</w:t>
      </w:r>
      <w:r>
        <w:rPr>
          <w:rFonts w:hint="eastAsia" w:ascii="仿宋" w:hAnsi="仿宋" w:eastAsia="仿宋" w:cs="宋体"/>
          <w:sz w:val="24"/>
          <w:szCs w:val="28"/>
          <w:highlight w:val="yellow"/>
        </w:rPr>
        <w:t>0</w:t>
      </w:r>
      <w:r>
        <w:rPr>
          <w:rFonts w:ascii="仿宋" w:hAnsi="仿宋" w:eastAsia="仿宋" w:cs="宋体"/>
          <w:sz w:val="24"/>
          <w:szCs w:val="28"/>
          <w:highlight w:val="yellow"/>
        </w:rPr>
        <w:t>0</w:t>
      </w:r>
      <w:r>
        <w:rPr>
          <w:rFonts w:hint="eastAsia" w:ascii="仿宋" w:hAnsi="仿宋" w:eastAsia="仿宋" w:cs="宋体"/>
          <w:sz w:val="24"/>
          <w:szCs w:val="28"/>
          <w:highlight w:val="yellow"/>
        </w:rPr>
        <w:t>（北京时间</w:t>
      </w:r>
      <w:r>
        <w:rPr>
          <w:rFonts w:hint="eastAsia" w:ascii="仿宋" w:hAnsi="仿宋" w:eastAsia="仿宋" w:cs="宋体"/>
          <w:sz w:val="24"/>
          <w:szCs w:val="28"/>
          <w:highlight w:val="none"/>
        </w:rPr>
        <w:t>）</w:t>
      </w:r>
    </w:p>
    <w:p w14:paraId="225636CE">
      <w:pPr>
        <w:spacing w:line="360" w:lineRule="auto"/>
        <w:ind w:firstLine="480" w:firstLineChars="200"/>
        <w:jc w:val="left"/>
        <w:rPr>
          <w:rFonts w:ascii="仿宋" w:hAnsi="仿宋" w:eastAsia="仿宋" w:cs="宋体"/>
          <w:sz w:val="24"/>
          <w:szCs w:val="28"/>
          <w:highlight w:val="none"/>
        </w:rPr>
      </w:pPr>
      <w:r>
        <w:rPr>
          <w:rFonts w:ascii="仿宋" w:hAnsi="仿宋" w:eastAsia="仿宋" w:cs="宋体"/>
          <w:sz w:val="24"/>
          <w:szCs w:val="28"/>
          <w:highlight w:val="none"/>
        </w:rPr>
        <w:t>投标地点（网址）：</w:t>
      </w:r>
      <w:r>
        <w:rPr>
          <w:rFonts w:hint="eastAsia" w:ascii="仿宋" w:eastAsia="仿宋" w:cs="宋体"/>
          <w:sz w:val="24"/>
          <w:szCs w:val="28"/>
          <w:highlight w:val="none"/>
        </w:rPr>
        <w:t>乐采云平台（https://</w:t>
      </w:r>
      <w:r>
        <w:rPr>
          <w:rFonts w:hint="eastAsia" w:ascii="仿宋" w:eastAsia="仿宋" w:cs="宋体"/>
          <w:sz w:val="24"/>
          <w:szCs w:val="28"/>
          <w:highlight w:val="none"/>
        </w:rPr>
        <w:fldChar w:fldCharType="begin"/>
      </w:r>
      <w:r>
        <w:rPr>
          <w:rFonts w:hint="eastAsia" w:ascii="仿宋" w:eastAsia="仿宋" w:cs="宋体"/>
          <w:sz w:val="24"/>
          <w:szCs w:val="28"/>
          <w:highlight w:val="none"/>
        </w:rPr>
        <w:instrText xml:space="preserve"> HYPERLINK "http://www.lecaiyun.com/" \t "_blank" </w:instrText>
      </w:r>
      <w:r>
        <w:rPr>
          <w:rFonts w:hint="eastAsia" w:ascii="仿宋" w:eastAsia="仿宋" w:cs="宋体"/>
          <w:sz w:val="24"/>
          <w:szCs w:val="28"/>
          <w:highlight w:val="none"/>
        </w:rPr>
        <w:fldChar w:fldCharType="separate"/>
      </w:r>
      <w:r>
        <w:rPr>
          <w:rFonts w:hint="eastAsia" w:ascii="仿宋" w:eastAsia="仿宋" w:cs="宋体"/>
          <w:sz w:val="24"/>
          <w:szCs w:val="28"/>
          <w:highlight w:val="none"/>
        </w:rPr>
        <w:t>www.lecaiyun.com</w:t>
      </w:r>
      <w:r>
        <w:rPr>
          <w:rFonts w:hint="eastAsia" w:ascii="仿宋" w:eastAsia="仿宋" w:cs="宋体"/>
          <w:sz w:val="24"/>
          <w:szCs w:val="28"/>
          <w:highlight w:val="none"/>
        </w:rPr>
        <w:fldChar w:fldCharType="end"/>
      </w:r>
      <w:r>
        <w:rPr>
          <w:rFonts w:hint="eastAsia" w:ascii="仿宋" w:eastAsia="仿宋" w:cs="宋体"/>
          <w:sz w:val="24"/>
          <w:szCs w:val="28"/>
          <w:highlight w:val="none"/>
        </w:rPr>
        <w:t>）</w:t>
      </w:r>
    </w:p>
    <w:p w14:paraId="64F2C1D3">
      <w:pPr>
        <w:spacing w:line="360" w:lineRule="auto"/>
        <w:ind w:firstLine="480" w:firstLineChars="200"/>
        <w:jc w:val="left"/>
        <w:rPr>
          <w:rFonts w:ascii="仿宋" w:hAnsi="仿宋" w:eastAsia="仿宋" w:cs="宋体"/>
          <w:sz w:val="24"/>
          <w:szCs w:val="28"/>
          <w:highlight w:val="yellow"/>
        </w:rPr>
      </w:pPr>
      <w:r>
        <w:rPr>
          <w:rFonts w:ascii="仿宋" w:hAnsi="仿宋" w:eastAsia="仿宋" w:cs="宋体"/>
          <w:sz w:val="24"/>
          <w:szCs w:val="28"/>
          <w:highlight w:val="none"/>
        </w:rPr>
        <w:t>开标时间：</w:t>
      </w:r>
      <w:r>
        <w:rPr>
          <w:rFonts w:hint="eastAsia" w:ascii="仿宋" w:hAnsi="仿宋" w:eastAsia="仿宋" w:cs="宋体"/>
          <w:sz w:val="24"/>
          <w:szCs w:val="28"/>
          <w:highlight w:val="yellow"/>
          <w:lang w:val="en-US" w:eastAsia="zh-CN"/>
        </w:rPr>
        <w:t>2025</w:t>
      </w:r>
      <w:r>
        <w:rPr>
          <w:rFonts w:ascii="仿宋" w:hAnsi="仿宋" w:eastAsia="仿宋" w:cs="宋体"/>
          <w:sz w:val="24"/>
          <w:szCs w:val="28"/>
          <w:highlight w:val="yellow"/>
        </w:rPr>
        <w:t>年</w:t>
      </w:r>
      <w:r>
        <w:rPr>
          <w:rFonts w:hint="eastAsia" w:ascii="仿宋" w:hAnsi="仿宋" w:eastAsia="仿宋" w:cs="宋体"/>
          <w:sz w:val="24"/>
          <w:szCs w:val="28"/>
          <w:highlight w:val="yellow"/>
          <w:lang w:val="en-US" w:eastAsia="zh-CN"/>
        </w:rPr>
        <w:t>4</w:t>
      </w:r>
      <w:r>
        <w:rPr>
          <w:rFonts w:ascii="仿宋" w:hAnsi="仿宋" w:eastAsia="仿宋" w:cs="宋体"/>
          <w:sz w:val="24"/>
          <w:szCs w:val="28"/>
          <w:highlight w:val="yellow"/>
        </w:rPr>
        <w:t>月</w:t>
      </w:r>
      <w:r>
        <w:rPr>
          <w:rFonts w:hint="eastAsia" w:ascii="仿宋" w:hAnsi="仿宋" w:eastAsia="仿宋" w:cs="宋体"/>
          <w:sz w:val="24"/>
          <w:szCs w:val="28"/>
          <w:highlight w:val="yellow"/>
          <w:lang w:val="en-US" w:eastAsia="zh-CN"/>
        </w:rPr>
        <w:t>18</w:t>
      </w:r>
      <w:r>
        <w:rPr>
          <w:rFonts w:ascii="仿宋" w:hAnsi="仿宋" w:eastAsia="仿宋" w:cs="宋体"/>
          <w:sz w:val="24"/>
          <w:szCs w:val="28"/>
          <w:highlight w:val="yellow"/>
        </w:rPr>
        <w:t xml:space="preserve"> </w:t>
      </w:r>
      <w:r>
        <w:rPr>
          <w:rFonts w:hint="eastAsia" w:ascii="仿宋" w:hAnsi="仿宋" w:eastAsia="仿宋" w:cs="宋体"/>
          <w:sz w:val="24"/>
          <w:szCs w:val="28"/>
          <w:highlight w:val="yellow"/>
        </w:rPr>
        <w:t>09</w:t>
      </w:r>
      <w:r>
        <w:rPr>
          <w:rFonts w:ascii="仿宋" w:hAnsi="仿宋" w:eastAsia="仿宋" w:cs="宋体"/>
          <w:sz w:val="24"/>
          <w:szCs w:val="28"/>
          <w:highlight w:val="yellow"/>
        </w:rPr>
        <w:t>:</w:t>
      </w:r>
      <w:r>
        <w:rPr>
          <w:rFonts w:hint="eastAsia" w:ascii="仿宋" w:hAnsi="仿宋" w:eastAsia="仿宋" w:cs="宋体"/>
          <w:sz w:val="24"/>
          <w:szCs w:val="28"/>
          <w:highlight w:val="yellow"/>
        </w:rPr>
        <w:t>0</w:t>
      </w:r>
      <w:r>
        <w:rPr>
          <w:rFonts w:ascii="仿宋" w:hAnsi="仿宋" w:eastAsia="仿宋" w:cs="宋体"/>
          <w:sz w:val="24"/>
          <w:szCs w:val="28"/>
          <w:highlight w:val="yellow"/>
        </w:rPr>
        <w:t>0</w:t>
      </w:r>
    </w:p>
    <w:p w14:paraId="0B0CC6FA">
      <w:pPr>
        <w:spacing w:line="360" w:lineRule="auto"/>
        <w:ind w:firstLine="480" w:firstLineChars="200"/>
        <w:jc w:val="left"/>
        <w:rPr>
          <w:rFonts w:ascii="仿宋" w:hAnsi="仿宋" w:eastAsia="仿宋"/>
          <w:sz w:val="24"/>
          <w:szCs w:val="28"/>
        </w:rPr>
      </w:pPr>
      <w:r>
        <w:rPr>
          <w:rFonts w:hint="eastAsia" w:ascii="仿宋" w:hAnsi="仿宋" w:eastAsia="仿宋"/>
          <w:sz w:val="24"/>
          <w:szCs w:val="28"/>
        </w:rPr>
        <w:t>开标地点（网址）：绍兴市柯桥区清风路轨道交通集团大楼1216室会议室通过乐采云平台（https://www.lecaiyun.com）在线开标。</w:t>
      </w:r>
    </w:p>
    <w:p w14:paraId="6336A754">
      <w:pPr>
        <w:pStyle w:val="3"/>
        <w:ind w:left="0" w:firstLine="0"/>
        <w:rPr>
          <w:rFonts w:ascii="黑体" w:hAnsi="黑体" w:cs="宋体"/>
          <w:sz w:val="24"/>
          <w:szCs w:val="28"/>
        </w:rPr>
      </w:pPr>
      <w:bookmarkStart w:id="28" w:name="_Toc35393794"/>
      <w:bookmarkStart w:id="29" w:name="_Toc35393625"/>
      <w:bookmarkStart w:id="30" w:name="_Toc28359007"/>
      <w:bookmarkStart w:id="31" w:name="_Toc28359084"/>
      <w:r>
        <w:rPr>
          <w:rFonts w:hint="eastAsia" w:ascii="黑体" w:hAnsi="黑体" w:cs="宋体"/>
          <w:sz w:val="24"/>
          <w:szCs w:val="28"/>
        </w:rPr>
        <w:t>五、公告期限</w:t>
      </w:r>
      <w:bookmarkEnd w:id="28"/>
      <w:bookmarkEnd w:id="29"/>
      <w:bookmarkEnd w:id="30"/>
      <w:bookmarkEnd w:id="31"/>
    </w:p>
    <w:p w14:paraId="77FF970A">
      <w:pPr>
        <w:spacing w:line="360" w:lineRule="auto"/>
        <w:ind w:firstLine="480" w:firstLineChars="200"/>
        <w:jc w:val="left"/>
        <w:rPr>
          <w:rFonts w:ascii="仿宋" w:hAnsi="仿宋" w:eastAsia="仿宋" w:cs="宋体"/>
          <w:kern w:val="0"/>
          <w:sz w:val="24"/>
          <w:szCs w:val="28"/>
        </w:rPr>
      </w:pPr>
      <w:r>
        <w:rPr>
          <w:rFonts w:hint="eastAsia" w:ascii="仿宋" w:hAnsi="仿宋" w:eastAsia="仿宋" w:cs="宋体"/>
          <w:kern w:val="0"/>
          <w:sz w:val="24"/>
          <w:szCs w:val="28"/>
        </w:rPr>
        <w:t>自本公告发布之日起5个工作日。</w:t>
      </w:r>
    </w:p>
    <w:p w14:paraId="0E891394">
      <w:pPr>
        <w:pStyle w:val="3"/>
        <w:ind w:left="0" w:firstLine="0"/>
        <w:rPr>
          <w:rFonts w:ascii="黑体" w:hAnsi="黑体" w:cs="宋体"/>
          <w:sz w:val="24"/>
          <w:szCs w:val="28"/>
        </w:rPr>
      </w:pPr>
      <w:bookmarkStart w:id="32" w:name="_Toc35393795"/>
      <w:bookmarkStart w:id="33" w:name="_Toc35393626"/>
      <w:r>
        <w:rPr>
          <w:rFonts w:hint="eastAsia" w:ascii="黑体" w:hAnsi="黑体" w:cs="宋体"/>
          <w:sz w:val="24"/>
          <w:szCs w:val="28"/>
        </w:rPr>
        <w:t>六、其他补充事宜</w:t>
      </w:r>
      <w:bookmarkEnd w:id="32"/>
      <w:bookmarkEnd w:id="33"/>
    </w:p>
    <w:p w14:paraId="325CFD86">
      <w:pPr>
        <w:spacing w:line="360" w:lineRule="auto"/>
        <w:ind w:firstLine="480" w:firstLineChars="200"/>
        <w:jc w:val="left"/>
        <w:rPr>
          <w:rFonts w:ascii="仿宋" w:hAnsi="仿宋" w:eastAsia="仿宋"/>
          <w:sz w:val="24"/>
          <w:szCs w:val="28"/>
        </w:rPr>
      </w:pPr>
      <w:r>
        <w:rPr>
          <w:rFonts w:ascii="仿宋" w:hAnsi="仿宋" w:eastAsia="仿宋"/>
          <w:sz w:val="24"/>
          <w:szCs w:val="28"/>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w:t>
      </w:r>
      <w:r>
        <w:rPr>
          <w:rFonts w:hint="eastAsia" w:ascii="仿宋" w:hAnsi="仿宋" w:eastAsia="仿宋"/>
          <w:sz w:val="24"/>
          <w:szCs w:val="28"/>
        </w:rPr>
        <w:t>国有企业采购</w:t>
      </w:r>
      <w:r>
        <w:rPr>
          <w:rFonts w:ascii="仿宋" w:hAnsi="仿宋" w:eastAsia="仿宋"/>
          <w:sz w:val="24"/>
          <w:szCs w:val="28"/>
        </w:rPr>
        <w:t>监督管理部门投诉。质疑函范本、投诉书范本请到浙江政府采购网下载专区下载。</w:t>
      </w:r>
    </w:p>
    <w:p w14:paraId="1A206D22">
      <w:pPr>
        <w:spacing w:line="360" w:lineRule="auto"/>
        <w:ind w:firstLine="480" w:firstLineChars="200"/>
        <w:jc w:val="left"/>
        <w:rPr>
          <w:rFonts w:ascii="仿宋" w:hAnsi="仿宋" w:eastAsia="仿宋"/>
          <w:sz w:val="24"/>
          <w:szCs w:val="28"/>
        </w:rPr>
      </w:pPr>
      <w:r>
        <w:rPr>
          <w:rFonts w:hint="eastAsia" w:ascii="仿宋" w:hAnsi="仿宋" w:eastAsia="仿宋"/>
          <w:sz w:val="24"/>
          <w:szCs w:val="28"/>
        </w:rPr>
        <w:t>2.其他事项：无</w:t>
      </w:r>
    </w:p>
    <w:p w14:paraId="422AE22B">
      <w:pPr>
        <w:pStyle w:val="3"/>
        <w:ind w:left="0" w:firstLine="0"/>
        <w:rPr>
          <w:rFonts w:ascii="黑体" w:hAnsi="黑体" w:cs="宋体"/>
          <w:sz w:val="24"/>
          <w:szCs w:val="28"/>
        </w:rPr>
      </w:pPr>
      <w:bookmarkStart w:id="34" w:name="_Toc28359008"/>
      <w:bookmarkStart w:id="35" w:name="_Toc35393627"/>
      <w:bookmarkStart w:id="36" w:name="_Toc28359085"/>
      <w:bookmarkStart w:id="37" w:name="_Toc35393796"/>
      <w:r>
        <w:rPr>
          <w:rFonts w:hint="eastAsia" w:ascii="黑体" w:hAnsi="黑体" w:cs="宋体"/>
          <w:sz w:val="24"/>
          <w:szCs w:val="28"/>
        </w:rPr>
        <w:t>七、对本次采购提出询问、质疑、投诉，请按以下方式联系。</w:t>
      </w:r>
      <w:bookmarkEnd w:id="34"/>
      <w:bookmarkEnd w:id="35"/>
      <w:bookmarkEnd w:id="36"/>
      <w:bookmarkEnd w:id="37"/>
    </w:p>
    <w:p w14:paraId="1108ACC1">
      <w:pPr>
        <w:widowControl/>
        <w:spacing w:line="360" w:lineRule="auto"/>
        <w:ind w:firstLine="480" w:firstLineChars="200"/>
        <w:jc w:val="left"/>
        <w:rPr>
          <w:rFonts w:ascii="仿宋" w:hAnsi="仿宋" w:eastAsia="仿宋" w:cs="宋体"/>
          <w:sz w:val="24"/>
          <w:szCs w:val="28"/>
        </w:rPr>
      </w:pPr>
      <w:r>
        <w:rPr>
          <w:rFonts w:ascii="仿宋" w:hAnsi="仿宋" w:eastAsia="仿宋" w:cs="宋体"/>
          <w:sz w:val="24"/>
          <w:szCs w:val="28"/>
        </w:rPr>
        <w:t>1.采购人信息</w:t>
      </w:r>
    </w:p>
    <w:p w14:paraId="1B96D4E2">
      <w:pPr>
        <w:widowControl/>
        <w:spacing w:line="360" w:lineRule="auto"/>
        <w:jc w:val="left"/>
        <w:rPr>
          <w:rFonts w:hint="eastAsia" w:ascii="仿宋" w:hAnsi="仿宋" w:eastAsia="仿宋" w:cs="宋体"/>
          <w:sz w:val="24"/>
          <w:szCs w:val="28"/>
          <w:highlight w:val="none"/>
          <w:lang w:val="en-US" w:eastAsia="zh-CN"/>
        </w:rPr>
      </w:pPr>
      <w:r>
        <w:rPr>
          <w:rFonts w:hint="eastAsia" w:ascii="宋体" w:hAnsi="宋体" w:cs="宋体"/>
          <w:sz w:val="24"/>
          <w:szCs w:val="28"/>
        </w:rPr>
        <w:t> </w:t>
      </w:r>
      <w:r>
        <w:rPr>
          <w:rFonts w:hint="eastAsia" w:ascii="仿宋" w:hAnsi="仿宋" w:eastAsia="仿宋" w:cs="仿宋"/>
          <w:sz w:val="24"/>
          <w:szCs w:val="28"/>
        </w:rPr>
        <w:t xml:space="preserve"> </w:t>
      </w:r>
      <w:r>
        <w:rPr>
          <w:rFonts w:hint="eastAsia" w:ascii="宋体" w:hAnsi="宋体" w:cs="宋体"/>
          <w:sz w:val="24"/>
          <w:szCs w:val="28"/>
        </w:rPr>
        <w:t xml:space="preserve"> </w:t>
      </w:r>
      <w:r>
        <w:rPr>
          <w:rFonts w:ascii="仿宋" w:hAnsi="仿宋" w:eastAsia="仿宋" w:cs="宋体"/>
          <w:sz w:val="24"/>
          <w:szCs w:val="28"/>
        </w:rPr>
        <w:t>名称：</w:t>
      </w:r>
      <w:r>
        <w:rPr>
          <w:rFonts w:hint="eastAsia" w:ascii="仿宋" w:hAnsi="仿宋" w:eastAsia="仿宋" w:cs="宋体"/>
          <w:sz w:val="24"/>
          <w:szCs w:val="28"/>
          <w:highlight w:val="yellow"/>
          <w:lang w:val="en-US" w:eastAsia="zh-CN"/>
        </w:rPr>
        <w:t>浙江绍兴杭绍临空示范区产业发展集团有限公司</w:t>
      </w:r>
    </w:p>
    <w:p w14:paraId="3A31E1E3">
      <w:pPr>
        <w:widowControl/>
        <w:spacing w:line="360" w:lineRule="auto"/>
        <w:jc w:val="left"/>
        <w:rPr>
          <w:rFonts w:ascii="仿宋" w:hAnsi="仿宋" w:eastAsia="仿宋" w:cs="宋体"/>
          <w:sz w:val="24"/>
          <w:szCs w:val="28"/>
        </w:rPr>
      </w:pPr>
      <w:r>
        <w:rPr>
          <w:rFonts w:hint="eastAsia" w:ascii="宋体" w:hAnsi="宋体" w:cs="宋体"/>
          <w:sz w:val="24"/>
          <w:szCs w:val="28"/>
        </w:rPr>
        <w:t> </w:t>
      </w:r>
      <w:r>
        <w:rPr>
          <w:rFonts w:hint="eastAsia" w:ascii="仿宋" w:hAnsi="仿宋" w:eastAsia="仿宋" w:cs="仿宋"/>
          <w:sz w:val="24"/>
          <w:szCs w:val="28"/>
        </w:rPr>
        <w:t xml:space="preserve"> </w:t>
      </w:r>
      <w:r>
        <w:rPr>
          <w:rFonts w:hint="eastAsia" w:ascii="宋体" w:hAnsi="宋体" w:cs="宋体"/>
          <w:sz w:val="24"/>
          <w:szCs w:val="28"/>
        </w:rPr>
        <w:t xml:space="preserve"> </w:t>
      </w:r>
      <w:r>
        <w:rPr>
          <w:rFonts w:ascii="仿宋" w:hAnsi="仿宋" w:eastAsia="仿宋" w:cs="宋体"/>
          <w:sz w:val="24"/>
          <w:szCs w:val="28"/>
        </w:rPr>
        <w:t>地址：</w:t>
      </w:r>
      <w:r>
        <w:rPr>
          <w:rFonts w:hint="eastAsia" w:ascii="仿宋" w:hAnsi="仿宋" w:eastAsia="仿宋" w:cs="宋体"/>
          <w:sz w:val="24"/>
          <w:szCs w:val="28"/>
        </w:rPr>
        <w:t>绍兴市柯桥区钱清街道万绣路车辆基地培训中心</w:t>
      </w:r>
    </w:p>
    <w:p w14:paraId="328C9DE6">
      <w:pPr>
        <w:widowControl/>
        <w:spacing w:line="360" w:lineRule="auto"/>
        <w:jc w:val="left"/>
        <w:rPr>
          <w:rFonts w:ascii="仿宋" w:hAnsi="仿宋" w:eastAsia="仿宋" w:cs="宋体"/>
          <w:sz w:val="24"/>
          <w:szCs w:val="28"/>
        </w:rPr>
      </w:pPr>
      <w:r>
        <w:rPr>
          <w:rFonts w:hint="eastAsia" w:ascii="宋体" w:hAnsi="宋体" w:cs="宋体"/>
          <w:sz w:val="24"/>
          <w:szCs w:val="28"/>
        </w:rPr>
        <w:t> </w:t>
      </w:r>
      <w:r>
        <w:rPr>
          <w:rFonts w:hint="eastAsia" w:ascii="仿宋" w:hAnsi="仿宋" w:eastAsia="仿宋" w:cs="仿宋"/>
          <w:sz w:val="24"/>
          <w:szCs w:val="28"/>
        </w:rPr>
        <w:t xml:space="preserve"> </w:t>
      </w:r>
      <w:r>
        <w:rPr>
          <w:rFonts w:hint="eastAsia" w:ascii="宋体" w:hAnsi="宋体" w:cs="宋体"/>
          <w:sz w:val="24"/>
          <w:szCs w:val="28"/>
        </w:rPr>
        <w:t xml:space="preserve"> </w:t>
      </w:r>
      <w:r>
        <w:rPr>
          <w:rFonts w:ascii="仿宋" w:hAnsi="仿宋" w:eastAsia="仿宋" w:cs="宋体"/>
          <w:sz w:val="24"/>
          <w:szCs w:val="28"/>
        </w:rPr>
        <w:t>传真：</w:t>
      </w:r>
    </w:p>
    <w:p w14:paraId="46A2E131">
      <w:pPr>
        <w:widowControl/>
        <w:spacing w:line="360" w:lineRule="auto"/>
        <w:jc w:val="left"/>
        <w:rPr>
          <w:rFonts w:ascii="仿宋" w:hAnsi="仿宋" w:eastAsia="仿宋" w:cs="宋体"/>
          <w:sz w:val="24"/>
          <w:szCs w:val="28"/>
        </w:rPr>
      </w:pPr>
      <w:r>
        <w:rPr>
          <w:rFonts w:hint="eastAsia" w:ascii="宋体" w:hAnsi="宋体" w:cs="宋体"/>
          <w:sz w:val="24"/>
          <w:szCs w:val="28"/>
        </w:rPr>
        <w:t> </w:t>
      </w:r>
      <w:r>
        <w:rPr>
          <w:rFonts w:hint="eastAsia" w:ascii="仿宋" w:hAnsi="仿宋" w:eastAsia="仿宋" w:cs="仿宋"/>
          <w:sz w:val="24"/>
          <w:szCs w:val="28"/>
        </w:rPr>
        <w:t xml:space="preserve"> </w:t>
      </w:r>
      <w:r>
        <w:rPr>
          <w:rFonts w:hint="eastAsia" w:ascii="宋体" w:hAnsi="宋体" w:cs="宋体"/>
          <w:sz w:val="24"/>
          <w:szCs w:val="28"/>
        </w:rPr>
        <w:t xml:space="preserve"> </w:t>
      </w:r>
      <w:r>
        <w:rPr>
          <w:rFonts w:ascii="仿宋" w:hAnsi="仿宋" w:eastAsia="仿宋" w:cs="宋体"/>
          <w:sz w:val="24"/>
          <w:szCs w:val="28"/>
        </w:rPr>
        <w:t>项目联系人（询问）：</w:t>
      </w:r>
      <w:r>
        <w:rPr>
          <w:rFonts w:hint="eastAsia" w:ascii="仿宋" w:hAnsi="仿宋" w:eastAsia="仿宋" w:cs="宋体"/>
          <w:sz w:val="24"/>
          <w:szCs w:val="28"/>
        </w:rPr>
        <w:t xml:space="preserve">沈工 </w:t>
      </w:r>
    </w:p>
    <w:p w14:paraId="62618E70">
      <w:pPr>
        <w:widowControl/>
        <w:spacing w:line="360" w:lineRule="auto"/>
        <w:jc w:val="left"/>
        <w:rPr>
          <w:rFonts w:ascii="仿宋" w:hAnsi="仿宋" w:eastAsia="仿宋" w:cs="宋体"/>
          <w:sz w:val="24"/>
          <w:szCs w:val="28"/>
        </w:rPr>
      </w:pPr>
      <w:r>
        <w:rPr>
          <w:rFonts w:hint="eastAsia" w:ascii="宋体" w:hAnsi="宋体" w:cs="宋体"/>
          <w:sz w:val="24"/>
          <w:szCs w:val="28"/>
        </w:rPr>
        <w:t> </w:t>
      </w:r>
      <w:r>
        <w:rPr>
          <w:rFonts w:hint="eastAsia" w:ascii="仿宋" w:hAnsi="仿宋" w:eastAsia="仿宋" w:cs="仿宋"/>
          <w:sz w:val="24"/>
          <w:szCs w:val="28"/>
        </w:rPr>
        <w:t xml:space="preserve"> </w:t>
      </w:r>
      <w:r>
        <w:rPr>
          <w:rFonts w:hint="eastAsia" w:ascii="宋体" w:hAnsi="宋体" w:cs="宋体"/>
          <w:sz w:val="24"/>
          <w:szCs w:val="28"/>
        </w:rPr>
        <w:t xml:space="preserve"> </w:t>
      </w:r>
      <w:r>
        <w:rPr>
          <w:rFonts w:ascii="仿宋" w:hAnsi="仿宋" w:eastAsia="仿宋" w:cs="宋体"/>
          <w:sz w:val="24"/>
          <w:szCs w:val="28"/>
        </w:rPr>
        <w:t>项目联系方式（询问）：</w:t>
      </w:r>
      <w:r>
        <w:rPr>
          <w:rFonts w:hint="eastAsia" w:ascii="仿宋" w:hAnsi="仿宋" w:eastAsia="仿宋" w:cs="宋体"/>
          <w:sz w:val="24"/>
          <w:szCs w:val="28"/>
        </w:rPr>
        <w:t>0575-84111181</w:t>
      </w:r>
    </w:p>
    <w:p w14:paraId="6F06B8E0">
      <w:pPr>
        <w:widowControl/>
        <w:spacing w:line="360" w:lineRule="auto"/>
        <w:jc w:val="left"/>
        <w:rPr>
          <w:rFonts w:ascii="仿宋" w:hAnsi="仿宋" w:eastAsia="仿宋" w:cs="宋体"/>
          <w:sz w:val="24"/>
          <w:szCs w:val="28"/>
        </w:rPr>
      </w:pPr>
      <w:r>
        <w:rPr>
          <w:rFonts w:hint="eastAsia" w:ascii="宋体" w:hAnsi="宋体" w:cs="宋体"/>
          <w:sz w:val="24"/>
          <w:szCs w:val="28"/>
        </w:rPr>
        <w:t> </w:t>
      </w:r>
      <w:r>
        <w:rPr>
          <w:rFonts w:hint="eastAsia" w:ascii="仿宋" w:hAnsi="仿宋" w:eastAsia="仿宋" w:cs="仿宋"/>
          <w:sz w:val="24"/>
          <w:szCs w:val="28"/>
        </w:rPr>
        <w:t xml:space="preserve"> 2.</w:t>
      </w:r>
      <w:r>
        <w:rPr>
          <w:rFonts w:ascii="仿宋" w:hAnsi="仿宋" w:eastAsia="仿宋" w:cs="宋体"/>
          <w:sz w:val="24"/>
          <w:szCs w:val="28"/>
        </w:rPr>
        <w:t xml:space="preserve">采购监督管理部门 </w:t>
      </w:r>
    </w:p>
    <w:p w14:paraId="761004D7">
      <w:pPr>
        <w:widowControl/>
        <w:spacing w:line="360" w:lineRule="auto"/>
        <w:jc w:val="left"/>
        <w:rPr>
          <w:rFonts w:ascii="仿宋" w:hAnsi="仿宋" w:eastAsia="仿宋" w:cs="宋体"/>
          <w:sz w:val="24"/>
          <w:szCs w:val="28"/>
        </w:rPr>
      </w:pPr>
      <w:r>
        <w:rPr>
          <w:rFonts w:hint="eastAsia" w:ascii="宋体" w:hAnsi="宋体" w:cs="宋体"/>
          <w:sz w:val="24"/>
          <w:szCs w:val="28"/>
        </w:rPr>
        <w:t> </w:t>
      </w:r>
      <w:r>
        <w:rPr>
          <w:rFonts w:hint="eastAsia" w:ascii="仿宋" w:hAnsi="仿宋" w:eastAsia="仿宋" w:cs="仿宋"/>
          <w:sz w:val="24"/>
          <w:szCs w:val="28"/>
        </w:rPr>
        <w:t xml:space="preserve"> </w:t>
      </w:r>
      <w:r>
        <w:rPr>
          <w:rFonts w:hint="eastAsia" w:ascii="宋体" w:hAnsi="宋体" w:cs="宋体"/>
          <w:sz w:val="24"/>
          <w:szCs w:val="28"/>
        </w:rPr>
        <w:t xml:space="preserve"> </w:t>
      </w:r>
      <w:r>
        <w:rPr>
          <w:rFonts w:ascii="仿宋" w:hAnsi="仿宋" w:eastAsia="仿宋" w:cs="宋体"/>
          <w:sz w:val="24"/>
          <w:szCs w:val="28"/>
        </w:rPr>
        <w:t>名称：</w:t>
      </w:r>
      <w:r>
        <w:rPr>
          <w:rFonts w:hint="eastAsia" w:ascii="仿宋" w:hAnsi="仿宋" w:eastAsia="仿宋"/>
          <w:strike w:val="0"/>
          <w:dstrike w:val="0"/>
          <w:sz w:val="24"/>
          <w:szCs w:val="28"/>
          <w:highlight w:val="yellow"/>
          <w:lang w:eastAsia="zh-CN"/>
        </w:rPr>
        <w:t>浙江绍兴杭绍临空示范区开发集团有限公司</w:t>
      </w:r>
    </w:p>
    <w:p w14:paraId="3F14BFF6">
      <w:pPr>
        <w:widowControl/>
        <w:spacing w:line="360" w:lineRule="auto"/>
        <w:jc w:val="left"/>
        <w:rPr>
          <w:rFonts w:ascii="仿宋" w:hAnsi="仿宋" w:eastAsia="仿宋" w:cs="宋体"/>
          <w:sz w:val="24"/>
          <w:szCs w:val="28"/>
        </w:rPr>
      </w:pPr>
      <w:r>
        <w:rPr>
          <w:rFonts w:hint="eastAsia" w:ascii="宋体" w:hAnsi="宋体" w:cs="宋体"/>
          <w:sz w:val="24"/>
          <w:szCs w:val="28"/>
        </w:rPr>
        <w:t> </w:t>
      </w:r>
      <w:r>
        <w:rPr>
          <w:rFonts w:hint="eastAsia" w:ascii="仿宋" w:hAnsi="仿宋" w:eastAsia="仿宋" w:cs="仿宋"/>
          <w:sz w:val="24"/>
          <w:szCs w:val="28"/>
        </w:rPr>
        <w:t xml:space="preserve"> </w:t>
      </w:r>
      <w:r>
        <w:rPr>
          <w:rFonts w:hint="eastAsia" w:ascii="宋体" w:hAnsi="宋体" w:cs="宋体"/>
          <w:sz w:val="24"/>
          <w:szCs w:val="28"/>
        </w:rPr>
        <w:t xml:space="preserve"> </w:t>
      </w:r>
      <w:r>
        <w:rPr>
          <w:rFonts w:ascii="仿宋" w:hAnsi="仿宋" w:eastAsia="仿宋" w:cs="宋体"/>
          <w:sz w:val="24"/>
          <w:szCs w:val="28"/>
        </w:rPr>
        <w:t>地址：</w:t>
      </w:r>
      <w:r>
        <w:rPr>
          <w:rFonts w:hint="eastAsia" w:ascii="仿宋" w:hAnsi="仿宋" w:eastAsia="仿宋"/>
          <w:sz w:val="24"/>
        </w:rPr>
        <w:t>绍兴市</w:t>
      </w:r>
      <w:r>
        <w:rPr>
          <w:rFonts w:ascii="仿宋" w:hAnsi="仿宋" w:eastAsia="仿宋"/>
          <w:sz w:val="24"/>
        </w:rPr>
        <w:t>柯桥区</w:t>
      </w:r>
    </w:p>
    <w:p w14:paraId="1DBFF552">
      <w:pPr>
        <w:widowControl/>
        <w:spacing w:line="360" w:lineRule="auto"/>
        <w:jc w:val="left"/>
        <w:rPr>
          <w:rFonts w:ascii="仿宋" w:hAnsi="仿宋" w:eastAsia="仿宋" w:cs="宋体"/>
          <w:sz w:val="24"/>
          <w:szCs w:val="28"/>
        </w:rPr>
      </w:pPr>
      <w:r>
        <w:rPr>
          <w:rFonts w:hint="eastAsia" w:ascii="宋体" w:hAnsi="宋体" w:cs="宋体"/>
          <w:sz w:val="24"/>
          <w:szCs w:val="28"/>
        </w:rPr>
        <w:t> </w:t>
      </w:r>
      <w:r>
        <w:rPr>
          <w:rFonts w:hint="eastAsia" w:ascii="仿宋" w:hAnsi="仿宋" w:eastAsia="仿宋" w:cs="仿宋"/>
          <w:sz w:val="24"/>
          <w:szCs w:val="28"/>
        </w:rPr>
        <w:t xml:space="preserve"> </w:t>
      </w:r>
      <w:r>
        <w:rPr>
          <w:rFonts w:hint="eastAsia" w:ascii="宋体" w:hAnsi="宋体" w:cs="宋体"/>
          <w:sz w:val="24"/>
          <w:szCs w:val="28"/>
        </w:rPr>
        <w:t xml:space="preserve"> </w:t>
      </w:r>
      <w:r>
        <w:rPr>
          <w:rFonts w:ascii="仿宋" w:hAnsi="仿宋" w:eastAsia="仿宋" w:cs="宋体"/>
          <w:sz w:val="24"/>
          <w:szCs w:val="28"/>
        </w:rPr>
        <w:t>传真：</w:t>
      </w:r>
      <w:r>
        <w:rPr>
          <w:rFonts w:ascii="仿宋" w:hAnsi="仿宋" w:eastAsia="仿宋" w:cs="宋体"/>
          <w:snapToGrid w:val="0"/>
          <w:kern w:val="0"/>
          <w:sz w:val="24"/>
          <w:szCs w:val="28"/>
        </w:rPr>
        <w:t>/</w:t>
      </w:r>
      <w:r>
        <w:rPr>
          <w:rFonts w:hint="eastAsia" w:ascii="宋体" w:hAnsi="宋体" w:cs="宋体"/>
          <w:sz w:val="24"/>
          <w:szCs w:val="28"/>
        </w:rPr>
        <w:t> </w:t>
      </w:r>
    </w:p>
    <w:p w14:paraId="59FFE2F7">
      <w:pPr>
        <w:widowControl/>
        <w:spacing w:line="360" w:lineRule="auto"/>
        <w:jc w:val="left"/>
        <w:rPr>
          <w:rFonts w:ascii="仿宋" w:hAnsi="仿宋" w:eastAsia="仿宋" w:cs="宋体"/>
          <w:sz w:val="24"/>
          <w:szCs w:val="28"/>
        </w:rPr>
      </w:pPr>
      <w:r>
        <w:rPr>
          <w:rFonts w:hint="eastAsia" w:ascii="宋体" w:hAnsi="宋体" w:cs="宋体"/>
          <w:sz w:val="24"/>
          <w:szCs w:val="28"/>
        </w:rPr>
        <w:t> </w:t>
      </w:r>
      <w:r>
        <w:rPr>
          <w:rFonts w:hint="eastAsia" w:ascii="仿宋" w:hAnsi="仿宋" w:eastAsia="仿宋" w:cs="仿宋"/>
          <w:sz w:val="24"/>
          <w:szCs w:val="28"/>
        </w:rPr>
        <w:t xml:space="preserve"> </w:t>
      </w:r>
      <w:r>
        <w:rPr>
          <w:rFonts w:hint="eastAsia" w:ascii="宋体" w:hAnsi="宋体" w:cs="宋体"/>
          <w:sz w:val="24"/>
          <w:szCs w:val="28"/>
        </w:rPr>
        <w:t xml:space="preserve"> </w:t>
      </w:r>
      <w:r>
        <w:rPr>
          <w:rFonts w:ascii="仿宋" w:hAnsi="仿宋" w:eastAsia="仿宋" w:cs="宋体"/>
          <w:sz w:val="24"/>
          <w:szCs w:val="28"/>
        </w:rPr>
        <w:t>联系人 ：</w:t>
      </w:r>
      <w:r>
        <w:rPr>
          <w:rFonts w:hint="eastAsia" w:ascii="仿宋" w:hAnsi="仿宋" w:eastAsia="仿宋" w:cs="宋体"/>
          <w:snapToGrid w:val="0"/>
          <w:kern w:val="0"/>
          <w:sz w:val="24"/>
          <w:szCs w:val="28"/>
        </w:rPr>
        <w:t>金工</w:t>
      </w:r>
    </w:p>
    <w:p w14:paraId="068B2865">
      <w:pPr>
        <w:spacing w:line="360" w:lineRule="auto"/>
        <w:jc w:val="left"/>
        <w:rPr>
          <w:rFonts w:ascii="仿宋" w:hAnsi="仿宋" w:eastAsia="仿宋" w:cs="宋体"/>
          <w:snapToGrid w:val="0"/>
          <w:kern w:val="0"/>
          <w:sz w:val="24"/>
          <w:szCs w:val="28"/>
        </w:rPr>
      </w:pPr>
      <w:r>
        <w:rPr>
          <w:rFonts w:hint="eastAsia" w:ascii="宋体" w:hAnsi="宋体" w:cs="宋体"/>
          <w:sz w:val="24"/>
          <w:szCs w:val="28"/>
        </w:rPr>
        <w:t> </w:t>
      </w:r>
      <w:r>
        <w:rPr>
          <w:rFonts w:hint="eastAsia" w:ascii="仿宋" w:hAnsi="仿宋" w:eastAsia="仿宋" w:cs="仿宋"/>
          <w:sz w:val="24"/>
          <w:szCs w:val="28"/>
        </w:rPr>
        <w:t xml:space="preserve"> </w:t>
      </w:r>
      <w:r>
        <w:rPr>
          <w:rFonts w:hint="eastAsia" w:ascii="宋体" w:hAnsi="宋体" w:cs="宋体"/>
          <w:sz w:val="24"/>
          <w:szCs w:val="28"/>
        </w:rPr>
        <w:t xml:space="preserve"> </w:t>
      </w:r>
      <w:r>
        <w:rPr>
          <w:rFonts w:ascii="仿宋" w:hAnsi="仿宋" w:eastAsia="仿宋" w:cs="宋体"/>
          <w:sz w:val="24"/>
          <w:szCs w:val="28"/>
        </w:rPr>
        <w:t>监督投诉电话：</w:t>
      </w:r>
      <w:r>
        <w:rPr>
          <w:rFonts w:ascii="仿宋" w:hAnsi="仿宋" w:eastAsia="仿宋" w:cs="宋体"/>
          <w:snapToGrid w:val="0"/>
          <w:kern w:val="0"/>
          <w:sz w:val="24"/>
          <w:szCs w:val="28"/>
        </w:rPr>
        <w:t>0575-</w:t>
      </w:r>
      <w:r>
        <w:rPr>
          <w:rFonts w:hint="eastAsia" w:ascii="仿宋" w:hAnsi="仿宋" w:eastAsia="仿宋" w:cs="宋体"/>
          <w:snapToGrid w:val="0"/>
          <w:kern w:val="0"/>
          <w:sz w:val="24"/>
          <w:szCs w:val="28"/>
        </w:rPr>
        <w:t>84111821</w:t>
      </w:r>
    </w:p>
    <w:p w14:paraId="51D55C38">
      <w:pPr>
        <w:spacing w:line="360" w:lineRule="auto"/>
        <w:jc w:val="left"/>
        <w:rPr>
          <w:rFonts w:ascii="仿宋" w:hAnsi="仿宋" w:eastAsia="仿宋" w:cs="宋体"/>
          <w:snapToGrid w:val="0"/>
          <w:kern w:val="0"/>
          <w:sz w:val="24"/>
          <w:szCs w:val="28"/>
        </w:rPr>
      </w:pPr>
    </w:p>
    <w:p w14:paraId="219BD435">
      <w:pPr>
        <w:spacing w:line="360" w:lineRule="auto"/>
        <w:jc w:val="left"/>
        <w:rPr>
          <w:rFonts w:ascii="仿宋" w:hAnsi="仿宋" w:eastAsia="仿宋"/>
          <w:sz w:val="24"/>
          <w:szCs w:val="28"/>
          <w:u w:val="single"/>
        </w:rPr>
      </w:pPr>
    </w:p>
    <w:p w14:paraId="08514505">
      <w:pPr>
        <w:widowControl/>
        <w:adjustRightInd/>
        <w:ind w:firstLine="420" w:firstLineChars="200"/>
        <w:jc w:val="left"/>
        <w:rPr>
          <w:rFonts w:ascii="仿宋" w:hAnsi="仿宋" w:eastAsia="仿宋" w:cs="宋体"/>
          <w:kern w:val="0"/>
          <w:szCs w:val="21"/>
        </w:rPr>
      </w:pPr>
      <w:r>
        <w:rPr>
          <w:rFonts w:ascii="仿宋" w:hAnsi="仿宋" w:eastAsia="仿宋" w:cs="宋体"/>
          <w:kern w:val="0"/>
          <w:szCs w:val="21"/>
        </w:rPr>
        <w:t>若对项目采购电子交易系统操作有疑问，</w:t>
      </w:r>
      <w:r>
        <w:rPr>
          <w:rFonts w:ascii="仿宋" w:hAnsi="仿宋" w:eastAsia="仿宋" w:cs="宋体"/>
          <w:kern w:val="0"/>
          <w:szCs w:val="21"/>
        </w:rPr>
        <w:t>可登录</w:t>
      </w:r>
      <w:r>
        <w:rPr>
          <w:rFonts w:hint="eastAsia" w:ascii="仿宋" w:hAnsi="仿宋" w:eastAsia="仿宋" w:cs="宋体"/>
          <w:kern w:val="0"/>
          <w:szCs w:val="21"/>
        </w:rPr>
        <w:t>乐采云平台(www.lecaiyun.com)</w:t>
      </w:r>
      <w:r>
        <w:rPr>
          <w:rFonts w:ascii="仿宋" w:hAnsi="仿宋" w:eastAsia="仿宋" w:cs="宋体"/>
          <w:kern w:val="0"/>
          <w:szCs w:val="21"/>
        </w:rPr>
        <w:t>，点击右侧咨询小采，获取采小蜜智能服务管家帮助，或拨打政采云服务热线400-881-7190获取热线服务帮助。       </w:t>
      </w:r>
    </w:p>
    <w:p w14:paraId="461C1B41">
      <w:pPr>
        <w:widowControl/>
        <w:adjustRightInd/>
        <w:ind w:firstLine="420" w:firstLineChars="200"/>
        <w:jc w:val="left"/>
        <w:rPr>
          <w:rFonts w:ascii="仿宋" w:hAnsi="仿宋" w:eastAsia="仿宋" w:cs="宋体"/>
          <w:kern w:val="0"/>
          <w:szCs w:val="21"/>
        </w:rPr>
      </w:pPr>
      <w:r>
        <w:rPr>
          <w:rFonts w:ascii="仿宋" w:hAnsi="仿宋" w:eastAsia="仿宋" w:cs="宋体"/>
          <w:kern w:val="0"/>
          <w:szCs w:val="21"/>
        </w:rPr>
        <w:t>CA问题联系电话（人工）：汇信CA 400-888-4636；天谷CA 400-087-8198。</w:t>
      </w:r>
    </w:p>
    <w:p w14:paraId="1CEB9C8C">
      <w:pPr>
        <w:pStyle w:val="56"/>
        <w:jc w:val="both"/>
        <w:rPr>
          <w:lang w:val="en-US"/>
        </w:rPr>
      </w:pPr>
    </w:p>
    <w:p w14:paraId="4926EE9E">
      <w:pPr>
        <w:adjustRightInd/>
        <w:spacing w:line="360" w:lineRule="auto"/>
        <w:jc w:val="center"/>
        <w:outlineLvl w:val="0"/>
        <w:rPr>
          <w:rFonts w:ascii="仿宋" w:hAnsi="仿宋" w:eastAsia="仿宋" w:cs="仿宋_GB2312"/>
          <w:b/>
          <w:sz w:val="36"/>
          <w:szCs w:val="20"/>
        </w:rPr>
      </w:pPr>
      <w:r>
        <w:rPr>
          <w:rFonts w:ascii="仿宋" w:hAnsi="仿宋" w:eastAsia="仿宋" w:cs="仿宋_GB2312"/>
          <w:b/>
          <w:sz w:val="36"/>
          <w:szCs w:val="20"/>
        </w:rPr>
        <w:br w:type="page"/>
      </w:r>
      <w:r>
        <w:rPr>
          <w:rFonts w:hint="eastAsia" w:ascii="仿宋" w:hAnsi="仿宋" w:eastAsia="仿宋" w:cs="仿宋_GB2312"/>
          <w:b/>
          <w:sz w:val="36"/>
          <w:szCs w:val="20"/>
        </w:rPr>
        <w:t>第二部分</w:t>
      </w:r>
      <w:bookmarkEnd w:id="8"/>
      <w:r>
        <w:rPr>
          <w:rFonts w:hint="eastAsia" w:ascii="仿宋" w:hAnsi="仿宋" w:eastAsia="仿宋" w:cs="仿宋_GB2312"/>
          <w:b/>
          <w:sz w:val="36"/>
          <w:szCs w:val="20"/>
        </w:rPr>
        <w:t xml:space="preserve"> 投标人须知</w:t>
      </w:r>
      <w:bookmarkEnd w:id="9"/>
    </w:p>
    <w:p w14:paraId="416B7D3A">
      <w:pPr>
        <w:snapToGrid w:val="0"/>
        <w:spacing w:line="360" w:lineRule="auto"/>
        <w:jc w:val="center"/>
        <w:rPr>
          <w:rFonts w:ascii="仿宋" w:hAnsi="仿宋" w:eastAsia="仿宋" w:cs="仿宋_GB2312"/>
          <w:b/>
          <w:sz w:val="32"/>
          <w:szCs w:val="20"/>
        </w:rPr>
      </w:pPr>
      <w:r>
        <w:rPr>
          <w:rFonts w:hint="eastAsia" w:ascii="仿宋" w:hAnsi="仿宋" w:eastAsia="仿宋" w:cs="仿宋_GB2312"/>
          <w:b/>
          <w:sz w:val="32"/>
          <w:szCs w:val="20"/>
        </w:rPr>
        <w:t>前附表</w:t>
      </w:r>
    </w:p>
    <w:tbl>
      <w:tblPr>
        <w:tblStyle w:val="6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5953"/>
      </w:tblGrid>
      <w:tr w14:paraId="0E8280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BDF384">
            <w:pPr>
              <w:snapToGrid w:val="0"/>
              <w:spacing w:line="360" w:lineRule="auto"/>
              <w:jc w:val="center"/>
              <w:rPr>
                <w:rFonts w:ascii="仿宋" w:hAnsi="仿宋" w:eastAsia="仿宋" w:cs="仿宋_GB2312"/>
                <w:b/>
                <w:sz w:val="24"/>
              </w:rPr>
            </w:pPr>
            <w:r>
              <w:rPr>
                <w:rFonts w:hint="eastAsia" w:ascii="仿宋" w:hAnsi="仿宋" w:eastAsia="仿宋" w:cs="仿宋_GB2312"/>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2994818">
            <w:pPr>
              <w:snapToGrid w:val="0"/>
              <w:spacing w:line="360" w:lineRule="auto"/>
              <w:jc w:val="center"/>
              <w:rPr>
                <w:rFonts w:ascii="仿宋" w:hAnsi="仿宋" w:eastAsia="仿宋" w:cs="仿宋_GB2312"/>
                <w:b/>
                <w:sz w:val="24"/>
              </w:rPr>
            </w:pPr>
            <w:r>
              <w:rPr>
                <w:rFonts w:hint="eastAsia" w:ascii="仿宋" w:hAnsi="仿宋" w:eastAsia="仿宋" w:cs="仿宋_GB2312"/>
                <w:b/>
                <w:sz w:val="24"/>
              </w:rPr>
              <w:t>事项</w:t>
            </w:r>
          </w:p>
        </w:tc>
        <w:tc>
          <w:tcPr>
            <w:tcW w:w="5953" w:type="dxa"/>
            <w:tcBorders>
              <w:top w:val="single" w:color="000000" w:sz="8" w:space="0"/>
              <w:left w:val="single" w:color="000000" w:sz="2" w:space="0"/>
              <w:bottom w:val="single" w:color="000000" w:sz="8" w:space="0"/>
              <w:right w:val="single" w:color="000000" w:sz="8" w:space="0"/>
            </w:tcBorders>
            <w:vAlign w:val="center"/>
          </w:tcPr>
          <w:p w14:paraId="7027DA34">
            <w:pPr>
              <w:snapToGrid w:val="0"/>
              <w:spacing w:line="360" w:lineRule="auto"/>
              <w:jc w:val="center"/>
              <w:rPr>
                <w:rFonts w:ascii="仿宋" w:hAnsi="仿宋" w:eastAsia="仿宋" w:cs="仿宋_GB2312"/>
                <w:b/>
                <w:sz w:val="24"/>
              </w:rPr>
            </w:pPr>
            <w:r>
              <w:rPr>
                <w:rFonts w:hint="eastAsia" w:ascii="仿宋" w:hAnsi="仿宋" w:eastAsia="仿宋" w:cs="仿宋_GB2312"/>
                <w:b/>
                <w:sz w:val="24"/>
              </w:rPr>
              <w:t>本项目的特别规定</w:t>
            </w:r>
          </w:p>
        </w:tc>
      </w:tr>
      <w:tr w14:paraId="10BE30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76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FA83789">
            <w:pPr>
              <w:snapToGrid w:val="0"/>
              <w:spacing w:line="360" w:lineRule="auto"/>
              <w:jc w:val="center"/>
              <w:rPr>
                <w:rFonts w:ascii="仿宋" w:hAnsi="仿宋" w:eastAsia="仿宋" w:cs="仿宋_GB2312"/>
                <w:sz w:val="24"/>
              </w:rPr>
            </w:pPr>
            <w:r>
              <w:rPr>
                <w:rFonts w:hint="eastAsia" w:ascii="仿宋" w:hAnsi="仿宋" w:eastAsia="仿宋" w:cs="仿宋_GB2312"/>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2196FB8">
            <w:pPr>
              <w:snapToGrid w:val="0"/>
              <w:spacing w:line="360" w:lineRule="auto"/>
              <w:jc w:val="center"/>
              <w:rPr>
                <w:rFonts w:ascii="仿宋" w:hAnsi="仿宋" w:eastAsia="仿宋" w:cs="仿宋_GB2312"/>
                <w:b/>
                <w:sz w:val="24"/>
              </w:rPr>
            </w:pPr>
            <w:r>
              <w:rPr>
                <w:rFonts w:hint="eastAsia" w:ascii="仿宋" w:hAnsi="仿宋" w:eastAsia="仿宋" w:cs="仿宋_GB2312"/>
                <w:b/>
                <w:sz w:val="24"/>
              </w:rPr>
              <w:t>报价要求</w:t>
            </w:r>
          </w:p>
        </w:tc>
        <w:tc>
          <w:tcPr>
            <w:tcW w:w="5953" w:type="dxa"/>
            <w:tcBorders>
              <w:top w:val="single" w:color="000000" w:sz="8" w:space="0"/>
              <w:left w:val="single" w:color="000000" w:sz="2" w:space="0"/>
              <w:bottom w:val="single" w:color="000000" w:sz="8" w:space="0"/>
              <w:right w:val="single" w:color="000000" w:sz="8" w:space="0"/>
            </w:tcBorders>
            <w:vAlign w:val="center"/>
          </w:tcPr>
          <w:p w14:paraId="36C62166">
            <w:pPr>
              <w:snapToGrid w:val="0"/>
              <w:spacing w:line="360" w:lineRule="auto"/>
              <w:jc w:val="left"/>
            </w:pPr>
            <w:r>
              <w:rPr>
                <w:rFonts w:hint="eastAsia"/>
              </w:rPr>
              <w:t>有关本项目开展所需的人员工资、福利、工具、技术服务费、管理、利润、税金、保险及不可预见费用等费用均计入报价。《投标（开标）一览表》是报价的唯一载体。投标文件中价格全部采用人民币报价。招标文件未列明，而投标人认为必需的费用也需列入报价。</w:t>
            </w:r>
          </w:p>
          <w:p w14:paraId="58230E1E">
            <w:pPr>
              <w:snapToGrid w:val="0"/>
              <w:spacing w:line="360" w:lineRule="auto"/>
              <w:jc w:val="left"/>
              <w:rPr>
                <w:lang w:val="zh-CN"/>
              </w:rPr>
            </w:pPr>
            <w:r>
              <w:rPr>
                <w:rFonts w:hint="eastAsia"/>
                <w:lang w:val="zh-CN"/>
              </w:rPr>
              <w:t>投标报价出现下列情形的，投标无效：</w:t>
            </w:r>
          </w:p>
          <w:p w14:paraId="7E5368EC">
            <w:pPr>
              <w:snapToGrid w:val="0"/>
              <w:spacing w:line="360" w:lineRule="auto"/>
              <w:jc w:val="left"/>
              <w:rPr>
                <w:lang w:val="zh-CN"/>
              </w:rPr>
            </w:pPr>
            <w:r>
              <w:rPr>
                <w:rFonts w:hint="eastAsia"/>
              </w:rPr>
              <w:t>▲</w:t>
            </w:r>
            <w:r>
              <w:rPr>
                <w:rFonts w:hint="eastAsia"/>
                <w:lang w:val="zh-CN"/>
              </w:rPr>
              <w:t>投标文件出现不是唯一的、有选择性投标报价的；</w:t>
            </w:r>
          </w:p>
          <w:p w14:paraId="5480171C">
            <w:pPr>
              <w:snapToGrid w:val="0"/>
              <w:spacing w:line="360" w:lineRule="auto"/>
              <w:jc w:val="left"/>
              <w:rPr>
                <w:lang w:val="zh-CN"/>
              </w:rPr>
            </w:pPr>
            <w:r>
              <w:rPr>
                <w:rFonts w:hint="eastAsia"/>
              </w:rPr>
              <w:t>▲投标报价高于本项目采购预算或者最高限价的;</w:t>
            </w:r>
          </w:p>
          <w:p w14:paraId="0A0F1421">
            <w:pPr>
              <w:spacing w:line="360" w:lineRule="auto"/>
            </w:pPr>
            <w:r>
              <w:rPr>
                <w:rFonts w:hint="eastAsia"/>
              </w:rPr>
              <w:t>▲报价明显低于其他通过符合性审查投标人的报价，有可能影响产品质量或者不能诚信履约的，未能按要求提供书面说明或者提交相关证明材料，不能证明其报价合理性的;</w:t>
            </w:r>
          </w:p>
          <w:p w14:paraId="24C53E2C">
            <w:pPr>
              <w:spacing w:line="360" w:lineRule="auto"/>
            </w:pPr>
            <w:r>
              <w:rPr>
                <w:rFonts w:hint="eastAsia"/>
              </w:rPr>
              <w:t>▲《投标（开标）一览表》填写不完整或字迹不能辨认或有漏项的,经评标委员会认定属于重大偏差的；</w:t>
            </w:r>
          </w:p>
          <w:p w14:paraId="20044491">
            <w:pPr>
              <w:spacing w:line="360" w:lineRule="auto"/>
            </w:pPr>
            <w:r>
              <w:rPr>
                <w:rFonts w:hint="eastAsia"/>
              </w:rPr>
              <w:t>▲投标人对根据修正原则修正后的报价不确认的；</w:t>
            </w:r>
          </w:p>
          <w:p w14:paraId="327FAA65">
            <w:pPr>
              <w:spacing w:line="360" w:lineRule="auto"/>
              <w:rPr>
                <w:u w:val="single"/>
              </w:rPr>
            </w:pPr>
            <w:r>
              <w:rPr>
                <w:rFonts w:hint="eastAsia"/>
                <w:u w:val="single"/>
              </w:rPr>
              <w:t>▲投标人的投标报价与投标总价上限价的比率不在评标办法规定的期望比率区间的；</w:t>
            </w:r>
          </w:p>
          <w:p w14:paraId="396F1642">
            <w:pPr>
              <w:pStyle w:val="58"/>
              <w:ind w:firstLine="0"/>
            </w:pPr>
            <w:r>
              <w:rPr>
                <w:rFonts w:hint="eastAsia"/>
                <w:u w:val="single"/>
              </w:rPr>
              <w:t>▲投标人的投标报价中常驻造价咨询人员补贴金额修改的。</w:t>
            </w:r>
          </w:p>
        </w:tc>
      </w:tr>
      <w:tr w14:paraId="687DF3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B7A90A4">
            <w:pPr>
              <w:snapToGrid w:val="0"/>
              <w:spacing w:line="360" w:lineRule="auto"/>
              <w:jc w:val="center"/>
              <w:rPr>
                <w:rFonts w:ascii="仿宋" w:hAnsi="仿宋" w:eastAsia="仿宋" w:cs="仿宋_GB2312"/>
                <w:sz w:val="24"/>
              </w:rPr>
            </w:pPr>
            <w:r>
              <w:rPr>
                <w:rFonts w:hint="eastAsia" w:ascii="仿宋" w:hAnsi="仿宋" w:eastAsia="仿宋" w:cs="仿宋_GB2312"/>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1C6856F">
            <w:pPr>
              <w:snapToGrid w:val="0"/>
              <w:spacing w:line="360" w:lineRule="auto"/>
              <w:jc w:val="center"/>
              <w:rPr>
                <w:rFonts w:ascii="仿宋" w:hAnsi="仿宋" w:eastAsia="仿宋" w:cs="仿宋_GB2312"/>
                <w:b/>
                <w:sz w:val="24"/>
              </w:rPr>
            </w:pPr>
            <w:r>
              <w:rPr>
                <w:rFonts w:hint="eastAsia" w:ascii="仿宋" w:hAnsi="仿宋" w:eastAsia="仿宋" w:cs="仿宋_GB2312"/>
                <w:b/>
                <w:sz w:val="24"/>
              </w:rPr>
              <w:t>项目采购类型</w:t>
            </w:r>
          </w:p>
        </w:tc>
        <w:tc>
          <w:tcPr>
            <w:tcW w:w="5953" w:type="dxa"/>
            <w:tcBorders>
              <w:top w:val="single" w:color="000000" w:sz="8" w:space="0"/>
              <w:left w:val="single" w:color="000000" w:sz="2" w:space="0"/>
              <w:bottom w:val="single" w:color="000000" w:sz="8" w:space="0"/>
              <w:right w:val="single" w:color="000000" w:sz="8" w:space="0"/>
            </w:tcBorders>
            <w:vAlign w:val="center"/>
          </w:tcPr>
          <w:p w14:paraId="78EE1547">
            <w:pPr>
              <w:snapToGrid w:val="0"/>
              <w:spacing w:line="360" w:lineRule="auto"/>
              <w:rPr>
                <w:rFonts w:ascii="仿宋" w:hAnsi="仿宋" w:eastAsia="仿宋"/>
                <w:sz w:val="24"/>
              </w:rPr>
            </w:pPr>
            <w:r>
              <w:rPr>
                <w:rFonts w:hint="eastAsia" w:ascii="仿宋" w:hAnsi="仿宋" w:eastAsia="仿宋"/>
                <w:sz w:val="24"/>
              </w:rPr>
              <w:t>本项目为</w:t>
            </w:r>
            <w:r>
              <w:rPr>
                <w:rFonts w:hint="eastAsia" w:ascii="仿宋" w:hAnsi="仿宋" w:eastAsia="仿宋"/>
                <w:sz w:val="24"/>
                <w:u w:val="single"/>
              </w:rPr>
              <w:t>服务类</w:t>
            </w:r>
            <w:r>
              <w:rPr>
                <w:rFonts w:hint="eastAsia" w:ascii="仿宋" w:hAnsi="仿宋" w:eastAsia="仿宋"/>
                <w:sz w:val="24"/>
              </w:rPr>
              <w:t>采购项目</w:t>
            </w:r>
          </w:p>
        </w:tc>
      </w:tr>
      <w:tr w14:paraId="3AAF32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A500A30">
            <w:pPr>
              <w:snapToGrid w:val="0"/>
              <w:spacing w:line="360" w:lineRule="auto"/>
              <w:jc w:val="center"/>
              <w:rPr>
                <w:rFonts w:ascii="仿宋" w:hAnsi="仿宋" w:eastAsia="仿宋" w:cs="仿宋_GB2312"/>
                <w:sz w:val="24"/>
              </w:rPr>
            </w:pPr>
            <w:r>
              <w:rPr>
                <w:rFonts w:hint="eastAsia" w:ascii="仿宋" w:hAnsi="仿宋" w:eastAsia="仿宋" w:cs="仿宋_GB2312"/>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38A1AD91">
            <w:pPr>
              <w:snapToGrid w:val="0"/>
              <w:spacing w:line="360" w:lineRule="auto"/>
              <w:jc w:val="center"/>
              <w:rPr>
                <w:rFonts w:ascii="仿宋" w:hAnsi="仿宋" w:eastAsia="仿宋" w:cs="仿宋_GB2312"/>
                <w:b/>
                <w:sz w:val="24"/>
              </w:rPr>
            </w:pPr>
            <w:r>
              <w:rPr>
                <w:rFonts w:hint="eastAsia" w:ascii="仿宋" w:hAnsi="仿宋" w:eastAsia="仿宋" w:cs="仿宋_GB2312"/>
                <w:b/>
                <w:sz w:val="24"/>
              </w:rPr>
              <w:t>分包或转包</w:t>
            </w:r>
          </w:p>
        </w:tc>
        <w:tc>
          <w:tcPr>
            <w:tcW w:w="5953" w:type="dxa"/>
            <w:tcBorders>
              <w:top w:val="single" w:color="000000" w:sz="8" w:space="0"/>
              <w:left w:val="single" w:color="000000" w:sz="2" w:space="0"/>
              <w:bottom w:val="single" w:color="000000" w:sz="8" w:space="0"/>
              <w:right w:val="single" w:color="000000" w:sz="8" w:space="0"/>
            </w:tcBorders>
            <w:vAlign w:val="center"/>
          </w:tcPr>
          <w:p w14:paraId="07F0CBBD">
            <w:pPr>
              <w:snapToGrid w:val="0"/>
              <w:spacing w:line="360" w:lineRule="auto"/>
              <w:rPr>
                <w:rFonts w:ascii="仿宋" w:hAnsi="仿宋" w:eastAsia="仿宋" w:cs="仿宋_GB2312"/>
                <w:sz w:val="24"/>
              </w:rPr>
            </w:pPr>
            <w:r>
              <w:rPr>
                <w:rFonts w:hint="eastAsia" w:ascii="仿宋" w:hAnsi="仿宋" w:eastAsia="仿宋" w:cs="仿宋_GB2312"/>
                <w:sz w:val="24"/>
              </w:rPr>
              <w:t>（1）采购人</w:t>
            </w:r>
            <w:r>
              <w:rPr>
                <w:rFonts w:hint="eastAsia" w:ascii="仿宋" w:hAnsi="仿宋" w:eastAsia="仿宋" w:cs="仿宋_GB2312"/>
                <w:b/>
                <w:sz w:val="24"/>
              </w:rPr>
              <w:t>不同意</w:t>
            </w:r>
            <w:r>
              <w:rPr>
                <w:rFonts w:hint="eastAsia" w:ascii="仿宋" w:hAnsi="仿宋" w:eastAsia="仿宋" w:cs="仿宋_GB2312"/>
                <w:sz w:val="24"/>
              </w:rPr>
              <w:t>分包</w:t>
            </w:r>
          </w:p>
          <w:p w14:paraId="274C52FA">
            <w:pPr>
              <w:snapToGrid w:val="0"/>
              <w:spacing w:line="360" w:lineRule="auto"/>
              <w:rPr>
                <w:rFonts w:ascii="仿宋" w:hAnsi="仿宋" w:eastAsia="仿宋" w:cs="仿宋_GB2312"/>
                <w:sz w:val="24"/>
              </w:rPr>
            </w:pPr>
            <w:r>
              <w:rPr>
                <w:rFonts w:hint="eastAsia" w:ascii="仿宋" w:hAnsi="仿宋" w:eastAsia="仿宋" w:cs="仿宋_GB2312"/>
                <w:sz w:val="24"/>
              </w:rPr>
              <w:t>（2）本项目不得转包。</w:t>
            </w:r>
          </w:p>
        </w:tc>
      </w:tr>
      <w:tr w14:paraId="7D10D1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00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D433D72">
            <w:pPr>
              <w:snapToGrid w:val="0"/>
              <w:spacing w:line="360" w:lineRule="auto"/>
              <w:jc w:val="center"/>
              <w:rPr>
                <w:rFonts w:ascii="仿宋" w:hAnsi="仿宋" w:eastAsia="仿宋" w:cs="仿宋_GB2312"/>
                <w:sz w:val="24"/>
              </w:rPr>
            </w:pPr>
            <w:r>
              <w:rPr>
                <w:rFonts w:hint="eastAsia" w:ascii="仿宋" w:hAnsi="仿宋" w:eastAsia="仿宋" w:cs="仿宋_GB2312"/>
                <w:sz w:val="24"/>
              </w:rPr>
              <w:t>4</w:t>
            </w:r>
          </w:p>
        </w:tc>
        <w:tc>
          <w:tcPr>
            <w:tcW w:w="1843" w:type="dxa"/>
            <w:tcBorders>
              <w:top w:val="single" w:color="000000" w:sz="8" w:space="0"/>
              <w:left w:val="single" w:color="auto" w:sz="4" w:space="0"/>
              <w:bottom w:val="single" w:color="auto" w:sz="4" w:space="0"/>
              <w:right w:val="single" w:color="000000" w:sz="8" w:space="0"/>
            </w:tcBorders>
            <w:vAlign w:val="center"/>
          </w:tcPr>
          <w:p w14:paraId="574FBF00">
            <w:pPr>
              <w:snapToGrid w:val="0"/>
              <w:spacing w:line="360" w:lineRule="auto"/>
              <w:jc w:val="center"/>
              <w:rPr>
                <w:rFonts w:ascii="仿宋" w:hAnsi="仿宋" w:eastAsia="仿宋" w:cs="仿宋_GB2312"/>
                <w:b/>
                <w:sz w:val="24"/>
              </w:rPr>
            </w:pPr>
            <w:r>
              <w:rPr>
                <w:rFonts w:hint="eastAsia" w:ascii="仿宋" w:hAnsi="仿宋" w:eastAsia="仿宋" w:cs="仿宋_GB2312"/>
                <w:b/>
                <w:sz w:val="24"/>
              </w:rPr>
              <w:t>投标文件的份数</w:t>
            </w:r>
          </w:p>
        </w:tc>
        <w:tc>
          <w:tcPr>
            <w:tcW w:w="5953" w:type="dxa"/>
            <w:tcBorders>
              <w:top w:val="single" w:color="000000" w:sz="8" w:space="0"/>
              <w:left w:val="single" w:color="000000" w:sz="2" w:space="0"/>
              <w:bottom w:val="single" w:color="auto" w:sz="4" w:space="0"/>
              <w:right w:val="single" w:color="000000" w:sz="8" w:space="0"/>
            </w:tcBorders>
            <w:vAlign w:val="center"/>
          </w:tcPr>
          <w:p w14:paraId="28C5599A">
            <w:pPr>
              <w:pStyle w:val="31"/>
              <w:snapToGrid w:val="0"/>
              <w:spacing w:before="120" w:after="120" w:line="360" w:lineRule="auto"/>
              <w:rPr>
                <w:rFonts w:ascii="仿宋" w:hAnsi="仿宋" w:eastAsia="仿宋" w:cs="Times New Roman"/>
                <w:snapToGrid/>
                <w:sz w:val="24"/>
                <w:szCs w:val="20"/>
              </w:rPr>
            </w:pPr>
            <w:r>
              <w:rPr>
                <w:rFonts w:ascii="仿宋" w:hAnsi="仿宋" w:eastAsia="仿宋" w:cs="Times New Roman"/>
                <w:snapToGrid/>
                <w:sz w:val="24"/>
                <w:szCs w:val="20"/>
              </w:rPr>
              <w:t>本项目实行</w:t>
            </w:r>
            <w:r>
              <w:rPr>
                <w:rFonts w:hint="eastAsia" w:ascii="仿宋" w:hAnsi="仿宋" w:eastAsia="仿宋" w:cs="Times New Roman"/>
                <w:snapToGrid/>
                <w:sz w:val="24"/>
                <w:szCs w:val="20"/>
              </w:rPr>
              <w:t>电子投标。供应商应准备电子投标文件参与投标：电子投标文件，按政采云平台</w:t>
            </w:r>
            <w:r>
              <w:rPr>
                <w:rFonts w:ascii="仿宋" w:hAnsi="仿宋" w:eastAsia="仿宋" w:cs="Times New Roman"/>
                <w:snapToGrid/>
                <w:sz w:val="24"/>
                <w:szCs w:val="20"/>
              </w:rPr>
              <w:t>项目采购-电子招投标操作指南</w:t>
            </w:r>
            <w:r>
              <w:rPr>
                <w:rFonts w:hint="eastAsia" w:ascii="仿宋" w:hAnsi="仿宋" w:eastAsia="仿宋" w:cs="Times New Roman"/>
                <w:snapToGrid/>
                <w:sz w:val="24"/>
                <w:szCs w:val="20"/>
              </w:rPr>
              <w:t>及本招标文件要求递交</w:t>
            </w:r>
            <w:r>
              <w:rPr>
                <w:rFonts w:ascii="仿宋" w:hAnsi="仿宋" w:eastAsia="仿宋" w:cs="Times New Roman"/>
                <w:snapToGrid/>
                <w:sz w:val="24"/>
                <w:szCs w:val="20"/>
              </w:rPr>
              <w:t>。</w:t>
            </w:r>
          </w:p>
          <w:p w14:paraId="6CFA35D7">
            <w:pPr>
              <w:spacing w:line="360" w:lineRule="auto"/>
              <w:rPr>
                <w:rFonts w:ascii="仿宋" w:hAnsi="仿宋" w:eastAsia="仿宋"/>
                <w:b/>
                <w:sz w:val="24"/>
              </w:rPr>
            </w:pPr>
            <w:r>
              <w:rPr>
                <w:rFonts w:hint="eastAsia" w:ascii="仿宋" w:hAnsi="仿宋" w:eastAsia="仿宋"/>
                <w:b/>
                <w:sz w:val="24"/>
              </w:rPr>
              <w:t>▲未传输递交电子投标文件的，投标无效。</w:t>
            </w:r>
          </w:p>
          <w:p w14:paraId="4686ADF9">
            <w:pPr>
              <w:spacing w:line="360" w:lineRule="auto"/>
              <w:rPr>
                <w:rFonts w:ascii="仿宋" w:hAnsi="仿宋" w:eastAsia="仿宋"/>
                <w:b/>
                <w:sz w:val="24"/>
              </w:rPr>
            </w:pPr>
            <w:r>
              <w:rPr>
                <w:rFonts w:hint="eastAsia" w:ascii="仿宋" w:hAnsi="仿宋" w:eastAsia="仿宋"/>
                <w:b/>
                <w:sz w:val="24"/>
              </w:rPr>
              <w:t>▲未在系统解密时间内完成解密的，视为投标人自行放弃投标，投标无效。</w:t>
            </w:r>
          </w:p>
        </w:tc>
      </w:tr>
      <w:tr w14:paraId="3638C6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1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F6A1FC1">
            <w:pPr>
              <w:snapToGrid w:val="0"/>
              <w:spacing w:line="360" w:lineRule="auto"/>
              <w:jc w:val="center"/>
              <w:rPr>
                <w:rFonts w:ascii="仿宋" w:hAnsi="仿宋" w:eastAsia="仿宋" w:cs="仿宋_GB2312"/>
                <w:sz w:val="24"/>
              </w:rPr>
            </w:pPr>
            <w:r>
              <w:rPr>
                <w:rFonts w:hint="eastAsia" w:ascii="仿宋" w:hAnsi="仿宋" w:eastAsia="仿宋" w:cs="仿宋_GB2312"/>
                <w:sz w:val="24"/>
              </w:rPr>
              <w:t>5</w:t>
            </w:r>
          </w:p>
        </w:tc>
        <w:tc>
          <w:tcPr>
            <w:tcW w:w="1843" w:type="dxa"/>
            <w:tcBorders>
              <w:top w:val="single" w:color="auto" w:sz="4" w:space="0"/>
              <w:left w:val="single" w:color="auto" w:sz="4" w:space="0"/>
              <w:bottom w:val="single" w:color="000000" w:sz="8" w:space="0"/>
              <w:right w:val="single" w:color="000000" w:sz="8" w:space="0"/>
            </w:tcBorders>
            <w:vAlign w:val="center"/>
          </w:tcPr>
          <w:p w14:paraId="23E03E5C">
            <w:pPr>
              <w:snapToGrid w:val="0"/>
              <w:spacing w:line="360" w:lineRule="auto"/>
              <w:jc w:val="center"/>
              <w:rPr>
                <w:rFonts w:ascii="仿宋" w:hAnsi="仿宋" w:eastAsia="仿宋" w:cs="仿宋_GB2312"/>
                <w:b/>
                <w:sz w:val="24"/>
              </w:rPr>
            </w:pPr>
            <w:r>
              <w:rPr>
                <w:rFonts w:hint="eastAsia" w:ascii="仿宋" w:hAnsi="仿宋" w:eastAsia="仿宋" w:cs="仿宋_GB2312"/>
                <w:b/>
                <w:sz w:val="24"/>
              </w:rPr>
              <w:t>开标前答疑会或现场考察</w:t>
            </w:r>
          </w:p>
        </w:tc>
        <w:tc>
          <w:tcPr>
            <w:tcW w:w="5953" w:type="dxa"/>
            <w:tcBorders>
              <w:top w:val="single" w:color="auto" w:sz="4" w:space="0"/>
              <w:left w:val="single" w:color="000000" w:sz="2" w:space="0"/>
              <w:bottom w:val="single" w:color="000000" w:sz="8" w:space="0"/>
              <w:right w:val="single" w:color="000000" w:sz="8" w:space="0"/>
            </w:tcBorders>
            <w:vAlign w:val="center"/>
          </w:tcPr>
          <w:p w14:paraId="6189C57F">
            <w:pPr>
              <w:pStyle w:val="31"/>
              <w:spacing w:line="360" w:lineRule="auto"/>
              <w:rPr>
                <w:rFonts w:ascii="仿宋" w:hAnsi="仿宋" w:eastAsia="仿宋" w:cs="Times New Roman"/>
                <w:b/>
                <w:snapToGrid/>
                <w:sz w:val="24"/>
                <w:szCs w:val="20"/>
              </w:rPr>
            </w:pPr>
            <w:r>
              <w:rPr>
                <w:rFonts w:hint="eastAsia" w:ascii="仿宋" w:hAnsi="仿宋" w:eastAsia="仿宋" w:cs="Times New Roman"/>
                <w:b/>
                <w:snapToGrid/>
                <w:sz w:val="24"/>
                <w:szCs w:val="20"/>
              </w:rPr>
              <w:t>不组织。</w:t>
            </w:r>
          </w:p>
        </w:tc>
      </w:tr>
      <w:tr w14:paraId="7D7DC9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2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5CA4E92">
            <w:pPr>
              <w:snapToGrid w:val="0"/>
              <w:spacing w:line="360" w:lineRule="auto"/>
              <w:jc w:val="center"/>
              <w:rPr>
                <w:rFonts w:ascii="仿宋" w:hAnsi="仿宋" w:eastAsia="仿宋" w:cs="仿宋_GB2312"/>
                <w:sz w:val="24"/>
              </w:rPr>
            </w:pPr>
            <w:r>
              <w:rPr>
                <w:rFonts w:hint="eastAsia" w:ascii="仿宋" w:hAnsi="仿宋" w:eastAsia="仿宋" w:cs="仿宋_GB2312"/>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631E75A7">
            <w:pPr>
              <w:snapToGrid w:val="0"/>
              <w:spacing w:line="360" w:lineRule="auto"/>
              <w:jc w:val="center"/>
              <w:rPr>
                <w:rFonts w:ascii="仿宋" w:hAnsi="仿宋" w:eastAsia="仿宋" w:cs="仿宋_GB2312"/>
                <w:b/>
                <w:sz w:val="24"/>
              </w:rPr>
            </w:pPr>
            <w:r>
              <w:rPr>
                <w:rFonts w:hint="eastAsia" w:ascii="仿宋" w:hAnsi="仿宋" w:eastAsia="仿宋" w:cs="仿宋_GB2312"/>
                <w:b/>
                <w:sz w:val="24"/>
              </w:rPr>
              <w:t>样品提供</w:t>
            </w:r>
          </w:p>
        </w:tc>
        <w:tc>
          <w:tcPr>
            <w:tcW w:w="5953" w:type="dxa"/>
            <w:tcBorders>
              <w:top w:val="single" w:color="000000" w:sz="8" w:space="0"/>
              <w:left w:val="single" w:color="000000" w:sz="2" w:space="0"/>
              <w:bottom w:val="single" w:color="000000" w:sz="8" w:space="0"/>
              <w:right w:val="single" w:color="000000" w:sz="8" w:space="0"/>
            </w:tcBorders>
            <w:vAlign w:val="center"/>
          </w:tcPr>
          <w:p w14:paraId="3321EF20">
            <w:pPr>
              <w:pStyle w:val="31"/>
              <w:spacing w:line="360" w:lineRule="auto"/>
              <w:rPr>
                <w:rFonts w:ascii="仿宋" w:hAnsi="仿宋" w:eastAsia="仿宋" w:cs="Times New Roman"/>
                <w:b/>
                <w:snapToGrid/>
                <w:sz w:val="24"/>
                <w:szCs w:val="20"/>
              </w:rPr>
            </w:pPr>
            <w:r>
              <w:rPr>
                <w:rFonts w:hint="eastAsia" w:ascii="仿宋" w:hAnsi="仿宋" w:eastAsia="仿宋" w:cs="Times New Roman"/>
                <w:b/>
                <w:snapToGrid/>
                <w:sz w:val="24"/>
                <w:szCs w:val="20"/>
              </w:rPr>
              <w:t>不要求。</w:t>
            </w:r>
          </w:p>
        </w:tc>
      </w:tr>
      <w:tr w14:paraId="1C6910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5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40BBCE8">
            <w:pPr>
              <w:snapToGrid w:val="0"/>
              <w:spacing w:line="360" w:lineRule="auto"/>
              <w:jc w:val="center"/>
              <w:rPr>
                <w:rFonts w:ascii="仿宋" w:hAnsi="仿宋" w:eastAsia="仿宋" w:cs="仿宋_GB2312"/>
                <w:sz w:val="24"/>
              </w:rPr>
            </w:pPr>
            <w:r>
              <w:rPr>
                <w:rFonts w:hint="eastAsia" w:ascii="仿宋" w:hAnsi="仿宋" w:eastAsia="仿宋" w:cs="仿宋_GB2312"/>
                <w:sz w:val="24"/>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080D2C32">
            <w:pPr>
              <w:snapToGrid w:val="0"/>
              <w:spacing w:line="360" w:lineRule="auto"/>
              <w:jc w:val="center"/>
              <w:rPr>
                <w:rFonts w:ascii="仿宋" w:hAnsi="仿宋" w:eastAsia="仿宋" w:cs="仿宋_GB2312"/>
                <w:bCs/>
                <w:sz w:val="24"/>
              </w:rPr>
            </w:pPr>
            <w:r>
              <w:rPr>
                <w:rFonts w:hint="eastAsia" w:ascii="仿宋" w:hAnsi="仿宋" w:eastAsia="仿宋" w:cs="仿宋_GB2312"/>
                <w:b/>
                <w:sz w:val="24"/>
              </w:rPr>
              <w:t>演示</w:t>
            </w:r>
          </w:p>
        </w:tc>
        <w:tc>
          <w:tcPr>
            <w:tcW w:w="5953" w:type="dxa"/>
            <w:tcBorders>
              <w:top w:val="single" w:color="000000" w:sz="8" w:space="0"/>
              <w:left w:val="single" w:color="000000" w:sz="2" w:space="0"/>
              <w:bottom w:val="single" w:color="000000" w:sz="8" w:space="0"/>
              <w:right w:val="single" w:color="000000" w:sz="8" w:space="0"/>
            </w:tcBorders>
            <w:vAlign w:val="center"/>
          </w:tcPr>
          <w:p w14:paraId="140CB83B">
            <w:pPr>
              <w:snapToGrid w:val="0"/>
              <w:spacing w:line="360" w:lineRule="auto"/>
              <w:rPr>
                <w:rFonts w:ascii="仿宋" w:hAnsi="仿宋" w:eastAsia="仿宋"/>
                <w:b/>
                <w:kern w:val="28"/>
                <w:sz w:val="24"/>
              </w:rPr>
            </w:pPr>
            <w:r>
              <w:rPr>
                <w:rFonts w:hint="eastAsia" w:ascii="仿宋" w:hAnsi="仿宋" w:eastAsia="仿宋"/>
                <w:b/>
                <w:kern w:val="28"/>
                <w:sz w:val="24"/>
              </w:rPr>
              <w:t>不组织。</w:t>
            </w:r>
          </w:p>
        </w:tc>
      </w:tr>
      <w:tr w14:paraId="09C559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C6052F8">
            <w:pPr>
              <w:snapToGrid w:val="0"/>
              <w:spacing w:line="360" w:lineRule="auto"/>
              <w:jc w:val="center"/>
              <w:rPr>
                <w:rFonts w:ascii="仿宋" w:hAnsi="仿宋" w:eastAsia="仿宋" w:cs="仿宋_GB2312"/>
                <w:sz w:val="24"/>
              </w:rPr>
            </w:pPr>
            <w:r>
              <w:rPr>
                <w:rFonts w:hint="eastAsia" w:ascii="仿宋" w:hAnsi="仿宋" w:eastAsia="仿宋" w:cs="仿宋_GB2312"/>
                <w:sz w:val="24"/>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5B8466B4">
            <w:pPr>
              <w:snapToGrid w:val="0"/>
              <w:spacing w:line="360" w:lineRule="auto"/>
              <w:jc w:val="center"/>
              <w:rPr>
                <w:rFonts w:ascii="仿宋" w:hAnsi="仿宋" w:eastAsia="仿宋" w:cs="仿宋_GB2312"/>
                <w:b/>
                <w:sz w:val="24"/>
              </w:rPr>
            </w:pPr>
            <w:r>
              <w:rPr>
                <w:rFonts w:hint="eastAsia" w:ascii="仿宋" w:hAnsi="仿宋" w:eastAsia="仿宋" w:cs="仿宋_GB2312"/>
                <w:b/>
                <w:sz w:val="24"/>
              </w:rPr>
              <w:t>采购代理机构代理费用</w:t>
            </w:r>
          </w:p>
        </w:tc>
        <w:tc>
          <w:tcPr>
            <w:tcW w:w="5953" w:type="dxa"/>
            <w:tcBorders>
              <w:top w:val="single" w:color="000000" w:sz="8" w:space="0"/>
              <w:left w:val="single" w:color="000000" w:sz="2" w:space="0"/>
              <w:bottom w:val="single" w:color="000000" w:sz="8" w:space="0"/>
              <w:right w:val="single" w:color="000000" w:sz="8" w:space="0"/>
            </w:tcBorders>
            <w:vAlign w:val="center"/>
          </w:tcPr>
          <w:p w14:paraId="13B82FA7">
            <w:pPr>
              <w:snapToGrid w:val="0"/>
              <w:spacing w:line="360" w:lineRule="auto"/>
              <w:ind w:firstLine="480" w:firstLineChars="200"/>
              <w:rPr>
                <w:rFonts w:hint="eastAsia" w:ascii="仿宋" w:hAnsi="仿宋" w:eastAsia="仿宋"/>
                <w:sz w:val="24"/>
                <w:lang w:eastAsia="zh-CN"/>
              </w:rPr>
            </w:pPr>
            <w:r>
              <w:rPr>
                <w:rFonts w:hint="eastAsia" w:ascii="仿宋" w:hAnsi="仿宋" w:eastAsia="仿宋"/>
                <w:sz w:val="24"/>
                <w:lang w:eastAsia="zh-CN"/>
              </w:rPr>
              <w:t>由采购人支付</w:t>
            </w:r>
          </w:p>
        </w:tc>
      </w:tr>
      <w:tr w14:paraId="298997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6C088BF">
            <w:pPr>
              <w:snapToGrid w:val="0"/>
              <w:spacing w:line="360" w:lineRule="auto"/>
              <w:jc w:val="center"/>
              <w:rPr>
                <w:rFonts w:ascii="仿宋" w:hAnsi="仿宋" w:eastAsia="仿宋" w:cs="仿宋_GB2312"/>
                <w:sz w:val="24"/>
              </w:rPr>
            </w:pPr>
            <w:r>
              <w:rPr>
                <w:rFonts w:hint="eastAsia" w:ascii="仿宋" w:hAnsi="仿宋" w:eastAsia="仿宋" w:cs="仿宋_GB2312"/>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0237EFDB">
            <w:pPr>
              <w:snapToGrid w:val="0"/>
              <w:spacing w:line="360" w:lineRule="auto"/>
              <w:jc w:val="center"/>
              <w:rPr>
                <w:rFonts w:ascii="仿宋" w:hAnsi="仿宋" w:eastAsia="仿宋" w:cs="仿宋_GB2312"/>
                <w:b/>
                <w:sz w:val="24"/>
              </w:rPr>
            </w:pPr>
            <w:r>
              <w:rPr>
                <w:rFonts w:hint="eastAsia" w:ascii="仿宋" w:hAnsi="仿宋" w:eastAsia="仿宋" w:cs="仿宋_GB2312"/>
                <w:b/>
                <w:sz w:val="24"/>
              </w:rPr>
              <w:t>投标</w:t>
            </w:r>
            <w:r>
              <w:rPr>
                <w:rFonts w:ascii="仿宋" w:hAnsi="仿宋" w:eastAsia="仿宋" w:cs="仿宋_GB2312"/>
                <w:b/>
                <w:sz w:val="24"/>
              </w:rPr>
              <w:t>保证金</w:t>
            </w:r>
            <w:r>
              <w:rPr>
                <w:rFonts w:hint="eastAsia" w:ascii="仿宋" w:hAnsi="仿宋" w:eastAsia="仿宋" w:cs="仿宋_GB2312"/>
                <w:b/>
                <w:sz w:val="24"/>
              </w:rPr>
              <w:t>缴纳</w:t>
            </w:r>
          </w:p>
        </w:tc>
        <w:tc>
          <w:tcPr>
            <w:tcW w:w="5953" w:type="dxa"/>
            <w:tcBorders>
              <w:top w:val="single" w:color="000000" w:sz="8" w:space="0"/>
              <w:left w:val="single" w:color="000000" w:sz="2" w:space="0"/>
              <w:bottom w:val="single" w:color="000000" w:sz="8" w:space="0"/>
              <w:right w:val="single" w:color="000000" w:sz="8" w:space="0"/>
            </w:tcBorders>
            <w:vAlign w:val="center"/>
          </w:tcPr>
          <w:p w14:paraId="724A7B95">
            <w:pPr>
              <w:pStyle w:val="15"/>
              <w:spacing w:line="360" w:lineRule="auto"/>
              <w:ind w:firstLine="434" w:firstLineChars="181"/>
              <w:rPr>
                <w:rFonts w:ascii="仿宋" w:hAnsi="仿宋" w:eastAsia="仿宋" w:cs="仿宋_GB2312"/>
                <w:color w:val="auto"/>
                <w:sz w:val="24"/>
              </w:rPr>
            </w:pPr>
            <w:r>
              <w:rPr>
                <w:rFonts w:hint="eastAsia" w:ascii="仿宋" w:hAnsi="仿宋" w:eastAsia="仿宋" w:cs="仿宋_GB2312"/>
                <w:color w:val="auto"/>
                <w:sz w:val="24"/>
              </w:rPr>
              <w:t>不收取投标保证金</w:t>
            </w:r>
          </w:p>
        </w:tc>
      </w:tr>
      <w:tr w14:paraId="34B342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F01378F">
            <w:pPr>
              <w:snapToGrid w:val="0"/>
              <w:spacing w:line="360" w:lineRule="auto"/>
              <w:jc w:val="center"/>
              <w:rPr>
                <w:rFonts w:ascii="仿宋" w:hAnsi="仿宋" w:eastAsia="仿宋" w:cs="仿宋_GB2312"/>
                <w:sz w:val="24"/>
              </w:rPr>
            </w:pPr>
            <w:r>
              <w:rPr>
                <w:rFonts w:hint="eastAsia" w:ascii="仿宋" w:hAnsi="仿宋" w:eastAsia="仿宋" w:cs="仿宋_GB2312"/>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1FF55389">
            <w:pPr>
              <w:snapToGrid w:val="0"/>
              <w:spacing w:line="360" w:lineRule="auto"/>
              <w:jc w:val="center"/>
              <w:rPr>
                <w:rFonts w:ascii="仿宋" w:hAnsi="仿宋" w:eastAsia="仿宋" w:cs="仿宋_GB2312"/>
                <w:b/>
                <w:sz w:val="24"/>
              </w:rPr>
            </w:pPr>
            <w:r>
              <w:rPr>
                <w:rFonts w:hint="eastAsia" w:ascii="仿宋" w:hAnsi="仿宋" w:eastAsia="仿宋" w:cs="仿宋_GB2312"/>
                <w:b/>
                <w:sz w:val="24"/>
              </w:rPr>
              <w:t>履约保证金金额</w:t>
            </w:r>
          </w:p>
        </w:tc>
        <w:tc>
          <w:tcPr>
            <w:tcW w:w="5953" w:type="dxa"/>
            <w:tcBorders>
              <w:top w:val="single" w:color="000000" w:sz="8" w:space="0"/>
              <w:left w:val="single" w:color="000000" w:sz="2" w:space="0"/>
              <w:bottom w:val="single" w:color="000000" w:sz="8" w:space="0"/>
              <w:right w:val="single" w:color="000000" w:sz="8" w:space="0"/>
            </w:tcBorders>
            <w:vAlign w:val="center"/>
          </w:tcPr>
          <w:p w14:paraId="4D4BB72C">
            <w:pPr>
              <w:pStyle w:val="15"/>
              <w:spacing w:line="360" w:lineRule="auto"/>
              <w:ind w:firstLine="480" w:firstLineChars="200"/>
              <w:rPr>
                <w:rFonts w:ascii="仿宋" w:hAnsi="仿宋" w:eastAsia="仿宋" w:cs="仿宋_GB2312"/>
                <w:color w:val="auto"/>
                <w:sz w:val="24"/>
              </w:rPr>
            </w:pPr>
            <w:r>
              <w:rPr>
                <w:rFonts w:hint="eastAsia" w:ascii="仿宋" w:hAnsi="仿宋" w:eastAsia="仿宋" w:cs="仿宋_GB2312"/>
                <w:color w:val="auto"/>
                <w:sz w:val="24"/>
              </w:rPr>
              <w:t>不收取履约保证金</w:t>
            </w:r>
          </w:p>
        </w:tc>
      </w:tr>
      <w:tr w14:paraId="172642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9A1DE06">
            <w:pPr>
              <w:snapToGrid w:val="0"/>
              <w:spacing w:line="360" w:lineRule="auto"/>
              <w:jc w:val="center"/>
              <w:rPr>
                <w:rFonts w:ascii="仿宋" w:hAnsi="仿宋" w:eastAsia="仿宋" w:cs="仿宋_GB2312"/>
                <w:sz w:val="24"/>
              </w:rPr>
            </w:pPr>
            <w:r>
              <w:rPr>
                <w:rFonts w:hint="eastAsia" w:ascii="仿宋" w:hAnsi="仿宋" w:eastAsia="仿宋" w:cs="仿宋_GB2312"/>
                <w:sz w:val="24"/>
              </w:rPr>
              <w:t>11</w:t>
            </w:r>
          </w:p>
        </w:tc>
        <w:tc>
          <w:tcPr>
            <w:tcW w:w="1843" w:type="dxa"/>
            <w:tcBorders>
              <w:top w:val="single" w:color="000000" w:sz="8" w:space="0"/>
              <w:left w:val="single" w:color="000000" w:sz="2" w:space="0"/>
              <w:bottom w:val="single" w:color="000000" w:sz="8" w:space="0"/>
              <w:right w:val="single" w:color="000000" w:sz="8" w:space="0"/>
            </w:tcBorders>
            <w:vAlign w:val="center"/>
          </w:tcPr>
          <w:p w14:paraId="66222B90">
            <w:pPr>
              <w:snapToGrid w:val="0"/>
              <w:spacing w:line="360" w:lineRule="auto"/>
              <w:jc w:val="center"/>
              <w:rPr>
                <w:rFonts w:ascii="仿宋" w:hAnsi="仿宋" w:eastAsia="仿宋" w:cs="仿宋_GB2312"/>
                <w:b/>
                <w:sz w:val="24"/>
              </w:rPr>
            </w:pPr>
            <w:r>
              <w:rPr>
                <w:rFonts w:hint="eastAsia" w:ascii="仿宋" w:hAnsi="仿宋" w:eastAsia="仿宋" w:cs="仿宋_GB2312"/>
                <w:b/>
                <w:sz w:val="24"/>
              </w:rPr>
              <w:t>电子招投标说明</w:t>
            </w:r>
          </w:p>
        </w:tc>
        <w:tc>
          <w:tcPr>
            <w:tcW w:w="5953" w:type="dxa"/>
            <w:tcBorders>
              <w:top w:val="single" w:color="000000" w:sz="8" w:space="0"/>
              <w:left w:val="single" w:color="000000" w:sz="2" w:space="0"/>
              <w:bottom w:val="single" w:color="000000" w:sz="8" w:space="0"/>
              <w:right w:val="single" w:color="000000" w:sz="8" w:space="0"/>
            </w:tcBorders>
            <w:vAlign w:val="center"/>
          </w:tcPr>
          <w:p w14:paraId="27D15997">
            <w:pPr>
              <w:numPr>
                <w:ilvl w:val="0"/>
                <w:numId w:val="1"/>
              </w:numPr>
              <w:spacing w:line="360" w:lineRule="auto"/>
              <w:ind w:firstLine="480" w:firstLineChars="200"/>
              <w:jc w:val="left"/>
              <w:rPr>
                <w:rFonts w:hint="eastAsia" w:ascii="仿宋" w:hAnsi="仿宋" w:eastAsia="仿宋"/>
                <w:sz w:val="24"/>
                <w:szCs w:val="28"/>
              </w:rPr>
            </w:pPr>
            <w:r>
              <w:rPr>
                <w:rFonts w:hint="eastAsia" w:ascii="仿宋" w:hAnsi="仿宋" w:eastAsia="仿宋"/>
                <w:sz w:val="24"/>
                <w:szCs w:val="28"/>
              </w:rPr>
              <w:t>电子招投标：本项目以数据电文形式，依托“乐采云平台（www.lecaiyun.com）”进行招投标活动，不接受纸质投标文件。</w:t>
            </w:r>
          </w:p>
          <w:p w14:paraId="3D460CD9">
            <w:pPr>
              <w:numPr>
                <w:ilvl w:val="0"/>
                <w:numId w:val="1"/>
              </w:numPr>
              <w:spacing w:line="360" w:lineRule="auto"/>
              <w:ind w:firstLine="480" w:firstLineChars="200"/>
              <w:jc w:val="left"/>
              <w:rPr>
                <w:rFonts w:ascii="仿宋" w:hAnsi="仿宋" w:eastAsia="仿宋"/>
                <w:sz w:val="24"/>
                <w:szCs w:val="28"/>
              </w:rPr>
            </w:pPr>
            <w:r>
              <w:rPr>
                <w:rFonts w:hint="eastAsia" w:ascii="仿宋" w:hAnsi="仿宋" w:eastAsia="仿宋"/>
                <w:sz w:val="24"/>
                <w:szCs w:val="28"/>
              </w:rPr>
              <w:t>（2）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47D0B721">
            <w:pPr>
              <w:spacing w:line="360" w:lineRule="auto"/>
              <w:ind w:firstLine="480" w:firstLineChars="200"/>
              <w:jc w:val="left"/>
              <w:rPr>
                <w:rFonts w:ascii="仿宋" w:hAnsi="仿宋" w:eastAsia="仿宋"/>
                <w:sz w:val="24"/>
                <w:szCs w:val="28"/>
              </w:rPr>
            </w:pPr>
            <w:r>
              <w:rPr>
                <w:rFonts w:hint="eastAsia" w:ascii="仿宋" w:hAnsi="仿宋" w:eastAsia="仿宋"/>
                <w:sz w:val="24"/>
                <w:szCs w:val="28"/>
              </w:rPr>
              <w:t>（3）招标文件的获取：使用账号登录或者使用CA登录政采云平台；进入“项目采购”应用，在获取采购文件菜单中选择项目，获取招标文件。</w:t>
            </w:r>
          </w:p>
          <w:p w14:paraId="45D266E1">
            <w:pPr>
              <w:spacing w:line="360" w:lineRule="auto"/>
              <w:ind w:firstLine="480" w:firstLineChars="200"/>
              <w:jc w:val="left"/>
              <w:rPr>
                <w:rFonts w:ascii="仿宋" w:hAnsi="仿宋" w:eastAsia="仿宋"/>
                <w:sz w:val="24"/>
                <w:szCs w:val="28"/>
              </w:rPr>
            </w:pPr>
            <w:r>
              <w:rPr>
                <w:rFonts w:hint="eastAsia" w:ascii="仿宋" w:hAnsi="仿宋" w:eastAsia="仿宋"/>
                <w:sz w:val="24"/>
                <w:szCs w:val="28"/>
              </w:rPr>
              <w:t>（4）投标文件的制作：在“政采云电子交易客户端”中完成“填写基本信息”、“导入投标文件”、“标书关联”、“标书检查”、“电子签名”、“生成电子标书”等操作。</w:t>
            </w:r>
          </w:p>
          <w:p w14:paraId="6210D23B">
            <w:pPr>
              <w:spacing w:line="360" w:lineRule="auto"/>
              <w:ind w:firstLine="480" w:firstLineChars="200"/>
              <w:jc w:val="left"/>
              <w:rPr>
                <w:rFonts w:ascii="仿宋" w:hAnsi="仿宋" w:eastAsia="仿宋"/>
                <w:sz w:val="24"/>
                <w:szCs w:val="28"/>
              </w:rPr>
            </w:pPr>
            <w:r>
              <w:rPr>
                <w:rFonts w:hint="eastAsia" w:ascii="仿宋" w:hAnsi="仿宋" w:eastAsia="仿宋"/>
                <w:sz w:val="24"/>
                <w:szCs w:val="28"/>
              </w:rPr>
              <w:t>（5）投标文件的传输递交：投标人在投标截止时间前将加密的投标文件上传至政府采购云平台。</w:t>
            </w:r>
          </w:p>
          <w:p w14:paraId="368A65C4">
            <w:pPr>
              <w:spacing w:line="360" w:lineRule="auto"/>
              <w:ind w:firstLine="480" w:firstLineChars="200"/>
              <w:jc w:val="left"/>
              <w:rPr>
                <w:rFonts w:ascii="仿宋" w:hAnsi="仿宋" w:eastAsia="仿宋"/>
                <w:sz w:val="24"/>
                <w:szCs w:val="28"/>
              </w:rPr>
            </w:pPr>
            <w:r>
              <w:rPr>
                <w:rFonts w:hint="eastAsia" w:ascii="仿宋" w:hAnsi="仿宋" w:eastAsia="仿宋"/>
                <w:sz w:val="24"/>
                <w:szCs w:val="28"/>
              </w:rPr>
              <w:t>（6）投标文件的解密：投标人按照平台提示和招标文件的规定在开始解密后</w:t>
            </w:r>
            <w:r>
              <w:rPr>
                <w:rFonts w:hint="eastAsia" w:ascii="仿宋" w:hAnsi="仿宋" w:eastAsia="仿宋"/>
                <w:sz w:val="24"/>
                <w:szCs w:val="28"/>
                <w:lang w:val="en-US" w:eastAsia="zh-CN"/>
              </w:rPr>
              <w:t>半</w:t>
            </w:r>
            <w:r>
              <w:rPr>
                <w:rFonts w:hint="eastAsia" w:ascii="仿宋" w:hAnsi="仿宋" w:eastAsia="仿宋"/>
                <w:sz w:val="24"/>
                <w:szCs w:val="28"/>
              </w:rPr>
              <w:t>小时内完成在线解密。</w:t>
            </w:r>
          </w:p>
          <w:p w14:paraId="2AC76B2C">
            <w:pPr>
              <w:spacing w:line="360" w:lineRule="auto"/>
              <w:ind w:firstLine="480" w:firstLineChars="200"/>
              <w:jc w:val="left"/>
              <w:rPr>
                <w:rFonts w:ascii="仿宋" w:hAnsi="仿宋" w:eastAsia="仿宋"/>
                <w:sz w:val="24"/>
                <w:szCs w:val="28"/>
              </w:rPr>
            </w:pPr>
            <w:r>
              <w:rPr>
                <w:rFonts w:hint="eastAsia" w:ascii="仿宋" w:hAnsi="仿宋" w:eastAsia="仿宋"/>
                <w:sz w:val="24"/>
                <w:szCs w:val="28"/>
              </w:rPr>
              <w:t>（7）具体操作指南：详见政采云平台“服务中心-帮助文档-项目采购-操作流程-电子招投标-政府采购项目电子交易管理操作指南-供应商”。</w:t>
            </w:r>
          </w:p>
        </w:tc>
      </w:tr>
    </w:tbl>
    <w:p w14:paraId="59F07ECA">
      <w:pPr>
        <w:spacing w:line="360" w:lineRule="auto"/>
        <w:ind w:firstLine="482" w:firstLineChars="200"/>
        <w:rPr>
          <w:rFonts w:ascii="仿宋" w:hAnsi="仿宋" w:eastAsia="仿宋"/>
          <w:b/>
          <w:sz w:val="24"/>
        </w:rPr>
      </w:pPr>
      <w:r>
        <w:rPr>
          <w:rFonts w:hint="eastAsia" w:ascii="仿宋" w:hAnsi="仿宋" w:eastAsia="仿宋"/>
          <w:b/>
          <w:sz w:val="24"/>
        </w:rPr>
        <w:t>注</w:t>
      </w:r>
      <w:r>
        <w:rPr>
          <w:rFonts w:ascii="仿宋" w:hAnsi="仿宋" w:eastAsia="仿宋"/>
          <w:b/>
          <w:sz w:val="24"/>
        </w:rPr>
        <w:t>：</w:t>
      </w:r>
      <w:r>
        <w:rPr>
          <w:rFonts w:hint="eastAsia" w:ascii="仿宋" w:hAnsi="仿宋" w:eastAsia="仿宋"/>
          <w:b/>
          <w:sz w:val="24"/>
        </w:rPr>
        <w:t>本项目</w:t>
      </w:r>
      <w:r>
        <w:rPr>
          <w:rFonts w:ascii="仿宋" w:hAnsi="仿宋" w:eastAsia="仿宋"/>
          <w:b/>
          <w:sz w:val="24"/>
        </w:rPr>
        <w:t>通用</w:t>
      </w:r>
      <w:r>
        <w:rPr>
          <w:rFonts w:hint="eastAsia" w:ascii="仿宋" w:hAnsi="仿宋" w:eastAsia="仿宋"/>
          <w:b/>
          <w:sz w:val="24"/>
        </w:rPr>
        <w:t>总则</w:t>
      </w:r>
      <w:r>
        <w:rPr>
          <w:rFonts w:ascii="仿宋" w:hAnsi="仿宋" w:eastAsia="仿宋"/>
          <w:b/>
          <w:sz w:val="24"/>
        </w:rPr>
        <w:t>条款与前附表等专</w:t>
      </w:r>
      <w:r>
        <w:rPr>
          <w:rFonts w:hint="eastAsia" w:ascii="仿宋" w:hAnsi="仿宋" w:eastAsia="仿宋"/>
          <w:b/>
          <w:sz w:val="24"/>
        </w:rPr>
        <w:t>用</w:t>
      </w:r>
      <w:r>
        <w:rPr>
          <w:rFonts w:ascii="仿宋" w:hAnsi="仿宋" w:eastAsia="仿宋"/>
          <w:b/>
          <w:sz w:val="24"/>
        </w:rPr>
        <w:t>特别规定有冲突之处，以专用条款（</w:t>
      </w:r>
      <w:r>
        <w:rPr>
          <w:rFonts w:hint="eastAsia" w:ascii="仿宋" w:hAnsi="仿宋" w:eastAsia="仿宋"/>
          <w:b/>
          <w:sz w:val="24"/>
        </w:rPr>
        <w:t>特别规定</w:t>
      </w:r>
      <w:r>
        <w:rPr>
          <w:rFonts w:ascii="仿宋" w:hAnsi="仿宋" w:eastAsia="仿宋"/>
          <w:b/>
          <w:sz w:val="24"/>
        </w:rPr>
        <w:t>）</w:t>
      </w:r>
      <w:r>
        <w:rPr>
          <w:rFonts w:hint="eastAsia" w:ascii="仿宋" w:hAnsi="仿宋" w:eastAsia="仿宋"/>
          <w:b/>
          <w:sz w:val="24"/>
        </w:rPr>
        <w:t>为准</w:t>
      </w:r>
    </w:p>
    <w:p w14:paraId="19597B68">
      <w:pPr>
        <w:adjustRightInd/>
        <w:spacing w:line="360" w:lineRule="auto"/>
        <w:ind w:firstLine="3845" w:firstLineChars="1197"/>
        <w:outlineLvl w:val="0"/>
        <w:rPr>
          <w:rFonts w:ascii="仿宋" w:hAnsi="仿宋" w:eastAsia="仿宋" w:cs="仿宋_GB2312"/>
          <w:b/>
          <w:sz w:val="32"/>
          <w:szCs w:val="20"/>
        </w:rPr>
      </w:pPr>
      <w:r>
        <w:rPr>
          <w:rFonts w:ascii="仿宋" w:hAnsi="仿宋" w:eastAsia="仿宋" w:cs="仿宋_GB2312"/>
          <w:b/>
          <w:sz w:val="32"/>
          <w:szCs w:val="20"/>
        </w:rPr>
        <w:br w:type="page"/>
      </w:r>
      <w:bookmarkEnd w:id="10"/>
      <w:bookmarkStart w:id="38" w:name="_Toc164416483"/>
      <w:bookmarkStart w:id="39" w:name="第三部分"/>
      <w:r>
        <w:rPr>
          <w:rFonts w:hint="eastAsia" w:ascii="仿宋" w:hAnsi="仿宋" w:eastAsia="仿宋" w:cs="仿宋_GB2312"/>
          <w:b/>
          <w:sz w:val="32"/>
          <w:szCs w:val="20"/>
        </w:rPr>
        <w:t>一、总则</w:t>
      </w:r>
    </w:p>
    <w:p w14:paraId="07DA5517">
      <w:pPr>
        <w:snapToGrid w:val="0"/>
        <w:spacing w:line="360" w:lineRule="auto"/>
        <w:ind w:firstLine="482" w:firstLineChars="200"/>
        <w:jc w:val="left"/>
        <w:outlineLvl w:val="1"/>
        <w:rPr>
          <w:rFonts w:ascii="仿宋" w:hAnsi="仿宋" w:eastAsia="仿宋"/>
          <w:b/>
          <w:sz w:val="24"/>
        </w:rPr>
      </w:pPr>
      <w:r>
        <w:rPr>
          <w:rFonts w:hint="eastAsia" w:ascii="仿宋" w:hAnsi="仿宋" w:eastAsia="仿宋"/>
          <w:b/>
          <w:sz w:val="24"/>
        </w:rPr>
        <w:t>1.</w:t>
      </w:r>
      <w:r>
        <w:rPr>
          <w:rFonts w:ascii="仿宋" w:hAnsi="仿宋" w:eastAsia="仿宋"/>
          <w:b/>
          <w:sz w:val="24"/>
        </w:rPr>
        <w:t xml:space="preserve"> 适用范围</w:t>
      </w:r>
    </w:p>
    <w:p w14:paraId="59254C4E">
      <w:pPr>
        <w:snapToGrid w:val="0"/>
        <w:spacing w:line="360" w:lineRule="auto"/>
        <w:ind w:firstLine="480" w:firstLineChars="200"/>
        <w:jc w:val="left"/>
        <w:rPr>
          <w:rFonts w:ascii="仿宋" w:hAnsi="仿宋" w:eastAsia="仿宋"/>
          <w:sz w:val="24"/>
        </w:rPr>
      </w:pPr>
      <w:r>
        <w:rPr>
          <w:rFonts w:hint="eastAsia" w:ascii="仿宋" w:hAnsi="仿宋" w:eastAsia="仿宋"/>
          <w:sz w:val="24"/>
        </w:rPr>
        <w:t>本招标文件适用于该项目的招标、投标、开标、资格审查及信用信息查询、评标、定标、合同、验收等行为（法律、法规另有规定的，从其规定）。</w:t>
      </w:r>
    </w:p>
    <w:p w14:paraId="1DFED004">
      <w:pPr>
        <w:adjustRightInd/>
        <w:spacing w:line="360" w:lineRule="auto"/>
        <w:ind w:firstLine="482" w:firstLineChars="200"/>
        <w:jc w:val="left"/>
        <w:outlineLvl w:val="0"/>
        <w:rPr>
          <w:rFonts w:ascii="仿宋" w:hAnsi="仿宋" w:eastAsia="仿宋" w:cs="仿宋_GB2312"/>
          <w:b/>
          <w:sz w:val="24"/>
        </w:rPr>
      </w:pPr>
      <w:r>
        <w:rPr>
          <w:rFonts w:hint="eastAsia" w:ascii="仿宋" w:hAnsi="仿宋" w:eastAsia="仿宋" w:cs="仿宋_GB2312"/>
          <w:b/>
          <w:sz w:val="24"/>
        </w:rPr>
        <w:t>2.定义</w:t>
      </w:r>
    </w:p>
    <w:p w14:paraId="7416E1AE">
      <w:pPr>
        <w:spacing w:line="360" w:lineRule="auto"/>
        <w:ind w:firstLine="480" w:firstLineChars="200"/>
        <w:jc w:val="left"/>
        <w:rPr>
          <w:rFonts w:ascii="仿宋" w:hAnsi="仿宋" w:eastAsia="仿宋"/>
          <w:sz w:val="24"/>
        </w:rPr>
      </w:pPr>
      <w:r>
        <w:rPr>
          <w:rFonts w:ascii="仿宋" w:hAnsi="仿宋" w:eastAsia="仿宋"/>
          <w:sz w:val="24"/>
        </w:rPr>
        <w:t xml:space="preserve">2.1 </w:t>
      </w:r>
      <w:r>
        <w:rPr>
          <w:rFonts w:hint="eastAsia" w:ascii="仿宋" w:hAnsi="仿宋" w:eastAsia="仿宋"/>
          <w:sz w:val="24"/>
        </w:rPr>
        <w:t>“采购人”系指招标公告中载明的本项目的采购人。</w:t>
      </w:r>
    </w:p>
    <w:p w14:paraId="7C796A1E">
      <w:pPr>
        <w:spacing w:line="360" w:lineRule="auto"/>
        <w:ind w:firstLine="480" w:firstLineChars="200"/>
        <w:jc w:val="left"/>
        <w:rPr>
          <w:rFonts w:ascii="仿宋" w:hAnsi="仿宋" w:eastAsia="仿宋"/>
          <w:sz w:val="24"/>
        </w:rPr>
      </w:pPr>
      <w:r>
        <w:rPr>
          <w:rFonts w:hint="eastAsia" w:ascii="仿宋" w:hAnsi="仿宋" w:eastAsia="仿宋"/>
          <w:sz w:val="24"/>
        </w:rPr>
        <w:t>2.2</w:t>
      </w:r>
      <w:r>
        <w:rPr>
          <w:rFonts w:ascii="仿宋" w:hAnsi="仿宋" w:eastAsia="仿宋"/>
          <w:sz w:val="24"/>
        </w:rPr>
        <w:t xml:space="preserve"> </w:t>
      </w:r>
      <w:r>
        <w:rPr>
          <w:rFonts w:hint="eastAsia" w:ascii="仿宋" w:hAnsi="仿宋" w:eastAsia="仿宋"/>
          <w:sz w:val="24"/>
        </w:rPr>
        <w:t>“采购代理机构”系指招标公告中载明的本项目的采购代理机构。</w:t>
      </w:r>
    </w:p>
    <w:p w14:paraId="5764CA99">
      <w:pPr>
        <w:spacing w:line="360" w:lineRule="auto"/>
        <w:ind w:firstLine="480" w:firstLineChars="200"/>
        <w:jc w:val="left"/>
        <w:rPr>
          <w:rFonts w:ascii="仿宋" w:hAnsi="仿宋" w:eastAsia="仿宋"/>
          <w:sz w:val="24"/>
        </w:rPr>
      </w:pPr>
      <w:r>
        <w:rPr>
          <w:rFonts w:ascii="仿宋" w:hAnsi="仿宋" w:eastAsia="仿宋"/>
          <w:sz w:val="24"/>
        </w:rPr>
        <w:t>2.</w:t>
      </w:r>
      <w:r>
        <w:rPr>
          <w:rFonts w:hint="eastAsia" w:ascii="仿宋" w:hAnsi="仿宋" w:eastAsia="仿宋"/>
          <w:sz w:val="24"/>
        </w:rPr>
        <w:t>3</w:t>
      </w:r>
      <w:r>
        <w:rPr>
          <w:rFonts w:ascii="仿宋" w:hAnsi="仿宋" w:eastAsia="仿宋"/>
          <w:sz w:val="24"/>
        </w:rPr>
        <w:t xml:space="preserve"> </w:t>
      </w:r>
      <w:r>
        <w:rPr>
          <w:rFonts w:hint="eastAsia" w:ascii="仿宋" w:hAnsi="仿宋" w:eastAsia="仿宋"/>
          <w:sz w:val="24"/>
        </w:rPr>
        <w:t>“投标人”系指是指响应招标、参加投标竞争的法人、其他组织或者自然人。</w:t>
      </w:r>
    </w:p>
    <w:p w14:paraId="641C4DFA">
      <w:pPr>
        <w:spacing w:line="360" w:lineRule="auto"/>
        <w:ind w:firstLine="480" w:firstLineChars="200"/>
        <w:jc w:val="left"/>
        <w:rPr>
          <w:rFonts w:ascii="仿宋" w:hAnsi="仿宋" w:eastAsia="仿宋"/>
          <w:sz w:val="24"/>
        </w:rPr>
      </w:pPr>
      <w:r>
        <w:rPr>
          <w:rFonts w:hint="eastAsia" w:ascii="仿宋" w:hAnsi="仿宋" w:eastAsia="仿宋"/>
          <w:sz w:val="24"/>
        </w:rPr>
        <w:t>2.4</w:t>
      </w:r>
      <w:r>
        <w:rPr>
          <w:rFonts w:ascii="仿宋" w:hAnsi="仿宋" w:eastAsia="仿宋"/>
          <w:sz w:val="24"/>
        </w:rPr>
        <w:t xml:space="preserve"> </w:t>
      </w:r>
      <w:r>
        <w:rPr>
          <w:rFonts w:hint="eastAsia" w:ascii="仿宋" w:hAnsi="仿宋" w:eastAsia="仿宋"/>
          <w:sz w:val="24"/>
        </w:rPr>
        <w:t>“负责人”系指法人企业的法定负责人，或其他组织为</w:t>
      </w:r>
      <w:r>
        <w:rPr>
          <w:rFonts w:ascii="仿宋" w:hAnsi="仿宋" w:eastAsia="仿宋"/>
          <w:sz w:val="24"/>
        </w:rPr>
        <w:t>法律、行政法规规定代表单位行使职权的主要负责人</w:t>
      </w:r>
      <w:r>
        <w:rPr>
          <w:rFonts w:hint="eastAsia" w:ascii="仿宋" w:hAnsi="仿宋" w:eastAsia="仿宋"/>
          <w:sz w:val="24"/>
        </w:rPr>
        <w:t>，或自然人本人。</w:t>
      </w:r>
    </w:p>
    <w:p w14:paraId="6EB8DB20">
      <w:pPr>
        <w:spacing w:line="360" w:lineRule="auto"/>
        <w:ind w:firstLine="480" w:firstLineChars="200"/>
        <w:jc w:val="left"/>
        <w:rPr>
          <w:rFonts w:ascii="仿宋" w:hAnsi="仿宋" w:eastAsia="仿宋"/>
          <w:sz w:val="24"/>
        </w:rPr>
      </w:pPr>
      <w:r>
        <w:rPr>
          <w:rFonts w:hint="eastAsia" w:ascii="仿宋" w:hAnsi="仿宋" w:eastAsia="仿宋"/>
          <w:sz w:val="24"/>
        </w:rPr>
        <w:t>2.5</w:t>
      </w:r>
      <w:r>
        <w:rPr>
          <w:rFonts w:ascii="仿宋" w:hAnsi="仿宋" w:eastAsia="仿宋"/>
          <w:sz w:val="24"/>
        </w:rPr>
        <w:t xml:space="preserve"> </w:t>
      </w:r>
      <w:r>
        <w:rPr>
          <w:rFonts w:hint="eastAsia" w:ascii="仿宋" w:hAnsi="仿宋" w:eastAsia="仿宋"/>
          <w:sz w:val="24"/>
        </w:rPr>
        <w:t>“▲” 系指实质性要求条款，“★”系产品采购项目中单一产品或核心产品。</w:t>
      </w:r>
    </w:p>
    <w:p w14:paraId="6540E456">
      <w:pPr>
        <w:spacing w:line="360" w:lineRule="auto"/>
        <w:ind w:firstLine="482" w:firstLineChars="200"/>
        <w:jc w:val="left"/>
        <w:rPr>
          <w:rFonts w:ascii="仿宋" w:hAnsi="仿宋" w:eastAsia="仿宋"/>
          <w:b/>
          <w:sz w:val="24"/>
        </w:rPr>
      </w:pPr>
      <w:r>
        <w:rPr>
          <w:rFonts w:hint="eastAsia" w:ascii="仿宋" w:hAnsi="仿宋" w:eastAsia="仿宋"/>
          <w:b/>
          <w:sz w:val="24"/>
        </w:rPr>
        <w:t>3. 询问、质疑、投诉</w:t>
      </w:r>
    </w:p>
    <w:p w14:paraId="0610CA85">
      <w:pPr>
        <w:autoSpaceDE w:val="0"/>
        <w:autoSpaceDN w:val="0"/>
        <w:spacing w:line="360" w:lineRule="auto"/>
        <w:ind w:firstLine="482" w:firstLineChars="200"/>
        <w:jc w:val="left"/>
        <w:rPr>
          <w:rFonts w:ascii="仿宋" w:hAnsi="仿宋" w:eastAsia="仿宋" w:cs="微软雅黑"/>
          <w:b/>
          <w:kern w:val="0"/>
          <w:sz w:val="24"/>
          <w:lang w:val="zh-CN"/>
        </w:rPr>
      </w:pPr>
      <w:r>
        <w:rPr>
          <w:rFonts w:hint="eastAsia" w:ascii="仿宋" w:hAnsi="仿宋" w:eastAsia="仿宋" w:cs="微软雅黑"/>
          <w:b/>
          <w:kern w:val="0"/>
          <w:sz w:val="24"/>
          <w:lang w:val="zh-CN"/>
        </w:rPr>
        <w:t>3.1供应商询问</w:t>
      </w:r>
    </w:p>
    <w:p w14:paraId="08BBC07C">
      <w:pPr>
        <w:pStyle w:val="31"/>
        <w:spacing w:line="360" w:lineRule="auto"/>
        <w:ind w:firstLine="482" w:firstLineChars="200"/>
        <w:jc w:val="left"/>
        <w:rPr>
          <w:rFonts w:ascii="仿宋" w:hAnsi="仿宋" w:eastAsia="仿宋"/>
          <w:sz w:val="24"/>
        </w:rPr>
      </w:pPr>
      <w:r>
        <w:rPr>
          <w:rFonts w:hint="eastAsia" w:ascii="仿宋" w:hAnsi="仿宋" w:eastAsia="仿宋"/>
          <w:b/>
          <w:sz w:val="24"/>
        </w:rPr>
        <w:t>已获取招标文件的潜在投标人，发现招标文件其中有误或有问题需要澄清，应于公告发布之日起至公告期限届满之日内以书面形式向采购人或者采购代理机构提出，采购代理机构与采购人研究后，对认为有必要回答的问题，将以公告</w:t>
      </w:r>
      <w:r>
        <w:rPr>
          <w:rFonts w:ascii="仿宋" w:hAnsi="仿宋" w:eastAsia="仿宋"/>
          <w:b/>
          <w:sz w:val="24"/>
        </w:rPr>
        <w:t>形式</w:t>
      </w:r>
      <w:r>
        <w:rPr>
          <w:rFonts w:hint="eastAsia" w:ascii="仿宋" w:hAnsi="仿宋" w:eastAsia="仿宋"/>
          <w:b/>
          <w:sz w:val="24"/>
        </w:rPr>
        <w:t>通知所有招标文件收受人。逾期提出的采购人有权不予受理。</w:t>
      </w:r>
    </w:p>
    <w:p w14:paraId="3880D1D8">
      <w:pPr>
        <w:autoSpaceDE w:val="0"/>
        <w:autoSpaceDN w:val="0"/>
        <w:spacing w:line="360" w:lineRule="auto"/>
        <w:ind w:firstLine="480" w:firstLineChars="200"/>
        <w:jc w:val="left"/>
        <w:rPr>
          <w:rFonts w:ascii="仿宋" w:hAnsi="仿宋" w:eastAsia="仿宋" w:cs="微软雅黑"/>
          <w:kern w:val="0"/>
          <w:sz w:val="24"/>
          <w:lang w:val="zh-CN"/>
        </w:rPr>
      </w:pPr>
      <w:r>
        <w:rPr>
          <w:rFonts w:hint="eastAsia" w:ascii="仿宋" w:hAnsi="仿宋" w:eastAsia="仿宋" w:cs="微软雅黑"/>
          <w:kern w:val="0"/>
          <w:sz w:val="24"/>
          <w:lang w:val="zh-CN"/>
        </w:rPr>
        <w:t>3.2供应商质疑</w:t>
      </w:r>
    </w:p>
    <w:p w14:paraId="75922168">
      <w:pPr>
        <w:pStyle w:val="31"/>
        <w:spacing w:line="360" w:lineRule="auto"/>
        <w:ind w:firstLine="480" w:firstLineChars="200"/>
        <w:jc w:val="left"/>
        <w:rPr>
          <w:rFonts w:ascii="仿宋" w:hAnsi="仿宋" w:eastAsia="仿宋"/>
          <w:sz w:val="24"/>
        </w:rPr>
      </w:pPr>
      <w:r>
        <w:rPr>
          <w:rFonts w:hint="eastAsia" w:ascii="仿宋" w:hAnsi="仿宋" w:eastAsia="仿宋" w:cs="微软雅黑"/>
          <w:kern w:val="0"/>
          <w:sz w:val="24"/>
          <w:lang w:val="zh-CN"/>
        </w:rPr>
        <w:t>3.2</w:t>
      </w:r>
      <w:r>
        <w:rPr>
          <w:rFonts w:hint="eastAsia" w:ascii="仿宋" w:hAnsi="仿宋" w:eastAsia="仿宋"/>
          <w:sz w:val="24"/>
        </w:rPr>
        <w:t>.1提出质疑的供应商应当是参与所质疑项目采购活动的供应商。潜在供应商已依法获取其可质疑的采购文件的，可以对该文件提出质疑。</w:t>
      </w:r>
    </w:p>
    <w:p w14:paraId="50EAE5B0">
      <w:pPr>
        <w:pStyle w:val="31"/>
        <w:spacing w:line="360" w:lineRule="auto"/>
        <w:ind w:right="-512" w:firstLine="480" w:firstLineChars="200"/>
        <w:rPr>
          <w:rFonts w:ascii="仿宋" w:hAnsi="仿宋" w:eastAsia="仿宋"/>
          <w:sz w:val="24"/>
        </w:rPr>
      </w:pPr>
      <w:r>
        <w:rPr>
          <w:rFonts w:hint="eastAsia" w:ascii="仿宋" w:hAnsi="仿宋" w:eastAsia="仿宋" w:cs="微软雅黑"/>
          <w:kern w:val="0"/>
          <w:sz w:val="24"/>
          <w:lang w:val="zh-CN"/>
        </w:rPr>
        <w:t>3.2</w:t>
      </w:r>
      <w:r>
        <w:rPr>
          <w:rFonts w:hint="eastAsia" w:ascii="仿宋" w:hAnsi="仿宋" w:eastAsia="仿宋"/>
          <w:sz w:val="24"/>
        </w:rPr>
        <w:t>.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30CADB60">
      <w:pPr>
        <w:pStyle w:val="31"/>
        <w:spacing w:line="360" w:lineRule="auto"/>
        <w:ind w:right="-512" w:firstLine="480" w:firstLineChars="200"/>
        <w:rPr>
          <w:rFonts w:ascii="仿宋" w:hAnsi="仿宋" w:eastAsia="仿宋"/>
          <w:sz w:val="24"/>
        </w:rPr>
      </w:pPr>
      <w:r>
        <w:rPr>
          <w:rFonts w:hint="eastAsia" w:ascii="仿宋" w:hAnsi="仿宋" w:eastAsia="仿宋"/>
          <w:sz w:val="24"/>
        </w:rPr>
        <w:t>（1）对采购文件提出质疑的，质疑期限为供应商获得采购文件之日或者采购文件公告期限届满之日起计算。采购文件在公告期限届满之日后获得的，应当自采购文件公告期限届满之日起计算，且应当在采购响应截止时间之前提出。</w:t>
      </w:r>
    </w:p>
    <w:p w14:paraId="5088EC54">
      <w:pPr>
        <w:pStyle w:val="31"/>
        <w:spacing w:line="360" w:lineRule="auto"/>
        <w:ind w:right="-512" w:firstLine="480" w:firstLineChars="200"/>
        <w:rPr>
          <w:rFonts w:ascii="仿宋" w:hAnsi="仿宋" w:eastAsia="仿宋"/>
          <w:sz w:val="24"/>
        </w:rPr>
      </w:pPr>
      <w:r>
        <w:rPr>
          <w:rFonts w:hint="eastAsia" w:ascii="仿宋" w:hAnsi="仿宋" w:eastAsia="仿宋"/>
          <w:sz w:val="24"/>
        </w:rPr>
        <w:t>（2）对采购过程提出质疑的，质疑期限为各采购程序环节结束之日起计算。</w:t>
      </w:r>
    </w:p>
    <w:p w14:paraId="46D1A65F">
      <w:pPr>
        <w:pStyle w:val="31"/>
        <w:spacing w:line="360" w:lineRule="auto"/>
        <w:ind w:right="-512" w:firstLine="480" w:firstLineChars="200"/>
        <w:rPr>
          <w:rFonts w:ascii="仿宋" w:hAnsi="仿宋" w:eastAsia="仿宋"/>
          <w:sz w:val="24"/>
        </w:rPr>
      </w:pPr>
      <w:r>
        <w:rPr>
          <w:rFonts w:hint="eastAsia" w:ascii="仿宋" w:hAnsi="仿宋" w:eastAsia="仿宋"/>
          <w:sz w:val="24"/>
        </w:rPr>
        <w:t>（3）对采购结果提出质疑的，质疑期限自采购结果公告期限届满之日起计算。</w:t>
      </w:r>
    </w:p>
    <w:p w14:paraId="77A45687">
      <w:pPr>
        <w:pStyle w:val="31"/>
        <w:spacing w:line="360" w:lineRule="auto"/>
        <w:ind w:right="-512" w:firstLine="480" w:firstLineChars="200"/>
        <w:rPr>
          <w:rFonts w:ascii="仿宋" w:hAnsi="仿宋" w:eastAsia="仿宋"/>
          <w:sz w:val="24"/>
        </w:rPr>
      </w:pPr>
      <w:r>
        <w:rPr>
          <w:rFonts w:hint="eastAsia" w:ascii="仿宋" w:hAnsi="仿宋" w:eastAsia="仿宋"/>
          <w:sz w:val="24"/>
        </w:rPr>
        <w:t>（4）供应商应在法定质疑期内一次性提出针对同一采购程序环节的质疑。</w:t>
      </w:r>
    </w:p>
    <w:p w14:paraId="3DB3FBED">
      <w:pPr>
        <w:pStyle w:val="31"/>
        <w:snapToGrid w:val="0"/>
        <w:spacing w:line="360" w:lineRule="auto"/>
        <w:ind w:firstLine="480" w:firstLineChars="200"/>
        <w:contextualSpacing/>
        <w:rPr>
          <w:rFonts w:ascii="仿宋" w:hAnsi="仿宋" w:eastAsia="仿宋"/>
          <w:sz w:val="24"/>
        </w:rPr>
      </w:pPr>
      <w:r>
        <w:rPr>
          <w:rFonts w:hint="eastAsia" w:ascii="仿宋" w:hAnsi="仿宋" w:eastAsia="仿宋" w:cs="微软雅黑"/>
          <w:kern w:val="0"/>
          <w:sz w:val="24"/>
          <w:lang w:val="zh-CN"/>
        </w:rPr>
        <w:t>3.2.3</w:t>
      </w:r>
      <w:r>
        <w:rPr>
          <w:rFonts w:ascii="仿宋" w:hAnsi="仿宋" w:eastAsia="仿宋"/>
          <w:sz w:val="24"/>
        </w:rPr>
        <w:t>供应商提出质疑应当提交质疑函和必要的证明材料。质疑函应当包括下列内容：</w:t>
      </w:r>
    </w:p>
    <w:p w14:paraId="097AC432">
      <w:pPr>
        <w:pStyle w:val="327"/>
        <w:shd w:val="clear" w:color="auto" w:fill="FFFFFF"/>
        <w:snapToGrid w:val="0"/>
        <w:spacing w:before="0" w:beforeAutospacing="0" w:after="0" w:afterAutospacing="0" w:line="360" w:lineRule="auto"/>
        <w:ind w:firstLine="480" w:firstLineChars="200"/>
        <w:contextualSpacing/>
        <w:rPr>
          <w:rFonts w:ascii="仿宋" w:hAnsi="仿宋" w:eastAsia="仿宋" w:cs="Arial"/>
          <w:snapToGrid w:val="0"/>
          <w:kern w:val="2"/>
          <w:szCs w:val="21"/>
        </w:rPr>
      </w:pPr>
      <w:r>
        <w:rPr>
          <w:rFonts w:hint="eastAsia" w:ascii="仿宋" w:hAnsi="仿宋" w:eastAsia="仿宋" w:cs="微软雅黑"/>
          <w:lang w:val="zh-CN"/>
        </w:rPr>
        <w:t>3.2.3.1</w:t>
      </w:r>
      <w:r>
        <w:rPr>
          <w:rFonts w:ascii="仿宋" w:hAnsi="仿宋" w:eastAsia="仿宋" w:cs="Arial"/>
          <w:snapToGrid w:val="0"/>
          <w:kern w:val="2"/>
          <w:szCs w:val="21"/>
        </w:rPr>
        <w:t>供应商的姓名或者名称、地址、邮编、联系人及联系电话；</w:t>
      </w:r>
    </w:p>
    <w:p w14:paraId="336AF30D">
      <w:pPr>
        <w:pStyle w:val="327"/>
        <w:shd w:val="clear" w:color="auto" w:fill="FFFFFF"/>
        <w:snapToGrid w:val="0"/>
        <w:spacing w:after="240" w:afterAutospacing="0" w:line="360" w:lineRule="auto"/>
        <w:contextualSpacing/>
        <w:rPr>
          <w:rFonts w:ascii="仿宋" w:hAnsi="仿宋" w:eastAsia="仿宋" w:cs="Arial"/>
          <w:snapToGrid w:val="0"/>
          <w:kern w:val="2"/>
          <w:szCs w:val="21"/>
        </w:rPr>
      </w:pPr>
      <w:r>
        <w:rPr>
          <w:rFonts w:ascii="仿宋" w:hAnsi="仿宋" w:eastAsia="仿宋" w:cs="Arial"/>
          <w:snapToGrid w:val="0"/>
          <w:kern w:val="2"/>
          <w:szCs w:val="21"/>
        </w:rPr>
        <w:t>　　</w:t>
      </w:r>
      <w:r>
        <w:rPr>
          <w:rFonts w:hint="eastAsia" w:ascii="仿宋" w:hAnsi="仿宋" w:eastAsia="仿宋" w:cs="微软雅黑"/>
          <w:lang w:val="zh-CN"/>
        </w:rPr>
        <w:t>3.2.3.2</w:t>
      </w:r>
      <w:r>
        <w:rPr>
          <w:rFonts w:ascii="仿宋" w:hAnsi="仿宋" w:eastAsia="仿宋" w:cs="Arial"/>
          <w:snapToGrid w:val="0"/>
          <w:kern w:val="2"/>
          <w:szCs w:val="21"/>
        </w:rPr>
        <w:t>质疑项目的名称、编号；</w:t>
      </w:r>
    </w:p>
    <w:p w14:paraId="602E352E">
      <w:pPr>
        <w:pStyle w:val="327"/>
        <w:shd w:val="clear" w:color="auto" w:fill="FFFFFF"/>
        <w:snapToGrid w:val="0"/>
        <w:spacing w:after="240" w:afterAutospacing="0" w:line="360" w:lineRule="auto"/>
        <w:contextualSpacing/>
        <w:rPr>
          <w:rFonts w:ascii="仿宋" w:hAnsi="仿宋" w:eastAsia="仿宋" w:cs="Arial"/>
          <w:snapToGrid w:val="0"/>
          <w:kern w:val="2"/>
          <w:szCs w:val="21"/>
        </w:rPr>
      </w:pPr>
      <w:r>
        <w:rPr>
          <w:rFonts w:ascii="仿宋" w:hAnsi="仿宋" w:eastAsia="仿宋" w:cs="Arial"/>
          <w:snapToGrid w:val="0"/>
          <w:kern w:val="2"/>
          <w:szCs w:val="21"/>
        </w:rPr>
        <w:t>　　</w:t>
      </w:r>
      <w:r>
        <w:rPr>
          <w:rFonts w:hint="eastAsia" w:ascii="仿宋" w:hAnsi="仿宋" w:eastAsia="仿宋" w:cs="微软雅黑"/>
          <w:lang w:val="zh-CN"/>
        </w:rPr>
        <w:t>3.2.3.3</w:t>
      </w:r>
      <w:r>
        <w:rPr>
          <w:rFonts w:ascii="仿宋" w:hAnsi="仿宋" w:eastAsia="仿宋" w:cs="Arial"/>
          <w:snapToGrid w:val="0"/>
          <w:kern w:val="2"/>
          <w:szCs w:val="21"/>
        </w:rPr>
        <w:t>具体、明确的质疑事项和与质疑事项相关的请求；</w:t>
      </w:r>
    </w:p>
    <w:p w14:paraId="3407296F">
      <w:pPr>
        <w:pStyle w:val="327"/>
        <w:shd w:val="clear" w:color="auto" w:fill="FFFFFF"/>
        <w:snapToGrid w:val="0"/>
        <w:spacing w:after="240" w:afterAutospacing="0" w:line="360" w:lineRule="auto"/>
        <w:contextualSpacing/>
        <w:rPr>
          <w:rFonts w:ascii="仿宋" w:hAnsi="仿宋" w:eastAsia="仿宋" w:cs="Arial"/>
          <w:snapToGrid w:val="0"/>
          <w:kern w:val="2"/>
          <w:szCs w:val="21"/>
        </w:rPr>
      </w:pPr>
      <w:r>
        <w:rPr>
          <w:rFonts w:ascii="仿宋" w:hAnsi="仿宋" w:eastAsia="仿宋" w:cs="Arial"/>
          <w:snapToGrid w:val="0"/>
          <w:kern w:val="2"/>
          <w:szCs w:val="21"/>
        </w:rPr>
        <w:t>　　</w:t>
      </w:r>
      <w:r>
        <w:rPr>
          <w:rFonts w:hint="eastAsia" w:ascii="仿宋" w:hAnsi="仿宋" w:eastAsia="仿宋" w:cs="微软雅黑"/>
          <w:lang w:val="zh-CN"/>
        </w:rPr>
        <w:t>3.2.3.4</w:t>
      </w:r>
      <w:r>
        <w:rPr>
          <w:rFonts w:ascii="仿宋" w:hAnsi="仿宋" w:eastAsia="仿宋" w:cs="Arial"/>
          <w:snapToGrid w:val="0"/>
          <w:kern w:val="2"/>
          <w:szCs w:val="21"/>
        </w:rPr>
        <w:t>事实依据；</w:t>
      </w:r>
    </w:p>
    <w:p w14:paraId="51B513AB">
      <w:pPr>
        <w:pStyle w:val="327"/>
        <w:shd w:val="clear" w:color="auto" w:fill="FFFFFF"/>
        <w:snapToGrid w:val="0"/>
        <w:spacing w:after="240" w:afterAutospacing="0" w:line="360" w:lineRule="auto"/>
        <w:contextualSpacing/>
        <w:rPr>
          <w:rFonts w:ascii="仿宋" w:hAnsi="仿宋" w:eastAsia="仿宋" w:cs="Arial"/>
          <w:snapToGrid w:val="0"/>
          <w:kern w:val="2"/>
          <w:szCs w:val="21"/>
        </w:rPr>
      </w:pPr>
      <w:r>
        <w:rPr>
          <w:rFonts w:ascii="仿宋" w:hAnsi="仿宋" w:eastAsia="仿宋" w:cs="Arial"/>
          <w:snapToGrid w:val="0"/>
          <w:kern w:val="2"/>
          <w:szCs w:val="21"/>
        </w:rPr>
        <w:t>　　</w:t>
      </w:r>
      <w:r>
        <w:rPr>
          <w:rFonts w:hint="eastAsia" w:ascii="仿宋" w:hAnsi="仿宋" w:eastAsia="仿宋" w:cs="微软雅黑"/>
          <w:lang w:val="zh-CN"/>
        </w:rPr>
        <w:t>3.2.3.5</w:t>
      </w:r>
      <w:r>
        <w:rPr>
          <w:rFonts w:ascii="仿宋" w:hAnsi="仿宋" w:eastAsia="仿宋" w:cs="Arial"/>
          <w:snapToGrid w:val="0"/>
          <w:kern w:val="2"/>
          <w:szCs w:val="21"/>
        </w:rPr>
        <w:t>必要的法律依据；</w:t>
      </w:r>
    </w:p>
    <w:p w14:paraId="5901E3E6">
      <w:pPr>
        <w:pStyle w:val="327"/>
        <w:shd w:val="clear" w:color="auto" w:fill="FFFFFF"/>
        <w:snapToGrid w:val="0"/>
        <w:spacing w:after="240" w:afterAutospacing="0" w:line="360" w:lineRule="auto"/>
        <w:ind w:firstLine="480"/>
        <w:contextualSpacing/>
        <w:rPr>
          <w:rFonts w:ascii="仿宋" w:hAnsi="仿宋" w:eastAsia="仿宋" w:cs="Arial"/>
          <w:snapToGrid w:val="0"/>
          <w:kern w:val="2"/>
          <w:szCs w:val="21"/>
        </w:rPr>
      </w:pPr>
      <w:r>
        <w:rPr>
          <w:rFonts w:hint="eastAsia" w:ascii="仿宋" w:hAnsi="仿宋" w:eastAsia="仿宋" w:cs="微软雅黑"/>
          <w:lang w:val="zh-CN"/>
        </w:rPr>
        <w:t>3.2.3.6</w:t>
      </w:r>
      <w:r>
        <w:rPr>
          <w:rFonts w:ascii="仿宋" w:hAnsi="仿宋" w:eastAsia="仿宋" w:cs="Arial"/>
          <w:snapToGrid w:val="0"/>
          <w:kern w:val="2"/>
          <w:szCs w:val="21"/>
        </w:rPr>
        <w:t>提出质疑的日期。</w:t>
      </w:r>
    </w:p>
    <w:p w14:paraId="76B020E1">
      <w:pPr>
        <w:pStyle w:val="327"/>
        <w:shd w:val="clear" w:color="auto" w:fill="FFFFFF"/>
        <w:snapToGrid w:val="0"/>
        <w:spacing w:after="240" w:afterAutospacing="0" w:line="360" w:lineRule="auto"/>
        <w:ind w:firstLine="480"/>
        <w:contextualSpacing/>
        <w:rPr>
          <w:rFonts w:ascii="仿宋" w:hAnsi="仿宋" w:eastAsia="仿宋"/>
        </w:rPr>
      </w:pPr>
      <w:r>
        <w:rPr>
          <w:rFonts w:hint="eastAsia" w:ascii="仿宋" w:hAnsi="仿宋" w:eastAsia="仿宋"/>
        </w:rPr>
        <w:t>供应商提交的质疑函需一式三份。</w:t>
      </w:r>
      <w:r>
        <w:rPr>
          <w:rFonts w:ascii="仿宋" w:hAnsi="仿宋" w:eastAsia="仿宋"/>
        </w:rPr>
        <w:t>供应商为自然人的，应当由本人签字；供应商为法人或者其他组织的，应当由法定代表人、主要负责人，或者其授权代表签字或者盖章，并加盖公章。</w:t>
      </w:r>
    </w:p>
    <w:p w14:paraId="25E2E443">
      <w:pPr>
        <w:pStyle w:val="327"/>
        <w:shd w:val="clear" w:color="auto" w:fill="FFFFFF"/>
        <w:snapToGrid w:val="0"/>
        <w:spacing w:after="240" w:afterAutospacing="0" w:line="360" w:lineRule="auto"/>
        <w:ind w:firstLine="480"/>
        <w:contextualSpacing/>
        <w:rPr>
          <w:rFonts w:ascii="仿宋" w:hAnsi="仿宋" w:eastAsia="仿宋"/>
        </w:rPr>
      </w:pPr>
      <w:r>
        <w:rPr>
          <w:rFonts w:hint="eastAsia" w:ascii="仿宋" w:hAnsi="仿宋" w:eastAsia="仿宋"/>
        </w:rPr>
        <w:t>质疑函范本</w:t>
      </w:r>
      <w:r>
        <w:rPr>
          <w:rFonts w:ascii="仿宋" w:hAnsi="仿宋" w:eastAsia="仿宋"/>
          <w:szCs w:val="28"/>
        </w:rPr>
        <w:t>请到浙江政府采购网下载专区下载</w:t>
      </w:r>
      <w:r>
        <w:rPr>
          <w:rFonts w:hint="eastAsia" w:ascii="仿宋" w:hAnsi="仿宋" w:eastAsia="仿宋"/>
        </w:rPr>
        <w:t>。</w:t>
      </w:r>
    </w:p>
    <w:p w14:paraId="0E7F3A66">
      <w:pPr>
        <w:pStyle w:val="327"/>
        <w:shd w:val="clear" w:color="auto" w:fill="FFFFFF"/>
        <w:snapToGrid w:val="0"/>
        <w:spacing w:after="240" w:afterAutospacing="0" w:line="360" w:lineRule="auto"/>
        <w:ind w:firstLine="480"/>
        <w:contextualSpacing/>
        <w:rPr>
          <w:rFonts w:ascii="仿宋" w:hAnsi="仿宋" w:eastAsia="仿宋"/>
        </w:rPr>
      </w:pPr>
      <w:r>
        <w:rPr>
          <w:rFonts w:hint="eastAsia" w:ascii="仿宋" w:hAnsi="仿宋" w:eastAsia="仿宋" w:cs="微软雅黑"/>
          <w:lang w:val="zh-CN"/>
        </w:rPr>
        <w:t>3.2</w:t>
      </w:r>
      <w:r>
        <w:rPr>
          <w:rFonts w:hint="eastAsia" w:ascii="仿宋" w:hAnsi="仿宋" w:eastAsia="仿宋"/>
        </w:rPr>
        <w:t>.4采购人或者采购代理机构应当在收到供应商的书面质疑后七个工作日内作出答复，并以书面形式通知质疑供应商和其他与质疑处理结果有利害关系的国有企业采购当事人，但答复的内容不得涉及商业秘密。</w:t>
      </w:r>
    </w:p>
    <w:p w14:paraId="6926715D">
      <w:pPr>
        <w:pStyle w:val="327"/>
        <w:shd w:val="clear" w:color="auto" w:fill="FFFFFF"/>
        <w:snapToGrid w:val="0"/>
        <w:spacing w:after="240" w:afterAutospacing="0" w:line="360" w:lineRule="auto"/>
        <w:ind w:firstLine="480"/>
        <w:contextualSpacing/>
        <w:rPr>
          <w:rFonts w:ascii="仿宋" w:hAnsi="仿宋" w:eastAsia="仿宋"/>
        </w:rPr>
      </w:pPr>
      <w:r>
        <w:rPr>
          <w:rFonts w:hint="eastAsia" w:ascii="仿宋" w:hAnsi="仿宋" w:eastAsia="仿宋" w:cs="微软雅黑"/>
          <w:lang w:val="zh-CN"/>
        </w:rPr>
        <w:t>3.2</w:t>
      </w:r>
      <w:r>
        <w:rPr>
          <w:rFonts w:hint="eastAsia" w:ascii="仿宋" w:hAnsi="仿宋" w:eastAsia="仿宋"/>
        </w:rPr>
        <w:t>.5询问或者质疑事项可能影响采购结果的，采购人应当暂停签订合同，已经签订合同的，应当中止履行合同。</w:t>
      </w:r>
    </w:p>
    <w:p w14:paraId="09D416B1">
      <w:pPr>
        <w:pStyle w:val="327"/>
        <w:shd w:val="clear" w:color="auto" w:fill="FFFFFF"/>
        <w:snapToGrid w:val="0"/>
        <w:spacing w:after="240" w:afterAutospacing="0" w:line="360" w:lineRule="auto"/>
        <w:ind w:firstLine="480"/>
        <w:contextualSpacing/>
        <w:rPr>
          <w:rFonts w:ascii="仿宋" w:hAnsi="仿宋" w:eastAsia="仿宋"/>
          <w:kern w:val="2"/>
        </w:rPr>
      </w:pPr>
      <w:r>
        <w:rPr>
          <w:rFonts w:hint="eastAsia" w:ascii="仿宋" w:hAnsi="仿宋" w:eastAsia="仿宋"/>
          <w:kern w:val="2"/>
        </w:rPr>
        <w:t>3.2.6质疑接收人：详见前附表</w:t>
      </w:r>
    </w:p>
    <w:p w14:paraId="58A074EA">
      <w:pPr>
        <w:pStyle w:val="327"/>
        <w:shd w:val="clear" w:color="auto" w:fill="FFFFFF"/>
        <w:snapToGrid w:val="0"/>
        <w:spacing w:after="240" w:afterAutospacing="0" w:line="360" w:lineRule="auto"/>
        <w:ind w:firstLine="480"/>
        <w:contextualSpacing/>
        <w:rPr>
          <w:rFonts w:ascii="仿宋" w:hAnsi="仿宋" w:eastAsia="仿宋" w:cs="微软雅黑"/>
          <w:lang w:val="zh-CN"/>
        </w:rPr>
      </w:pPr>
      <w:r>
        <w:rPr>
          <w:rFonts w:hint="eastAsia" w:ascii="仿宋" w:hAnsi="仿宋" w:eastAsia="仿宋" w:cs="微软雅黑"/>
          <w:lang w:val="zh-CN"/>
        </w:rPr>
        <w:t>3.3供应商投诉</w:t>
      </w:r>
    </w:p>
    <w:p w14:paraId="3B792F99">
      <w:pPr>
        <w:pStyle w:val="327"/>
        <w:shd w:val="clear" w:color="auto" w:fill="FFFFFF"/>
        <w:snapToGrid w:val="0"/>
        <w:spacing w:after="240" w:afterAutospacing="0" w:line="360" w:lineRule="auto"/>
        <w:ind w:firstLine="480"/>
        <w:contextualSpacing/>
        <w:rPr>
          <w:rFonts w:ascii="仿宋" w:hAnsi="仿宋" w:eastAsia="仿宋" w:cs="微软雅黑"/>
          <w:lang w:val="zh-CN"/>
        </w:rPr>
      </w:pPr>
      <w:r>
        <w:rPr>
          <w:rFonts w:hint="eastAsia" w:ascii="仿宋" w:hAnsi="仿宋" w:eastAsia="仿宋" w:cs="微软雅黑"/>
          <w:lang w:val="zh-CN"/>
        </w:rPr>
        <w:t>3.3.1质疑供应商对采购人、采购代理机构的答复不满意或者采购人、采购代理机构未在规定的时间内作出答复的，可以在答复期满后十五个工作日内向同级国有企业采购监</w:t>
      </w:r>
      <w:r>
        <w:rPr>
          <w:rFonts w:hint="eastAsia" w:ascii="仿宋" w:hAnsi="仿宋" w:eastAsia="仿宋"/>
        </w:rPr>
        <w:t>督管理部门提出投诉。</w:t>
      </w:r>
    </w:p>
    <w:p w14:paraId="73A05540">
      <w:pPr>
        <w:pStyle w:val="327"/>
        <w:shd w:val="clear" w:color="auto" w:fill="FFFFFF"/>
        <w:snapToGrid w:val="0"/>
        <w:spacing w:after="240" w:afterAutospacing="0" w:line="360" w:lineRule="auto"/>
        <w:ind w:firstLine="480"/>
        <w:contextualSpacing/>
        <w:rPr>
          <w:rFonts w:ascii="仿宋" w:hAnsi="仿宋" w:eastAsia="仿宋"/>
        </w:rPr>
      </w:pPr>
      <w:r>
        <w:rPr>
          <w:rFonts w:hint="eastAsia" w:ascii="仿宋" w:hAnsi="仿宋" w:eastAsia="仿宋"/>
        </w:rPr>
        <w:t>3</w:t>
      </w:r>
      <w:r>
        <w:rPr>
          <w:rFonts w:ascii="仿宋" w:hAnsi="仿宋" w:eastAsia="仿宋"/>
        </w:rPr>
        <w:t>.3</w:t>
      </w:r>
      <w:r>
        <w:rPr>
          <w:rFonts w:hint="eastAsia" w:ascii="仿宋" w:hAnsi="仿宋" w:eastAsia="仿宋"/>
        </w:rPr>
        <w:t>.</w:t>
      </w:r>
      <w:r>
        <w:rPr>
          <w:rFonts w:hint="eastAsia" w:ascii="仿宋" w:hAnsi="仿宋" w:eastAsia="仿宋" w:cs="微软雅黑"/>
          <w:lang w:val="zh-CN"/>
        </w:rPr>
        <w:t>2</w:t>
      </w:r>
      <w:r>
        <w:rPr>
          <w:rFonts w:hint="eastAsia" w:ascii="仿宋" w:hAnsi="仿宋" w:eastAsia="仿宋"/>
        </w:rPr>
        <w:t>供应商投诉的事项不得超出已质疑事项的范围，基于质疑答复内容提出的投诉事项除外。</w:t>
      </w:r>
    </w:p>
    <w:p w14:paraId="5DBBE892">
      <w:pPr>
        <w:pStyle w:val="327"/>
        <w:shd w:val="clear" w:color="auto" w:fill="FFFFFF"/>
        <w:snapToGrid w:val="0"/>
        <w:spacing w:after="240" w:afterAutospacing="0" w:line="360" w:lineRule="auto"/>
        <w:ind w:firstLine="480"/>
        <w:contextualSpacing/>
        <w:rPr>
          <w:rFonts w:ascii="仿宋" w:hAnsi="仿宋" w:eastAsia="仿宋"/>
        </w:rPr>
      </w:pPr>
      <w:r>
        <w:rPr>
          <w:rFonts w:hint="eastAsia" w:ascii="仿宋" w:hAnsi="仿宋" w:eastAsia="仿宋"/>
        </w:rPr>
        <w:t>3</w:t>
      </w:r>
      <w:r>
        <w:rPr>
          <w:rFonts w:ascii="仿宋" w:hAnsi="仿宋" w:eastAsia="仿宋"/>
        </w:rPr>
        <w:t>.3</w:t>
      </w:r>
      <w:r>
        <w:rPr>
          <w:rFonts w:hint="eastAsia" w:ascii="仿宋" w:hAnsi="仿宋" w:eastAsia="仿宋"/>
        </w:rPr>
        <w:t>.3供应商投诉应当有明确的请求和必要的证明材料。</w:t>
      </w:r>
    </w:p>
    <w:p w14:paraId="77F94CD6">
      <w:pPr>
        <w:pStyle w:val="327"/>
        <w:shd w:val="clear" w:color="auto" w:fill="FFFFFF"/>
        <w:snapToGrid w:val="0"/>
        <w:spacing w:after="240" w:afterAutospacing="0" w:line="360" w:lineRule="auto"/>
        <w:ind w:firstLine="480"/>
        <w:contextualSpacing/>
        <w:rPr>
          <w:rFonts w:ascii="仿宋" w:hAnsi="仿宋" w:eastAsia="仿宋"/>
        </w:rPr>
      </w:pPr>
      <w:r>
        <w:rPr>
          <w:rFonts w:hint="eastAsia" w:ascii="仿宋" w:hAnsi="仿宋" w:eastAsia="仿宋"/>
        </w:rPr>
        <w:t>3</w:t>
      </w:r>
      <w:r>
        <w:rPr>
          <w:rFonts w:ascii="仿宋" w:hAnsi="仿宋" w:eastAsia="仿宋"/>
        </w:rPr>
        <w:t>.3</w:t>
      </w:r>
      <w:r>
        <w:rPr>
          <w:rFonts w:hint="eastAsia" w:ascii="仿宋" w:hAnsi="仿宋" w:eastAsia="仿宋"/>
        </w:rPr>
        <w:t>.4 以联合体形式参加国企采购活动的，其投诉应当由组成联合体的所有供应商共同提出。</w:t>
      </w:r>
    </w:p>
    <w:p w14:paraId="7E8C449E">
      <w:pPr>
        <w:pStyle w:val="327"/>
        <w:shd w:val="clear" w:color="auto" w:fill="FFFFFF"/>
        <w:snapToGrid w:val="0"/>
        <w:spacing w:after="240" w:afterAutospacing="0" w:line="360" w:lineRule="auto"/>
        <w:ind w:firstLine="480"/>
        <w:contextualSpacing/>
        <w:rPr>
          <w:rFonts w:ascii="仿宋" w:hAnsi="仿宋" w:eastAsia="仿宋"/>
        </w:rPr>
      </w:pPr>
      <w:r>
        <w:rPr>
          <w:rFonts w:hint="eastAsia" w:ascii="仿宋" w:hAnsi="仿宋" w:eastAsia="仿宋"/>
        </w:rPr>
        <w:t>投诉书范本</w:t>
      </w:r>
      <w:r>
        <w:rPr>
          <w:rFonts w:ascii="仿宋" w:hAnsi="仿宋" w:eastAsia="仿宋"/>
          <w:szCs w:val="28"/>
        </w:rPr>
        <w:t>请到浙江政府采购网下载专区下载</w:t>
      </w:r>
      <w:r>
        <w:rPr>
          <w:rFonts w:hint="eastAsia" w:ascii="仿宋" w:hAnsi="仿宋" w:eastAsia="仿宋"/>
        </w:rPr>
        <w:t>。</w:t>
      </w:r>
    </w:p>
    <w:p w14:paraId="6ADE704F">
      <w:pPr>
        <w:pStyle w:val="228"/>
        <w:snapToGrid w:val="0"/>
        <w:spacing w:before="0"/>
        <w:ind w:firstLine="360"/>
        <w:rPr>
          <w:rFonts w:ascii="仿宋" w:hAnsi="仿宋" w:eastAsia="仿宋" w:cs="仿宋_GB2312"/>
          <w:sz w:val="18"/>
          <w:szCs w:val="18"/>
        </w:rPr>
      </w:pPr>
    </w:p>
    <w:p w14:paraId="2A0E06A4">
      <w:pPr>
        <w:adjustRightInd/>
        <w:spacing w:line="360" w:lineRule="auto"/>
        <w:jc w:val="center"/>
        <w:outlineLvl w:val="0"/>
        <w:rPr>
          <w:rFonts w:ascii="仿宋" w:hAnsi="仿宋" w:eastAsia="仿宋" w:cs="仿宋_GB2312"/>
          <w:b/>
          <w:sz w:val="32"/>
          <w:szCs w:val="20"/>
        </w:rPr>
      </w:pPr>
      <w:bookmarkStart w:id="40" w:name="_Hlt74729768"/>
      <w:bookmarkEnd w:id="40"/>
      <w:bookmarkStart w:id="41" w:name="_Hlt74707468"/>
      <w:bookmarkEnd w:id="41"/>
      <w:bookmarkStart w:id="42" w:name="_Hlt68072990"/>
      <w:bookmarkEnd w:id="42"/>
      <w:bookmarkStart w:id="43" w:name="_Hlt74714665"/>
      <w:bookmarkEnd w:id="43"/>
      <w:bookmarkStart w:id="44" w:name="_Hlt75236290"/>
      <w:bookmarkEnd w:id="44"/>
      <w:bookmarkStart w:id="45" w:name="_Hlt68057669"/>
      <w:bookmarkEnd w:id="45"/>
      <w:bookmarkStart w:id="46" w:name="_Hlt74730295"/>
      <w:bookmarkEnd w:id="46"/>
      <w:bookmarkStart w:id="47" w:name="_Toc91899879"/>
      <w:r>
        <w:rPr>
          <w:rFonts w:hint="eastAsia" w:ascii="仿宋" w:hAnsi="仿宋" w:eastAsia="仿宋" w:cs="仿宋_GB2312"/>
          <w:b/>
          <w:sz w:val="32"/>
          <w:szCs w:val="20"/>
        </w:rPr>
        <w:t>二、招标文件</w:t>
      </w:r>
      <w:bookmarkEnd w:id="47"/>
      <w:r>
        <w:rPr>
          <w:rFonts w:hint="eastAsia" w:ascii="仿宋" w:hAnsi="仿宋" w:eastAsia="仿宋" w:cs="仿宋_GB2312"/>
          <w:b/>
          <w:sz w:val="32"/>
          <w:szCs w:val="20"/>
        </w:rPr>
        <w:t>的构成、澄清、修改</w:t>
      </w:r>
    </w:p>
    <w:p w14:paraId="1E3B06FD">
      <w:pPr>
        <w:pStyle w:val="31"/>
        <w:spacing w:line="360" w:lineRule="auto"/>
        <w:ind w:firstLine="482" w:firstLineChars="200"/>
        <w:rPr>
          <w:rFonts w:ascii="仿宋" w:hAnsi="仿宋" w:eastAsia="仿宋" w:cs="仿宋_GB2312"/>
          <w:b/>
          <w:sz w:val="24"/>
          <w:szCs w:val="24"/>
        </w:rPr>
      </w:pPr>
      <w:bookmarkStart w:id="48" w:name="_Toc91899880"/>
      <w:bookmarkStart w:id="49" w:name="_Hlt74730307"/>
      <w:r>
        <w:rPr>
          <w:rFonts w:hint="eastAsia" w:ascii="仿宋" w:hAnsi="仿宋" w:eastAsia="仿宋" w:cs="仿宋_GB2312"/>
          <w:b/>
          <w:sz w:val="24"/>
          <w:szCs w:val="24"/>
        </w:rPr>
        <w:t>4．招标文件的构成</w:t>
      </w:r>
      <w:bookmarkEnd w:id="48"/>
    </w:p>
    <w:bookmarkEnd w:id="49"/>
    <w:p w14:paraId="1504BC58">
      <w:pPr>
        <w:pStyle w:val="31"/>
        <w:spacing w:line="360" w:lineRule="auto"/>
        <w:ind w:right="-512" w:firstLine="480" w:firstLineChars="200"/>
        <w:rPr>
          <w:rFonts w:ascii="仿宋" w:hAnsi="仿宋" w:eastAsia="仿宋" w:cs="仿宋_GB2312"/>
          <w:sz w:val="24"/>
          <w:szCs w:val="24"/>
        </w:rPr>
      </w:pPr>
      <w:r>
        <w:rPr>
          <w:rFonts w:hint="eastAsia" w:ascii="仿宋" w:hAnsi="仿宋" w:eastAsia="仿宋" w:cs="仿宋_GB2312"/>
          <w:sz w:val="24"/>
          <w:szCs w:val="24"/>
        </w:rPr>
        <w:t>4.1 招标文件包括下列文件及附件</w:t>
      </w:r>
    </w:p>
    <w:p w14:paraId="36FADF2F">
      <w:pPr>
        <w:pStyle w:val="31"/>
        <w:numPr>
          <w:ilvl w:val="0"/>
          <w:numId w:val="2"/>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第一部分 招标公告</w:t>
      </w:r>
    </w:p>
    <w:p w14:paraId="4F350CDF">
      <w:pPr>
        <w:pStyle w:val="31"/>
        <w:numPr>
          <w:ilvl w:val="0"/>
          <w:numId w:val="2"/>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第二部分 投标人须知</w:t>
      </w:r>
    </w:p>
    <w:p w14:paraId="777F00FE">
      <w:pPr>
        <w:pStyle w:val="31"/>
        <w:numPr>
          <w:ilvl w:val="0"/>
          <w:numId w:val="2"/>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第三部分 采购需求</w:t>
      </w:r>
    </w:p>
    <w:p w14:paraId="2DB5BD56">
      <w:pPr>
        <w:pStyle w:val="31"/>
        <w:numPr>
          <w:ilvl w:val="0"/>
          <w:numId w:val="2"/>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第四部分 评标方法及评分标准</w:t>
      </w:r>
    </w:p>
    <w:p w14:paraId="770FAD54">
      <w:pPr>
        <w:pStyle w:val="31"/>
        <w:numPr>
          <w:ilvl w:val="0"/>
          <w:numId w:val="2"/>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第五部分 拟签订的合同文本</w:t>
      </w:r>
    </w:p>
    <w:p w14:paraId="2F07CE67">
      <w:pPr>
        <w:pStyle w:val="31"/>
        <w:numPr>
          <w:ilvl w:val="0"/>
          <w:numId w:val="2"/>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第六部分 应提交的有关格式范例</w:t>
      </w:r>
    </w:p>
    <w:p w14:paraId="1026E751">
      <w:pPr>
        <w:spacing w:line="360" w:lineRule="auto"/>
        <w:ind w:firstLine="480" w:firstLineChars="200"/>
        <w:jc w:val="left"/>
        <w:rPr>
          <w:rFonts w:ascii="仿宋" w:hAnsi="仿宋" w:eastAsia="仿宋"/>
          <w:bCs/>
          <w:sz w:val="24"/>
        </w:rPr>
      </w:pPr>
      <w:r>
        <w:rPr>
          <w:rFonts w:hint="eastAsia" w:ascii="仿宋" w:hAnsi="仿宋" w:eastAsia="仿宋"/>
          <w:sz w:val="24"/>
        </w:rPr>
        <w:t>4.2与本项目有关的</w:t>
      </w:r>
      <w:r>
        <w:rPr>
          <w:rFonts w:hint="eastAsia" w:ascii="仿宋" w:hAnsi="仿宋" w:eastAsia="仿宋"/>
          <w:bCs/>
          <w:sz w:val="24"/>
        </w:rPr>
        <w:t>澄清或者修改等公告</w:t>
      </w:r>
      <w:r>
        <w:rPr>
          <w:rFonts w:ascii="仿宋" w:hAnsi="仿宋" w:eastAsia="仿宋"/>
          <w:bCs/>
          <w:sz w:val="24"/>
        </w:rPr>
        <w:t>、</w:t>
      </w:r>
      <w:r>
        <w:rPr>
          <w:rFonts w:hint="eastAsia" w:ascii="仿宋" w:hAnsi="仿宋" w:eastAsia="仿宋"/>
          <w:bCs/>
          <w:sz w:val="24"/>
        </w:rPr>
        <w:t>内容亦为招标文件的组成部分，</w:t>
      </w:r>
      <w:r>
        <w:rPr>
          <w:rFonts w:ascii="仿宋" w:hAnsi="仿宋" w:eastAsia="仿宋"/>
          <w:bCs/>
          <w:sz w:val="24"/>
        </w:rPr>
        <w:t>投标人</w:t>
      </w:r>
      <w:r>
        <w:rPr>
          <w:rFonts w:hint="eastAsia" w:ascii="仿宋" w:hAnsi="仿宋" w:eastAsia="仿宋"/>
          <w:bCs/>
          <w:sz w:val="24"/>
        </w:rPr>
        <w:t>须自行</w:t>
      </w:r>
      <w:r>
        <w:rPr>
          <w:rFonts w:ascii="仿宋" w:hAnsi="仿宋" w:eastAsia="仿宋"/>
          <w:bCs/>
          <w:sz w:val="24"/>
        </w:rPr>
        <w:t>于</w:t>
      </w:r>
      <w:r>
        <w:rPr>
          <w:rFonts w:hint="eastAsia" w:ascii="仿宋" w:hAnsi="仿宋" w:eastAsia="仿宋"/>
          <w:bCs/>
          <w:sz w:val="24"/>
        </w:rPr>
        <w:t>招标公告所</w:t>
      </w:r>
      <w:r>
        <w:rPr>
          <w:rFonts w:ascii="仿宋" w:hAnsi="仿宋" w:eastAsia="仿宋"/>
          <w:bCs/>
          <w:sz w:val="24"/>
        </w:rPr>
        <w:t>在网站</w:t>
      </w:r>
      <w:r>
        <w:rPr>
          <w:rFonts w:hint="eastAsia" w:ascii="仿宋" w:hAnsi="仿宋" w:eastAsia="仿宋"/>
          <w:bCs/>
          <w:sz w:val="24"/>
        </w:rPr>
        <w:t>获取</w:t>
      </w:r>
      <w:r>
        <w:rPr>
          <w:rFonts w:ascii="仿宋" w:hAnsi="仿宋" w:eastAsia="仿宋"/>
          <w:bCs/>
          <w:sz w:val="24"/>
        </w:rPr>
        <w:t>相关信息（</w:t>
      </w:r>
      <w:r>
        <w:rPr>
          <w:rFonts w:hint="eastAsia" w:ascii="仿宋" w:hAnsi="仿宋" w:eastAsia="仿宋"/>
          <w:bCs/>
          <w:sz w:val="24"/>
        </w:rPr>
        <w:t>浙江政府采购网网址http://www.zjzfcg.gov.cn</w:t>
      </w:r>
      <w:r>
        <w:rPr>
          <w:rFonts w:ascii="仿宋" w:hAnsi="仿宋" w:eastAsia="仿宋"/>
          <w:bCs/>
          <w:sz w:val="24"/>
        </w:rPr>
        <w:t>）</w:t>
      </w:r>
      <w:r>
        <w:rPr>
          <w:rFonts w:hint="eastAsia" w:ascii="仿宋" w:hAnsi="仿宋" w:eastAsia="仿宋" w:cs="仿宋_GB2312"/>
          <w:sz w:val="24"/>
        </w:rPr>
        <w:t>。</w:t>
      </w:r>
    </w:p>
    <w:p w14:paraId="32111519">
      <w:pPr>
        <w:pStyle w:val="31"/>
        <w:spacing w:line="360" w:lineRule="auto"/>
        <w:ind w:firstLine="482" w:firstLineChars="200"/>
        <w:jc w:val="left"/>
        <w:rPr>
          <w:rFonts w:ascii="仿宋" w:hAnsi="仿宋" w:eastAsia="仿宋" w:cs="仿宋_GB2312"/>
          <w:b/>
          <w:sz w:val="24"/>
          <w:szCs w:val="24"/>
        </w:rPr>
      </w:pPr>
      <w:r>
        <w:rPr>
          <w:rFonts w:hint="eastAsia" w:ascii="仿宋" w:hAnsi="仿宋" w:eastAsia="仿宋" w:cs="仿宋_GB2312"/>
          <w:b/>
          <w:sz w:val="24"/>
          <w:szCs w:val="24"/>
        </w:rPr>
        <w:t>5. 招标文件的澄清、修改</w:t>
      </w:r>
    </w:p>
    <w:p w14:paraId="3A739969">
      <w:pPr>
        <w:pStyle w:val="228"/>
        <w:snapToGrid w:val="0"/>
        <w:spacing w:before="0"/>
        <w:ind w:firstLine="480"/>
        <w:rPr>
          <w:rFonts w:ascii="仿宋" w:hAnsi="仿宋" w:eastAsia="仿宋"/>
        </w:rPr>
      </w:pPr>
      <w:r>
        <w:rPr>
          <w:rFonts w:hint="eastAsia" w:ascii="仿宋" w:hAnsi="仿宋" w:eastAsia="仿宋"/>
        </w:rPr>
        <w:t>采购人或者采购代理机构如对已发出的招标文件进行必要澄清或者修改的，将在发布招标公告的网站上发布更正、澄清（修改）公告，同时视情况延长投标截止时间和开标时间。该公告澄清或者修改的内容为招标文件的组成部分。</w:t>
      </w:r>
    </w:p>
    <w:p w14:paraId="771F68D7">
      <w:pPr>
        <w:adjustRightInd/>
        <w:spacing w:line="360" w:lineRule="auto"/>
        <w:jc w:val="center"/>
        <w:outlineLvl w:val="0"/>
        <w:rPr>
          <w:rFonts w:ascii="仿宋" w:hAnsi="仿宋" w:eastAsia="仿宋" w:cs="仿宋_GB2312"/>
          <w:b/>
          <w:sz w:val="32"/>
          <w:szCs w:val="20"/>
        </w:rPr>
      </w:pPr>
      <w:bookmarkStart w:id="50" w:name="_Hlt75236011"/>
      <w:bookmarkEnd w:id="50"/>
      <w:bookmarkStart w:id="51" w:name="_Toc91899884"/>
    </w:p>
    <w:p w14:paraId="2F9A87FF">
      <w:pPr>
        <w:adjustRightInd/>
        <w:spacing w:line="360" w:lineRule="auto"/>
        <w:jc w:val="center"/>
        <w:outlineLvl w:val="0"/>
        <w:rPr>
          <w:rFonts w:ascii="仿宋" w:hAnsi="仿宋" w:eastAsia="仿宋" w:cs="仿宋_GB2312"/>
          <w:b/>
          <w:sz w:val="32"/>
          <w:szCs w:val="20"/>
        </w:rPr>
      </w:pPr>
      <w:r>
        <w:rPr>
          <w:rFonts w:hint="eastAsia" w:ascii="仿宋" w:hAnsi="仿宋" w:eastAsia="仿宋" w:cs="仿宋_GB2312"/>
          <w:b/>
          <w:sz w:val="32"/>
          <w:szCs w:val="20"/>
        </w:rPr>
        <w:t>三、投标</w:t>
      </w:r>
      <w:bookmarkEnd w:id="51"/>
    </w:p>
    <w:p w14:paraId="1320BEC5">
      <w:pPr>
        <w:pStyle w:val="31"/>
        <w:spacing w:line="360" w:lineRule="auto"/>
        <w:ind w:firstLine="482" w:firstLineChars="200"/>
        <w:rPr>
          <w:rFonts w:ascii="仿宋" w:hAnsi="仿宋" w:eastAsia="仿宋" w:cs="仿宋_GB2312"/>
          <w:b/>
          <w:sz w:val="24"/>
          <w:szCs w:val="24"/>
        </w:rPr>
      </w:pPr>
      <w:bookmarkStart w:id="52" w:name="_Toc91899892"/>
      <w:bookmarkStart w:id="53" w:name="_Toc86216991"/>
      <w:r>
        <w:rPr>
          <w:rFonts w:hint="eastAsia" w:ascii="仿宋" w:hAnsi="仿宋" w:eastAsia="仿宋" w:cs="仿宋_GB2312"/>
          <w:b/>
          <w:sz w:val="24"/>
          <w:szCs w:val="24"/>
        </w:rPr>
        <w:t>6.招标文件的获取</w:t>
      </w:r>
    </w:p>
    <w:p w14:paraId="319076BB">
      <w:pPr>
        <w:spacing w:line="360" w:lineRule="auto"/>
        <w:ind w:firstLine="480" w:firstLineChars="200"/>
        <w:rPr>
          <w:rFonts w:ascii="仿宋" w:hAnsi="仿宋" w:eastAsia="仿宋" w:cs="仿宋_GB2312"/>
          <w:snapToGrid w:val="0"/>
          <w:kern w:val="28"/>
          <w:sz w:val="24"/>
        </w:rPr>
      </w:pPr>
      <w:r>
        <w:rPr>
          <w:rFonts w:hint="eastAsia" w:ascii="仿宋" w:hAnsi="仿宋" w:eastAsia="仿宋" w:cs="仿宋_GB2312"/>
          <w:snapToGrid w:val="0"/>
          <w:kern w:val="28"/>
          <w:sz w:val="24"/>
        </w:rPr>
        <w:t>详见招标公告中获取招标文件的时间期限、地点、方式。附件中直接下载仅供浏览使用。</w:t>
      </w:r>
    </w:p>
    <w:p w14:paraId="081F1566">
      <w:pPr>
        <w:spacing w:line="360" w:lineRule="auto"/>
        <w:ind w:firstLine="482" w:firstLineChars="200"/>
        <w:rPr>
          <w:rFonts w:ascii="仿宋" w:hAnsi="仿宋" w:eastAsia="仿宋" w:cs="仿宋_GB2312"/>
          <w:b/>
          <w:sz w:val="24"/>
          <w:szCs w:val="21"/>
        </w:rPr>
      </w:pPr>
      <w:r>
        <w:rPr>
          <w:rFonts w:hint="eastAsia" w:ascii="仿宋" w:hAnsi="仿宋" w:eastAsia="仿宋"/>
          <w:b/>
          <w:sz w:val="24"/>
        </w:rPr>
        <w:t>▲</w:t>
      </w:r>
      <w:r>
        <w:rPr>
          <w:rFonts w:hint="eastAsia" w:ascii="仿宋" w:hAnsi="仿宋" w:eastAsia="仿宋" w:cs="仿宋_GB2312"/>
          <w:b/>
          <w:sz w:val="24"/>
          <w:szCs w:val="21"/>
        </w:rPr>
        <w:t>未按照公告</w:t>
      </w:r>
      <w:r>
        <w:rPr>
          <w:rFonts w:ascii="仿宋" w:hAnsi="仿宋" w:eastAsia="仿宋" w:cs="仿宋_GB2312"/>
          <w:b/>
          <w:sz w:val="24"/>
          <w:szCs w:val="21"/>
        </w:rPr>
        <w:t>要求完成</w:t>
      </w:r>
      <w:r>
        <w:rPr>
          <w:rFonts w:hint="eastAsia" w:ascii="仿宋" w:hAnsi="仿宋" w:eastAsia="仿宋" w:cs="仿宋_GB2312"/>
          <w:b/>
          <w:sz w:val="24"/>
          <w:szCs w:val="21"/>
        </w:rPr>
        <w:t>采购文件</w:t>
      </w:r>
      <w:r>
        <w:rPr>
          <w:rFonts w:ascii="仿宋" w:hAnsi="仿宋" w:eastAsia="仿宋" w:cs="仿宋_GB2312"/>
          <w:b/>
          <w:sz w:val="24"/>
          <w:szCs w:val="21"/>
        </w:rPr>
        <w:t>获取的</w:t>
      </w:r>
      <w:r>
        <w:rPr>
          <w:rFonts w:hint="eastAsia" w:ascii="仿宋" w:hAnsi="仿宋" w:eastAsia="仿宋" w:cs="仿宋_GB2312"/>
          <w:b/>
          <w:sz w:val="24"/>
          <w:szCs w:val="21"/>
        </w:rPr>
        <w:t>，投标无效。</w:t>
      </w:r>
    </w:p>
    <w:p w14:paraId="60CC8ECA">
      <w:pPr>
        <w:pStyle w:val="31"/>
        <w:spacing w:line="360" w:lineRule="auto"/>
        <w:ind w:firstLine="482" w:firstLineChars="200"/>
        <w:rPr>
          <w:rFonts w:ascii="仿宋" w:hAnsi="仿宋" w:eastAsia="仿宋" w:cs="仿宋_GB2312"/>
          <w:b/>
          <w:sz w:val="24"/>
          <w:szCs w:val="24"/>
        </w:rPr>
      </w:pPr>
      <w:r>
        <w:rPr>
          <w:rFonts w:hint="eastAsia" w:ascii="仿宋" w:hAnsi="仿宋" w:eastAsia="仿宋" w:cs="仿宋_GB2312"/>
          <w:b/>
          <w:sz w:val="24"/>
          <w:szCs w:val="24"/>
        </w:rPr>
        <w:t>7.开标前答疑会或现场考察</w:t>
      </w:r>
    </w:p>
    <w:p w14:paraId="1E153DCE">
      <w:pPr>
        <w:pStyle w:val="31"/>
        <w:spacing w:line="360" w:lineRule="auto"/>
        <w:ind w:firstLine="480" w:firstLineChars="200"/>
        <w:rPr>
          <w:rFonts w:ascii="仿宋" w:hAnsi="仿宋" w:eastAsia="仿宋"/>
          <w:sz w:val="24"/>
          <w:szCs w:val="24"/>
        </w:rPr>
      </w:pPr>
      <w:r>
        <w:rPr>
          <w:rFonts w:hint="eastAsia" w:ascii="仿宋" w:hAnsi="仿宋" w:eastAsia="仿宋"/>
          <w:sz w:val="24"/>
          <w:szCs w:val="24"/>
        </w:rPr>
        <w:t>采购人视采购项目的具体情况，如果采购人组织潜在投标人现场考察或者召开开标前答疑会的，潜在投标人按前附表的规定参加现场考察或者开标前答疑会。</w:t>
      </w:r>
    </w:p>
    <w:p w14:paraId="2E6F2CD0">
      <w:pPr>
        <w:pStyle w:val="31"/>
        <w:spacing w:line="360" w:lineRule="auto"/>
        <w:ind w:firstLine="482" w:firstLineChars="200"/>
        <w:rPr>
          <w:rFonts w:ascii="仿宋" w:hAnsi="仿宋" w:eastAsia="仿宋" w:cs="仿宋_GB2312"/>
          <w:b/>
          <w:szCs w:val="24"/>
        </w:rPr>
      </w:pPr>
      <w:r>
        <w:rPr>
          <w:rFonts w:hint="eastAsia" w:ascii="仿宋" w:hAnsi="仿宋" w:eastAsia="仿宋"/>
          <w:b/>
          <w:kern w:val="28"/>
          <w:sz w:val="24"/>
          <w:szCs w:val="24"/>
        </w:rPr>
        <w:t>8.投标保证金</w:t>
      </w:r>
    </w:p>
    <w:p w14:paraId="13DB2F16">
      <w:pPr>
        <w:pStyle w:val="228"/>
        <w:snapToGrid w:val="0"/>
        <w:spacing w:before="0"/>
        <w:ind w:firstLine="480"/>
        <w:rPr>
          <w:rFonts w:ascii="仿宋" w:hAnsi="仿宋" w:eastAsia="仿宋" w:cs="仿宋_GB2312"/>
          <w:lang w:val="zh-CN"/>
        </w:rPr>
      </w:pPr>
      <w:r>
        <w:rPr>
          <w:rFonts w:hint="eastAsia" w:ascii="仿宋" w:hAnsi="仿宋" w:eastAsia="仿宋"/>
        </w:rPr>
        <w:t>本项目不收取投标保证金。</w:t>
      </w:r>
    </w:p>
    <w:p w14:paraId="04764B7F">
      <w:pPr>
        <w:pStyle w:val="31"/>
        <w:spacing w:line="360" w:lineRule="auto"/>
        <w:ind w:firstLine="482" w:firstLineChars="200"/>
        <w:rPr>
          <w:rFonts w:ascii="仿宋" w:hAnsi="仿宋" w:eastAsia="仿宋" w:cs="仿宋_GB2312"/>
          <w:b/>
          <w:sz w:val="24"/>
          <w:szCs w:val="24"/>
        </w:rPr>
      </w:pPr>
      <w:r>
        <w:rPr>
          <w:rFonts w:hint="eastAsia" w:ascii="仿宋" w:hAnsi="仿宋" w:eastAsia="仿宋" w:cs="仿宋_GB2312"/>
          <w:b/>
          <w:sz w:val="24"/>
          <w:szCs w:val="24"/>
        </w:rPr>
        <w:t>9. 投标文件的语言</w:t>
      </w:r>
    </w:p>
    <w:p w14:paraId="5FAA6A46">
      <w:pPr>
        <w:autoSpaceDE w:val="0"/>
        <w:autoSpaceDN w:val="0"/>
        <w:spacing w:line="360" w:lineRule="auto"/>
        <w:ind w:firstLine="480" w:firstLineChars="200"/>
        <w:rPr>
          <w:rFonts w:ascii="仿宋" w:hAnsi="仿宋" w:eastAsia="仿宋" w:cs="仿宋_GB2312"/>
          <w:sz w:val="24"/>
          <w:lang w:val="zh-CN"/>
        </w:rPr>
      </w:pPr>
      <w:r>
        <w:rPr>
          <w:rFonts w:hint="eastAsia" w:ascii="仿宋" w:hAnsi="仿宋" w:eastAsia="仿宋" w:cs="仿宋_GB2312"/>
          <w:sz w:val="24"/>
        </w:rPr>
        <w:t>投标文件及投标人与采购有关的来往通知、函件和文件均应使用中文。</w:t>
      </w:r>
    </w:p>
    <w:p w14:paraId="06D59D50">
      <w:pPr>
        <w:pStyle w:val="31"/>
        <w:spacing w:line="360" w:lineRule="auto"/>
        <w:ind w:firstLine="482" w:firstLineChars="200"/>
        <w:rPr>
          <w:rFonts w:ascii="仿宋" w:hAnsi="仿宋" w:eastAsia="仿宋" w:cs="仿宋_GB2312"/>
          <w:b/>
          <w:sz w:val="24"/>
          <w:szCs w:val="24"/>
        </w:rPr>
      </w:pPr>
      <w:r>
        <w:rPr>
          <w:rFonts w:hint="eastAsia" w:ascii="仿宋" w:hAnsi="仿宋" w:eastAsia="仿宋" w:cs="仿宋_GB2312"/>
          <w:b/>
          <w:sz w:val="24"/>
          <w:szCs w:val="24"/>
        </w:rPr>
        <w:t>10. 投标文件的组成</w:t>
      </w:r>
    </w:p>
    <w:p w14:paraId="52C62C00">
      <w:pPr>
        <w:pStyle w:val="31"/>
        <w:snapToGrid w:val="0"/>
        <w:spacing w:line="360" w:lineRule="auto"/>
        <w:ind w:firstLine="480" w:firstLineChars="200"/>
        <w:rPr>
          <w:rFonts w:ascii="仿宋" w:hAnsi="仿宋" w:eastAsia="仿宋" w:cs="仿宋_GB2312"/>
          <w:sz w:val="24"/>
          <w:szCs w:val="24"/>
        </w:rPr>
      </w:pPr>
      <w:r>
        <w:rPr>
          <w:rFonts w:hint="eastAsia" w:ascii="仿宋" w:hAnsi="仿宋" w:eastAsia="仿宋" w:cs="仿宋_GB2312"/>
          <w:kern w:val="0"/>
          <w:sz w:val="24"/>
          <w:szCs w:val="24"/>
        </w:rPr>
        <w:t>投标文件应当包括以下主要内容：</w:t>
      </w:r>
      <w:r>
        <w:rPr>
          <w:rFonts w:hint="eastAsia" w:ascii="仿宋" w:hAnsi="仿宋" w:eastAsia="仿宋" w:cs="仿宋_GB2312"/>
          <w:b/>
          <w:sz w:val="24"/>
          <w:szCs w:val="24"/>
        </w:rPr>
        <w:t>资格文件、商务技术文件、报价文件。其中电子投标文件中所需加盖公章部分均应采用电子签章（联合体投标的，投标人可加盖实体印章）。</w:t>
      </w:r>
      <w:r>
        <w:rPr>
          <w:rFonts w:hint="eastAsia" w:ascii="仿宋" w:hAnsi="仿宋" w:eastAsia="仿宋" w:cs="仿宋_GB2312"/>
          <w:sz w:val="24"/>
          <w:szCs w:val="24"/>
        </w:rPr>
        <w:t>投标文件应当对招标文件提出的要求和条件作出明确响应。</w:t>
      </w:r>
    </w:p>
    <w:p w14:paraId="19759C64">
      <w:pPr>
        <w:snapToGrid w:val="0"/>
        <w:spacing w:line="360" w:lineRule="auto"/>
        <w:ind w:firstLine="480" w:firstLineChars="200"/>
        <w:rPr>
          <w:rFonts w:ascii="仿宋" w:hAnsi="仿宋" w:eastAsia="仿宋" w:cs="仿宋_GB2312"/>
          <w:b/>
          <w:kern w:val="0"/>
          <w:sz w:val="24"/>
        </w:rPr>
      </w:pPr>
      <w:r>
        <w:rPr>
          <w:rFonts w:hint="eastAsia" w:ascii="仿宋" w:hAnsi="仿宋" w:eastAsia="仿宋" w:cs="仿宋_GB2312"/>
          <w:sz w:val="24"/>
        </w:rPr>
        <w:t>10.1</w:t>
      </w:r>
      <w:r>
        <w:rPr>
          <w:rFonts w:hint="eastAsia" w:ascii="仿宋" w:hAnsi="仿宋" w:eastAsia="仿宋" w:cs="仿宋_GB2312"/>
          <w:b/>
          <w:sz w:val="24"/>
        </w:rPr>
        <w:t>资格文件</w:t>
      </w:r>
      <w:r>
        <w:rPr>
          <w:rFonts w:hint="eastAsia" w:ascii="仿宋" w:hAnsi="仿宋" w:eastAsia="仿宋" w:cs="仿宋_GB2312"/>
          <w:sz w:val="24"/>
        </w:rPr>
        <w:t>应包括以下内容：</w:t>
      </w:r>
      <w:r>
        <w:rPr>
          <w:rFonts w:hint="eastAsia" w:ascii="仿宋" w:hAnsi="仿宋" w:eastAsia="仿宋" w:cs="仿宋_GB2312"/>
          <w:kern w:val="0"/>
          <w:sz w:val="24"/>
        </w:rPr>
        <w:t>证明其符合《中华人民共和国政府采购法》</w:t>
      </w:r>
      <w:r>
        <w:rPr>
          <w:rFonts w:hint="eastAsia" w:ascii="仿宋" w:hAnsi="仿宋" w:eastAsia="仿宋" w:cs="Arial"/>
          <w:kern w:val="0"/>
          <w:sz w:val="24"/>
        </w:rPr>
        <w:t>规定的供应商基本条件和采购项目对供应商的特定条件</w:t>
      </w:r>
      <w:r>
        <w:rPr>
          <w:rFonts w:hint="eastAsia" w:ascii="仿宋" w:hAnsi="仿宋" w:eastAsia="仿宋" w:cs="仿宋_GB2312"/>
          <w:sz w:val="24"/>
        </w:rPr>
        <w:t>（如果项目要求）</w:t>
      </w:r>
      <w:r>
        <w:rPr>
          <w:rFonts w:hint="eastAsia" w:ascii="仿宋" w:hAnsi="仿宋" w:eastAsia="仿宋" w:cs="仿宋_GB2312"/>
          <w:kern w:val="0"/>
          <w:sz w:val="24"/>
        </w:rPr>
        <w:t>的有关资格证明文件。</w:t>
      </w:r>
      <w:r>
        <w:rPr>
          <w:rFonts w:hint="eastAsia" w:ascii="仿宋" w:hAnsi="仿宋" w:eastAsia="仿宋" w:cs="仿宋_GB2312"/>
          <w:b/>
          <w:kern w:val="0"/>
          <w:sz w:val="24"/>
        </w:rPr>
        <w:t>（以联合体形式进行国企采购的，参加联合体的供应商均应当提供）</w:t>
      </w:r>
    </w:p>
    <w:p w14:paraId="51B4C2A9">
      <w:pPr>
        <w:pStyle w:val="31"/>
        <w:spacing w:line="360" w:lineRule="auto"/>
        <w:ind w:firstLine="480" w:firstLineChars="200"/>
        <w:rPr>
          <w:rFonts w:ascii="仿宋" w:hAnsi="仿宋" w:eastAsia="仿宋"/>
          <w:sz w:val="24"/>
        </w:rPr>
      </w:pPr>
      <w:bookmarkStart w:id="54" w:name="_Hlt68073093"/>
      <w:bookmarkEnd w:id="54"/>
      <w:bookmarkStart w:id="55" w:name="_Hlt68403820"/>
      <w:bookmarkEnd w:id="55"/>
      <w:bookmarkStart w:id="56" w:name="_Hlt68072998"/>
      <w:bookmarkEnd w:id="56"/>
      <w:r>
        <w:rPr>
          <w:rFonts w:hint="eastAsia" w:ascii="仿宋" w:hAnsi="仿宋" w:eastAsia="仿宋"/>
          <w:sz w:val="24"/>
        </w:rPr>
        <w:t>10.1.1营业执照(或事业法人登记证或其他工商等登记证明材料)复印件（投标人为自然人的，提供自然人的身份证明）</w:t>
      </w:r>
      <w:r>
        <w:rPr>
          <w:rFonts w:hint="eastAsia" w:ascii="仿宋" w:hAnsi="仿宋" w:eastAsia="仿宋"/>
          <w:b/>
          <w:sz w:val="24"/>
        </w:rPr>
        <w:t>；</w:t>
      </w:r>
    </w:p>
    <w:p w14:paraId="0E4DEA3B">
      <w:pPr>
        <w:pStyle w:val="31"/>
        <w:spacing w:line="360" w:lineRule="auto"/>
        <w:ind w:firstLine="480" w:firstLineChars="200"/>
        <w:rPr>
          <w:rFonts w:ascii="仿宋" w:hAnsi="仿宋" w:eastAsia="仿宋" w:cs="仿宋_GB2312"/>
          <w:sz w:val="24"/>
        </w:rPr>
      </w:pPr>
      <w:r>
        <w:rPr>
          <w:rFonts w:hint="eastAsia" w:ascii="仿宋" w:hAnsi="仿宋" w:eastAsia="仿宋" w:cs="仿宋_GB2312"/>
          <w:sz w:val="24"/>
        </w:rPr>
        <w:t>金融、保险、通讯等特定行业的全国性企业所设立的区域性分支机构，以及个体工商户、个人独资企业、合伙企业，如果已经依法办理了工商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3D490B01">
      <w:pPr>
        <w:pStyle w:val="31"/>
        <w:spacing w:line="360" w:lineRule="auto"/>
        <w:ind w:firstLine="480" w:firstLineChars="200"/>
        <w:rPr>
          <w:rFonts w:ascii="仿宋" w:hAnsi="仿宋" w:eastAsia="仿宋" w:cs="仿宋_GB2312"/>
          <w:sz w:val="24"/>
        </w:rPr>
      </w:pPr>
      <w:r>
        <w:rPr>
          <w:rFonts w:hint="eastAsia" w:ascii="仿宋" w:hAnsi="仿宋" w:eastAsia="仿宋" w:cs="仿宋_GB2312"/>
          <w:sz w:val="24"/>
        </w:rPr>
        <w:t>10.1.2投标声明函；</w:t>
      </w:r>
    </w:p>
    <w:p w14:paraId="02A3A063">
      <w:pPr>
        <w:pStyle w:val="31"/>
        <w:adjustRightInd/>
        <w:spacing w:line="360" w:lineRule="auto"/>
        <w:ind w:firstLine="480" w:firstLineChars="200"/>
        <w:rPr>
          <w:rFonts w:ascii="仿宋" w:hAnsi="仿宋" w:eastAsia="仿宋" w:cs="仿宋_GB2312"/>
          <w:sz w:val="24"/>
        </w:rPr>
      </w:pPr>
      <w:r>
        <w:rPr>
          <w:rFonts w:hint="eastAsia" w:ascii="仿宋" w:hAnsi="仿宋" w:eastAsia="仿宋" w:cs="仿宋_GB2312"/>
          <w:sz w:val="24"/>
        </w:rPr>
        <w:t>10.1.3联合体协议书（如有）；</w:t>
      </w:r>
      <w:r>
        <w:rPr>
          <w:rFonts w:hint="eastAsia" w:ascii="仿宋" w:hAnsi="仿宋" w:eastAsia="仿宋"/>
          <w:sz w:val="24"/>
        </w:rPr>
        <w:t>如以联合体形式参加国企采购活动的，</w:t>
      </w:r>
      <w:r>
        <w:rPr>
          <w:rFonts w:hint="eastAsia" w:ascii="仿宋" w:hAnsi="仿宋" w:eastAsia="仿宋"/>
          <w:sz w:val="24"/>
          <w:szCs w:val="24"/>
        </w:rPr>
        <w:t>联合体各方应当指定牵头人，授权其代表所有联合体成员负责投标和合同实施阶段的主办、协调工作，并应当</w:t>
      </w:r>
      <w:r>
        <w:rPr>
          <w:rFonts w:hint="eastAsia" w:ascii="仿宋" w:hAnsi="仿宋" w:eastAsia="仿宋"/>
          <w:sz w:val="24"/>
        </w:rPr>
        <w:t>提交联合体协议书，载明联合体各方承担的工作和义务；</w:t>
      </w:r>
    </w:p>
    <w:p w14:paraId="257F7A1A">
      <w:pPr>
        <w:spacing w:line="360" w:lineRule="auto"/>
        <w:ind w:firstLine="480" w:firstLineChars="200"/>
        <w:rPr>
          <w:rFonts w:ascii="仿宋" w:hAnsi="仿宋" w:eastAsia="仿宋" w:cs="仿宋_GB2312"/>
          <w:sz w:val="24"/>
        </w:rPr>
      </w:pPr>
      <w:r>
        <w:rPr>
          <w:rFonts w:hint="eastAsia" w:ascii="仿宋" w:hAnsi="仿宋" w:eastAsia="仿宋" w:cs="仿宋_GB2312"/>
          <w:sz w:val="24"/>
        </w:rPr>
        <w:t>10.1.4法定代表人授权书；</w:t>
      </w:r>
      <w:r>
        <w:rPr>
          <w:rFonts w:hint="eastAsia" w:ascii="仿宋" w:hAnsi="仿宋" w:eastAsia="仿宋"/>
          <w:sz w:val="24"/>
        </w:rPr>
        <w:t>如以联合体形式参加国企采购活动的，只需提供联合体牵头人法定代表人授权委托书；</w:t>
      </w:r>
      <w:r>
        <w:rPr>
          <w:rFonts w:hint="eastAsia" w:ascii="仿宋" w:hAnsi="仿宋" w:eastAsia="仿宋" w:cs="仿宋_GB2312"/>
          <w:sz w:val="24"/>
        </w:rPr>
        <w:t>如投标人代表系法定代表人，无需提供法定代表人授权委托书；</w:t>
      </w:r>
    </w:p>
    <w:p w14:paraId="26D900CE">
      <w:pPr>
        <w:spacing w:line="360" w:lineRule="auto"/>
        <w:ind w:firstLine="480" w:firstLineChars="200"/>
        <w:rPr>
          <w:rFonts w:ascii="仿宋" w:hAnsi="仿宋" w:eastAsia="仿宋" w:cs="仿宋_GB2312"/>
          <w:sz w:val="24"/>
        </w:rPr>
      </w:pPr>
      <w:r>
        <w:rPr>
          <w:rFonts w:hint="eastAsia" w:ascii="仿宋" w:hAnsi="仿宋" w:eastAsia="仿宋" w:cs="仿宋_GB2312"/>
          <w:sz w:val="24"/>
        </w:rPr>
        <w:t>10.1.5法定代表人及其授权代表的身份证复印件（正反面复印件）；如投标人代表系法定代表人，只需提供其身份证复印件（正反面复印件）；</w:t>
      </w:r>
    </w:p>
    <w:p w14:paraId="270BAB8C">
      <w:pPr>
        <w:snapToGrid w:val="0"/>
        <w:spacing w:line="360" w:lineRule="auto"/>
        <w:ind w:firstLine="480" w:firstLineChars="200"/>
        <w:rPr>
          <w:rFonts w:hint="eastAsia" w:ascii="仿宋" w:hAnsi="仿宋" w:eastAsia="仿宋" w:cs="仿宋_GB2312"/>
          <w:sz w:val="24"/>
          <w:highlight w:val="none"/>
          <w:lang w:eastAsia="zh-CN"/>
        </w:rPr>
      </w:pPr>
      <w:r>
        <w:rPr>
          <w:rFonts w:hint="eastAsia" w:ascii="仿宋" w:hAnsi="仿宋" w:eastAsia="仿宋" w:cs="仿宋_GB2312"/>
          <w:sz w:val="24"/>
          <w:highlight w:val="none"/>
        </w:rPr>
        <w:t>10.1.6符合特定资格条件的有关证明材料：</w:t>
      </w:r>
      <w:r>
        <w:rPr>
          <w:rFonts w:hint="eastAsia" w:ascii="仿宋" w:hAnsi="仿宋" w:eastAsia="仿宋" w:cs="仿宋_GB2312"/>
          <w:sz w:val="24"/>
          <w:highlight w:val="none"/>
          <w:lang w:eastAsia="zh-CN"/>
        </w:rPr>
        <w:t>（</w:t>
      </w:r>
      <w:r>
        <w:rPr>
          <w:rFonts w:hint="eastAsia" w:ascii="仿宋" w:hAnsi="仿宋" w:eastAsia="仿宋" w:cs="仿宋_GB2312"/>
          <w:sz w:val="24"/>
          <w:highlight w:val="none"/>
          <w:lang w:val="en-US" w:eastAsia="zh-CN"/>
        </w:rPr>
        <w:t>如有</w:t>
      </w:r>
      <w:r>
        <w:rPr>
          <w:rFonts w:hint="eastAsia" w:ascii="仿宋" w:hAnsi="仿宋" w:eastAsia="仿宋" w:cs="仿宋_GB2312"/>
          <w:sz w:val="24"/>
          <w:highlight w:val="none"/>
          <w:lang w:eastAsia="zh-CN"/>
        </w:rPr>
        <w:t>）</w:t>
      </w:r>
    </w:p>
    <w:p w14:paraId="02BF8F3F">
      <w:pPr>
        <w:snapToGrid w:val="0"/>
        <w:spacing w:line="360" w:lineRule="auto"/>
        <w:ind w:firstLine="480" w:firstLineChars="200"/>
        <w:rPr>
          <w:rFonts w:ascii="仿宋" w:hAnsi="仿宋" w:eastAsia="仿宋" w:cs="仿宋_GB2312"/>
          <w:kern w:val="0"/>
          <w:sz w:val="24"/>
          <w:lang w:val="zh-CN"/>
        </w:rPr>
      </w:pPr>
      <w:r>
        <w:rPr>
          <w:rFonts w:hint="eastAsia" w:ascii="仿宋" w:hAnsi="仿宋" w:eastAsia="仿宋" w:cs="仿宋_GB2312"/>
          <w:kern w:val="0"/>
          <w:sz w:val="24"/>
          <w:lang w:val="zh-CN"/>
        </w:rPr>
        <w:t>10.2 投标人的</w:t>
      </w:r>
      <w:r>
        <w:rPr>
          <w:rFonts w:hint="eastAsia" w:ascii="仿宋" w:hAnsi="仿宋" w:eastAsia="仿宋" w:cs="仿宋_GB2312"/>
          <w:b/>
          <w:sz w:val="24"/>
        </w:rPr>
        <w:t>商务技术</w:t>
      </w:r>
      <w:r>
        <w:rPr>
          <w:rFonts w:hint="eastAsia" w:ascii="仿宋" w:hAnsi="仿宋" w:eastAsia="仿宋" w:cs="仿宋_GB2312"/>
          <w:b/>
          <w:kern w:val="0"/>
          <w:sz w:val="24"/>
          <w:lang w:val="zh-CN"/>
        </w:rPr>
        <w:t>文件</w:t>
      </w:r>
      <w:r>
        <w:rPr>
          <w:rFonts w:hint="eastAsia" w:ascii="仿宋" w:hAnsi="仿宋" w:eastAsia="仿宋" w:cs="仿宋_GB2312"/>
          <w:kern w:val="0"/>
          <w:sz w:val="24"/>
          <w:lang w:val="zh-CN"/>
        </w:rPr>
        <w:t>应包括以下内容：</w:t>
      </w:r>
    </w:p>
    <w:p w14:paraId="7AC5AF8D">
      <w:pPr>
        <w:adjustRightInd/>
        <w:spacing w:line="360" w:lineRule="auto"/>
        <w:ind w:firstLine="480" w:firstLineChars="200"/>
        <w:rPr>
          <w:rFonts w:hint="eastAsia" w:ascii="仿宋" w:hAnsi="仿宋" w:eastAsia="仿宋" w:cs="仿宋_GB2312"/>
          <w:kern w:val="0"/>
          <w:sz w:val="24"/>
          <w:lang w:val="zh-CN"/>
        </w:rPr>
      </w:pPr>
      <w:r>
        <w:rPr>
          <w:rFonts w:hint="eastAsia" w:ascii="仿宋" w:hAnsi="仿宋" w:eastAsia="仿宋" w:cs="仿宋_GB2312"/>
          <w:kern w:val="0"/>
          <w:sz w:val="24"/>
          <w:lang w:val="zh-CN"/>
        </w:rPr>
        <w:t>10.2.1</w:t>
      </w:r>
      <w:r>
        <w:rPr>
          <w:rFonts w:hint="eastAsia" w:ascii="仿宋" w:hAnsi="仿宋" w:eastAsia="仿宋" w:cs="仿宋_GB2312"/>
          <w:snapToGrid w:val="0"/>
          <w:kern w:val="0"/>
          <w:sz w:val="24"/>
          <w:szCs w:val="21"/>
          <w:lang w:val="zh-CN"/>
        </w:rPr>
        <w:t>评分对应表；如果本项目评标办法采用综合评审法，投标人需在商务技术文件中提供此评分对应表，供评标委员会评审时使用。</w:t>
      </w:r>
    </w:p>
    <w:p w14:paraId="05A15087">
      <w:pPr>
        <w:adjustRightInd/>
        <w:spacing w:line="360" w:lineRule="auto"/>
        <w:ind w:firstLine="480" w:firstLineChars="200"/>
        <w:rPr>
          <w:rFonts w:hint="eastAsia" w:ascii="仿宋" w:hAnsi="仿宋" w:eastAsia="仿宋" w:cs="仿宋_GB2312"/>
          <w:kern w:val="0"/>
          <w:sz w:val="24"/>
          <w:lang w:val="zh-CN"/>
        </w:rPr>
      </w:pPr>
      <w:r>
        <w:rPr>
          <w:rFonts w:hint="eastAsia" w:ascii="仿宋" w:hAnsi="仿宋" w:eastAsia="仿宋" w:cs="仿宋_GB2312"/>
          <w:kern w:val="0"/>
          <w:sz w:val="24"/>
          <w:lang w:val="zh-CN"/>
        </w:rPr>
        <w:t>10.2.</w:t>
      </w:r>
      <w:r>
        <w:rPr>
          <w:rFonts w:hint="eastAsia" w:ascii="仿宋" w:hAnsi="仿宋" w:eastAsia="仿宋" w:cs="仿宋_GB2312"/>
          <w:kern w:val="0"/>
          <w:sz w:val="24"/>
          <w:lang w:val="en-US" w:eastAsia="zh-CN"/>
        </w:rPr>
        <w:t>2</w:t>
      </w:r>
      <w:r>
        <w:rPr>
          <w:rFonts w:hint="eastAsia" w:ascii="仿宋" w:hAnsi="仿宋" w:eastAsia="仿宋" w:cs="仿宋_GB2312"/>
          <w:kern w:val="0"/>
          <w:sz w:val="24"/>
          <w:lang w:val="zh-CN"/>
        </w:rPr>
        <w:t>商务响应表；</w:t>
      </w:r>
    </w:p>
    <w:p w14:paraId="3A3B7B9D">
      <w:pPr>
        <w:adjustRightInd/>
        <w:spacing w:line="360" w:lineRule="auto"/>
        <w:ind w:firstLine="480" w:firstLineChars="200"/>
        <w:rPr>
          <w:rFonts w:hint="eastAsia" w:ascii="仿宋" w:hAnsi="仿宋" w:eastAsia="仿宋" w:cs="仿宋_GB2312"/>
          <w:kern w:val="0"/>
          <w:sz w:val="24"/>
          <w:lang w:val="zh-CN"/>
        </w:rPr>
      </w:pPr>
      <w:r>
        <w:rPr>
          <w:rFonts w:hint="eastAsia" w:ascii="仿宋" w:hAnsi="仿宋" w:eastAsia="仿宋" w:cs="仿宋_GB2312"/>
          <w:sz w:val="24"/>
        </w:rPr>
        <w:t>10.2.</w:t>
      </w:r>
      <w:r>
        <w:rPr>
          <w:rFonts w:hint="eastAsia" w:ascii="仿宋" w:hAnsi="仿宋" w:eastAsia="仿宋" w:cs="仿宋_GB2312"/>
          <w:sz w:val="24"/>
          <w:lang w:val="en-US" w:eastAsia="zh-CN"/>
        </w:rPr>
        <w:t>3</w:t>
      </w:r>
      <w:r>
        <w:rPr>
          <w:rFonts w:hint="eastAsia" w:ascii="仿宋" w:hAnsi="仿宋" w:eastAsia="仿宋" w:cs="仿宋_GB2312"/>
          <w:kern w:val="0"/>
          <w:sz w:val="24"/>
          <w:lang w:val="zh-CN"/>
        </w:rPr>
        <w:t>项目组织实施方案;项目组织实施方案包括但不限于以下内容：组织机构、工作时间进度表、工作程序和步骤、管理和协调方法、关键步骤的思路和要点；</w:t>
      </w:r>
    </w:p>
    <w:p w14:paraId="5D212CF4">
      <w:pPr>
        <w:adjustRightInd/>
        <w:spacing w:line="360" w:lineRule="auto"/>
        <w:ind w:firstLine="480" w:firstLineChars="200"/>
        <w:rPr>
          <w:rFonts w:hint="eastAsia" w:ascii="仿宋" w:hAnsi="仿宋" w:eastAsia="仿宋" w:cs="仿宋_GB2312"/>
          <w:kern w:val="0"/>
          <w:sz w:val="24"/>
          <w:lang w:val="zh-CN"/>
        </w:rPr>
      </w:pPr>
      <w:r>
        <w:rPr>
          <w:rFonts w:hint="eastAsia" w:ascii="仿宋" w:hAnsi="仿宋" w:eastAsia="仿宋" w:cs="仿宋_GB2312"/>
          <w:kern w:val="0"/>
          <w:sz w:val="24"/>
          <w:lang w:val="zh-CN"/>
        </w:rPr>
        <w:t>10.2.</w:t>
      </w:r>
      <w:r>
        <w:rPr>
          <w:rFonts w:hint="eastAsia" w:ascii="仿宋" w:hAnsi="仿宋" w:eastAsia="仿宋" w:cs="仿宋_GB2312"/>
          <w:kern w:val="0"/>
          <w:sz w:val="24"/>
          <w:lang w:val="en-US" w:eastAsia="zh-CN"/>
        </w:rPr>
        <w:t>4</w:t>
      </w:r>
      <w:r>
        <w:rPr>
          <w:rFonts w:hint="eastAsia" w:ascii="仿宋" w:hAnsi="仿宋" w:eastAsia="仿宋" w:cs="仿宋_GB2312"/>
          <w:kern w:val="0"/>
          <w:sz w:val="24"/>
          <w:lang w:val="zh-CN"/>
        </w:rPr>
        <w:t>项目负责人情况表；</w:t>
      </w:r>
    </w:p>
    <w:p w14:paraId="58E50E05">
      <w:pPr>
        <w:adjustRightInd/>
        <w:spacing w:line="360" w:lineRule="auto"/>
        <w:ind w:firstLine="480" w:firstLineChars="200"/>
        <w:rPr>
          <w:rFonts w:hint="eastAsia" w:ascii="仿宋" w:hAnsi="仿宋" w:eastAsia="仿宋" w:cs="仿宋_GB2312"/>
          <w:kern w:val="0"/>
          <w:sz w:val="24"/>
          <w:lang w:val="zh-CN"/>
        </w:rPr>
      </w:pPr>
      <w:r>
        <w:rPr>
          <w:rFonts w:hint="eastAsia" w:ascii="仿宋" w:hAnsi="仿宋" w:eastAsia="仿宋" w:cs="仿宋_GB2312"/>
          <w:kern w:val="0"/>
          <w:sz w:val="24"/>
          <w:lang w:val="zh-CN"/>
        </w:rPr>
        <w:t>10.2.</w:t>
      </w:r>
      <w:r>
        <w:rPr>
          <w:rFonts w:hint="eastAsia" w:ascii="仿宋" w:hAnsi="仿宋" w:eastAsia="仿宋" w:cs="仿宋_GB2312"/>
          <w:kern w:val="0"/>
          <w:sz w:val="24"/>
          <w:lang w:val="en-US" w:eastAsia="zh-CN"/>
        </w:rPr>
        <w:t>5</w:t>
      </w:r>
      <w:r>
        <w:rPr>
          <w:rFonts w:hint="eastAsia" w:ascii="仿宋" w:hAnsi="仿宋" w:eastAsia="仿宋" w:cs="仿宋_GB2312"/>
          <w:kern w:val="0"/>
          <w:sz w:val="24"/>
          <w:lang w:val="zh-CN"/>
        </w:rPr>
        <w:t>项目组人员名单；</w:t>
      </w:r>
    </w:p>
    <w:p w14:paraId="6C50D0FD">
      <w:pPr>
        <w:adjustRightInd/>
        <w:spacing w:line="360" w:lineRule="auto"/>
        <w:ind w:firstLine="480" w:firstLineChars="200"/>
        <w:rPr>
          <w:rFonts w:hint="eastAsia" w:ascii="仿宋" w:hAnsi="仿宋" w:eastAsia="仿宋" w:cs="仿宋_GB2312"/>
          <w:kern w:val="0"/>
          <w:sz w:val="24"/>
          <w:lang w:val="zh-CN"/>
        </w:rPr>
      </w:pPr>
      <w:r>
        <w:rPr>
          <w:rFonts w:hint="eastAsia" w:ascii="仿宋" w:hAnsi="仿宋" w:eastAsia="仿宋" w:cs="仿宋_GB2312"/>
          <w:sz w:val="24"/>
          <w:lang w:val="zh-CN"/>
        </w:rPr>
        <w:t>10.2.</w:t>
      </w:r>
      <w:r>
        <w:rPr>
          <w:rFonts w:hint="eastAsia" w:ascii="仿宋" w:hAnsi="仿宋" w:eastAsia="仿宋" w:cs="仿宋_GB2312"/>
          <w:sz w:val="24"/>
          <w:lang w:val="en-US" w:eastAsia="zh-CN"/>
        </w:rPr>
        <w:t>6</w:t>
      </w:r>
      <w:r>
        <w:rPr>
          <w:rFonts w:hint="eastAsia" w:ascii="仿宋" w:hAnsi="仿宋" w:eastAsia="仿宋" w:cs="仿宋_GB2312"/>
          <w:kern w:val="0"/>
          <w:sz w:val="24"/>
          <w:lang w:val="zh-CN"/>
        </w:rPr>
        <w:t>售后服务方案（如有）。售后服务方案可包含且不限于对用户故障的响应、处理、定期巡检、维护、备品备件、常用耗材提供、售后服务机构设置、驻点人员情况等。服务承诺未明示可能涉及的前提设定和费用，视为是无条件和免费的；</w:t>
      </w:r>
    </w:p>
    <w:p w14:paraId="32DA24D5">
      <w:pPr>
        <w:tabs>
          <w:tab w:val="left" w:pos="0"/>
          <w:tab w:val="left" w:pos="840"/>
        </w:tabs>
        <w:autoSpaceDE w:val="0"/>
        <w:autoSpaceDN w:val="0"/>
        <w:adjustRightInd/>
        <w:spacing w:line="360" w:lineRule="auto"/>
        <w:ind w:firstLine="480" w:firstLineChars="200"/>
        <w:rPr>
          <w:rFonts w:hint="eastAsia" w:ascii="仿宋" w:hAnsi="仿宋" w:eastAsia="仿宋" w:cs="仿宋_GB2312"/>
          <w:kern w:val="0"/>
          <w:sz w:val="24"/>
          <w:lang w:val="zh-CN"/>
        </w:rPr>
      </w:pPr>
      <w:r>
        <w:rPr>
          <w:rFonts w:hint="eastAsia" w:ascii="仿宋" w:hAnsi="仿宋" w:eastAsia="仿宋" w:cs="仿宋_GB2312"/>
          <w:sz w:val="24"/>
          <w:lang w:val="zh-CN"/>
        </w:rPr>
        <w:t>10.2.</w:t>
      </w:r>
      <w:r>
        <w:rPr>
          <w:rFonts w:hint="eastAsia" w:ascii="仿宋" w:hAnsi="仿宋" w:eastAsia="仿宋" w:cs="仿宋_GB2312"/>
          <w:sz w:val="24"/>
          <w:lang w:val="en-US" w:eastAsia="zh-CN"/>
        </w:rPr>
        <w:t>7</w:t>
      </w:r>
      <w:r>
        <w:rPr>
          <w:rFonts w:hint="eastAsia" w:ascii="仿宋" w:hAnsi="仿宋" w:eastAsia="仿宋" w:cs="仿宋_GB2312"/>
          <w:kern w:val="0"/>
          <w:sz w:val="24"/>
          <w:lang w:val="zh-CN"/>
        </w:rPr>
        <w:t>优惠条件及特殊承诺（如有）；</w:t>
      </w:r>
    </w:p>
    <w:p w14:paraId="71E70824">
      <w:pPr>
        <w:adjustRightInd/>
        <w:spacing w:line="360" w:lineRule="auto"/>
        <w:ind w:firstLine="480" w:firstLineChars="200"/>
        <w:rPr>
          <w:rFonts w:hint="eastAsia" w:ascii="仿宋" w:hAnsi="仿宋" w:eastAsia="仿宋" w:cs="仿宋_GB2312"/>
          <w:sz w:val="24"/>
        </w:rPr>
      </w:pPr>
      <w:r>
        <w:rPr>
          <w:rFonts w:hint="eastAsia" w:ascii="仿宋" w:hAnsi="仿宋" w:eastAsia="仿宋" w:cs="仿宋_GB2312"/>
          <w:sz w:val="24"/>
          <w:lang w:val="zh-CN"/>
        </w:rPr>
        <w:t>10.2.</w:t>
      </w:r>
      <w:r>
        <w:rPr>
          <w:rFonts w:hint="eastAsia" w:ascii="仿宋" w:hAnsi="仿宋" w:eastAsia="仿宋" w:cs="仿宋_GB2312"/>
          <w:sz w:val="24"/>
          <w:lang w:val="en-US" w:eastAsia="zh-CN"/>
        </w:rPr>
        <w:t>8</w:t>
      </w:r>
      <w:r>
        <w:rPr>
          <w:rFonts w:hint="eastAsia" w:ascii="仿宋" w:hAnsi="仿宋" w:eastAsia="仿宋" w:cs="仿宋_GB2312"/>
          <w:kern w:val="0"/>
          <w:sz w:val="24"/>
          <w:lang w:val="zh-CN"/>
        </w:rPr>
        <w:t>投标人认为需要的其他商务技术文件或说明</w:t>
      </w:r>
      <w:r>
        <w:rPr>
          <w:rFonts w:hint="eastAsia" w:ascii="仿宋" w:hAnsi="仿宋" w:eastAsia="仿宋" w:cs="仿宋_GB2312"/>
          <w:snapToGrid w:val="0"/>
          <w:kern w:val="0"/>
          <w:sz w:val="24"/>
          <w:lang w:val="zh-CN"/>
        </w:rPr>
        <w:t>。</w:t>
      </w:r>
    </w:p>
    <w:p w14:paraId="0EE3341A">
      <w:pPr>
        <w:snapToGrid w:val="0"/>
        <w:spacing w:line="360" w:lineRule="auto"/>
        <w:ind w:firstLine="480" w:firstLineChars="200"/>
        <w:rPr>
          <w:rFonts w:ascii="仿宋" w:hAnsi="仿宋" w:eastAsia="仿宋" w:cs="仿宋_GB2312"/>
          <w:sz w:val="24"/>
          <w:u w:val="single"/>
          <w:lang w:val="zh-CN"/>
        </w:rPr>
      </w:pPr>
      <w:r>
        <w:rPr>
          <w:rFonts w:hint="eastAsia" w:ascii="仿宋" w:hAnsi="仿宋" w:eastAsia="仿宋" w:cs="仿宋_GB2312"/>
          <w:kern w:val="0"/>
          <w:sz w:val="24"/>
          <w:lang w:val="zh-CN"/>
        </w:rPr>
        <w:t xml:space="preserve">10.3 </w:t>
      </w:r>
      <w:r>
        <w:rPr>
          <w:rFonts w:hint="eastAsia" w:ascii="仿宋" w:hAnsi="仿宋" w:eastAsia="仿宋" w:cs="仿宋_GB2312"/>
          <w:sz w:val="24"/>
        </w:rPr>
        <w:t>投标人的</w:t>
      </w:r>
      <w:r>
        <w:rPr>
          <w:rFonts w:hint="eastAsia" w:ascii="仿宋" w:hAnsi="仿宋" w:eastAsia="仿宋" w:cs="仿宋_GB2312"/>
          <w:b/>
          <w:sz w:val="24"/>
        </w:rPr>
        <w:t>报价文件</w:t>
      </w:r>
      <w:r>
        <w:rPr>
          <w:rFonts w:hint="eastAsia" w:ascii="仿宋" w:hAnsi="仿宋" w:eastAsia="仿宋" w:cs="仿宋_GB2312"/>
          <w:sz w:val="24"/>
        </w:rPr>
        <w:t>应包括以下内容：</w:t>
      </w:r>
    </w:p>
    <w:p w14:paraId="214A70C7">
      <w:pPr>
        <w:snapToGrid w:val="0"/>
        <w:spacing w:line="360" w:lineRule="auto"/>
        <w:ind w:firstLine="480" w:firstLineChars="200"/>
        <w:rPr>
          <w:rFonts w:ascii="仿宋" w:hAnsi="仿宋" w:eastAsia="仿宋" w:cs="仿宋_GB2312"/>
          <w:sz w:val="24"/>
        </w:rPr>
      </w:pPr>
      <w:r>
        <w:rPr>
          <w:rFonts w:hint="eastAsia" w:ascii="仿宋" w:hAnsi="仿宋" w:eastAsia="仿宋" w:cs="仿宋_GB2312"/>
          <w:sz w:val="24"/>
        </w:rPr>
        <w:t>10.3.1投标(开标)一览表。</w:t>
      </w:r>
    </w:p>
    <w:p w14:paraId="21B510E1">
      <w:pPr>
        <w:pStyle w:val="228"/>
        <w:snapToGrid w:val="0"/>
        <w:spacing w:before="0"/>
        <w:ind w:firstLine="482"/>
        <w:outlineLvl w:val="0"/>
        <w:rPr>
          <w:rFonts w:ascii="仿宋" w:hAnsi="仿宋" w:eastAsia="仿宋" w:cs="仿宋_GB2312"/>
          <w:b/>
          <w:szCs w:val="24"/>
        </w:rPr>
      </w:pPr>
      <w:bookmarkStart w:id="57" w:name="_Toc91899887"/>
      <w:r>
        <w:rPr>
          <w:rFonts w:hint="eastAsia" w:ascii="仿宋" w:hAnsi="仿宋" w:eastAsia="仿宋" w:cs="仿宋_GB2312"/>
          <w:b/>
          <w:szCs w:val="24"/>
        </w:rPr>
        <w:t>11</w:t>
      </w:r>
      <w:r>
        <w:rPr>
          <w:rFonts w:hint="eastAsia" w:ascii="仿宋" w:hAnsi="仿宋" w:eastAsia="仿宋" w:cs="仿宋_GB2312"/>
          <w:b/>
          <w:kern w:val="0"/>
          <w:szCs w:val="24"/>
          <w:lang w:val="zh-CN"/>
        </w:rPr>
        <w:t xml:space="preserve">. </w:t>
      </w:r>
      <w:r>
        <w:rPr>
          <w:rFonts w:hint="eastAsia" w:ascii="仿宋" w:hAnsi="仿宋" w:eastAsia="仿宋" w:cs="仿宋_GB2312"/>
          <w:b/>
          <w:szCs w:val="24"/>
        </w:rPr>
        <w:t>投标文件的编制</w:t>
      </w:r>
    </w:p>
    <w:p w14:paraId="280F4EAC">
      <w:pPr>
        <w:spacing w:line="360" w:lineRule="auto"/>
        <w:ind w:firstLine="482" w:firstLineChars="200"/>
        <w:rPr>
          <w:rFonts w:ascii="仿宋" w:hAnsi="仿宋" w:eastAsia="仿宋" w:cs="仿宋_GB2312"/>
          <w:b/>
          <w:sz w:val="24"/>
          <w:szCs w:val="21"/>
        </w:rPr>
      </w:pPr>
      <w:r>
        <w:rPr>
          <w:rFonts w:hint="eastAsia" w:ascii="仿宋" w:hAnsi="仿宋" w:eastAsia="仿宋"/>
          <w:b/>
          <w:sz w:val="24"/>
        </w:rPr>
        <w:t>▲</w:t>
      </w:r>
      <w:r>
        <w:rPr>
          <w:rFonts w:hint="eastAsia" w:ascii="仿宋" w:hAnsi="仿宋" w:eastAsia="仿宋" w:cs="仿宋_GB2312"/>
          <w:b/>
          <w:sz w:val="24"/>
        </w:rPr>
        <w:t>投标文件未按本条规定的格式编制的，投标无效；</w:t>
      </w:r>
    </w:p>
    <w:p w14:paraId="3F9FD488">
      <w:pPr>
        <w:spacing w:line="360" w:lineRule="auto"/>
        <w:ind w:firstLine="482" w:firstLineChars="200"/>
        <w:rPr>
          <w:rFonts w:ascii="仿宋" w:hAnsi="仿宋" w:eastAsia="仿宋" w:cs="仿宋_GB2312"/>
          <w:b/>
          <w:kern w:val="0"/>
          <w:sz w:val="24"/>
          <w:lang w:val="zh-CN"/>
        </w:rPr>
      </w:pPr>
      <w:r>
        <w:rPr>
          <w:rFonts w:hint="eastAsia" w:ascii="仿宋" w:hAnsi="仿宋" w:eastAsia="仿宋" w:cs="仿宋_GB2312"/>
          <w:b/>
          <w:kern w:val="0"/>
          <w:sz w:val="24"/>
          <w:lang w:val="zh-CN"/>
        </w:rPr>
        <w:t>11.1投标文件分为资格文件、商务技术文件、报价文件三部分。各投标人在编制投标文件时请按照招标文件第六部分规定的格式进行，“商务技术文件”可在招标文件规定的格式基础上适当调整，以使内容更加完备，混乱的编排导致投标文件被误读或评标委员会查找不到有效文件是投标人的风险。</w:t>
      </w:r>
    </w:p>
    <w:p w14:paraId="569D669A">
      <w:pPr>
        <w:spacing w:line="360" w:lineRule="auto"/>
        <w:ind w:firstLine="480" w:firstLineChars="200"/>
        <w:rPr>
          <w:rFonts w:ascii="仿宋" w:hAnsi="仿宋" w:eastAsia="仿宋" w:cs="仿宋_GB2312"/>
          <w:kern w:val="0"/>
          <w:sz w:val="24"/>
          <w:lang w:val="zh-CN"/>
        </w:rPr>
      </w:pPr>
      <w:r>
        <w:rPr>
          <w:rFonts w:hint="eastAsia" w:ascii="仿宋" w:hAnsi="仿宋" w:eastAsia="仿宋" w:cs="仿宋_GB2312"/>
          <w:kern w:val="0"/>
          <w:sz w:val="24"/>
          <w:lang w:val="zh-CN"/>
        </w:rPr>
        <w:t>11.2投标人进行电子投标应安装客户端软件</w:t>
      </w:r>
      <w:r>
        <w:rPr>
          <w:rFonts w:ascii="仿宋" w:hAnsi="仿宋" w:eastAsia="仿宋" w:cs="仿宋_GB2312"/>
          <w:kern w:val="0"/>
          <w:sz w:val="24"/>
          <w:lang w:val="zh-CN"/>
        </w:rPr>
        <w:t>—</w:t>
      </w:r>
      <w:r>
        <w:rPr>
          <w:rFonts w:hint="eastAsia" w:ascii="仿宋" w:hAnsi="仿宋" w:eastAsia="仿宋" w:cs="仿宋_GB2312"/>
          <w:kern w:val="0"/>
          <w:sz w:val="24"/>
          <w:lang w:val="zh-CN"/>
        </w:rPr>
        <w:t>“政采云电子交易客户端”，并按照招标文件和电子交易平台的要求编制并加密投标文件。投标人未按规定加密的投标文件，电子交易平台将拒收并提示。</w:t>
      </w:r>
    </w:p>
    <w:bookmarkEnd w:id="57"/>
    <w:p w14:paraId="2ADF51BA">
      <w:pPr>
        <w:spacing w:line="360" w:lineRule="auto"/>
        <w:ind w:firstLine="480" w:firstLineChars="200"/>
        <w:rPr>
          <w:rFonts w:ascii="仿宋" w:hAnsi="仿宋" w:eastAsia="仿宋" w:cs="仿宋_GB2312"/>
          <w:kern w:val="0"/>
          <w:sz w:val="24"/>
          <w:lang w:val="zh-CN"/>
        </w:rPr>
      </w:pPr>
      <w:r>
        <w:rPr>
          <w:rFonts w:hint="eastAsia" w:ascii="仿宋" w:hAnsi="仿宋" w:eastAsia="仿宋" w:cs="仿宋_GB2312"/>
          <w:kern w:val="0"/>
          <w:sz w:val="24"/>
          <w:lang w:val="zh-CN"/>
        </w:rPr>
        <w:t>11.3使用“政采云电子交易客户端”需要提前申领CA数字证书，申领流程请自行前往“浙江政府采购网-下载专区-电子交易客户端-CA驱动和申领流程”进行查阅。</w:t>
      </w:r>
    </w:p>
    <w:p w14:paraId="2A39A207">
      <w:pPr>
        <w:snapToGrid w:val="0"/>
        <w:spacing w:line="360" w:lineRule="auto"/>
        <w:ind w:firstLine="482" w:firstLineChars="200"/>
        <w:rPr>
          <w:rFonts w:ascii="仿宋" w:hAnsi="仿宋" w:eastAsia="仿宋" w:cs="仿宋_GB2312"/>
          <w:b/>
          <w:sz w:val="24"/>
        </w:rPr>
      </w:pPr>
      <w:r>
        <w:rPr>
          <w:rFonts w:hint="eastAsia" w:ascii="仿宋" w:hAnsi="仿宋" w:eastAsia="仿宋" w:cs="仿宋_GB2312"/>
          <w:b/>
          <w:sz w:val="24"/>
        </w:rPr>
        <w:t>12.投标文件的签署、盖章</w:t>
      </w:r>
    </w:p>
    <w:p w14:paraId="569DFE9C">
      <w:pPr>
        <w:pStyle w:val="228"/>
        <w:snapToGrid w:val="0"/>
        <w:spacing w:before="0"/>
        <w:ind w:firstLine="480"/>
        <w:rPr>
          <w:rFonts w:ascii="仿宋" w:hAnsi="仿宋" w:eastAsia="仿宋" w:cs="仿宋_GB2312"/>
        </w:rPr>
      </w:pPr>
      <w:r>
        <w:rPr>
          <w:rFonts w:hint="eastAsia" w:ascii="仿宋" w:hAnsi="仿宋" w:eastAsia="仿宋" w:cs="仿宋_GB2312"/>
          <w:szCs w:val="24"/>
        </w:rPr>
        <w:t>12.1投标文件按照招标文件第六部分格式要</w:t>
      </w:r>
      <w:r>
        <w:rPr>
          <w:rFonts w:hint="eastAsia" w:ascii="仿宋" w:hAnsi="仿宋" w:eastAsia="仿宋" w:cs="仿宋_GB2312"/>
        </w:rPr>
        <w:t>求进行签署、盖章。</w:t>
      </w:r>
    </w:p>
    <w:p w14:paraId="6D7C3BA3">
      <w:pPr>
        <w:pStyle w:val="228"/>
        <w:snapToGrid w:val="0"/>
        <w:spacing w:before="0"/>
        <w:ind w:firstLine="482"/>
        <w:rPr>
          <w:rFonts w:ascii="仿宋" w:hAnsi="仿宋" w:eastAsia="仿宋" w:cs="仿宋_GB2312"/>
          <w:b/>
        </w:rPr>
      </w:pPr>
      <w:r>
        <w:rPr>
          <w:rFonts w:hint="eastAsia" w:ascii="仿宋" w:hAnsi="仿宋" w:eastAsia="仿宋"/>
          <w:b/>
        </w:rPr>
        <w:t>▲</w:t>
      </w:r>
      <w:r>
        <w:rPr>
          <w:rFonts w:hint="eastAsia" w:ascii="仿宋" w:hAnsi="仿宋" w:eastAsia="仿宋" w:cs="仿宋_GB2312"/>
          <w:b/>
        </w:rPr>
        <w:t>投标人的投标文件未按照招标文件要求签署、盖章的，其投标无效</w:t>
      </w:r>
      <w:r>
        <w:rPr>
          <w:rFonts w:hint="eastAsia" w:ascii="仿宋" w:hAnsi="仿宋" w:eastAsia="仿宋" w:cs="仿宋_GB2312"/>
          <w:szCs w:val="24"/>
        </w:rPr>
        <w:t>。</w:t>
      </w:r>
    </w:p>
    <w:p w14:paraId="238013DF">
      <w:pPr>
        <w:pStyle w:val="228"/>
        <w:snapToGrid w:val="0"/>
        <w:spacing w:before="0"/>
        <w:ind w:firstLine="480"/>
        <w:rPr>
          <w:rFonts w:ascii="仿宋" w:hAnsi="仿宋" w:eastAsia="仿宋" w:cs="仿宋_GB2312"/>
          <w:szCs w:val="24"/>
        </w:rPr>
      </w:pPr>
      <w:r>
        <w:rPr>
          <w:rFonts w:hint="eastAsia" w:ascii="仿宋" w:hAnsi="仿宋" w:eastAsia="仿宋" w:cs="仿宋_GB2312"/>
        </w:rPr>
        <w:t>12.2为确保网上操作合法、有效和安全，投标人应当在投标截止时间前完成在“政府采购云平台”的身份认证，确保在电子投标过程中能够对相关数据电文进行加密和使用电子签名。</w:t>
      </w:r>
    </w:p>
    <w:bookmarkEnd w:id="52"/>
    <w:bookmarkEnd w:id="53"/>
    <w:p w14:paraId="3B381A19">
      <w:pPr>
        <w:snapToGrid w:val="0"/>
        <w:spacing w:line="360" w:lineRule="auto"/>
        <w:ind w:firstLine="482" w:firstLineChars="200"/>
        <w:rPr>
          <w:rFonts w:ascii="仿宋" w:hAnsi="仿宋" w:eastAsia="仿宋" w:cs="仿宋_GB2312"/>
          <w:b/>
          <w:sz w:val="24"/>
        </w:rPr>
      </w:pPr>
      <w:r>
        <w:rPr>
          <w:rFonts w:hint="eastAsia" w:ascii="仿宋" w:hAnsi="仿宋" w:eastAsia="仿宋" w:cs="仿宋_GB2312"/>
          <w:b/>
          <w:sz w:val="24"/>
        </w:rPr>
        <w:t>13. 投标文件的提交、补充、修改、撤回</w:t>
      </w:r>
    </w:p>
    <w:p w14:paraId="07216B5E">
      <w:pPr>
        <w:spacing w:line="360" w:lineRule="auto"/>
        <w:ind w:firstLine="480" w:firstLineChars="200"/>
        <w:rPr>
          <w:rFonts w:ascii="仿宋" w:hAnsi="仿宋" w:eastAsia="仿宋" w:cs="仿宋_GB2312"/>
          <w:kern w:val="0"/>
          <w:sz w:val="24"/>
          <w:lang w:val="zh-CN"/>
        </w:rPr>
      </w:pPr>
      <w:r>
        <w:rPr>
          <w:rFonts w:hint="eastAsia" w:ascii="仿宋" w:hAnsi="仿宋" w:eastAsia="仿宋" w:cs="仿宋_GB2312"/>
          <w:kern w:val="0"/>
          <w:sz w:val="24"/>
          <w:lang w:val="zh-CN"/>
        </w:rPr>
        <w:t>13.1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BA80E24">
      <w:pPr>
        <w:pStyle w:val="228"/>
        <w:spacing w:before="0"/>
        <w:ind w:firstLine="480"/>
        <w:rPr>
          <w:rFonts w:ascii="仿宋" w:hAnsi="仿宋" w:eastAsia="仿宋" w:cs="仿宋_GB2312"/>
          <w:szCs w:val="24"/>
        </w:rPr>
      </w:pPr>
      <w:r>
        <w:rPr>
          <w:rFonts w:hint="eastAsia" w:ascii="仿宋" w:hAnsi="仿宋" w:eastAsia="仿宋" w:cs="仿宋_GB2312"/>
          <w:szCs w:val="24"/>
        </w:rPr>
        <w:t>13.2在投标截止时间前，除供应商补充、修改或者撤回投标文件外，任何单位和个人不得解密或提取投标文件。</w:t>
      </w:r>
    </w:p>
    <w:p w14:paraId="63F2D46F">
      <w:pPr>
        <w:pStyle w:val="228"/>
        <w:spacing w:before="0"/>
        <w:ind w:firstLine="480"/>
        <w:rPr>
          <w:rFonts w:ascii="仿宋" w:hAnsi="仿宋" w:eastAsia="仿宋" w:cs="仿宋_GB2312"/>
          <w:szCs w:val="24"/>
        </w:rPr>
      </w:pPr>
      <w:r>
        <w:rPr>
          <w:rFonts w:hint="eastAsia" w:ascii="仿宋" w:hAnsi="仿宋" w:eastAsia="仿宋" w:cs="仿宋_GB2312"/>
          <w:szCs w:val="24"/>
        </w:rPr>
        <w:t>13.3采购代理机构可以视情况延长投标文件提交的截止时间。在上述情况下，采购代理机构与投标人以前在投标截止期方面的全部权利、责任和义务，将适用于延长至新的投标截止期。</w:t>
      </w:r>
    </w:p>
    <w:p w14:paraId="58967A0B">
      <w:pPr>
        <w:pStyle w:val="228"/>
        <w:spacing w:before="0"/>
        <w:ind w:firstLine="482"/>
        <w:rPr>
          <w:rFonts w:ascii="仿宋" w:hAnsi="仿宋" w:eastAsia="仿宋" w:cs="仿宋_GB2312"/>
          <w:b/>
          <w:szCs w:val="24"/>
        </w:rPr>
      </w:pPr>
      <w:r>
        <w:rPr>
          <w:rFonts w:hint="eastAsia" w:ascii="仿宋" w:hAnsi="仿宋" w:eastAsia="仿宋" w:cs="仿宋_GB2312"/>
          <w:b/>
          <w:szCs w:val="24"/>
        </w:rPr>
        <w:t>14.投标文件的无效处理</w:t>
      </w:r>
    </w:p>
    <w:p w14:paraId="0C2AE0F1">
      <w:pPr>
        <w:pStyle w:val="23"/>
        <w:spacing w:line="360" w:lineRule="auto"/>
        <w:rPr>
          <w:rFonts w:ascii="仿宋" w:hAnsi="仿宋" w:eastAsia="仿宋" w:cs="仿宋_GB2312"/>
          <w:szCs w:val="21"/>
        </w:rPr>
      </w:pPr>
      <w:r>
        <w:rPr>
          <w:rFonts w:hint="eastAsia" w:ascii="仿宋" w:hAnsi="仿宋" w:eastAsia="仿宋" w:cs="仿宋_GB2312"/>
          <w:szCs w:val="21"/>
        </w:rPr>
        <w:t>有招标文件第四部分 “投标无效”章节</w:t>
      </w:r>
      <w:r>
        <w:rPr>
          <w:rFonts w:hint="eastAsia" w:ascii="仿宋" w:hAnsi="仿宋" w:eastAsia="仿宋"/>
        </w:rPr>
        <w:t>规定</w:t>
      </w:r>
      <w:r>
        <w:rPr>
          <w:rFonts w:hint="eastAsia" w:ascii="仿宋" w:hAnsi="仿宋" w:eastAsia="仿宋" w:cs="仿宋_GB2312"/>
          <w:szCs w:val="21"/>
        </w:rPr>
        <w:t>的情形之一的，投标无效：</w:t>
      </w:r>
    </w:p>
    <w:p w14:paraId="1AB22C24">
      <w:pPr>
        <w:pStyle w:val="228"/>
        <w:spacing w:before="0"/>
        <w:ind w:firstLine="482"/>
        <w:rPr>
          <w:rFonts w:ascii="仿宋" w:hAnsi="仿宋" w:eastAsia="仿宋" w:cs="仿宋_GB2312"/>
          <w:b/>
          <w:szCs w:val="24"/>
        </w:rPr>
      </w:pPr>
      <w:r>
        <w:rPr>
          <w:rFonts w:hint="eastAsia" w:ascii="仿宋" w:hAnsi="仿宋" w:eastAsia="仿宋" w:cs="仿宋_GB2312"/>
          <w:b/>
          <w:szCs w:val="24"/>
        </w:rPr>
        <w:t>15.投标有效期</w:t>
      </w:r>
    </w:p>
    <w:p w14:paraId="5E899AFD">
      <w:pPr>
        <w:spacing w:line="360" w:lineRule="auto"/>
        <w:ind w:firstLine="480" w:firstLineChars="200"/>
        <w:rPr>
          <w:rFonts w:ascii="仿宋" w:hAnsi="仿宋" w:eastAsia="仿宋" w:cs="仿宋_GB2312"/>
          <w:sz w:val="24"/>
          <w:szCs w:val="20"/>
        </w:rPr>
      </w:pPr>
      <w:r>
        <w:rPr>
          <w:rFonts w:hint="eastAsia" w:ascii="仿宋" w:hAnsi="仿宋" w:eastAsia="仿宋" w:cs="仿宋_GB2312"/>
          <w:sz w:val="24"/>
          <w:szCs w:val="20"/>
        </w:rPr>
        <w:t>15.1投标有效期为从提交投标文件的截止之日起90天。</w:t>
      </w:r>
    </w:p>
    <w:p w14:paraId="5C21BCC4">
      <w:pPr>
        <w:spacing w:line="360" w:lineRule="auto"/>
        <w:ind w:firstLine="480" w:firstLineChars="200"/>
        <w:rPr>
          <w:rFonts w:ascii="仿宋" w:hAnsi="仿宋" w:eastAsia="仿宋" w:cs="仿宋_GB2312"/>
          <w:b/>
          <w:sz w:val="24"/>
          <w:szCs w:val="21"/>
        </w:rPr>
      </w:pPr>
      <w:r>
        <w:rPr>
          <w:rFonts w:hint="eastAsia" w:ascii="仿宋" w:hAnsi="仿宋" w:eastAsia="仿宋" w:cs="仿宋_GB2312"/>
          <w:sz w:val="24"/>
          <w:szCs w:val="20"/>
        </w:rPr>
        <w:t>▲</w:t>
      </w:r>
      <w:r>
        <w:rPr>
          <w:rFonts w:hint="eastAsia" w:ascii="仿宋" w:hAnsi="仿宋" w:eastAsia="仿宋" w:cs="仿宋_GB2312"/>
          <w:b/>
          <w:sz w:val="24"/>
          <w:szCs w:val="20"/>
        </w:rPr>
        <w:t>投标人的投标文件中承</w:t>
      </w:r>
      <w:r>
        <w:rPr>
          <w:rFonts w:hint="eastAsia" w:ascii="仿宋" w:hAnsi="仿宋" w:eastAsia="仿宋" w:cs="仿宋_GB2312"/>
          <w:b/>
          <w:sz w:val="24"/>
          <w:szCs w:val="21"/>
        </w:rPr>
        <w:t>诺的投标有效期少于招标文件中载明的投标有效期的，投标无效。</w:t>
      </w:r>
    </w:p>
    <w:p w14:paraId="7341CADF">
      <w:pPr>
        <w:pStyle w:val="228"/>
        <w:spacing w:before="0"/>
        <w:ind w:firstLine="480"/>
        <w:rPr>
          <w:rFonts w:ascii="仿宋" w:hAnsi="仿宋" w:eastAsia="仿宋" w:cs="仿宋_GB2312"/>
        </w:rPr>
      </w:pPr>
      <w:r>
        <w:rPr>
          <w:rFonts w:hint="eastAsia" w:ascii="仿宋" w:hAnsi="仿宋" w:eastAsia="仿宋" w:cs="仿宋_GB2312"/>
        </w:rPr>
        <w:t>15.2投标文件合格投递后，自投标截止日期起，在投标有效期内有效。投标有效期内，投标人不得撤销或更换投标文件。</w:t>
      </w:r>
    </w:p>
    <w:p w14:paraId="1E662CE6">
      <w:pPr>
        <w:pStyle w:val="228"/>
        <w:spacing w:before="0"/>
        <w:ind w:firstLine="480"/>
        <w:rPr>
          <w:rFonts w:ascii="仿宋" w:hAnsi="仿宋" w:eastAsia="仿宋" w:cs="仿宋_GB2312"/>
        </w:rPr>
      </w:pPr>
      <w:r>
        <w:rPr>
          <w:rFonts w:hint="eastAsia" w:ascii="仿宋" w:hAnsi="仿宋" w:eastAsia="仿宋" w:cs="仿宋_GB2312"/>
        </w:rPr>
        <w:t>15.3在原定投标有效期满之前，如果出现特殊情况，采购代理机构可以以公告形式通知投标人延长投标有效期。投标人同意延长的，不得要求或被允许修改其投标文件，投标人拒绝延长的，其投标无效。</w:t>
      </w:r>
    </w:p>
    <w:p w14:paraId="18EC384B">
      <w:pPr>
        <w:pStyle w:val="228"/>
        <w:spacing w:before="0"/>
        <w:ind w:firstLine="643"/>
        <w:rPr>
          <w:rFonts w:ascii="仿宋" w:hAnsi="仿宋" w:eastAsia="仿宋" w:cs="仿宋_GB2312"/>
          <w:b/>
          <w:sz w:val="32"/>
        </w:rPr>
      </w:pPr>
      <w:bookmarkStart w:id="58" w:name="_Toc91899897"/>
    </w:p>
    <w:p w14:paraId="630796E1">
      <w:pPr>
        <w:adjustRightInd/>
        <w:spacing w:line="360" w:lineRule="auto"/>
        <w:jc w:val="center"/>
        <w:outlineLvl w:val="0"/>
        <w:rPr>
          <w:rFonts w:ascii="仿宋" w:hAnsi="仿宋" w:eastAsia="仿宋" w:cs="仿宋_GB2312"/>
          <w:b/>
          <w:sz w:val="32"/>
          <w:szCs w:val="20"/>
        </w:rPr>
      </w:pPr>
      <w:r>
        <w:rPr>
          <w:rFonts w:hint="eastAsia" w:ascii="仿宋" w:hAnsi="仿宋" w:eastAsia="仿宋" w:cs="仿宋_GB2312"/>
          <w:b/>
          <w:sz w:val="32"/>
          <w:szCs w:val="20"/>
        </w:rPr>
        <w:t>四、开标</w:t>
      </w:r>
      <w:bookmarkEnd w:id="58"/>
      <w:r>
        <w:rPr>
          <w:rFonts w:hint="eastAsia" w:ascii="仿宋" w:hAnsi="仿宋" w:eastAsia="仿宋" w:cs="仿宋_GB2312"/>
          <w:b/>
          <w:sz w:val="32"/>
          <w:szCs w:val="20"/>
        </w:rPr>
        <w:t>、资格审查与信用信息查询</w:t>
      </w:r>
    </w:p>
    <w:p w14:paraId="61E6A0E1">
      <w:pPr>
        <w:pStyle w:val="344"/>
        <w:spacing w:before="0" w:line="360" w:lineRule="auto"/>
        <w:ind w:left="0" w:firstLine="482" w:firstLineChars="200"/>
        <w:contextualSpacing/>
        <w:rPr>
          <w:rFonts w:ascii="仿宋_GB2312" w:eastAsia="仿宋_GB2312"/>
          <w:sz w:val="24"/>
        </w:rPr>
      </w:pPr>
      <w:r>
        <w:rPr>
          <w:rFonts w:hint="eastAsia" w:ascii="仿宋" w:hAnsi="仿宋" w:eastAsia="仿宋" w:cs="仿宋_GB2312"/>
          <w:b/>
          <w:sz w:val="24"/>
          <w:szCs w:val="24"/>
        </w:rPr>
        <w:t>16.开标</w:t>
      </w:r>
      <w:r>
        <w:rPr>
          <w:rFonts w:hint="eastAsia" w:ascii="仿宋_GB2312" w:eastAsia="仿宋_GB2312"/>
          <w:sz w:val="24"/>
        </w:rPr>
        <w:t xml:space="preserve"> </w:t>
      </w:r>
    </w:p>
    <w:p w14:paraId="4EA134D8">
      <w:pPr>
        <w:pStyle w:val="344"/>
        <w:spacing w:before="0" w:line="360" w:lineRule="auto"/>
        <w:ind w:left="0" w:firstLine="480" w:firstLineChars="200"/>
        <w:contextualSpacing/>
        <w:rPr>
          <w:rFonts w:ascii="仿宋" w:hAnsi="仿宋" w:eastAsia="仿宋" w:cs="仿宋_GB2312"/>
          <w:sz w:val="24"/>
        </w:rPr>
      </w:pPr>
      <w:r>
        <w:rPr>
          <w:rFonts w:hint="eastAsia" w:ascii="仿宋" w:hAnsi="仿宋" w:eastAsia="仿宋" w:cs="仿宋_GB2312"/>
          <w:sz w:val="24"/>
        </w:rPr>
        <w:t>16.1采购代理机构按照招标文件规定的时间通过电子交易平台组织开标，所有投标人均应当准时在线参加</w:t>
      </w:r>
      <w:r>
        <w:rPr>
          <w:rFonts w:ascii="仿宋" w:hAnsi="仿宋" w:eastAsia="仿宋" w:cs="仿宋_GB2312"/>
          <w:sz w:val="24"/>
        </w:rPr>
        <w:t>。</w:t>
      </w:r>
      <w:r>
        <w:rPr>
          <w:rFonts w:hint="eastAsia" w:ascii="仿宋" w:hAnsi="仿宋" w:eastAsia="仿宋" w:cs="仿宋_GB2312"/>
          <w:sz w:val="24"/>
        </w:rPr>
        <w:t>投标人不足3家的，不得开标。</w:t>
      </w:r>
    </w:p>
    <w:p w14:paraId="6CC07EBB">
      <w:pPr>
        <w:pStyle w:val="344"/>
        <w:spacing w:before="0" w:line="360" w:lineRule="auto"/>
        <w:ind w:left="0" w:firstLine="480" w:firstLineChars="200"/>
        <w:contextualSpacing/>
        <w:rPr>
          <w:rFonts w:ascii="仿宋" w:hAnsi="仿宋" w:eastAsia="仿宋" w:cs="仿宋_GB2312"/>
          <w:sz w:val="24"/>
        </w:rPr>
      </w:pPr>
      <w:r>
        <w:rPr>
          <w:rFonts w:hint="eastAsia" w:ascii="仿宋" w:hAnsi="仿宋" w:eastAsia="仿宋" w:cs="仿宋_GB2312"/>
          <w:sz w:val="24"/>
        </w:rPr>
        <w:t>16.2开标时，电子交易平台按开标时间自动提取所有投标文件。采购代理机构依托电子交易平台发起开始解密指令，投标人按照平台提示和招标文件的规定在1小时内完成在线解密。</w:t>
      </w:r>
    </w:p>
    <w:p w14:paraId="01AEDE4D">
      <w:pPr>
        <w:pStyle w:val="344"/>
        <w:spacing w:before="0" w:line="360" w:lineRule="auto"/>
        <w:ind w:left="0" w:firstLine="482" w:firstLineChars="200"/>
        <w:contextualSpacing/>
        <w:rPr>
          <w:rFonts w:ascii="仿宋" w:hAnsi="仿宋" w:eastAsia="仿宋" w:cs="仿宋_GB2312"/>
          <w:sz w:val="24"/>
        </w:rPr>
      </w:pPr>
      <w:r>
        <w:rPr>
          <w:rFonts w:hint="eastAsia" w:ascii="仿宋" w:hAnsi="仿宋" w:eastAsia="仿宋" w:cs="仿宋_GB2312"/>
          <w:b/>
          <w:sz w:val="24"/>
        </w:rPr>
        <w:t>17、资格审查</w:t>
      </w:r>
    </w:p>
    <w:p w14:paraId="28FB8556">
      <w:pPr>
        <w:pStyle w:val="228"/>
        <w:spacing w:before="0"/>
        <w:ind w:firstLine="480"/>
        <w:rPr>
          <w:rFonts w:ascii="仿宋" w:hAnsi="仿宋" w:eastAsia="仿宋" w:cs="Arial"/>
          <w:kern w:val="0"/>
          <w:szCs w:val="24"/>
        </w:rPr>
      </w:pPr>
      <w:r>
        <w:rPr>
          <w:rFonts w:hint="eastAsia" w:ascii="仿宋" w:hAnsi="仿宋" w:eastAsia="仿宋" w:cs="Arial"/>
          <w:kern w:val="0"/>
          <w:szCs w:val="24"/>
        </w:rPr>
        <w:t>17.1开标后，采购人或采购代理机构将依法对投标人的资格进行审查。</w:t>
      </w:r>
    </w:p>
    <w:p w14:paraId="01A730D6">
      <w:pPr>
        <w:snapToGrid w:val="0"/>
        <w:spacing w:line="360" w:lineRule="auto"/>
        <w:ind w:firstLine="480" w:firstLineChars="200"/>
        <w:rPr>
          <w:rFonts w:ascii="仿宋" w:hAnsi="仿宋" w:eastAsia="仿宋" w:cs="仿宋_GB2312"/>
          <w:sz w:val="24"/>
        </w:rPr>
      </w:pPr>
      <w:r>
        <w:rPr>
          <w:rFonts w:hint="eastAsia" w:ascii="仿宋" w:hAnsi="仿宋" w:eastAsia="仿宋" w:cs="Arial"/>
          <w:kern w:val="0"/>
          <w:sz w:val="24"/>
        </w:rPr>
        <w:t>17.2</w:t>
      </w:r>
      <w:r>
        <w:rPr>
          <w:rFonts w:hint="eastAsia" w:ascii="仿宋" w:hAnsi="仿宋" w:eastAsia="仿宋" w:cs="仿宋_GB2312"/>
          <w:sz w:val="24"/>
        </w:rPr>
        <w:t>采购人或采购代理机构依据法律法规和招标文件的规定，对投标人的基本资格条件、特定资格条件进行审查。</w:t>
      </w:r>
    </w:p>
    <w:p w14:paraId="48BBEAB8">
      <w:pPr>
        <w:pStyle w:val="228"/>
        <w:spacing w:before="0"/>
        <w:ind w:firstLine="480"/>
        <w:rPr>
          <w:rFonts w:ascii="仿宋" w:hAnsi="仿宋" w:eastAsia="仿宋" w:cs="仿宋_GB2312"/>
        </w:rPr>
      </w:pPr>
      <w:r>
        <w:rPr>
          <w:rFonts w:hint="eastAsia" w:ascii="仿宋" w:hAnsi="仿宋" w:eastAsia="仿宋" w:cs="Arial"/>
          <w:kern w:val="0"/>
          <w:szCs w:val="24"/>
        </w:rPr>
        <w:t>17.3投标人未按照招标文件要求提供与</w:t>
      </w:r>
      <w:r>
        <w:rPr>
          <w:rFonts w:hint="eastAsia" w:ascii="仿宋" w:hAnsi="仿宋" w:eastAsia="仿宋" w:cs="仿宋_GB2312"/>
        </w:rPr>
        <w:t>基本资格条件、特定资格条件相应的</w:t>
      </w:r>
      <w:r>
        <w:rPr>
          <w:rFonts w:hint="eastAsia" w:ascii="仿宋" w:hAnsi="仿宋" w:eastAsia="仿宋" w:cs="Arial"/>
          <w:kern w:val="0"/>
          <w:szCs w:val="24"/>
        </w:rPr>
        <w:t>有效资格证明材料的，视为</w:t>
      </w:r>
      <w:r>
        <w:rPr>
          <w:rFonts w:hint="eastAsia" w:ascii="仿宋" w:hAnsi="仿宋" w:eastAsia="仿宋" w:cs="仿宋_GB2312"/>
        </w:rPr>
        <w:t>投标人不具备招标文件中规定的资格要求，其投标无效。</w:t>
      </w:r>
    </w:p>
    <w:p w14:paraId="3855F095">
      <w:pPr>
        <w:pStyle w:val="228"/>
        <w:spacing w:before="0"/>
        <w:ind w:firstLine="480"/>
        <w:rPr>
          <w:rFonts w:ascii="仿宋" w:hAnsi="仿宋" w:eastAsia="仿宋" w:cs="仿宋_GB2312"/>
        </w:rPr>
      </w:pPr>
      <w:r>
        <w:rPr>
          <w:rFonts w:hint="eastAsia" w:ascii="仿宋" w:hAnsi="仿宋" w:eastAsia="仿宋" w:cs="仿宋_GB2312"/>
        </w:rPr>
        <w:t>17.4对未通过资格审查的投标人，采购人或采购代理机构告知其未通过的原因。</w:t>
      </w:r>
    </w:p>
    <w:p w14:paraId="612B7106">
      <w:pPr>
        <w:pStyle w:val="228"/>
        <w:spacing w:before="0"/>
        <w:ind w:firstLine="480"/>
        <w:rPr>
          <w:rFonts w:ascii="仿宋" w:hAnsi="仿宋" w:eastAsia="仿宋" w:cs="仿宋_GB2312"/>
        </w:rPr>
      </w:pPr>
      <w:r>
        <w:rPr>
          <w:rFonts w:hint="eastAsia" w:ascii="仿宋" w:hAnsi="仿宋" w:eastAsia="仿宋" w:cs="仿宋_GB2312"/>
        </w:rPr>
        <w:t>17.5合格投标人不足3家的，不再评标。</w:t>
      </w:r>
    </w:p>
    <w:p w14:paraId="6EF7A4F7">
      <w:pPr>
        <w:pStyle w:val="228"/>
        <w:spacing w:before="0"/>
        <w:ind w:firstLine="482"/>
        <w:rPr>
          <w:rFonts w:ascii="仿宋" w:hAnsi="仿宋" w:eastAsia="仿宋" w:cs="仿宋_GB2312"/>
          <w:b/>
          <w:szCs w:val="24"/>
        </w:rPr>
      </w:pPr>
      <w:r>
        <w:rPr>
          <w:rFonts w:hint="eastAsia" w:ascii="仿宋" w:hAnsi="仿宋" w:eastAsia="仿宋" w:cs="仿宋_GB2312"/>
          <w:b/>
          <w:szCs w:val="24"/>
        </w:rPr>
        <w:t>18、信用信息查询</w:t>
      </w:r>
    </w:p>
    <w:p w14:paraId="6141D0B3">
      <w:pPr>
        <w:pStyle w:val="228"/>
        <w:spacing w:before="0"/>
        <w:ind w:firstLine="480"/>
        <w:rPr>
          <w:rFonts w:ascii="仿宋" w:hAnsi="仿宋" w:eastAsia="仿宋" w:cs="Arial"/>
          <w:kern w:val="0"/>
          <w:szCs w:val="24"/>
        </w:rPr>
      </w:pPr>
      <w:r>
        <w:rPr>
          <w:rFonts w:hint="eastAsia" w:ascii="仿宋" w:hAnsi="仿宋" w:eastAsia="仿宋" w:cs="Arial"/>
          <w:kern w:val="0"/>
          <w:szCs w:val="24"/>
        </w:rPr>
        <w:t>18.1信用信息查询渠道及截止时间：采购人或</w:t>
      </w:r>
      <w:r>
        <w:rPr>
          <w:rFonts w:ascii="仿宋" w:hAnsi="仿宋" w:eastAsia="仿宋" w:cs="Arial"/>
          <w:kern w:val="0"/>
          <w:szCs w:val="24"/>
        </w:rPr>
        <w:t>采购代理机构</w:t>
      </w:r>
      <w:r>
        <w:rPr>
          <w:rFonts w:hint="eastAsia" w:ascii="仿宋" w:hAnsi="仿宋" w:eastAsia="仿宋" w:cs="Arial"/>
          <w:kern w:val="0"/>
          <w:szCs w:val="24"/>
        </w:rPr>
        <w:t>将通过“信用中国”网站(www.creditchina.gov.cn)、中国政府采购网(www.ccgp.gov.cn)渠道查询投标人投标截止时间当天的信用记录。</w:t>
      </w:r>
    </w:p>
    <w:p w14:paraId="70B2B7C5">
      <w:pPr>
        <w:pStyle w:val="228"/>
        <w:spacing w:before="0"/>
        <w:ind w:firstLine="480"/>
        <w:rPr>
          <w:rFonts w:ascii="仿宋" w:hAnsi="仿宋" w:eastAsia="仿宋" w:cs="Arial"/>
          <w:kern w:val="0"/>
          <w:szCs w:val="24"/>
        </w:rPr>
      </w:pPr>
      <w:r>
        <w:rPr>
          <w:rFonts w:hint="eastAsia" w:ascii="仿宋" w:hAnsi="仿宋" w:eastAsia="仿宋" w:cs="Arial"/>
          <w:kern w:val="0"/>
          <w:szCs w:val="24"/>
        </w:rPr>
        <w:t>18.2信用信息查询记录和证据留存的具体方式：现场查询的投标人的信用记录、查询结果经确认后将与采购文件一起存档。</w:t>
      </w:r>
    </w:p>
    <w:p w14:paraId="37BC1A8D">
      <w:pPr>
        <w:pStyle w:val="228"/>
        <w:spacing w:before="0"/>
        <w:ind w:firstLine="480"/>
        <w:rPr>
          <w:rFonts w:ascii="仿宋" w:hAnsi="仿宋" w:eastAsia="仿宋" w:cs="Arial"/>
          <w:kern w:val="0"/>
          <w:szCs w:val="24"/>
        </w:rPr>
      </w:pPr>
      <w:r>
        <w:rPr>
          <w:rFonts w:hint="eastAsia" w:ascii="仿宋" w:hAnsi="仿宋" w:eastAsia="仿宋" w:cs="Arial"/>
          <w:kern w:val="0"/>
          <w:szCs w:val="24"/>
        </w:rPr>
        <w:t>18.3信用信息的使用规则：经查询列入失信被执行人名单、重大税收违法案件当事人名单、政府采购严重违法失信行为记录名单的投标人将被拒绝参与国企采购活动。</w:t>
      </w:r>
    </w:p>
    <w:p w14:paraId="03AFB78E">
      <w:pPr>
        <w:pStyle w:val="228"/>
        <w:spacing w:before="0"/>
        <w:ind w:firstLine="480"/>
        <w:rPr>
          <w:rFonts w:ascii="仿宋" w:hAnsi="仿宋" w:eastAsia="仿宋" w:cs="仿宋_GB2312"/>
        </w:rPr>
      </w:pPr>
      <w:r>
        <w:rPr>
          <w:rFonts w:hint="eastAsia" w:ascii="仿宋" w:hAnsi="仿宋" w:eastAsia="仿宋" w:cs="Arial"/>
          <w:kern w:val="0"/>
          <w:szCs w:val="24"/>
        </w:rPr>
        <w:t>18.4联合体信用信息查询：两个以上的自然人、法人或者其他组织组成一个联合体，以一个供应商的身份共同参加国企采购活动的，应当对所有联合体成员进行信用记录查询，联合体成员存在不良信用记录的，视同联合体存在不良信用记录</w:t>
      </w:r>
      <w:r>
        <w:rPr>
          <w:rFonts w:hint="eastAsia" w:ascii="仿宋" w:hAnsi="仿宋" w:eastAsia="仿宋" w:cs="仿宋_GB2312"/>
        </w:rPr>
        <w:t>。</w:t>
      </w:r>
    </w:p>
    <w:p w14:paraId="21D4D69B">
      <w:pPr>
        <w:pStyle w:val="228"/>
        <w:spacing w:before="0"/>
        <w:ind w:firstLine="0" w:firstLineChars="0"/>
        <w:rPr>
          <w:rFonts w:ascii="仿宋" w:hAnsi="仿宋" w:eastAsia="仿宋" w:cs="Arial"/>
          <w:kern w:val="0"/>
          <w:szCs w:val="24"/>
        </w:rPr>
      </w:pPr>
    </w:p>
    <w:p w14:paraId="1FC485C6">
      <w:pPr>
        <w:adjustRightInd/>
        <w:spacing w:line="360" w:lineRule="auto"/>
        <w:jc w:val="center"/>
        <w:outlineLvl w:val="0"/>
        <w:rPr>
          <w:rFonts w:ascii="仿宋" w:hAnsi="仿宋" w:eastAsia="仿宋" w:cs="仿宋_GB2312"/>
          <w:b/>
          <w:sz w:val="32"/>
          <w:szCs w:val="20"/>
        </w:rPr>
      </w:pPr>
      <w:bookmarkStart w:id="59" w:name="_Hlt75236101"/>
      <w:bookmarkEnd w:id="59"/>
      <w:bookmarkStart w:id="60" w:name="_Toc91899902"/>
      <w:r>
        <w:rPr>
          <w:rFonts w:hint="eastAsia" w:ascii="仿宋" w:hAnsi="仿宋" w:eastAsia="仿宋" w:cs="仿宋_GB2312"/>
          <w:b/>
          <w:sz w:val="32"/>
          <w:szCs w:val="20"/>
        </w:rPr>
        <w:t>五、评标</w:t>
      </w:r>
      <w:bookmarkEnd w:id="60"/>
    </w:p>
    <w:p w14:paraId="3477AB52">
      <w:pPr>
        <w:spacing w:line="360" w:lineRule="auto"/>
        <w:ind w:firstLine="482" w:firstLineChars="200"/>
        <w:rPr>
          <w:rFonts w:ascii="仿宋" w:hAnsi="仿宋" w:eastAsia="仿宋" w:cs="仿宋_GB2312"/>
          <w:b/>
          <w:sz w:val="24"/>
        </w:rPr>
      </w:pPr>
      <w:r>
        <w:rPr>
          <w:rFonts w:hint="eastAsia" w:ascii="仿宋" w:hAnsi="仿宋" w:eastAsia="仿宋" w:cs="仿宋_GB2312"/>
          <w:b/>
          <w:sz w:val="24"/>
        </w:rPr>
        <w:t>19.</w:t>
      </w:r>
      <w:r>
        <w:rPr>
          <w:rFonts w:hint="eastAsia" w:ascii="仿宋" w:hAnsi="仿宋" w:eastAsia="仿宋" w:cs="仿宋_GB2312"/>
          <w:sz w:val="24"/>
        </w:rPr>
        <w:t>详见招标文件第四部分“评标方法及评分标准”。</w:t>
      </w:r>
    </w:p>
    <w:p w14:paraId="623717E1">
      <w:pPr>
        <w:spacing w:line="360" w:lineRule="auto"/>
        <w:rPr>
          <w:rFonts w:ascii="仿宋" w:hAnsi="仿宋" w:eastAsia="仿宋" w:cs="仿宋_GB2312"/>
          <w:b/>
          <w:sz w:val="24"/>
        </w:rPr>
      </w:pPr>
    </w:p>
    <w:p w14:paraId="05F96E88">
      <w:pPr>
        <w:adjustRightInd/>
        <w:spacing w:line="360" w:lineRule="auto"/>
        <w:jc w:val="center"/>
        <w:outlineLvl w:val="0"/>
        <w:rPr>
          <w:rFonts w:ascii="仿宋" w:hAnsi="仿宋" w:eastAsia="仿宋" w:cs="仿宋_GB2312"/>
          <w:b/>
          <w:sz w:val="32"/>
          <w:szCs w:val="20"/>
        </w:rPr>
      </w:pPr>
      <w:r>
        <w:rPr>
          <w:rFonts w:hint="eastAsia" w:ascii="仿宋" w:hAnsi="仿宋" w:eastAsia="仿宋" w:cs="仿宋_GB2312"/>
          <w:b/>
          <w:sz w:val="32"/>
          <w:szCs w:val="20"/>
        </w:rPr>
        <w:t>六、定标</w:t>
      </w:r>
    </w:p>
    <w:p w14:paraId="2D45A1AC">
      <w:pPr>
        <w:pStyle w:val="23"/>
        <w:spacing w:line="360" w:lineRule="auto"/>
        <w:ind w:firstLine="482"/>
        <w:rPr>
          <w:rFonts w:ascii="仿宋" w:hAnsi="仿宋" w:eastAsia="仿宋" w:cs="仿宋_GB2312"/>
          <w:b/>
        </w:rPr>
      </w:pPr>
      <w:r>
        <w:rPr>
          <w:rFonts w:hint="eastAsia" w:ascii="仿宋" w:hAnsi="仿宋" w:eastAsia="仿宋" w:cs="仿宋_GB2312"/>
          <w:b/>
        </w:rPr>
        <w:t>20. 确定中标供应商</w:t>
      </w:r>
    </w:p>
    <w:p w14:paraId="41DA12E8">
      <w:pPr>
        <w:pStyle w:val="228"/>
        <w:snapToGrid w:val="0"/>
        <w:spacing w:before="0"/>
        <w:ind w:firstLine="480"/>
        <w:rPr>
          <w:rFonts w:ascii="仿宋" w:hAnsi="仿宋" w:eastAsia="仿宋" w:cs="仿宋_GB2312"/>
          <w:b/>
          <w:szCs w:val="24"/>
        </w:rPr>
      </w:pPr>
      <w:r>
        <w:rPr>
          <w:rFonts w:hint="eastAsia" w:ascii="仿宋" w:hAnsi="仿宋" w:eastAsia="仿宋" w:cs="仿宋_GB2312"/>
          <w:szCs w:val="24"/>
        </w:rPr>
        <w:t>采购代理机构将自评审结束之日起2个工作日内将评审报告送交采购人。采购人将自收到评审报告之日起5个工作日内在评审报告推荐的中标候选人中按顺序确定中标供应商。</w:t>
      </w:r>
    </w:p>
    <w:p w14:paraId="40BCD1C3">
      <w:pPr>
        <w:pStyle w:val="228"/>
        <w:snapToGrid w:val="0"/>
        <w:spacing w:before="0"/>
        <w:ind w:firstLine="482"/>
        <w:rPr>
          <w:rFonts w:ascii="仿宋" w:hAnsi="仿宋" w:eastAsia="仿宋" w:cs="仿宋_GB2312"/>
          <w:b/>
          <w:szCs w:val="24"/>
        </w:rPr>
      </w:pPr>
      <w:r>
        <w:rPr>
          <w:rFonts w:hint="eastAsia" w:ascii="仿宋" w:hAnsi="仿宋" w:eastAsia="仿宋" w:cs="仿宋_GB2312"/>
          <w:b/>
          <w:szCs w:val="24"/>
        </w:rPr>
        <w:t>21. 中标通知书与中标结果公告</w:t>
      </w:r>
    </w:p>
    <w:p w14:paraId="2BC5497A">
      <w:pPr>
        <w:widowControl/>
        <w:shd w:val="clear" w:color="auto" w:fill="FFFFFF"/>
        <w:spacing w:line="360" w:lineRule="auto"/>
        <w:ind w:firstLine="480" w:firstLineChars="200"/>
        <w:jc w:val="left"/>
        <w:rPr>
          <w:rFonts w:ascii="仿宋" w:hAnsi="仿宋" w:eastAsia="仿宋" w:cs="仿宋_GB2312"/>
          <w:sz w:val="24"/>
        </w:rPr>
      </w:pPr>
      <w:r>
        <w:rPr>
          <w:rFonts w:hint="eastAsia" w:ascii="仿宋" w:hAnsi="仿宋" w:eastAsia="仿宋" w:cs="仿宋_GB2312"/>
          <w:sz w:val="24"/>
        </w:rPr>
        <w:t>21.1采购代理机构将在自中标人确定之日起2个工作日内，发布招标公告的网站上公告中标结果，同时发出中标通知书。</w:t>
      </w:r>
    </w:p>
    <w:p w14:paraId="4C7B7853">
      <w:pPr>
        <w:widowControl/>
        <w:shd w:val="clear" w:color="auto" w:fill="FFFFFF"/>
        <w:spacing w:line="360" w:lineRule="auto"/>
        <w:ind w:firstLine="480" w:firstLineChars="200"/>
        <w:jc w:val="left"/>
        <w:rPr>
          <w:rFonts w:ascii="仿宋" w:hAnsi="仿宋" w:eastAsia="仿宋" w:cs="仿宋_GB2312"/>
          <w:sz w:val="24"/>
        </w:rPr>
      </w:pPr>
      <w:r>
        <w:rPr>
          <w:rFonts w:hint="eastAsia" w:ascii="仿宋" w:hAnsi="仿宋" w:eastAsia="仿宋" w:cs="仿宋_GB2312"/>
          <w:sz w:val="24"/>
        </w:rPr>
        <w:t>21.2</w:t>
      </w:r>
      <w:r>
        <w:rPr>
          <w:rFonts w:ascii="仿宋" w:hAnsi="仿宋" w:eastAsia="仿宋" w:cs="仿宋_GB2312"/>
          <w:sz w:val="24"/>
        </w:rPr>
        <w:t>中标结果公告内容包括采购人及其委托的采购代理机构的名称、地址、联系方式，项目名称和项目编号，中标人名称、地址和中标金额，主要中标标的的名称、规格型号、数量、单价、服务要求，中标公告期限以及评审专家名单。</w:t>
      </w:r>
    </w:p>
    <w:p w14:paraId="3DC8F740">
      <w:pPr>
        <w:widowControl/>
        <w:shd w:val="clear" w:color="auto" w:fill="FFFFFF"/>
        <w:spacing w:line="360" w:lineRule="auto"/>
        <w:ind w:firstLine="480" w:firstLineChars="200"/>
        <w:jc w:val="left"/>
        <w:rPr>
          <w:rFonts w:ascii="仿宋" w:hAnsi="仿宋" w:eastAsia="仿宋" w:cs="仿宋_GB2312"/>
          <w:sz w:val="24"/>
        </w:rPr>
      </w:pPr>
      <w:r>
        <w:rPr>
          <w:rFonts w:hint="eastAsia" w:ascii="仿宋" w:hAnsi="仿宋" w:eastAsia="仿宋" w:cs="仿宋_GB2312"/>
          <w:sz w:val="24"/>
        </w:rPr>
        <w:t>21.3</w:t>
      </w:r>
      <w:r>
        <w:rPr>
          <w:rFonts w:ascii="仿宋" w:hAnsi="仿宋" w:eastAsia="仿宋" w:cs="仿宋_GB2312"/>
          <w:sz w:val="24"/>
        </w:rPr>
        <w:t>公告期限为1个工作日。</w:t>
      </w:r>
    </w:p>
    <w:p w14:paraId="53595ED0">
      <w:pPr>
        <w:tabs>
          <w:tab w:val="left" w:pos="0"/>
        </w:tabs>
        <w:spacing w:line="360" w:lineRule="auto"/>
        <w:rPr>
          <w:rFonts w:ascii="仿宋" w:hAnsi="仿宋" w:eastAsia="仿宋"/>
          <w:sz w:val="24"/>
        </w:rPr>
      </w:pPr>
    </w:p>
    <w:p w14:paraId="7986819A">
      <w:pPr>
        <w:adjustRightInd/>
        <w:spacing w:line="360" w:lineRule="auto"/>
        <w:jc w:val="center"/>
        <w:outlineLvl w:val="0"/>
        <w:rPr>
          <w:rFonts w:ascii="仿宋" w:hAnsi="仿宋" w:eastAsia="仿宋" w:cs="仿宋_GB2312"/>
          <w:b/>
          <w:sz w:val="32"/>
          <w:szCs w:val="20"/>
        </w:rPr>
      </w:pPr>
      <w:r>
        <w:rPr>
          <w:rFonts w:hint="eastAsia" w:ascii="仿宋" w:hAnsi="仿宋" w:eastAsia="仿宋" w:cs="仿宋_GB2312"/>
          <w:b/>
          <w:sz w:val="32"/>
          <w:szCs w:val="20"/>
        </w:rPr>
        <w:t>七、</w:t>
      </w:r>
      <w:r>
        <w:rPr>
          <w:rFonts w:ascii="仿宋" w:hAnsi="仿宋" w:eastAsia="仿宋" w:cs="仿宋_GB2312"/>
          <w:b/>
          <w:sz w:val="32"/>
          <w:szCs w:val="20"/>
        </w:rPr>
        <w:t>电子</w:t>
      </w:r>
      <w:r>
        <w:rPr>
          <w:rFonts w:hint="eastAsia" w:ascii="仿宋" w:hAnsi="仿宋" w:eastAsia="仿宋" w:cs="仿宋_GB2312"/>
          <w:b/>
          <w:sz w:val="32"/>
          <w:szCs w:val="20"/>
        </w:rPr>
        <w:t>交易活动的中止</w:t>
      </w:r>
    </w:p>
    <w:p w14:paraId="197088A1">
      <w:pPr>
        <w:pStyle w:val="228"/>
        <w:snapToGrid w:val="0"/>
        <w:spacing w:before="0"/>
        <w:ind w:firstLine="482"/>
        <w:rPr>
          <w:rFonts w:ascii="仿宋" w:hAnsi="仿宋" w:eastAsia="仿宋" w:cs="仿宋_GB2312"/>
        </w:rPr>
      </w:pPr>
      <w:r>
        <w:rPr>
          <w:rFonts w:hint="eastAsia" w:ascii="仿宋" w:hAnsi="仿宋" w:eastAsia="仿宋" w:cs="仿宋_GB2312"/>
          <w:b/>
        </w:rPr>
        <w:t>2</w:t>
      </w:r>
      <w:r>
        <w:rPr>
          <w:rFonts w:hint="eastAsia" w:ascii="仿宋" w:hAnsi="仿宋" w:eastAsia="仿宋" w:cs="仿宋_GB2312"/>
          <w:b/>
          <w:szCs w:val="24"/>
        </w:rPr>
        <w:t>2. 电子交易活动的中止。</w:t>
      </w:r>
      <w:r>
        <w:rPr>
          <w:rFonts w:hint="eastAsia" w:ascii="仿宋" w:hAnsi="仿宋" w:eastAsia="仿宋" w:cs="仿宋_GB2312"/>
        </w:rPr>
        <w:t>采购过程中出现以下情形，</w:t>
      </w:r>
      <w:r>
        <w:rPr>
          <w:rFonts w:ascii="仿宋" w:hAnsi="仿宋" w:eastAsia="仿宋" w:cs="仿宋_GB2312"/>
        </w:rPr>
        <w:t>导致</w:t>
      </w:r>
      <w:r>
        <w:rPr>
          <w:rFonts w:hint="eastAsia" w:ascii="仿宋" w:hAnsi="仿宋" w:eastAsia="仿宋" w:cs="仿宋_GB2312"/>
        </w:rPr>
        <w:t>电子交易平台</w:t>
      </w:r>
      <w:r>
        <w:rPr>
          <w:rFonts w:ascii="仿宋" w:hAnsi="仿宋" w:eastAsia="仿宋" w:cs="仿宋_GB2312"/>
        </w:rPr>
        <w:t>无法正常运行，或者无法保证电子</w:t>
      </w:r>
      <w:r>
        <w:rPr>
          <w:rFonts w:hint="eastAsia" w:ascii="仿宋" w:hAnsi="仿宋" w:eastAsia="仿宋" w:cs="仿宋_GB2312"/>
        </w:rPr>
        <w:t>交易</w:t>
      </w:r>
      <w:r>
        <w:rPr>
          <w:rFonts w:ascii="仿宋" w:hAnsi="仿宋" w:eastAsia="仿宋" w:cs="仿宋_GB2312"/>
        </w:rPr>
        <w:t>的公平、公正和安全时，</w:t>
      </w:r>
      <w:r>
        <w:rPr>
          <w:rFonts w:hint="eastAsia" w:ascii="仿宋" w:hAnsi="仿宋" w:eastAsia="仿宋" w:cs="仿宋_GB2312"/>
        </w:rPr>
        <w:t>采购代理机构可</w:t>
      </w:r>
      <w:r>
        <w:rPr>
          <w:rFonts w:ascii="仿宋" w:hAnsi="仿宋" w:eastAsia="仿宋" w:cs="仿宋_GB2312"/>
        </w:rPr>
        <w:t>中止电子</w:t>
      </w:r>
      <w:r>
        <w:rPr>
          <w:rFonts w:hint="eastAsia" w:ascii="仿宋" w:hAnsi="仿宋" w:eastAsia="仿宋" w:cs="仿宋_GB2312"/>
        </w:rPr>
        <w:t>交易活动</w:t>
      </w:r>
      <w:r>
        <w:rPr>
          <w:rFonts w:ascii="仿宋" w:hAnsi="仿宋" w:eastAsia="仿宋" w:cs="仿宋_GB2312"/>
        </w:rPr>
        <w:t>：</w:t>
      </w:r>
    </w:p>
    <w:p w14:paraId="7A96AA4D">
      <w:pPr>
        <w:pStyle w:val="228"/>
        <w:snapToGrid w:val="0"/>
        <w:spacing w:before="0"/>
        <w:ind w:firstLine="480"/>
        <w:rPr>
          <w:rFonts w:ascii="仿宋" w:hAnsi="仿宋" w:eastAsia="仿宋" w:cs="仿宋_GB2312"/>
        </w:rPr>
      </w:pPr>
      <w:r>
        <w:rPr>
          <w:rFonts w:hint="eastAsia" w:ascii="仿宋" w:hAnsi="仿宋" w:eastAsia="仿宋" w:cs="仿宋_GB2312"/>
        </w:rPr>
        <w:t>22.1电子交易</w:t>
      </w:r>
      <w:r>
        <w:rPr>
          <w:rFonts w:ascii="仿宋" w:hAnsi="仿宋" w:eastAsia="仿宋" w:cs="仿宋_GB2312"/>
        </w:rPr>
        <w:t>平台发生故障而无法</w:t>
      </w:r>
      <w:r>
        <w:rPr>
          <w:rFonts w:hint="eastAsia" w:ascii="仿宋" w:hAnsi="仿宋" w:eastAsia="仿宋" w:cs="仿宋_GB2312"/>
        </w:rPr>
        <w:t>登录</w:t>
      </w:r>
      <w:r>
        <w:rPr>
          <w:rFonts w:ascii="仿宋" w:hAnsi="仿宋" w:eastAsia="仿宋" w:cs="仿宋_GB2312"/>
        </w:rPr>
        <w:t xml:space="preserve">访问的； </w:t>
      </w:r>
    </w:p>
    <w:p w14:paraId="550B0D3F">
      <w:pPr>
        <w:pStyle w:val="228"/>
        <w:snapToGrid w:val="0"/>
        <w:spacing w:before="0"/>
        <w:ind w:firstLine="480"/>
        <w:rPr>
          <w:rFonts w:ascii="仿宋" w:hAnsi="仿宋" w:eastAsia="仿宋" w:cs="仿宋_GB2312"/>
        </w:rPr>
      </w:pPr>
      <w:r>
        <w:rPr>
          <w:rFonts w:hint="eastAsia" w:ascii="仿宋" w:hAnsi="仿宋" w:eastAsia="仿宋" w:cs="仿宋_GB2312"/>
        </w:rPr>
        <w:t>22.2电子交易</w:t>
      </w:r>
      <w:r>
        <w:rPr>
          <w:rFonts w:ascii="仿宋" w:hAnsi="仿宋" w:eastAsia="仿宋" w:cs="仿宋_GB2312"/>
        </w:rPr>
        <w:t>平台应用或数据库出现错误，不能进行正常操作</w:t>
      </w:r>
      <w:r>
        <w:rPr>
          <w:rFonts w:hint="eastAsia" w:ascii="仿宋" w:hAnsi="仿宋" w:eastAsia="仿宋" w:cs="仿宋_GB2312"/>
        </w:rPr>
        <w:t>的</w:t>
      </w:r>
      <w:r>
        <w:rPr>
          <w:rFonts w:ascii="仿宋" w:hAnsi="仿宋" w:eastAsia="仿宋" w:cs="仿宋_GB2312"/>
        </w:rPr>
        <w:t>；</w:t>
      </w:r>
    </w:p>
    <w:p w14:paraId="13A0702E">
      <w:pPr>
        <w:pStyle w:val="228"/>
        <w:snapToGrid w:val="0"/>
        <w:spacing w:before="0"/>
        <w:ind w:firstLine="480"/>
        <w:rPr>
          <w:rFonts w:ascii="仿宋" w:hAnsi="仿宋" w:eastAsia="仿宋" w:cs="仿宋_GB2312"/>
        </w:rPr>
      </w:pPr>
      <w:r>
        <w:rPr>
          <w:rFonts w:hint="eastAsia" w:ascii="仿宋" w:hAnsi="仿宋" w:eastAsia="仿宋" w:cs="仿宋_GB2312"/>
        </w:rPr>
        <w:t>22.3电子交易</w:t>
      </w:r>
      <w:r>
        <w:rPr>
          <w:rFonts w:ascii="仿宋" w:hAnsi="仿宋" w:eastAsia="仿宋" w:cs="仿宋_GB2312"/>
        </w:rPr>
        <w:t>平台发现</w:t>
      </w:r>
      <w:r>
        <w:rPr>
          <w:rFonts w:hint="eastAsia" w:ascii="仿宋" w:hAnsi="仿宋" w:eastAsia="仿宋" w:cs="仿宋_GB2312"/>
        </w:rPr>
        <w:t>严重</w:t>
      </w:r>
      <w:r>
        <w:rPr>
          <w:rFonts w:ascii="仿宋" w:hAnsi="仿宋" w:eastAsia="仿宋" w:cs="仿宋_GB2312"/>
        </w:rPr>
        <w:t>安全漏洞，有潜在泄密危险的</w:t>
      </w:r>
      <w:r>
        <w:rPr>
          <w:rFonts w:hint="eastAsia" w:ascii="仿宋" w:hAnsi="仿宋" w:eastAsia="仿宋" w:cs="仿宋_GB2312"/>
        </w:rPr>
        <w:t>；</w:t>
      </w:r>
    </w:p>
    <w:p w14:paraId="593CCE99">
      <w:pPr>
        <w:pStyle w:val="228"/>
        <w:snapToGrid w:val="0"/>
        <w:spacing w:before="0"/>
        <w:ind w:firstLine="480"/>
        <w:rPr>
          <w:rFonts w:ascii="仿宋" w:hAnsi="仿宋" w:eastAsia="仿宋" w:cs="仿宋_GB2312"/>
        </w:rPr>
      </w:pPr>
      <w:r>
        <w:rPr>
          <w:rFonts w:hint="eastAsia" w:ascii="仿宋" w:hAnsi="仿宋" w:eastAsia="仿宋" w:cs="仿宋_GB2312"/>
        </w:rPr>
        <w:t>22.4</w:t>
      </w:r>
      <w:r>
        <w:rPr>
          <w:rFonts w:ascii="仿宋" w:hAnsi="仿宋" w:eastAsia="仿宋" w:cs="仿宋_GB2312"/>
        </w:rPr>
        <w:t>病毒发作</w:t>
      </w:r>
      <w:r>
        <w:rPr>
          <w:rFonts w:hint="eastAsia" w:ascii="仿宋" w:hAnsi="仿宋" w:eastAsia="仿宋" w:cs="仿宋_GB2312"/>
        </w:rPr>
        <w:t>导致不能进行</w:t>
      </w:r>
      <w:r>
        <w:rPr>
          <w:rFonts w:ascii="仿宋" w:hAnsi="仿宋" w:eastAsia="仿宋" w:cs="仿宋_GB2312"/>
        </w:rPr>
        <w:t xml:space="preserve">正常操作的； </w:t>
      </w:r>
    </w:p>
    <w:p w14:paraId="31E7B7C6">
      <w:pPr>
        <w:pStyle w:val="228"/>
        <w:snapToGrid w:val="0"/>
        <w:spacing w:before="0"/>
        <w:ind w:firstLine="480"/>
        <w:rPr>
          <w:rFonts w:ascii="仿宋" w:hAnsi="仿宋" w:eastAsia="仿宋" w:cs="仿宋_GB2312"/>
        </w:rPr>
      </w:pPr>
      <w:r>
        <w:rPr>
          <w:rFonts w:hint="eastAsia" w:ascii="仿宋" w:hAnsi="仿宋" w:eastAsia="仿宋" w:cs="仿宋_GB2312"/>
        </w:rPr>
        <w:t>22.5其他</w:t>
      </w:r>
      <w:r>
        <w:rPr>
          <w:rFonts w:ascii="仿宋" w:hAnsi="仿宋" w:eastAsia="仿宋" w:cs="仿宋_GB2312"/>
        </w:rPr>
        <w:t>无法保证</w:t>
      </w:r>
      <w:r>
        <w:rPr>
          <w:rFonts w:hint="eastAsia" w:ascii="仿宋" w:hAnsi="仿宋" w:eastAsia="仿宋" w:cs="仿宋_GB2312"/>
        </w:rPr>
        <w:t>电子交易</w:t>
      </w:r>
      <w:r>
        <w:rPr>
          <w:rFonts w:ascii="仿宋" w:hAnsi="仿宋" w:eastAsia="仿宋" w:cs="仿宋_GB2312"/>
        </w:rPr>
        <w:t>的公平、公正和安全的情况。</w:t>
      </w:r>
    </w:p>
    <w:p w14:paraId="6FB22CAB">
      <w:pPr>
        <w:pStyle w:val="228"/>
        <w:snapToGrid w:val="0"/>
        <w:spacing w:before="0"/>
        <w:ind w:firstLine="480"/>
        <w:rPr>
          <w:rFonts w:ascii="仿宋" w:hAnsi="仿宋" w:eastAsia="仿宋" w:cs="仿宋_GB2312"/>
        </w:rPr>
      </w:pPr>
      <w:r>
        <w:rPr>
          <w:rFonts w:ascii="仿宋" w:hAnsi="仿宋" w:eastAsia="仿宋" w:cs="仿宋_GB2312"/>
        </w:rPr>
        <w:t>出现</w:t>
      </w:r>
      <w:r>
        <w:rPr>
          <w:rFonts w:hint="eastAsia" w:ascii="仿宋" w:hAnsi="仿宋" w:eastAsia="仿宋" w:cs="仿宋_GB2312"/>
        </w:rPr>
        <w:t>以上情形</w:t>
      </w:r>
      <w:r>
        <w:rPr>
          <w:rFonts w:ascii="仿宋" w:hAnsi="仿宋" w:eastAsia="仿宋" w:cs="仿宋_GB2312"/>
        </w:rPr>
        <w:t>，</w:t>
      </w:r>
      <w:r>
        <w:rPr>
          <w:rFonts w:hint="eastAsia" w:ascii="仿宋" w:hAnsi="仿宋" w:eastAsia="仿宋" w:cs="仿宋_GB2312"/>
        </w:rPr>
        <w:t>不影响采购公平、公正性的，采购组织机构可以</w:t>
      </w:r>
      <w:r>
        <w:rPr>
          <w:rFonts w:ascii="仿宋" w:hAnsi="仿宋" w:eastAsia="仿宋" w:cs="仿宋_GB2312"/>
        </w:rPr>
        <w:t>待上述情形消除后继续</w:t>
      </w:r>
      <w:r>
        <w:rPr>
          <w:rFonts w:hint="eastAsia" w:ascii="仿宋" w:hAnsi="仿宋" w:eastAsia="仿宋" w:cs="仿宋_GB2312"/>
        </w:rPr>
        <w:t>组织电子交易</w:t>
      </w:r>
      <w:r>
        <w:rPr>
          <w:rFonts w:ascii="仿宋" w:hAnsi="仿宋" w:eastAsia="仿宋" w:cs="仿宋_GB2312"/>
        </w:rPr>
        <w:t>活动</w:t>
      </w:r>
      <w:r>
        <w:rPr>
          <w:rFonts w:hint="eastAsia" w:ascii="仿宋" w:hAnsi="仿宋" w:eastAsia="仿宋" w:cs="仿宋_GB2312"/>
        </w:rPr>
        <w:t>，也可以决定某些环节以纸质形式进行；影响或可能影响</w:t>
      </w:r>
      <w:r>
        <w:rPr>
          <w:rFonts w:ascii="仿宋" w:hAnsi="仿宋" w:eastAsia="仿宋" w:cs="仿宋_GB2312"/>
        </w:rPr>
        <w:t>采购公平、公正</w:t>
      </w:r>
      <w:r>
        <w:rPr>
          <w:rFonts w:hint="eastAsia" w:ascii="仿宋" w:hAnsi="仿宋" w:eastAsia="仿宋" w:cs="仿宋_GB2312"/>
        </w:rPr>
        <w:t>性</w:t>
      </w:r>
      <w:r>
        <w:rPr>
          <w:rFonts w:ascii="仿宋" w:hAnsi="仿宋" w:eastAsia="仿宋" w:cs="仿宋_GB2312"/>
        </w:rPr>
        <w:t>的，</w:t>
      </w:r>
      <w:r>
        <w:rPr>
          <w:rFonts w:hint="eastAsia" w:ascii="仿宋" w:hAnsi="仿宋" w:eastAsia="仿宋" w:cs="仿宋_GB2312"/>
        </w:rPr>
        <w:t>应当重新采购</w:t>
      </w:r>
      <w:r>
        <w:rPr>
          <w:rFonts w:ascii="仿宋" w:hAnsi="仿宋" w:eastAsia="仿宋" w:cs="仿宋_GB2312"/>
        </w:rPr>
        <w:t>。</w:t>
      </w:r>
    </w:p>
    <w:p w14:paraId="753A6A6A">
      <w:pPr>
        <w:pStyle w:val="228"/>
        <w:snapToGrid w:val="0"/>
        <w:spacing w:before="0"/>
        <w:ind w:firstLine="480"/>
        <w:rPr>
          <w:rFonts w:ascii="仿宋" w:hAnsi="仿宋" w:eastAsia="仿宋" w:cs="仿宋_GB2312"/>
        </w:rPr>
      </w:pPr>
    </w:p>
    <w:p w14:paraId="456CA214">
      <w:pPr>
        <w:adjustRightInd/>
        <w:spacing w:line="360" w:lineRule="auto"/>
        <w:jc w:val="center"/>
        <w:outlineLvl w:val="0"/>
        <w:rPr>
          <w:rFonts w:ascii="仿宋" w:hAnsi="仿宋" w:eastAsia="仿宋" w:cs="仿宋_GB2312"/>
          <w:b/>
          <w:sz w:val="32"/>
          <w:szCs w:val="20"/>
        </w:rPr>
      </w:pPr>
      <w:r>
        <w:rPr>
          <w:rFonts w:hint="eastAsia" w:ascii="仿宋" w:hAnsi="仿宋" w:eastAsia="仿宋" w:cs="仿宋_GB2312"/>
          <w:b/>
          <w:sz w:val="32"/>
          <w:szCs w:val="20"/>
        </w:rPr>
        <w:t>八、合同授予</w:t>
      </w:r>
    </w:p>
    <w:p w14:paraId="79B3C8FC">
      <w:pPr>
        <w:pStyle w:val="23"/>
        <w:spacing w:line="360" w:lineRule="auto"/>
        <w:ind w:firstLine="482"/>
        <w:rPr>
          <w:rFonts w:ascii="仿宋" w:hAnsi="仿宋" w:eastAsia="仿宋" w:cs="仿宋_GB2312"/>
          <w:b/>
        </w:rPr>
      </w:pPr>
      <w:r>
        <w:rPr>
          <w:rFonts w:hint="eastAsia" w:ascii="仿宋" w:hAnsi="仿宋" w:eastAsia="仿宋" w:cs="仿宋_GB2312"/>
          <w:b/>
        </w:rPr>
        <w:t xml:space="preserve">23. </w:t>
      </w:r>
      <w:r>
        <w:rPr>
          <w:rFonts w:hint="eastAsia" w:ascii="仿宋" w:hAnsi="仿宋" w:eastAsia="仿宋" w:cs="仿宋_GB2312"/>
        </w:rPr>
        <w:t>合同主要条款详见第五部分拟签订的合同文本。</w:t>
      </w:r>
    </w:p>
    <w:p w14:paraId="20206AF8">
      <w:pPr>
        <w:pStyle w:val="23"/>
        <w:spacing w:line="360" w:lineRule="auto"/>
        <w:ind w:firstLine="482"/>
        <w:rPr>
          <w:rFonts w:ascii="仿宋" w:hAnsi="仿宋" w:eastAsia="仿宋" w:cs="仿宋_GB2312"/>
          <w:b/>
        </w:rPr>
      </w:pPr>
      <w:r>
        <w:rPr>
          <w:rFonts w:hint="eastAsia" w:ascii="仿宋" w:hAnsi="仿宋" w:eastAsia="仿宋" w:cs="仿宋_GB2312"/>
          <w:b/>
        </w:rPr>
        <w:t>24. 合同的签订</w:t>
      </w:r>
    </w:p>
    <w:p w14:paraId="3FCF135D">
      <w:pPr>
        <w:widowControl/>
        <w:shd w:val="clear" w:color="auto" w:fill="FFFFFF"/>
        <w:spacing w:line="360" w:lineRule="auto"/>
        <w:ind w:firstLine="480" w:firstLineChars="200"/>
        <w:jc w:val="left"/>
        <w:rPr>
          <w:rFonts w:ascii="仿宋" w:hAnsi="仿宋" w:eastAsia="仿宋" w:cs="Arial"/>
          <w:kern w:val="0"/>
          <w:sz w:val="24"/>
        </w:rPr>
      </w:pPr>
      <w:r>
        <w:rPr>
          <w:rFonts w:hint="eastAsia" w:ascii="仿宋" w:hAnsi="仿宋" w:eastAsia="仿宋" w:cs="仿宋_GB2312"/>
          <w:sz w:val="24"/>
        </w:rPr>
        <w:t>24.1</w:t>
      </w:r>
      <w:r>
        <w:rPr>
          <w:rFonts w:hint="eastAsia" w:ascii="仿宋" w:eastAsia="仿宋"/>
          <w:kern w:val="0"/>
          <w:sz w:val="24"/>
        </w:rPr>
        <w:t>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5574DDB4">
      <w:pPr>
        <w:pStyle w:val="228"/>
        <w:snapToGrid w:val="0"/>
        <w:spacing w:before="0"/>
        <w:ind w:firstLine="480"/>
        <w:rPr>
          <w:rFonts w:ascii="仿宋" w:hAnsi="仿宋" w:eastAsia="仿宋"/>
          <w:kern w:val="0"/>
        </w:rPr>
      </w:pPr>
      <w:r>
        <w:rPr>
          <w:rFonts w:hint="eastAsia" w:ascii="仿宋" w:hAnsi="仿宋" w:eastAsia="仿宋" w:cs="仿宋_GB2312"/>
          <w:kern w:val="0"/>
          <w:lang w:val="zh-CN"/>
        </w:rPr>
        <w:t>24.2</w:t>
      </w:r>
      <w:r>
        <w:rPr>
          <w:rFonts w:hint="eastAsia" w:ascii="仿宋" w:eastAsia="仿宋"/>
          <w:kern w:val="0"/>
        </w:rPr>
        <w:t>采购人和中标人不得向对方提出任何不合理的要求作为签订合同的条件。</w:t>
      </w:r>
    </w:p>
    <w:p w14:paraId="1A19B2A6">
      <w:pPr>
        <w:pStyle w:val="23"/>
        <w:spacing w:line="360" w:lineRule="auto"/>
        <w:ind w:firstLine="482"/>
        <w:rPr>
          <w:rFonts w:ascii="仿宋" w:hAnsi="仿宋" w:eastAsia="仿宋" w:cs="仿宋_GB2312"/>
          <w:b/>
        </w:rPr>
      </w:pPr>
      <w:r>
        <w:rPr>
          <w:rFonts w:hint="eastAsia" w:ascii="仿宋" w:hAnsi="仿宋" w:eastAsia="仿宋" w:cs="仿宋_GB2312"/>
          <w:b/>
        </w:rPr>
        <w:t>25. 履约保证金</w:t>
      </w:r>
    </w:p>
    <w:p w14:paraId="7234D329">
      <w:pPr>
        <w:snapToGrid w:val="0"/>
        <w:spacing w:line="360" w:lineRule="auto"/>
        <w:ind w:firstLine="480" w:firstLineChars="200"/>
        <w:rPr>
          <w:rFonts w:ascii="仿宋" w:hAnsi="仿宋" w:eastAsia="仿宋"/>
          <w:sz w:val="24"/>
        </w:rPr>
      </w:pPr>
      <w:r>
        <w:rPr>
          <w:rFonts w:hint="eastAsia" w:ascii="仿宋" w:hAnsi="仿宋" w:eastAsia="仿宋"/>
          <w:sz w:val="24"/>
        </w:rPr>
        <w:t>/</w:t>
      </w:r>
    </w:p>
    <w:p w14:paraId="0A08131F">
      <w:pPr>
        <w:adjustRightInd/>
        <w:spacing w:line="360" w:lineRule="auto"/>
        <w:jc w:val="center"/>
        <w:outlineLvl w:val="0"/>
        <w:rPr>
          <w:rFonts w:ascii="仿宋" w:hAnsi="仿宋" w:eastAsia="仿宋" w:cs="仿宋_GB2312"/>
          <w:b/>
          <w:sz w:val="32"/>
          <w:szCs w:val="20"/>
        </w:rPr>
      </w:pPr>
      <w:r>
        <w:rPr>
          <w:rFonts w:hint="eastAsia" w:ascii="仿宋" w:hAnsi="仿宋" w:eastAsia="仿宋" w:cs="仿宋_GB2312"/>
          <w:b/>
          <w:sz w:val="32"/>
          <w:szCs w:val="20"/>
        </w:rPr>
        <w:t>九、履约验收</w:t>
      </w:r>
    </w:p>
    <w:p w14:paraId="7CAF8D14">
      <w:pPr>
        <w:pStyle w:val="23"/>
        <w:spacing w:line="360" w:lineRule="auto"/>
        <w:ind w:firstLine="482"/>
        <w:rPr>
          <w:rFonts w:ascii="仿宋" w:hAnsi="仿宋" w:eastAsia="仿宋" w:cs="仿宋_GB2312"/>
          <w:b/>
        </w:rPr>
      </w:pPr>
      <w:r>
        <w:rPr>
          <w:rFonts w:hint="eastAsia" w:ascii="仿宋" w:hAnsi="仿宋" w:eastAsia="仿宋" w:cs="仿宋_GB2312"/>
          <w:b/>
        </w:rPr>
        <w:t>26.履约验收</w:t>
      </w:r>
    </w:p>
    <w:p w14:paraId="716B4D21">
      <w:pPr>
        <w:tabs>
          <w:tab w:val="left" w:pos="0"/>
        </w:tabs>
        <w:spacing w:line="360" w:lineRule="auto"/>
        <w:ind w:firstLine="480" w:firstLineChars="200"/>
        <w:jc w:val="left"/>
        <w:rPr>
          <w:rFonts w:ascii="仿宋" w:hAnsi="仿宋" w:eastAsia="仿宋" w:cs="Helvetica"/>
          <w:kern w:val="0"/>
          <w:sz w:val="24"/>
        </w:rPr>
      </w:pPr>
      <w:r>
        <w:rPr>
          <w:rFonts w:hint="eastAsia" w:ascii="仿宋" w:hAnsi="仿宋" w:eastAsia="仿宋" w:cs="Helvetica"/>
          <w:kern w:val="0"/>
          <w:sz w:val="24"/>
        </w:rPr>
        <w:t>26.1采购人自行组织或委托采购代理机构对供应商进行履约验收，出具验收书，存档备查。如果发现与合同中要求不符，供应商须承担由此发生的一切损失和费用，并承担相应的法律责任。</w:t>
      </w:r>
    </w:p>
    <w:p w14:paraId="139A7EB5">
      <w:pPr>
        <w:tabs>
          <w:tab w:val="left" w:pos="0"/>
        </w:tabs>
        <w:spacing w:line="360" w:lineRule="auto"/>
        <w:ind w:firstLine="480" w:firstLineChars="200"/>
        <w:jc w:val="left"/>
        <w:rPr>
          <w:rFonts w:ascii="仿宋" w:hAnsi="仿宋" w:eastAsia="仿宋" w:cs="Helvetica"/>
          <w:kern w:val="0"/>
          <w:sz w:val="24"/>
        </w:rPr>
      </w:pPr>
      <w:r>
        <w:rPr>
          <w:rFonts w:hint="eastAsia" w:ascii="仿宋" w:hAnsi="仿宋" w:eastAsia="仿宋" w:cs="Helvetica"/>
          <w:kern w:val="0"/>
          <w:sz w:val="24"/>
        </w:rPr>
        <w:t>26.2技术复杂、社会影响较大的货物类项目，可以根据需要设置出厂检验、到货检验、安装调试检验、配套服务检验等多重验收环节；服务类项目，可以根据项目特点对服务期内的服务实施情况进行分期考核，结合考核情况和服务效果进行验收。工程类项目应当按照行业管理部门规定的标准、方法和内容进行验收。</w:t>
      </w:r>
    </w:p>
    <w:p w14:paraId="6F48FBA5">
      <w:pPr>
        <w:tabs>
          <w:tab w:val="left" w:pos="0"/>
        </w:tabs>
        <w:spacing w:line="360" w:lineRule="auto"/>
        <w:ind w:firstLine="480" w:firstLineChars="200"/>
        <w:jc w:val="left"/>
        <w:rPr>
          <w:rFonts w:ascii="仿宋" w:hAnsi="仿宋" w:eastAsia="仿宋" w:cs="Helvetica"/>
          <w:kern w:val="0"/>
          <w:sz w:val="24"/>
        </w:rPr>
      </w:pPr>
      <w:r>
        <w:rPr>
          <w:rFonts w:hint="eastAsia" w:ascii="仿宋" w:hAnsi="仿宋" w:eastAsia="仿宋" w:cs="Helvetica"/>
          <w:kern w:val="0"/>
          <w:sz w:val="24"/>
        </w:rPr>
        <w:t>26.3采购人可以邀请参加本项目的其他投标人或者第三方机构参与验收。参与验收的投标人或者第三方机构的意见作为验收书的参考资料一并存档。</w:t>
      </w:r>
    </w:p>
    <w:p w14:paraId="3D2E8CEE">
      <w:pPr>
        <w:tabs>
          <w:tab w:val="left" w:pos="0"/>
        </w:tabs>
        <w:spacing w:line="360" w:lineRule="auto"/>
        <w:ind w:firstLine="480" w:firstLineChars="200"/>
        <w:jc w:val="left"/>
        <w:rPr>
          <w:rFonts w:ascii="仿宋" w:hAnsi="仿宋" w:eastAsia="仿宋" w:cs="Helvetica"/>
          <w:kern w:val="0"/>
          <w:sz w:val="24"/>
        </w:rPr>
      </w:pPr>
      <w:r>
        <w:rPr>
          <w:rFonts w:hint="eastAsia" w:ascii="仿宋" w:hAnsi="仿宋" w:eastAsia="仿宋" w:cs="Helvetica"/>
          <w:kern w:val="0"/>
          <w:sz w:val="24"/>
        </w:rPr>
        <w:t>26.4国有企业向社会公众提供的公共服务项目验收时应当邀请服务对象参与并出具意见，验收结果应当向社会公告。</w:t>
      </w:r>
    </w:p>
    <w:p w14:paraId="4E3BD604">
      <w:pPr>
        <w:tabs>
          <w:tab w:val="left" w:pos="0"/>
        </w:tabs>
        <w:spacing w:line="360" w:lineRule="auto"/>
        <w:ind w:firstLine="480" w:firstLineChars="200"/>
        <w:jc w:val="left"/>
        <w:rPr>
          <w:rFonts w:ascii="仿宋" w:hAnsi="仿宋" w:eastAsia="仿宋" w:cs="Helvetica"/>
          <w:kern w:val="0"/>
          <w:sz w:val="24"/>
        </w:rPr>
      </w:pPr>
      <w:r>
        <w:rPr>
          <w:rFonts w:hint="eastAsia" w:ascii="仿宋" w:hAnsi="仿宋" w:eastAsia="仿宋" w:cs="Helvetica"/>
          <w:kern w:val="0"/>
          <w:sz w:val="24"/>
        </w:rPr>
        <w:t>26.5 采购合同的履行、违约责任和解决争议的方式等适用《中华人民共和国合同法》。</w:t>
      </w:r>
    </w:p>
    <w:p w14:paraId="10834AC8">
      <w:pPr>
        <w:tabs>
          <w:tab w:val="left" w:pos="0"/>
        </w:tabs>
        <w:spacing w:line="360" w:lineRule="auto"/>
        <w:ind w:firstLine="480" w:firstLineChars="200"/>
        <w:jc w:val="left"/>
        <w:rPr>
          <w:rFonts w:ascii="仿宋" w:hAnsi="仿宋" w:eastAsia="仿宋" w:cs="Helvetica"/>
          <w:kern w:val="0"/>
          <w:sz w:val="24"/>
        </w:rPr>
      </w:pPr>
      <w:r>
        <w:rPr>
          <w:rFonts w:hint="eastAsia" w:ascii="仿宋" w:hAnsi="仿宋" w:eastAsia="仿宋" w:cs="Helvetica"/>
          <w:kern w:val="0"/>
          <w:sz w:val="24"/>
        </w:rPr>
        <w:t>26.6供应商在履约过程中有法律法规规定的违法违规情形的，采购人应当及时报告本级国有企业采购监督管理部门。</w:t>
      </w:r>
    </w:p>
    <w:p w14:paraId="3D0B04FE">
      <w:pPr>
        <w:tabs>
          <w:tab w:val="left" w:pos="0"/>
        </w:tabs>
        <w:spacing w:line="360" w:lineRule="auto"/>
        <w:jc w:val="left"/>
        <w:rPr>
          <w:rFonts w:ascii="仿宋" w:hAnsi="仿宋" w:eastAsia="仿宋" w:cs="Helvetica"/>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38"/>
    <w:bookmarkEnd w:id="39"/>
    <w:p w14:paraId="05CE3C74">
      <w:pPr>
        <w:spacing w:line="360" w:lineRule="auto"/>
        <w:jc w:val="center"/>
        <w:outlineLvl w:val="0"/>
        <w:rPr>
          <w:rFonts w:ascii="仿宋" w:hAnsi="仿宋" w:eastAsia="仿宋" w:cs="仿宋_GB2312"/>
          <w:b/>
          <w:sz w:val="36"/>
          <w:szCs w:val="36"/>
        </w:rPr>
      </w:pPr>
      <w:bookmarkStart w:id="61" w:name="第四部分"/>
      <w:r>
        <w:rPr>
          <w:rFonts w:hint="eastAsia" w:ascii="仿宋" w:hAnsi="仿宋" w:eastAsia="仿宋" w:cs="仿宋_GB2312"/>
          <w:b/>
          <w:sz w:val="36"/>
          <w:szCs w:val="36"/>
        </w:rPr>
        <w:t>第三部分   采购需求</w:t>
      </w:r>
    </w:p>
    <w:p w14:paraId="6D5E3EAD">
      <w:pPr>
        <w:snapToGrid w:val="0"/>
        <w:spacing w:line="360" w:lineRule="auto"/>
        <w:jc w:val="left"/>
        <w:rPr>
          <w:rFonts w:ascii="仿宋" w:hAnsi="仿宋" w:eastAsia="仿宋" w:cs="仿宋_GB2312"/>
          <w:b/>
          <w:i/>
          <w:sz w:val="22"/>
          <w:szCs w:val="36"/>
        </w:rPr>
      </w:pPr>
      <w:r>
        <w:rPr>
          <w:rFonts w:hint="eastAsia" w:ascii="仿宋" w:hAnsi="仿宋" w:eastAsia="仿宋"/>
          <w:sz w:val="28"/>
          <w:szCs w:val="28"/>
        </w:rPr>
        <w:t xml:space="preserve">        </w:t>
      </w:r>
      <w:r>
        <w:rPr>
          <w:rFonts w:hint="eastAsia" w:ascii="仿宋" w:hAnsi="仿宋" w:eastAsia="仿宋"/>
          <w:b/>
          <w:sz w:val="32"/>
          <w:szCs w:val="32"/>
        </w:rPr>
        <w:t xml:space="preserve">  </w:t>
      </w:r>
    </w:p>
    <w:p w14:paraId="40ECBBBE">
      <w:pPr>
        <w:snapToGrid w:val="0"/>
        <w:spacing w:beforeLines="50" w:afterLines="50"/>
        <w:rPr>
          <w:rFonts w:ascii="仿宋" w:hAnsi="仿宋" w:eastAsia="仿宋"/>
          <w:sz w:val="24"/>
        </w:rPr>
      </w:pPr>
      <w:r>
        <w:rPr>
          <w:rFonts w:hint="eastAsia" w:ascii="仿宋" w:hAnsi="仿宋" w:eastAsia="仿宋"/>
          <w:sz w:val="24"/>
        </w:rPr>
        <w:t>特别说明：</w:t>
      </w:r>
    </w:p>
    <w:p w14:paraId="6BA706B9">
      <w:pPr>
        <w:spacing w:line="360" w:lineRule="auto"/>
        <w:ind w:firstLine="480" w:firstLineChars="200"/>
        <w:rPr>
          <w:rFonts w:ascii="仿宋" w:hAnsi="仿宋" w:eastAsia="仿宋"/>
          <w:sz w:val="24"/>
        </w:rPr>
      </w:pPr>
      <w:r>
        <w:rPr>
          <w:rFonts w:hint="eastAsia" w:ascii="仿宋" w:hAnsi="仿宋" w:eastAsia="仿宋"/>
          <w:sz w:val="24"/>
        </w:rPr>
        <w:t>1.需求中不允许偏离的实质性要求和条件，以“▲”号标明。</w:t>
      </w:r>
    </w:p>
    <w:p w14:paraId="5D65AE84">
      <w:pPr>
        <w:spacing w:line="360" w:lineRule="auto"/>
        <w:ind w:firstLine="480" w:firstLineChars="200"/>
        <w:rPr>
          <w:rFonts w:ascii="仿宋" w:hAnsi="仿宋" w:eastAsia="仿宋"/>
          <w:sz w:val="24"/>
        </w:rPr>
      </w:pPr>
      <w:r>
        <w:rPr>
          <w:rFonts w:hint="eastAsia" w:ascii="仿宋" w:hAnsi="仿宋" w:eastAsia="仿宋"/>
          <w:sz w:val="24"/>
        </w:rPr>
        <w:t>2.</w:t>
      </w:r>
      <w:r>
        <w:rPr>
          <w:rFonts w:hint="eastAsia" w:ascii="仿宋" w:hAnsi="仿宋" w:eastAsia="仿宋" w:cs="仿宋_GB2312"/>
          <w:sz w:val="24"/>
        </w:rPr>
        <w:t>单</w:t>
      </w:r>
      <w:r>
        <w:rPr>
          <w:rFonts w:ascii="仿宋" w:hAnsi="仿宋" w:eastAsia="仿宋" w:cs="仿宋_GB2312"/>
          <w:sz w:val="24"/>
        </w:rPr>
        <w:t>一产品采购项目</w:t>
      </w:r>
      <w:r>
        <w:rPr>
          <w:rFonts w:hint="eastAsia" w:ascii="仿宋" w:hAnsi="仿宋" w:eastAsia="仿宋" w:cs="仿宋_GB2312"/>
          <w:sz w:val="24"/>
        </w:rPr>
        <w:t>中的该产品或者非</w:t>
      </w:r>
      <w:r>
        <w:rPr>
          <w:rFonts w:ascii="仿宋" w:hAnsi="仿宋" w:eastAsia="仿宋" w:cs="仿宋_GB2312"/>
          <w:sz w:val="24"/>
        </w:rPr>
        <w:t>单一产品采购项目</w:t>
      </w:r>
      <w:r>
        <w:rPr>
          <w:rFonts w:hint="eastAsia" w:ascii="仿宋" w:hAnsi="仿宋" w:eastAsia="仿宋" w:cs="仿宋_GB2312"/>
          <w:sz w:val="24"/>
        </w:rPr>
        <w:t>的核心产品，以</w:t>
      </w:r>
      <w:r>
        <w:rPr>
          <w:rFonts w:hint="eastAsia" w:ascii="仿宋" w:hAnsi="仿宋" w:eastAsia="仿宋"/>
          <w:sz w:val="24"/>
        </w:rPr>
        <w:t>“★”</w:t>
      </w:r>
      <w:r>
        <w:rPr>
          <w:rFonts w:hint="eastAsia" w:ascii="仿宋" w:hAnsi="仿宋" w:eastAsia="仿宋" w:cs="仿宋_GB2312"/>
          <w:sz w:val="24"/>
        </w:rPr>
        <w:t>标明。</w:t>
      </w:r>
    </w:p>
    <w:p w14:paraId="69ECB4B6">
      <w:pPr>
        <w:spacing w:line="360" w:lineRule="auto"/>
        <w:ind w:firstLine="480" w:firstLineChars="200"/>
        <w:rPr>
          <w:rFonts w:ascii="仿宋" w:hAnsi="仿宋" w:eastAsia="仿宋"/>
          <w:sz w:val="24"/>
        </w:rPr>
      </w:pPr>
      <w:r>
        <w:rPr>
          <w:rFonts w:hint="eastAsia" w:ascii="仿宋" w:hAnsi="仿宋" w:eastAsia="仿宋"/>
          <w:sz w:val="24"/>
        </w:rPr>
        <w:t>3.本招标文件如涉及各类品牌、型号，则所述品牌、型号是结合实际现有情况的推荐性参考方案，投标方也可根据招标文件的要求提供性能相当或高于、服务条款相等或高于、符合招标方实际业务需求其它同档次优质品牌的产品参加投标。</w:t>
      </w:r>
    </w:p>
    <w:p w14:paraId="33C2E831">
      <w:pPr>
        <w:pStyle w:val="58"/>
        <w:ind w:firstLine="0"/>
      </w:pPr>
    </w:p>
    <w:p w14:paraId="03E63CC1">
      <w:pPr>
        <w:pStyle w:val="58"/>
        <w:ind w:firstLine="0"/>
      </w:pPr>
    </w:p>
    <w:p w14:paraId="1AB1416D">
      <w:pPr>
        <w:spacing w:line="360" w:lineRule="auto"/>
        <w:rPr>
          <w:rFonts w:ascii="仿宋" w:hAnsi="仿宋" w:eastAsia="仿宋"/>
          <w:sz w:val="24"/>
        </w:rPr>
      </w:pPr>
      <w:r>
        <w:rPr>
          <w:rFonts w:hint="eastAsia" w:ascii="仿宋" w:hAnsi="仿宋" w:eastAsia="仿宋" w:cs="Arial"/>
          <w:kern w:val="0"/>
          <w:sz w:val="24"/>
        </w:rPr>
        <w:t>（服务类）</w:t>
      </w:r>
    </w:p>
    <w:p w14:paraId="08FAE6E4">
      <w:pPr>
        <w:snapToGrid w:val="0"/>
        <w:spacing w:line="560" w:lineRule="exact"/>
        <w:ind w:firstLine="3052" w:firstLineChars="950"/>
        <w:rPr>
          <w:rFonts w:ascii="仿宋" w:hAnsi="仿宋" w:eastAsia="仿宋"/>
          <w:b/>
          <w:sz w:val="28"/>
          <w:szCs w:val="28"/>
        </w:rPr>
      </w:pPr>
      <w:r>
        <w:rPr>
          <w:rFonts w:hint="eastAsia" w:ascii="仿宋" w:hAnsi="仿宋" w:eastAsia="仿宋" w:cs="仿宋_GB2312"/>
          <w:b/>
          <w:sz w:val="32"/>
        </w:rPr>
        <w:t>一、服务清单及要求</w:t>
      </w:r>
    </w:p>
    <w:p w14:paraId="4CF51060">
      <w:pPr>
        <w:spacing w:line="560" w:lineRule="exact"/>
        <w:ind w:firstLine="480" w:firstLineChars="200"/>
        <w:rPr>
          <w:rFonts w:hint="eastAsia" w:ascii="仿宋" w:hAnsi="仿宋" w:eastAsia="仿宋"/>
          <w:b w:val="0"/>
          <w:bCs w:val="0"/>
          <w:sz w:val="24"/>
          <w:szCs w:val="28"/>
          <w:lang w:val="en-US" w:eastAsia="zh-CN"/>
        </w:rPr>
      </w:pPr>
      <w:r>
        <w:rPr>
          <w:rFonts w:hint="eastAsia" w:ascii="仿宋" w:hAnsi="仿宋" w:eastAsia="仿宋"/>
          <w:b w:val="0"/>
          <w:bCs w:val="0"/>
          <w:sz w:val="24"/>
          <w:szCs w:val="28"/>
          <w:lang w:eastAsia="zh-CN"/>
        </w:rPr>
        <w:t>主要建设内容为</w:t>
      </w:r>
      <w:r>
        <w:rPr>
          <w:rFonts w:hint="eastAsia" w:ascii="仿宋" w:hAnsi="仿宋" w:eastAsia="仿宋"/>
          <w:b w:val="0"/>
          <w:bCs w:val="0"/>
          <w:sz w:val="24"/>
          <w:szCs w:val="28"/>
          <w:lang w:val="en-US" w:eastAsia="zh-CN"/>
        </w:rPr>
        <w:t>;</w:t>
      </w:r>
    </w:p>
    <w:p w14:paraId="088C3799">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1、临空光电信息产业园区西区一期配套道路包括：</w:t>
      </w:r>
    </w:p>
    <w:p w14:paraId="34AD473A">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（1）兴业路：南起霓裳路，北至杭甬客运专线。道路长约389米，红线宽18米，城市支路，双向二车道，建安费约为770万元。</w:t>
      </w:r>
    </w:p>
    <w:p w14:paraId="7BFF6480">
      <w:pPr>
        <w:spacing w:line="560" w:lineRule="exact"/>
        <w:ind w:firstLine="480" w:firstLineChars="200"/>
        <w:rPr>
          <w:rFonts w:hint="default"/>
          <w:lang w:val="en-US" w:eastAsia="zh-CN"/>
        </w:rPr>
      </w:pPr>
      <w:r>
        <w:rPr>
          <w:rFonts w:hint="eastAsia" w:ascii="仿宋" w:hAnsi="仿宋" w:eastAsia="仿宋"/>
          <w:sz w:val="24"/>
          <w:szCs w:val="28"/>
          <w:highlight w:val="none"/>
          <w:lang w:val="en-US" w:eastAsia="zh-CN"/>
        </w:rPr>
        <w:t>（2）霓裳路：西起万绣路，东至规划东沙路。道路长700米，红线宽28米，城市次干路，双向四车道包含一座1×16m桥梁，建安费约为3200万元。</w:t>
      </w:r>
    </w:p>
    <w:p w14:paraId="455CD2AD">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（3）园北路：西起QQ-02-03-46地块西北角，东至规划东沙路。道路长413米，红线宽18米，城市支路，双向二车道。建安费约为820万元。</w:t>
      </w:r>
    </w:p>
    <w:p w14:paraId="65555338">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（4）东沙路：南起群贤路，北至霓裳路。道路长492米，红线宽28米，城市次干路，双向四车道，包含一座1×13m桥梁，建安费约为2490万元。</w:t>
      </w:r>
    </w:p>
    <w:p w14:paraId="7247C590">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（5）群贤路（万绣路—东沙路段）：单侧往南拓宽约6.75米，总长约650米，主要补全南侧侧分带、非机动车道及人行道。建安费估算约615万元。</w:t>
      </w:r>
    </w:p>
    <w:p w14:paraId="0ECF8A84">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（6）万绣路（群贤路—瓜渚路段）：往东拓宽，主要补全人行道，及桥下地块接入道路，总长约950m，建安费估算约1064万元。</w:t>
      </w:r>
    </w:p>
    <w:p w14:paraId="72F0EA5A">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2、临空智能制造产业园北区一期配套道路包括：</w:t>
      </w:r>
    </w:p>
    <w:p w14:paraId="111491BD">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（1）中兴路：西起建吴路东侧现状河道，东至规划螺山路。道路长约980米，红线宽22米，城市次干路，双向二车道，包含3×10m桥梁一座，建安费约为4250万元。</w:t>
      </w:r>
    </w:p>
    <w:p w14:paraId="7F25BEFD">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（2）滨江路：西起建吴路东侧现状河道，东至规划公园路。道路长547米，红线宽16米，城市支路，双向二车道，建安费约为1100万元。</w:t>
      </w:r>
    </w:p>
    <w:p w14:paraId="667BB035">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（3）螺山路：北起规划中兴路，南至杨江大道。道路长274米，红线宽20米，城市支路，双向二车道，建安费约为727万元。</w:t>
      </w:r>
    </w:p>
    <w:p w14:paraId="6ADE5091">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（4）公园路：北起规划滨江路，南至杨江大道。道路长469米，红线宽22米，城市次干路，双线二车道，建安费约为1485万元。</w:t>
      </w:r>
    </w:p>
    <w:p w14:paraId="50640A6D">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（5）紫辰路：北起规划滨江路，南至杨江大道。道路长274米，红线宽18米，城市支路，双向二车道，建安费约为574万元。</w:t>
      </w:r>
    </w:p>
    <w:p w14:paraId="5AA5FD7E">
      <w:pPr>
        <w:spacing w:line="560" w:lineRule="exact"/>
        <w:ind w:firstLine="480" w:firstLineChars="200"/>
        <w:rPr>
          <w:rFonts w:ascii="仿宋" w:hAnsi="仿宋" w:eastAsia="仿宋"/>
          <w:sz w:val="24"/>
          <w:szCs w:val="28"/>
          <w:highlight w:val="none"/>
        </w:rPr>
      </w:pPr>
      <w:r>
        <w:rPr>
          <w:rFonts w:hint="eastAsia" w:ascii="仿宋" w:hAnsi="仿宋" w:eastAsia="仿宋"/>
          <w:sz w:val="24"/>
          <w:szCs w:val="28"/>
          <w:highlight w:val="none"/>
          <w:u w:val="none"/>
        </w:rPr>
        <w:t xml:space="preserve"> 服务内容包括以上项目施工、监理、材料设备采购等涉及的所有项目（已完成招标的项目除外）招标文件编制</w:t>
      </w:r>
      <w:r>
        <w:rPr>
          <w:rFonts w:hint="eastAsia" w:ascii="仿宋" w:hAnsi="仿宋" w:eastAsia="仿宋"/>
          <w:sz w:val="24"/>
          <w:szCs w:val="28"/>
          <w:highlight w:val="none"/>
          <w:u w:val="none"/>
          <w:lang w:val="en-US" w:eastAsia="zh-CN"/>
        </w:rPr>
        <w:t>及施工类标底审核服务</w:t>
      </w:r>
      <w:r>
        <w:rPr>
          <w:rFonts w:hint="eastAsia" w:ascii="仿宋" w:hAnsi="仿宋" w:eastAsia="仿宋"/>
          <w:sz w:val="24"/>
          <w:szCs w:val="28"/>
          <w:highlight w:val="none"/>
          <w:u w:val="none"/>
          <w:lang w:eastAsia="zh-CN"/>
        </w:rPr>
        <w:t>。</w:t>
      </w:r>
      <w:r>
        <w:rPr>
          <w:rFonts w:hint="eastAsia" w:ascii="仿宋" w:hAnsi="仿宋" w:eastAsia="仿宋"/>
          <w:sz w:val="24"/>
          <w:szCs w:val="28"/>
          <w:highlight w:val="none"/>
        </w:rPr>
        <w:t>估算建安工程</w:t>
      </w:r>
      <w:r>
        <w:rPr>
          <w:rFonts w:hint="eastAsia" w:ascii="仿宋" w:hAnsi="仿宋" w:eastAsia="仿宋"/>
          <w:sz w:val="24"/>
          <w:szCs w:val="28"/>
          <w:highlight w:val="none"/>
          <w:lang w:val="en-US" w:eastAsia="zh-CN"/>
        </w:rPr>
        <w:t>投资约</w:t>
      </w:r>
      <w:r>
        <w:rPr>
          <w:rFonts w:hint="eastAsia" w:ascii="仿宋" w:hAnsi="仿宋" w:eastAsia="仿宋"/>
          <w:sz w:val="24"/>
          <w:szCs w:val="28"/>
          <w:highlight w:val="none"/>
          <w:u w:val="single"/>
          <w:lang w:val="en-US" w:eastAsia="zh-CN"/>
        </w:rPr>
        <w:t>17095</w:t>
      </w:r>
      <w:r>
        <w:rPr>
          <w:rFonts w:hint="eastAsia" w:ascii="仿宋" w:hAnsi="仿宋" w:eastAsia="仿宋"/>
          <w:sz w:val="24"/>
          <w:szCs w:val="28"/>
          <w:highlight w:val="none"/>
          <w:lang w:eastAsia="zh-CN"/>
        </w:rPr>
        <w:t>万</w:t>
      </w:r>
      <w:r>
        <w:rPr>
          <w:rFonts w:hint="eastAsia" w:ascii="仿宋" w:hAnsi="仿宋" w:eastAsia="仿宋"/>
          <w:sz w:val="24"/>
          <w:szCs w:val="28"/>
          <w:highlight w:val="none"/>
        </w:rPr>
        <w:t>元。</w:t>
      </w:r>
      <w:r>
        <w:rPr>
          <w:rFonts w:hint="eastAsia" w:ascii="仿宋" w:hAnsi="仿宋" w:eastAsia="仿宋"/>
          <w:sz w:val="24"/>
          <w:szCs w:val="28"/>
          <w:highlight w:val="none"/>
          <w:u w:val="none"/>
        </w:rPr>
        <w:t>估算服务费约</w:t>
      </w:r>
      <w:r>
        <w:rPr>
          <w:rFonts w:hint="eastAsia" w:ascii="仿宋" w:hAnsi="仿宋" w:eastAsia="仿宋"/>
          <w:sz w:val="24"/>
          <w:szCs w:val="28"/>
          <w:highlight w:val="yellow"/>
          <w:u w:val="single"/>
          <w:lang w:val="en-US" w:eastAsia="zh-CN"/>
        </w:rPr>
        <w:t>40.9937万</w:t>
      </w:r>
      <w:r>
        <w:rPr>
          <w:rFonts w:hint="eastAsia" w:ascii="仿宋" w:hAnsi="仿宋" w:eastAsia="仿宋"/>
          <w:sz w:val="24"/>
          <w:szCs w:val="28"/>
          <w:highlight w:val="yellow"/>
          <w:u w:val="single"/>
        </w:rPr>
        <w:t>元</w:t>
      </w:r>
      <w:r>
        <w:rPr>
          <w:rFonts w:hint="eastAsia" w:ascii="仿宋" w:hAnsi="仿宋" w:eastAsia="仿宋"/>
          <w:sz w:val="24"/>
          <w:szCs w:val="28"/>
          <w:highlight w:val="none"/>
          <w:u w:val="none"/>
        </w:rPr>
        <w:t>。</w:t>
      </w:r>
    </w:p>
    <w:p w14:paraId="7D38E94C">
      <w:pPr>
        <w:spacing w:line="560" w:lineRule="exact"/>
        <w:ind w:firstLine="480" w:firstLineChars="200"/>
        <w:rPr>
          <w:rFonts w:hint="eastAsia" w:ascii="仿宋" w:hAnsi="仿宋" w:eastAsia="仿宋"/>
          <w:b w:val="0"/>
          <w:bCs w:val="0"/>
          <w:sz w:val="24"/>
          <w:szCs w:val="28"/>
          <w:highlight w:val="none"/>
          <w:lang w:eastAsia="zh-CN"/>
        </w:rPr>
      </w:pPr>
      <w:r>
        <w:rPr>
          <w:rFonts w:hint="eastAsia" w:ascii="仿宋" w:hAnsi="仿宋" w:eastAsia="仿宋"/>
          <w:b w:val="0"/>
          <w:bCs w:val="0"/>
          <w:sz w:val="24"/>
          <w:szCs w:val="28"/>
          <w:highlight w:val="none"/>
          <w:lang w:eastAsia="zh-CN"/>
        </w:rPr>
        <w:t>备注：本项目如因招标人原因引起后续发包人或委托人名称（浙江绍兴杭绍临空示范区开发集团（区轨道交通集团）及下属各级子公司）与本次招标人不一致的，另行签订三方协议明确；本项目如因招标人立项方案变化引起项目规模缩减（建安减少）或项目取消，中标人须无条件服从，涉及项目取消的双方自动解除合同，互相不追究责任。</w:t>
      </w:r>
    </w:p>
    <w:p w14:paraId="21977A5B">
      <w:pPr>
        <w:widowControl/>
        <w:snapToGrid w:val="0"/>
        <w:spacing w:line="560" w:lineRule="exact"/>
        <w:ind w:firstLine="482" w:firstLineChars="200"/>
        <w:rPr>
          <w:rFonts w:ascii="仿宋" w:eastAsia="仿宋"/>
          <w:kern w:val="0"/>
          <w:sz w:val="24"/>
          <w:highlight w:val="none"/>
        </w:rPr>
      </w:pPr>
      <w:r>
        <w:rPr>
          <w:rFonts w:hint="eastAsia" w:ascii="仿宋" w:eastAsia="仿宋"/>
          <w:b/>
          <w:bCs/>
          <w:kern w:val="0"/>
          <w:sz w:val="24"/>
          <w:highlight w:val="none"/>
          <w:lang w:val="en-US" w:eastAsia="zh-CN"/>
        </w:rPr>
        <w:t>1</w:t>
      </w:r>
      <w:r>
        <w:rPr>
          <w:rFonts w:hint="eastAsia" w:ascii="仿宋" w:eastAsia="仿宋"/>
          <w:b/>
          <w:bCs/>
          <w:kern w:val="0"/>
          <w:sz w:val="24"/>
          <w:highlight w:val="none"/>
        </w:rPr>
        <w:t>、服务要求、服务范围：</w:t>
      </w:r>
    </w:p>
    <w:p w14:paraId="2B0D4194">
      <w:pPr>
        <w:pStyle w:val="22"/>
        <w:spacing w:line="560" w:lineRule="exact"/>
        <w:ind w:firstLine="480"/>
        <w:rPr>
          <w:rFonts w:ascii="仿宋" w:hAnsi="仿宋" w:eastAsia="仿宋" w:cs="Times New Roman"/>
          <w:b/>
          <w:bCs/>
          <w:snapToGrid/>
          <w:color w:val="000000"/>
          <w:szCs w:val="24"/>
          <w:highlight w:val="none"/>
          <w:lang w:val="en-US"/>
        </w:rPr>
      </w:pPr>
      <w:r>
        <w:rPr>
          <w:rFonts w:hint="eastAsia" w:ascii="仿宋" w:hAnsi="仿宋" w:eastAsia="仿宋" w:cs="Times New Roman"/>
          <w:b/>
          <w:bCs/>
          <w:snapToGrid/>
          <w:color w:val="000000"/>
          <w:szCs w:val="24"/>
          <w:highlight w:val="none"/>
          <w:lang w:val="en-US" w:eastAsia="zh-CN"/>
        </w:rPr>
        <w:t>1</w:t>
      </w:r>
      <w:r>
        <w:rPr>
          <w:rFonts w:hint="eastAsia" w:ascii="仿宋" w:hAnsi="仿宋" w:eastAsia="仿宋" w:cs="Times New Roman"/>
          <w:b/>
          <w:bCs/>
          <w:snapToGrid/>
          <w:color w:val="000000"/>
          <w:szCs w:val="24"/>
          <w:highlight w:val="none"/>
          <w:lang w:val="en-US"/>
        </w:rPr>
        <w:t>.1招标代理主要事项：</w:t>
      </w:r>
    </w:p>
    <w:p w14:paraId="572DB4ED">
      <w:pPr>
        <w:spacing w:line="560" w:lineRule="exact"/>
        <w:ind w:firstLine="480" w:firstLineChars="200"/>
        <w:rPr>
          <w:rFonts w:ascii="仿宋" w:hAnsi="仿宋" w:eastAsia="仿宋"/>
          <w:sz w:val="24"/>
          <w:szCs w:val="28"/>
        </w:rPr>
      </w:pPr>
      <w:r>
        <w:rPr>
          <w:rFonts w:hint="eastAsia" w:ascii="仿宋" w:hAnsi="仿宋" w:eastAsia="仿宋"/>
          <w:sz w:val="24"/>
          <w:szCs w:val="28"/>
          <w:highlight w:val="none"/>
          <w:lang w:val="en-US" w:eastAsia="zh-CN"/>
        </w:rPr>
        <w:t>1</w:t>
      </w:r>
      <w:r>
        <w:rPr>
          <w:rFonts w:hint="eastAsia" w:ascii="仿宋" w:hAnsi="仿宋" w:eastAsia="仿宋"/>
          <w:sz w:val="24"/>
          <w:szCs w:val="28"/>
          <w:highlight w:val="none"/>
        </w:rPr>
        <w:t>.1.1</w:t>
      </w:r>
      <w:r>
        <w:rPr>
          <w:rFonts w:hint="eastAsia" w:ascii="仿宋" w:hAnsi="仿宋" w:eastAsia="仿宋"/>
          <w:sz w:val="24"/>
          <w:szCs w:val="28"/>
          <w:highlight w:val="none"/>
          <w:lang w:eastAsia="zh-CN"/>
        </w:rPr>
        <w:t>项目</w:t>
      </w:r>
      <w:r>
        <w:rPr>
          <w:rFonts w:hint="eastAsia" w:ascii="仿宋" w:hAnsi="仿宋" w:eastAsia="仿宋"/>
          <w:sz w:val="24"/>
          <w:szCs w:val="28"/>
          <w:highlight w:val="none"/>
        </w:rPr>
        <w:t>涉及的所有项目招标代理（已招标项目除外），</w:t>
      </w:r>
      <w:r>
        <w:rPr>
          <w:rFonts w:hint="eastAsia" w:ascii="仿宋" w:hAnsi="仿宋" w:eastAsia="仿宋"/>
          <w:sz w:val="24"/>
          <w:szCs w:val="28"/>
        </w:rPr>
        <w:t>包括但不限于施工、监理等内容；</w:t>
      </w:r>
    </w:p>
    <w:p w14:paraId="247C282A">
      <w:pPr>
        <w:widowControl/>
        <w:spacing w:line="560" w:lineRule="exact"/>
        <w:ind w:firstLine="480"/>
        <w:jc w:val="left"/>
        <w:rPr>
          <w:rFonts w:hint="default" w:ascii="仿宋" w:eastAsia="仿宋"/>
          <w:kern w:val="0"/>
          <w:sz w:val="24"/>
          <w:highlight w:val="none"/>
          <w:lang w:val="en-US" w:eastAsia="zh-CN"/>
        </w:rPr>
      </w:pPr>
      <w:r>
        <w:rPr>
          <w:rFonts w:hint="eastAsia" w:ascii="仿宋" w:eastAsia="仿宋"/>
          <w:kern w:val="0"/>
          <w:sz w:val="24"/>
          <w:lang w:val="en-US" w:eastAsia="zh-CN"/>
        </w:rPr>
        <w:t>1</w:t>
      </w:r>
      <w:r>
        <w:rPr>
          <w:rFonts w:hint="eastAsia" w:ascii="仿宋" w:eastAsia="仿宋"/>
          <w:kern w:val="0"/>
          <w:sz w:val="24"/>
        </w:rPr>
        <w:t>.1.2协助业主向招投标监督管理部门提出招标（采购）申请；提供招标安排实施计划（供审查）；代拟招标方案；编制及修改招标文件并报批；编制招标的预算(限价),并报有关管理部门的审查；发布招标公告(包括网上发布)；组织接收投标申请人报名；组织审查潜在投标人资格；负责对全部招标有关文件的编制；负责全部招标文件的校对、印刷、装订和出版（份数根据业主要求提供）；组织现场考察和投标预备会；负责招标文件补遗书的编制、发送、回执接收等一切有关工作；组织开标、评标；草拟工程合同、协助合同谈判等有关活动；编制招投</w:t>
      </w:r>
      <w:r>
        <w:rPr>
          <w:rFonts w:hint="eastAsia" w:ascii="仿宋" w:eastAsia="仿宋"/>
          <w:kern w:val="0"/>
          <w:sz w:val="24"/>
          <w:highlight w:val="none"/>
        </w:rPr>
        <w:t>标情况书面报告；全过程负责对标文、预算（上限价）、合同的解释；负责招标代理其他事宜。</w:t>
      </w:r>
      <w:r>
        <w:rPr>
          <w:rFonts w:hint="eastAsia" w:ascii="仿宋" w:eastAsia="仿宋"/>
          <w:kern w:val="0"/>
          <w:sz w:val="24"/>
          <w:highlight w:val="none"/>
          <w:lang w:val="en-US" w:eastAsia="zh-CN"/>
        </w:rPr>
        <w:t>所有招标资料及标底均需完成电子版归档。</w:t>
      </w:r>
    </w:p>
    <w:p w14:paraId="6C2554F2">
      <w:pPr>
        <w:widowControl/>
        <w:spacing w:line="560" w:lineRule="exact"/>
        <w:ind w:firstLine="480"/>
        <w:jc w:val="left"/>
        <w:rPr>
          <w:rFonts w:hint="eastAsia" w:ascii="仿宋" w:eastAsia="仿宋"/>
          <w:b/>
          <w:bCs/>
          <w:kern w:val="0"/>
          <w:sz w:val="24"/>
          <w:highlight w:val="none"/>
        </w:rPr>
      </w:pPr>
      <w:r>
        <w:rPr>
          <w:rFonts w:hint="eastAsia" w:ascii="仿宋" w:eastAsia="仿宋"/>
          <w:kern w:val="0"/>
          <w:sz w:val="24"/>
          <w:highlight w:val="none"/>
          <w:lang w:val="en-US" w:eastAsia="zh-CN"/>
        </w:rPr>
        <w:t>1</w:t>
      </w:r>
      <w:r>
        <w:rPr>
          <w:rFonts w:hint="eastAsia" w:ascii="仿宋" w:eastAsia="仿宋"/>
          <w:kern w:val="0"/>
          <w:sz w:val="24"/>
          <w:highlight w:val="none"/>
        </w:rPr>
        <w:t>.</w:t>
      </w:r>
      <w:r>
        <w:rPr>
          <w:rFonts w:hint="eastAsia" w:ascii="仿宋" w:eastAsia="仿宋"/>
          <w:kern w:val="0"/>
          <w:sz w:val="24"/>
          <w:highlight w:val="none"/>
          <w:lang w:val="en-US" w:eastAsia="zh-CN"/>
        </w:rPr>
        <w:t>1</w:t>
      </w:r>
      <w:r>
        <w:rPr>
          <w:rFonts w:hint="eastAsia" w:ascii="仿宋" w:eastAsia="仿宋"/>
          <w:kern w:val="0"/>
          <w:sz w:val="24"/>
          <w:highlight w:val="none"/>
        </w:rPr>
        <w:t>.</w:t>
      </w:r>
      <w:r>
        <w:rPr>
          <w:rFonts w:hint="eastAsia" w:ascii="仿宋" w:eastAsia="仿宋"/>
          <w:kern w:val="0"/>
          <w:sz w:val="24"/>
          <w:highlight w:val="none"/>
          <w:lang w:val="en-US" w:eastAsia="zh-CN"/>
        </w:rPr>
        <w:t>3</w:t>
      </w:r>
      <w:r>
        <w:rPr>
          <w:rFonts w:hint="eastAsia" w:ascii="仿宋" w:eastAsia="仿宋"/>
          <w:kern w:val="0"/>
          <w:sz w:val="24"/>
          <w:highlight w:val="none"/>
        </w:rPr>
        <w:t>招标工作完成后整理</w:t>
      </w:r>
      <w:r>
        <w:rPr>
          <w:rFonts w:hint="eastAsia" w:ascii="仿宋" w:eastAsia="仿宋"/>
          <w:kern w:val="0"/>
          <w:sz w:val="24"/>
          <w:highlight w:val="none"/>
          <w:lang w:val="en-US" w:eastAsia="zh-CN"/>
        </w:rPr>
        <w:t>3</w:t>
      </w:r>
      <w:r>
        <w:rPr>
          <w:rFonts w:hint="eastAsia" w:ascii="仿宋" w:eastAsia="仿宋"/>
          <w:kern w:val="0"/>
          <w:sz w:val="24"/>
          <w:highlight w:val="none"/>
        </w:rPr>
        <w:t>套招投标资料（书式装订）及相关部门资料整理等。</w:t>
      </w:r>
    </w:p>
    <w:p w14:paraId="66A49819">
      <w:pPr>
        <w:pStyle w:val="31"/>
        <w:spacing w:line="560" w:lineRule="exact"/>
        <w:ind w:firstLine="472" w:firstLineChars="196"/>
        <w:rPr>
          <w:rFonts w:hint="eastAsia" w:ascii="仿宋" w:hAnsi="仿宋" w:eastAsia="仿宋" w:cs="Times New Roman"/>
          <w:b/>
          <w:bCs/>
          <w:snapToGrid/>
          <w:color w:val="000000"/>
          <w:sz w:val="24"/>
          <w:szCs w:val="24"/>
          <w:highlight w:val="none"/>
          <w:lang w:eastAsia="zh-CN"/>
        </w:rPr>
      </w:pPr>
      <w:r>
        <w:rPr>
          <w:rFonts w:hint="eastAsia" w:ascii="仿宋" w:hAnsi="仿宋" w:eastAsia="仿宋" w:cs="Times New Roman"/>
          <w:b/>
          <w:bCs/>
          <w:snapToGrid/>
          <w:color w:val="000000"/>
          <w:sz w:val="24"/>
          <w:szCs w:val="24"/>
          <w:highlight w:val="none"/>
          <w:lang w:val="en-US" w:eastAsia="zh-CN"/>
        </w:rPr>
        <w:t>1.2标底</w:t>
      </w:r>
      <w:r>
        <w:rPr>
          <w:rFonts w:hint="eastAsia" w:ascii="仿宋" w:hAnsi="仿宋" w:eastAsia="仿宋" w:cs="Times New Roman"/>
          <w:b/>
          <w:bCs/>
          <w:snapToGrid/>
          <w:color w:val="000000"/>
          <w:sz w:val="24"/>
          <w:szCs w:val="24"/>
          <w:highlight w:val="none"/>
        </w:rPr>
        <w:t>审核</w:t>
      </w:r>
      <w:r>
        <w:rPr>
          <w:rFonts w:hint="eastAsia" w:ascii="仿宋" w:hAnsi="仿宋" w:eastAsia="仿宋" w:cs="Times New Roman"/>
          <w:b/>
          <w:bCs/>
          <w:snapToGrid/>
          <w:color w:val="000000"/>
          <w:szCs w:val="24"/>
          <w:highlight w:val="none"/>
          <w:lang w:val="en-US"/>
        </w:rPr>
        <w:t>主要事项</w:t>
      </w:r>
      <w:r>
        <w:rPr>
          <w:rFonts w:hint="eastAsia" w:ascii="仿宋" w:hAnsi="仿宋" w:eastAsia="仿宋" w:cs="Times New Roman"/>
          <w:b/>
          <w:bCs/>
          <w:snapToGrid/>
          <w:color w:val="000000"/>
          <w:sz w:val="24"/>
          <w:szCs w:val="24"/>
          <w:highlight w:val="none"/>
          <w:lang w:eastAsia="zh-CN"/>
        </w:rPr>
        <w:t>：</w:t>
      </w:r>
    </w:p>
    <w:p w14:paraId="6BC8B637">
      <w:pPr>
        <w:widowControl/>
        <w:snapToGrid w:val="0"/>
        <w:spacing w:line="560" w:lineRule="exact"/>
        <w:ind w:firstLine="480" w:firstLineChars="200"/>
        <w:rPr>
          <w:rFonts w:hint="eastAsia" w:ascii="仿宋" w:eastAsia="仿宋" w:cs="Times New Roman"/>
          <w:kern w:val="0"/>
          <w:sz w:val="24"/>
          <w:highlight w:val="none"/>
          <w:lang w:eastAsia="zh-CN"/>
        </w:rPr>
      </w:pPr>
      <w:r>
        <w:rPr>
          <w:rFonts w:hint="eastAsia" w:ascii="仿宋" w:eastAsia="仿宋" w:cs="Times New Roman"/>
          <w:kern w:val="0"/>
          <w:sz w:val="24"/>
          <w:highlight w:val="none"/>
          <w:lang w:val="en-US" w:eastAsia="zh-CN"/>
        </w:rPr>
        <w:t>1.2.1</w:t>
      </w:r>
      <w:r>
        <w:rPr>
          <w:rFonts w:hint="eastAsia" w:ascii="仿宋" w:eastAsia="仿宋" w:cs="Times New Roman"/>
          <w:kern w:val="0"/>
          <w:sz w:val="24"/>
          <w:highlight w:val="none"/>
          <w:lang w:eastAsia="zh-CN"/>
        </w:rPr>
        <w:t>投标人须对</w:t>
      </w:r>
      <w:r>
        <w:rPr>
          <w:rFonts w:hint="eastAsia" w:ascii="仿宋" w:hAnsi="Times New Roman" w:eastAsia="仿宋" w:cs="Times New Roman"/>
          <w:kern w:val="0"/>
          <w:sz w:val="24"/>
          <w:highlight w:val="none"/>
        </w:rPr>
        <w:t>招标范围内的</w:t>
      </w:r>
      <w:r>
        <w:rPr>
          <w:rFonts w:hint="eastAsia" w:ascii="仿宋" w:eastAsia="仿宋" w:cs="Times New Roman"/>
          <w:kern w:val="0"/>
          <w:sz w:val="24"/>
          <w:highlight w:val="none"/>
          <w:lang w:val="en-US" w:eastAsia="zh-CN"/>
        </w:rPr>
        <w:t>30%以上的内容</w:t>
      </w:r>
      <w:r>
        <w:rPr>
          <w:rFonts w:hint="eastAsia" w:ascii="仿宋" w:hAnsi="Times New Roman" w:eastAsia="仿宋" w:cs="Times New Roman"/>
          <w:kern w:val="0"/>
          <w:sz w:val="24"/>
          <w:highlight w:val="none"/>
        </w:rPr>
        <w:t>进行背靠背审核，提供</w:t>
      </w:r>
      <w:r>
        <w:rPr>
          <w:rFonts w:hint="eastAsia" w:ascii="仿宋" w:eastAsia="仿宋" w:cs="Times New Roman"/>
          <w:kern w:val="0"/>
          <w:sz w:val="24"/>
          <w:highlight w:val="none"/>
          <w:lang w:eastAsia="zh-CN"/>
        </w:rPr>
        <w:t>完整</w:t>
      </w:r>
      <w:r>
        <w:rPr>
          <w:rFonts w:hint="eastAsia" w:ascii="仿宋" w:hAnsi="Times New Roman" w:eastAsia="仿宋" w:cs="Times New Roman"/>
          <w:kern w:val="0"/>
          <w:sz w:val="24"/>
          <w:highlight w:val="none"/>
        </w:rPr>
        <w:t>的工程量计算稿及清单预算，</w:t>
      </w:r>
      <w:r>
        <w:rPr>
          <w:rFonts w:hint="eastAsia" w:ascii="仿宋" w:eastAsia="仿宋" w:cs="Times New Roman"/>
          <w:kern w:val="0"/>
          <w:sz w:val="24"/>
          <w:highlight w:val="none"/>
          <w:lang w:val="en-US" w:eastAsia="zh-CN"/>
        </w:rPr>
        <w:t>并</w:t>
      </w:r>
      <w:r>
        <w:rPr>
          <w:rFonts w:hint="eastAsia" w:ascii="仿宋" w:hAnsi="Times New Roman" w:eastAsia="仿宋" w:cs="Times New Roman"/>
          <w:kern w:val="0"/>
          <w:sz w:val="24"/>
          <w:highlight w:val="none"/>
        </w:rPr>
        <w:t>按财政审核口径完成</w:t>
      </w:r>
      <w:r>
        <w:rPr>
          <w:rFonts w:hint="eastAsia" w:ascii="仿宋" w:eastAsia="仿宋" w:cs="Times New Roman"/>
          <w:kern w:val="0"/>
          <w:sz w:val="24"/>
          <w:highlight w:val="none"/>
          <w:lang w:val="en-US" w:eastAsia="zh-CN"/>
        </w:rPr>
        <w:t>全部</w:t>
      </w:r>
      <w:r>
        <w:rPr>
          <w:rFonts w:hint="eastAsia" w:ascii="仿宋" w:hAnsi="Times New Roman" w:eastAsia="仿宋" w:cs="Times New Roman"/>
          <w:kern w:val="0"/>
          <w:sz w:val="24"/>
          <w:highlight w:val="none"/>
        </w:rPr>
        <w:t>标底</w:t>
      </w:r>
      <w:r>
        <w:rPr>
          <w:rFonts w:hint="eastAsia" w:ascii="仿宋" w:eastAsia="仿宋" w:cs="Times New Roman"/>
          <w:kern w:val="0"/>
          <w:sz w:val="24"/>
          <w:highlight w:val="none"/>
          <w:lang w:val="en-US" w:eastAsia="zh-CN"/>
        </w:rPr>
        <w:t>内容</w:t>
      </w:r>
      <w:r>
        <w:rPr>
          <w:rFonts w:hint="eastAsia" w:ascii="仿宋" w:hAnsi="Times New Roman" w:eastAsia="仿宋" w:cs="Times New Roman"/>
          <w:kern w:val="0"/>
          <w:sz w:val="24"/>
          <w:highlight w:val="none"/>
        </w:rPr>
        <w:t>审核</w:t>
      </w:r>
      <w:r>
        <w:rPr>
          <w:rFonts w:hint="eastAsia" w:ascii="仿宋" w:eastAsia="仿宋" w:cs="Times New Roman"/>
          <w:kern w:val="0"/>
          <w:sz w:val="24"/>
          <w:highlight w:val="none"/>
          <w:lang w:eastAsia="zh-CN"/>
        </w:rPr>
        <w:t>。</w:t>
      </w:r>
    </w:p>
    <w:p w14:paraId="49317ACA">
      <w:pPr>
        <w:widowControl/>
        <w:snapToGrid w:val="0"/>
        <w:spacing w:line="560" w:lineRule="exact"/>
        <w:ind w:firstLine="480" w:firstLineChars="200"/>
        <w:rPr>
          <w:rFonts w:hint="eastAsia" w:ascii="仿宋" w:eastAsia="仿宋"/>
          <w:kern w:val="0"/>
          <w:sz w:val="24"/>
        </w:rPr>
      </w:pPr>
      <w:r>
        <w:rPr>
          <w:rFonts w:hint="eastAsia" w:ascii="仿宋" w:eastAsia="仿宋" w:cs="Times New Roman"/>
          <w:kern w:val="0"/>
          <w:sz w:val="24"/>
          <w:highlight w:val="none"/>
          <w:lang w:val="en-US" w:eastAsia="zh-CN"/>
        </w:rPr>
        <w:t>1.2.2</w:t>
      </w:r>
      <w:r>
        <w:rPr>
          <w:rFonts w:hint="eastAsia" w:ascii="仿宋" w:eastAsia="仿宋"/>
          <w:kern w:val="0"/>
          <w:sz w:val="24"/>
        </w:rPr>
        <w:t>若在施工过程中发现标底存在漏项或有疑问的，须</w:t>
      </w:r>
      <w:r>
        <w:rPr>
          <w:rFonts w:hint="eastAsia" w:ascii="仿宋" w:eastAsia="仿宋"/>
          <w:kern w:val="0"/>
          <w:sz w:val="24"/>
          <w:lang w:val="en-US" w:eastAsia="zh-CN"/>
        </w:rPr>
        <w:t>配合编标单位</w:t>
      </w:r>
      <w:r>
        <w:rPr>
          <w:rFonts w:hint="eastAsia" w:ascii="仿宋" w:eastAsia="仿宋"/>
          <w:kern w:val="0"/>
          <w:sz w:val="24"/>
        </w:rPr>
        <w:t>解释</w:t>
      </w:r>
      <w:r>
        <w:rPr>
          <w:rFonts w:hint="eastAsia" w:ascii="仿宋" w:eastAsia="仿宋"/>
          <w:kern w:val="0"/>
          <w:sz w:val="24"/>
          <w:lang w:val="en-US" w:eastAsia="zh-CN"/>
        </w:rPr>
        <w:t>并免费配合编标单位完成费用核算</w:t>
      </w:r>
      <w:r>
        <w:rPr>
          <w:rFonts w:hint="eastAsia" w:ascii="仿宋" w:eastAsia="仿宋"/>
          <w:kern w:val="0"/>
          <w:sz w:val="24"/>
        </w:rPr>
        <w:t>。</w:t>
      </w:r>
    </w:p>
    <w:p w14:paraId="2523C49D">
      <w:pPr>
        <w:widowControl/>
        <w:snapToGrid w:val="0"/>
        <w:spacing w:line="560" w:lineRule="exact"/>
        <w:ind w:firstLine="480" w:firstLineChars="200"/>
        <w:rPr>
          <w:rFonts w:hint="default" w:ascii="仿宋" w:eastAsia="仿宋"/>
          <w:kern w:val="0"/>
          <w:sz w:val="24"/>
          <w:lang w:val="en-US" w:eastAsia="zh-CN"/>
        </w:rPr>
      </w:pPr>
      <w:r>
        <w:rPr>
          <w:rFonts w:hint="eastAsia" w:ascii="仿宋" w:eastAsia="仿宋"/>
          <w:kern w:val="0"/>
          <w:sz w:val="24"/>
          <w:lang w:val="en-US" w:eastAsia="zh-CN"/>
        </w:rPr>
        <w:t>1.2.3 配合招标人完成与标底审核有关的其他工作。</w:t>
      </w:r>
    </w:p>
    <w:p w14:paraId="108848F6">
      <w:pPr>
        <w:widowControl/>
        <w:snapToGrid w:val="0"/>
        <w:spacing w:line="560" w:lineRule="exact"/>
        <w:ind w:firstLine="482" w:firstLineChars="200"/>
        <w:rPr>
          <w:rFonts w:ascii="仿宋" w:eastAsia="仿宋"/>
          <w:b/>
          <w:bCs/>
          <w:kern w:val="0"/>
          <w:sz w:val="24"/>
          <w:highlight w:val="none"/>
        </w:rPr>
      </w:pPr>
      <w:r>
        <w:rPr>
          <w:rFonts w:hint="eastAsia" w:ascii="仿宋" w:eastAsia="仿宋"/>
          <w:b/>
          <w:bCs/>
          <w:kern w:val="0"/>
          <w:sz w:val="24"/>
          <w:highlight w:val="none"/>
          <w:lang w:val="en-US" w:eastAsia="zh-CN"/>
        </w:rPr>
        <w:t>1.3</w:t>
      </w:r>
      <w:r>
        <w:rPr>
          <w:rFonts w:hint="eastAsia" w:ascii="仿宋" w:eastAsia="仿宋"/>
          <w:b/>
          <w:bCs/>
          <w:kern w:val="0"/>
          <w:sz w:val="24"/>
          <w:highlight w:val="none"/>
        </w:rPr>
        <w:t>、人员要求：</w:t>
      </w:r>
    </w:p>
    <w:p w14:paraId="13008952">
      <w:pPr>
        <w:widowControl/>
        <w:spacing w:line="560" w:lineRule="exact"/>
        <w:ind w:firstLine="480"/>
        <w:jc w:val="left"/>
        <w:rPr>
          <w:rFonts w:hint="eastAsia" w:ascii="仿宋" w:eastAsia="仿宋"/>
          <w:kern w:val="0"/>
          <w:sz w:val="24"/>
          <w:highlight w:val="none"/>
        </w:rPr>
      </w:pPr>
      <w:r>
        <w:rPr>
          <w:rFonts w:hint="eastAsia" w:ascii="仿宋" w:eastAsia="仿宋"/>
          <w:kern w:val="0"/>
          <w:sz w:val="24"/>
          <w:highlight w:val="none"/>
          <w:lang w:val="en-US" w:eastAsia="zh-CN"/>
        </w:rPr>
        <w:t>1.3.1</w:t>
      </w:r>
      <w:r>
        <w:rPr>
          <w:rFonts w:hint="eastAsia" w:ascii="仿宋" w:eastAsia="仿宋"/>
          <w:kern w:val="0"/>
          <w:sz w:val="24"/>
          <w:highlight w:val="none"/>
        </w:rPr>
        <w:t>除项目负责人以外，招标代理的服务人员不得少于3人</w:t>
      </w:r>
      <w:r>
        <w:rPr>
          <w:rFonts w:hint="eastAsia" w:ascii="仿宋" w:eastAsia="仿宋"/>
          <w:kern w:val="0"/>
          <w:sz w:val="24"/>
          <w:highlight w:val="none"/>
          <w:lang w:eastAsia="zh-CN"/>
        </w:rPr>
        <w:t>。</w:t>
      </w:r>
      <w:r>
        <w:rPr>
          <w:rFonts w:hint="eastAsia" w:ascii="仿宋" w:eastAsia="仿宋"/>
          <w:kern w:val="0"/>
          <w:sz w:val="24"/>
          <w:highlight w:val="none"/>
        </w:rPr>
        <w:t>参与</w:t>
      </w:r>
      <w:r>
        <w:rPr>
          <w:rFonts w:hint="eastAsia" w:ascii="仿宋" w:eastAsia="仿宋"/>
          <w:kern w:val="0"/>
          <w:sz w:val="24"/>
          <w:highlight w:val="none"/>
          <w:lang w:val="en-US" w:eastAsia="zh-CN"/>
        </w:rPr>
        <w:t>标底审核</w:t>
      </w:r>
      <w:r>
        <w:rPr>
          <w:rFonts w:hint="eastAsia" w:ascii="仿宋" w:eastAsia="仿宋"/>
          <w:kern w:val="0"/>
          <w:sz w:val="24"/>
          <w:highlight w:val="none"/>
        </w:rPr>
        <w:t>服务人员不少于</w:t>
      </w:r>
      <w:r>
        <w:rPr>
          <w:rFonts w:hint="eastAsia" w:ascii="仿宋" w:eastAsia="仿宋"/>
          <w:kern w:val="0"/>
          <w:sz w:val="24"/>
          <w:highlight w:val="none"/>
          <w:lang w:val="en-US" w:eastAsia="zh-CN"/>
        </w:rPr>
        <w:t>8</w:t>
      </w:r>
      <w:r>
        <w:rPr>
          <w:rFonts w:hint="eastAsia" w:ascii="仿宋" w:eastAsia="仿宋"/>
          <w:kern w:val="0"/>
          <w:sz w:val="24"/>
          <w:highlight w:val="none"/>
        </w:rPr>
        <w:t>人，其中</w:t>
      </w:r>
      <w:r>
        <w:rPr>
          <w:rFonts w:hint="eastAsia" w:ascii="仿宋" w:eastAsia="仿宋"/>
          <w:kern w:val="0"/>
          <w:sz w:val="24"/>
          <w:highlight w:val="none"/>
          <w:lang w:val="en-US" w:eastAsia="zh-CN"/>
        </w:rPr>
        <w:t>市政</w:t>
      </w:r>
      <w:r>
        <w:rPr>
          <w:rFonts w:hint="eastAsia" w:ascii="仿宋" w:eastAsia="仿宋"/>
          <w:kern w:val="0"/>
          <w:sz w:val="24"/>
          <w:highlight w:val="none"/>
          <w:lang w:eastAsia="zh-CN"/>
        </w:rPr>
        <w:t>工程</w:t>
      </w:r>
      <w:r>
        <w:rPr>
          <w:rFonts w:hint="eastAsia" w:ascii="仿宋" w:eastAsia="仿宋"/>
          <w:kern w:val="0"/>
          <w:sz w:val="24"/>
          <w:highlight w:val="none"/>
          <w:lang w:val="en-US" w:eastAsia="zh-CN"/>
        </w:rPr>
        <w:t>4人，</w:t>
      </w:r>
      <w:r>
        <w:rPr>
          <w:rFonts w:hint="eastAsia" w:ascii="仿宋" w:eastAsia="仿宋"/>
          <w:kern w:val="0"/>
          <w:sz w:val="24"/>
          <w:highlight w:val="none"/>
        </w:rPr>
        <w:t xml:space="preserve">安装专业 </w:t>
      </w:r>
      <w:r>
        <w:rPr>
          <w:rFonts w:hint="eastAsia" w:ascii="仿宋" w:eastAsia="仿宋"/>
          <w:kern w:val="0"/>
          <w:sz w:val="24"/>
          <w:highlight w:val="none"/>
          <w:lang w:val="en-US" w:eastAsia="zh-CN"/>
        </w:rPr>
        <w:t>3</w:t>
      </w:r>
      <w:r>
        <w:rPr>
          <w:rFonts w:hint="eastAsia" w:ascii="仿宋" w:eastAsia="仿宋"/>
          <w:kern w:val="0"/>
          <w:sz w:val="24"/>
          <w:highlight w:val="none"/>
        </w:rPr>
        <w:t>人，园林专业</w:t>
      </w:r>
      <w:r>
        <w:rPr>
          <w:rFonts w:hint="eastAsia" w:ascii="仿宋" w:eastAsia="仿宋"/>
          <w:kern w:val="0"/>
          <w:sz w:val="24"/>
          <w:highlight w:val="none"/>
          <w:lang w:val="en-US" w:eastAsia="zh-CN"/>
        </w:rPr>
        <w:t>1</w:t>
      </w:r>
      <w:r>
        <w:rPr>
          <w:rFonts w:hint="eastAsia" w:ascii="仿宋" w:eastAsia="仿宋"/>
          <w:kern w:val="0"/>
          <w:sz w:val="24"/>
          <w:highlight w:val="none"/>
        </w:rPr>
        <w:t>人。</w:t>
      </w:r>
    </w:p>
    <w:p w14:paraId="31AA97CB">
      <w:pPr>
        <w:widowControl/>
        <w:spacing w:line="560" w:lineRule="exact"/>
        <w:ind w:firstLine="480"/>
        <w:jc w:val="left"/>
        <w:rPr>
          <w:rFonts w:hint="eastAsia" w:ascii="仿宋" w:eastAsia="仿宋"/>
          <w:b/>
          <w:bCs/>
          <w:kern w:val="0"/>
          <w:sz w:val="24"/>
          <w:lang w:eastAsia="zh-CN"/>
        </w:rPr>
      </w:pPr>
      <w:r>
        <w:rPr>
          <w:rFonts w:hint="eastAsia" w:ascii="仿宋" w:eastAsia="仿宋"/>
          <w:b/>
          <w:bCs/>
          <w:kern w:val="0"/>
          <w:sz w:val="24"/>
          <w:lang w:val="en-US" w:eastAsia="zh-CN"/>
        </w:rPr>
        <w:t>1.4</w:t>
      </w:r>
      <w:r>
        <w:rPr>
          <w:rFonts w:hint="eastAsia" w:ascii="仿宋" w:eastAsia="仿宋"/>
          <w:b/>
          <w:bCs/>
          <w:kern w:val="0"/>
          <w:sz w:val="24"/>
        </w:rPr>
        <w:t>造价咨询单位考核管理实施细则</w:t>
      </w:r>
      <w:r>
        <w:rPr>
          <w:rFonts w:hint="eastAsia" w:ascii="仿宋" w:eastAsia="仿宋"/>
          <w:b/>
          <w:bCs/>
          <w:kern w:val="0"/>
          <w:sz w:val="24"/>
          <w:lang w:eastAsia="zh-CN"/>
        </w:rPr>
        <w:t>：</w:t>
      </w:r>
    </w:p>
    <w:p w14:paraId="5F8AA8F9">
      <w:pPr>
        <w:widowControl/>
        <w:spacing w:line="560" w:lineRule="exact"/>
        <w:ind w:firstLine="480"/>
        <w:jc w:val="left"/>
        <w:rPr>
          <w:rFonts w:ascii="仿宋" w:eastAsia="仿宋"/>
          <w:strike/>
          <w:dstrike w:val="0"/>
          <w:kern w:val="0"/>
          <w:sz w:val="24"/>
        </w:rPr>
      </w:pPr>
      <w:r>
        <w:rPr>
          <w:rFonts w:hint="eastAsia" w:ascii="仿宋" w:eastAsia="仿宋"/>
          <w:kern w:val="0"/>
          <w:sz w:val="24"/>
          <w:lang w:val="en-US" w:eastAsia="zh-CN"/>
        </w:rPr>
        <w:t>1.4.1</w:t>
      </w:r>
      <w:r>
        <w:rPr>
          <w:rFonts w:hint="eastAsia" w:ascii="仿宋" w:eastAsia="仿宋"/>
          <w:kern w:val="0"/>
          <w:sz w:val="24"/>
        </w:rPr>
        <w:t>考核管理</w:t>
      </w:r>
    </w:p>
    <w:p w14:paraId="71433C41">
      <w:pPr>
        <w:widowControl/>
        <w:spacing w:line="560" w:lineRule="exact"/>
        <w:ind w:firstLine="480"/>
        <w:jc w:val="left"/>
        <w:rPr>
          <w:rFonts w:ascii="仿宋" w:eastAsia="仿宋"/>
          <w:kern w:val="0"/>
          <w:sz w:val="24"/>
        </w:rPr>
      </w:pPr>
      <w:r>
        <w:rPr>
          <w:rFonts w:hint="eastAsia" w:ascii="仿宋" w:eastAsia="仿宋"/>
          <w:kern w:val="0"/>
          <w:sz w:val="24"/>
        </w:rPr>
        <w:t>考核等级按积分总值分为：优秀（总分100-90分之间）、良好（90-80分之间）、合格（总分80-60分之间）、较差（总分60分以下），分值“以上”包括本数，“以下”不包括本数。</w:t>
      </w:r>
    </w:p>
    <w:p w14:paraId="27A9433A">
      <w:pPr>
        <w:widowControl/>
        <w:spacing w:line="560" w:lineRule="exact"/>
        <w:ind w:firstLine="480"/>
        <w:jc w:val="left"/>
        <w:rPr>
          <w:rFonts w:ascii="仿宋" w:eastAsia="仿宋"/>
          <w:kern w:val="0"/>
          <w:sz w:val="24"/>
        </w:rPr>
      </w:pPr>
      <w:r>
        <w:rPr>
          <w:rFonts w:hint="eastAsia" w:ascii="仿宋" w:eastAsia="仿宋"/>
          <w:kern w:val="0"/>
          <w:sz w:val="24"/>
          <w:lang w:val="en-US" w:eastAsia="zh-CN"/>
        </w:rPr>
        <w:t>1.4.2</w:t>
      </w:r>
      <w:r>
        <w:rPr>
          <w:rFonts w:hint="eastAsia" w:ascii="仿宋" w:eastAsia="仿宋"/>
          <w:kern w:val="0"/>
          <w:sz w:val="24"/>
        </w:rPr>
        <w:t>奖罚</w:t>
      </w:r>
    </w:p>
    <w:p w14:paraId="6641D497">
      <w:pPr>
        <w:widowControl/>
        <w:spacing w:line="560" w:lineRule="exact"/>
        <w:ind w:firstLine="480"/>
        <w:jc w:val="left"/>
        <w:rPr>
          <w:rFonts w:ascii="仿宋" w:eastAsia="仿宋"/>
          <w:kern w:val="0"/>
          <w:sz w:val="24"/>
        </w:rPr>
      </w:pPr>
      <w:r>
        <w:rPr>
          <w:rFonts w:hint="eastAsia" w:ascii="仿宋" w:eastAsia="仿宋"/>
          <w:kern w:val="0"/>
          <w:sz w:val="24"/>
        </w:rPr>
        <w:t>①考核结果将作为集团公司信用评价的依据。</w:t>
      </w:r>
    </w:p>
    <w:p w14:paraId="6B206FAD">
      <w:pPr>
        <w:widowControl/>
        <w:spacing w:line="560" w:lineRule="exact"/>
        <w:ind w:firstLine="480"/>
        <w:jc w:val="left"/>
        <w:rPr>
          <w:rFonts w:ascii="仿宋" w:eastAsia="仿宋"/>
          <w:kern w:val="0"/>
          <w:sz w:val="24"/>
        </w:rPr>
      </w:pPr>
      <w:r>
        <w:rPr>
          <w:rFonts w:hint="eastAsia" w:ascii="仿宋" w:eastAsia="仿宋"/>
          <w:kern w:val="0"/>
          <w:sz w:val="24"/>
        </w:rPr>
        <w:t>②</w:t>
      </w:r>
      <w:r>
        <w:rPr>
          <w:rFonts w:hint="eastAsia" w:ascii="仿宋" w:eastAsia="仿宋"/>
          <w:kern w:val="0"/>
          <w:sz w:val="24"/>
          <w:lang w:eastAsia="zh-CN"/>
        </w:rPr>
        <w:t>考核</w:t>
      </w:r>
      <w:r>
        <w:rPr>
          <w:rFonts w:hint="eastAsia" w:ascii="仿宋" w:eastAsia="仿宋"/>
          <w:kern w:val="0"/>
          <w:sz w:val="24"/>
        </w:rPr>
        <w:t>惩罚标准：（1）考核为“较差”等级的，扣除</w:t>
      </w:r>
      <w:r>
        <w:rPr>
          <w:rFonts w:hint="eastAsia" w:ascii="仿宋" w:eastAsia="仿宋"/>
          <w:kern w:val="0"/>
          <w:sz w:val="24"/>
          <w:lang w:eastAsia="zh-CN"/>
        </w:rPr>
        <w:t>咨询</w:t>
      </w:r>
      <w:r>
        <w:rPr>
          <w:rFonts w:hint="eastAsia" w:ascii="仿宋" w:eastAsia="仿宋"/>
          <w:kern w:val="0"/>
          <w:sz w:val="24"/>
        </w:rPr>
        <w:t>费用的</w:t>
      </w:r>
      <w:r>
        <w:rPr>
          <w:rFonts w:hint="eastAsia" w:ascii="仿宋" w:eastAsia="仿宋"/>
          <w:kern w:val="0"/>
          <w:sz w:val="24"/>
          <w:lang w:val="en-US" w:eastAsia="zh-CN"/>
        </w:rPr>
        <w:t>2</w:t>
      </w:r>
      <w:r>
        <w:rPr>
          <w:rFonts w:hint="eastAsia" w:ascii="仿宋" w:eastAsia="仿宋"/>
          <w:kern w:val="0"/>
          <w:sz w:val="24"/>
        </w:rPr>
        <w:t>0%作为处罚；（2）考核为“合格”等级的，扣除</w:t>
      </w:r>
      <w:r>
        <w:rPr>
          <w:rFonts w:hint="eastAsia" w:ascii="仿宋" w:eastAsia="仿宋"/>
          <w:kern w:val="0"/>
          <w:sz w:val="24"/>
          <w:lang w:eastAsia="zh-CN"/>
        </w:rPr>
        <w:t>咨询</w:t>
      </w:r>
      <w:r>
        <w:rPr>
          <w:rFonts w:hint="eastAsia" w:ascii="仿宋" w:eastAsia="仿宋"/>
          <w:kern w:val="0"/>
          <w:sz w:val="24"/>
        </w:rPr>
        <w:t>费用的</w:t>
      </w:r>
      <w:r>
        <w:rPr>
          <w:rFonts w:hint="eastAsia" w:ascii="仿宋" w:eastAsia="仿宋"/>
          <w:kern w:val="0"/>
          <w:sz w:val="24"/>
          <w:lang w:val="en-US" w:eastAsia="zh-CN"/>
        </w:rPr>
        <w:t>1</w:t>
      </w:r>
      <w:r>
        <w:rPr>
          <w:rFonts w:hint="eastAsia" w:ascii="仿宋" w:eastAsia="仿宋"/>
          <w:kern w:val="0"/>
          <w:sz w:val="24"/>
        </w:rPr>
        <w:t>0%作为处罚；</w:t>
      </w:r>
    </w:p>
    <w:p w14:paraId="0BD3DC35">
      <w:pPr>
        <w:widowControl/>
        <w:spacing w:line="560" w:lineRule="exact"/>
        <w:ind w:firstLine="480"/>
        <w:jc w:val="left"/>
        <w:rPr>
          <w:rFonts w:ascii="仿宋" w:eastAsia="仿宋"/>
          <w:kern w:val="0"/>
          <w:sz w:val="24"/>
        </w:rPr>
      </w:pPr>
      <w:r>
        <w:rPr>
          <w:rFonts w:hint="eastAsia" w:ascii="仿宋" w:eastAsia="仿宋"/>
          <w:kern w:val="0"/>
          <w:sz w:val="24"/>
        </w:rPr>
        <w:t>③对于考核结果</w:t>
      </w:r>
      <w:r>
        <w:rPr>
          <w:rFonts w:hint="eastAsia" w:ascii="仿宋" w:eastAsia="仿宋"/>
          <w:kern w:val="0"/>
          <w:sz w:val="24"/>
          <w:highlight w:val="none"/>
        </w:rPr>
        <w:t>为“优秀”“</w:t>
      </w:r>
      <w:r>
        <w:rPr>
          <w:rFonts w:hint="eastAsia" w:ascii="仿宋" w:eastAsia="仿宋"/>
          <w:kern w:val="0"/>
          <w:sz w:val="24"/>
          <w:highlight w:val="none"/>
          <w:lang w:val="en-US" w:eastAsia="zh-CN"/>
        </w:rPr>
        <w:t>良好</w:t>
      </w:r>
      <w:r>
        <w:rPr>
          <w:rFonts w:hint="eastAsia" w:ascii="仿宋" w:eastAsia="仿宋"/>
          <w:kern w:val="0"/>
          <w:sz w:val="24"/>
          <w:highlight w:val="none"/>
        </w:rPr>
        <w:t>”的，</w:t>
      </w:r>
      <w:r>
        <w:rPr>
          <w:rFonts w:hint="eastAsia" w:ascii="仿宋" w:eastAsia="仿宋"/>
          <w:kern w:val="0"/>
          <w:sz w:val="24"/>
          <w:lang w:eastAsia="zh-CN"/>
        </w:rPr>
        <w:t>不</w:t>
      </w:r>
      <w:r>
        <w:rPr>
          <w:rFonts w:hint="eastAsia" w:ascii="仿宋" w:eastAsia="仿宋"/>
          <w:kern w:val="0"/>
          <w:sz w:val="24"/>
        </w:rPr>
        <w:t>扣除</w:t>
      </w:r>
      <w:r>
        <w:rPr>
          <w:rFonts w:hint="eastAsia" w:ascii="仿宋" w:eastAsia="仿宋"/>
          <w:kern w:val="0"/>
          <w:sz w:val="24"/>
          <w:lang w:eastAsia="zh-CN"/>
        </w:rPr>
        <w:t>咨询</w:t>
      </w:r>
      <w:r>
        <w:rPr>
          <w:rFonts w:hint="eastAsia" w:ascii="仿宋" w:eastAsia="仿宋"/>
          <w:kern w:val="0"/>
          <w:sz w:val="24"/>
        </w:rPr>
        <w:t>费用。</w:t>
      </w:r>
    </w:p>
    <w:p w14:paraId="2DA5BACC">
      <w:pPr>
        <w:widowControl/>
        <w:numPr>
          <w:ilvl w:val="0"/>
          <w:numId w:val="0"/>
        </w:numPr>
        <w:snapToGrid w:val="0"/>
        <w:spacing w:line="560" w:lineRule="exact"/>
        <w:ind w:left="420" w:leftChars="0"/>
        <w:jc w:val="both"/>
        <w:rPr>
          <w:rFonts w:ascii="仿宋" w:eastAsia="仿宋"/>
          <w:kern w:val="0"/>
          <w:sz w:val="24"/>
        </w:rPr>
      </w:pPr>
      <w:r>
        <w:rPr>
          <w:rFonts w:hint="eastAsia" w:ascii="仿宋" w:eastAsia="仿宋"/>
          <w:kern w:val="0"/>
          <w:sz w:val="24"/>
        </w:rPr>
        <w:t>附表：</w:t>
      </w:r>
      <w:r>
        <w:rPr>
          <w:rFonts w:hint="eastAsia" w:ascii="仿宋" w:hAnsi="Times New Roman" w:eastAsia="仿宋" w:cs="Times New Roman"/>
          <w:b/>
          <w:bCs/>
          <w:kern w:val="0"/>
          <w:sz w:val="24"/>
          <w:lang w:eastAsia="zh-CN"/>
        </w:rPr>
        <w:t>标底审核服务考核评价表</w:t>
      </w:r>
    </w:p>
    <w:p w14:paraId="66B8FFB9">
      <w:pPr>
        <w:widowControl/>
        <w:snapToGrid w:val="0"/>
        <w:spacing w:line="560" w:lineRule="exact"/>
        <w:ind w:firstLine="482" w:firstLineChars="200"/>
        <w:rPr>
          <w:rFonts w:ascii="仿宋" w:eastAsia="仿宋"/>
          <w:kern w:val="0"/>
          <w:sz w:val="24"/>
        </w:rPr>
      </w:pPr>
      <w:r>
        <w:rPr>
          <w:rFonts w:hint="eastAsia" w:ascii="仿宋" w:eastAsia="仿宋"/>
          <w:b/>
          <w:bCs/>
          <w:kern w:val="0"/>
          <w:sz w:val="24"/>
          <w:lang w:val="en-US" w:eastAsia="zh-CN"/>
        </w:rPr>
        <w:t>1.5</w:t>
      </w:r>
      <w:r>
        <w:rPr>
          <w:rFonts w:hint="eastAsia" w:ascii="仿宋" w:eastAsia="仿宋"/>
          <w:b/>
          <w:bCs/>
          <w:kern w:val="0"/>
          <w:sz w:val="24"/>
        </w:rPr>
        <w:t>时间要求：</w:t>
      </w:r>
    </w:p>
    <w:p w14:paraId="3A27B96C">
      <w:pPr>
        <w:adjustRightInd/>
        <w:spacing w:line="560" w:lineRule="exact"/>
        <w:ind w:firstLine="480" w:firstLineChars="200"/>
        <w:rPr>
          <w:rFonts w:ascii="仿宋" w:eastAsia="仿宋"/>
          <w:kern w:val="0"/>
          <w:sz w:val="24"/>
        </w:rPr>
      </w:pPr>
      <w:r>
        <w:rPr>
          <w:rFonts w:hint="eastAsia" w:ascii="仿宋" w:eastAsia="仿宋"/>
          <w:kern w:val="0"/>
          <w:sz w:val="24"/>
          <w:lang w:val="en-US" w:eastAsia="zh-CN"/>
        </w:rPr>
        <w:t>1</w:t>
      </w:r>
      <w:r>
        <w:rPr>
          <w:rFonts w:hint="eastAsia" w:ascii="仿宋" w:eastAsia="仿宋"/>
          <w:kern w:val="0"/>
          <w:sz w:val="24"/>
        </w:rPr>
        <w:t>.</w:t>
      </w:r>
      <w:r>
        <w:rPr>
          <w:rFonts w:hint="eastAsia" w:ascii="仿宋" w:eastAsia="仿宋"/>
          <w:kern w:val="0"/>
          <w:sz w:val="24"/>
          <w:lang w:val="en-US" w:eastAsia="zh-CN"/>
        </w:rPr>
        <w:t>5.1</w:t>
      </w:r>
      <w:r>
        <w:rPr>
          <w:rFonts w:hint="eastAsia" w:ascii="仿宋" w:eastAsia="仿宋"/>
          <w:kern w:val="0"/>
          <w:sz w:val="24"/>
        </w:rPr>
        <w:t>标底</w:t>
      </w:r>
      <w:r>
        <w:rPr>
          <w:rFonts w:hint="eastAsia" w:ascii="仿宋" w:eastAsia="仿宋"/>
          <w:kern w:val="0"/>
          <w:sz w:val="24"/>
          <w:lang w:eastAsia="zh-CN"/>
        </w:rPr>
        <w:t>审核</w:t>
      </w:r>
      <w:r>
        <w:rPr>
          <w:rFonts w:hint="eastAsia" w:ascii="仿宋" w:eastAsia="仿宋"/>
          <w:kern w:val="0"/>
          <w:sz w:val="24"/>
        </w:rPr>
        <w:t>时间：具体时间以招标人要求为准。</w:t>
      </w:r>
    </w:p>
    <w:p w14:paraId="480A3A4A">
      <w:pPr>
        <w:adjustRightInd/>
        <w:spacing w:line="560" w:lineRule="exact"/>
        <w:ind w:firstLine="480" w:firstLineChars="200"/>
        <w:rPr>
          <w:rFonts w:hint="eastAsia" w:ascii="仿宋" w:hAnsi="Times New Roman" w:eastAsia="仿宋" w:cs="Times New Roman"/>
          <w:kern w:val="0"/>
          <w:sz w:val="24"/>
          <w:lang w:eastAsia="zh-CN"/>
        </w:rPr>
      </w:pPr>
      <w:r>
        <w:rPr>
          <w:rFonts w:hint="eastAsia" w:ascii="仿宋" w:hAnsi="仿宋" w:eastAsia="仿宋"/>
          <w:sz w:val="24"/>
          <w:lang w:val="en-US" w:eastAsia="zh-CN"/>
        </w:rPr>
        <w:t>1.5.2</w:t>
      </w:r>
      <w:r>
        <w:rPr>
          <w:rFonts w:hint="eastAsia" w:ascii="仿宋" w:hAnsi="仿宋" w:eastAsia="仿宋"/>
          <w:sz w:val="24"/>
        </w:rPr>
        <w:t xml:space="preserve"> 各项服务工作必须在接到业主指令后2小时内响应。</w:t>
      </w:r>
    </w:p>
    <w:p w14:paraId="5B0FAC85">
      <w:pPr>
        <w:widowControl/>
        <w:numPr>
          <w:ilvl w:val="0"/>
          <w:numId w:val="0"/>
        </w:numPr>
        <w:snapToGrid w:val="0"/>
        <w:spacing w:line="560" w:lineRule="exact"/>
        <w:ind w:left="420" w:leftChars="0"/>
        <w:jc w:val="center"/>
        <w:rPr>
          <w:rFonts w:hint="eastAsia" w:ascii="仿宋" w:hAnsi="Times New Roman" w:eastAsia="仿宋" w:cs="Times New Roman"/>
          <w:b/>
          <w:bCs/>
          <w:kern w:val="0"/>
          <w:sz w:val="24"/>
          <w:lang w:eastAsia="zh-CN"/>
        </w:rPr>
      </w:pPr>
    </w:p>
    <w:p w14:paraId="0126F6B8">
      <w:pPr>
        <w:widowControl/>
        <w:numPr>
          <w:ilvl w:val="0"/>
          <w:numId w:val="0"/>
        </w:numPr>
        <w:snapToGrid w:val="0"/>
        <w:spacing w:line="560" w:lineRule="exact"/>
        <w:ind w:left="420" w:leftChars="0"/>
        <w:jc w:val="center"/>
        <w:rPr>
          <w:rFonts w:hint="eastAsia" w:ascii="仿宋" w:hAnsi="Times New Roman" w:eastAsia="仿宋" w:cs="Times New Roman"/>
          <w:b/>
          <w:bCs/>
          <w:kern w:val="0"/>
          <w:sz w:val="24"/>
          <w:lang w:eastAsia="zh-CN"/>
        </w:rPr>
      </w:pPr>
      <w:r>
        <w:rPr>
          <w:rFonts w:hint="eastAsia" w:ascii="仿宋" w:hAnsi="Times New Roman" w:eastAsia="仿宋" w:cs="Times New Roman"/>
          <w:b/>
          <w:bCs/>
          <w:kern w:val="0"/>
          <w:sz w:val="24"/>
          <w:lang w:eastAsia="zh-CN"/>
        </w:rPr>
        <w:t>标底审核服务考核评价表</w:t>
      </w:r>
    </w:p>
    <w:tbl>
      <w:tblPr>
        <w:tblStyle w:val="60"/>
        <w:tblW w:w="97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gridCol w:w="2700"/>
        <w:gridCol w:w="1980"/>
        <w:gridCol w:w="1440"/>
        <w:gridCol w:w="932"/>
      </w:tblGrid>
      <w:tr w14:paraId="36486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2700" w:type="dxa"/>
            <w:noWrap w:val="0"/>
            <w:vAlign w:val="center"/>
          </w:tcPr>
          <w:p w14:paraId="2772EC18">
            <w:pPr>
              <w:spacing w:line="600" w:lineRule="exact"/>
              <w:rPr>
                <w:rFonts w:hint="eastAsia"/>
                <w:szCs w:val="21"/>
              </w:rPr>
            </w:pPr>
            <w:r>
              <w:rPr>
                <w:rFonts w:hint="eastAsia"/>
                <w:szCs w:val="21"/>
              </w:rPr>
              <w:t>服务单位</w:t>
            </w:r>
          </w:p>
        </w:tc>
        <w:tc>
          <w:tcPr>
            <w:tcW w:w="7052" w:type="dxa"/>
            <w:gridSpan w:val="4"/>
            <w:noWrap w:val="0"/>
            <w:vAlign w:val="center"/>
          </w:tcPr>
          <w:p w14:paraId="75AFEE19">
            <w:pPr>
              <w:spacing w:line="600" w:lineRule="exact"/>
              <w:rPr>
                <w:rFonts w:hint="eastAsia"/>
                <w:szCs w:val="21"/>
              </w:rPr>
            </w:pPr>
          </w:p>
        </w:tc>
      </w:tr>
      <w:tr w14:paraId="568D6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 w:hRule="atLeast"/>
          <w:jc w:val="center"/>
        </w:trPr>
        <w:tc>
          <w:tcPr>
            <w:tcW w:w="2700" w:type="dxa"/>
            <w:noWrap w:val="0"/>
            <w:vAlign w:val="center"/>
          </w:tcPr>
          <w:p w14:paraId="771199CE">
            <w:pPr>
              <w:spacing w:line="600" w:lineRule="exact"/>
              <w:rPr>
                <w:rFonts w:hint="eastAsia"/>
                <w:szCs w:val="21"/>
              </w:rPr>
            </w:pPr>
            <w:r>
              <w:rPr>
                <w:rFonts w:hint="eastAsia"/>
                <w:szCs w:val="21"/>
              </w:rPr>
              <w:t>服务项目</w:t>
            </w:r>
          </w:p>
        </w:tc>
        <w:tc>
          <w:tcPr>
            <w:tcW w:w="7052" w:type="dxa"/>
            <w:gridSpan w:val="4"/>
            <w:noWrap w:val="0"/>
            <w:vAlign w:val="center"/>
          </w:tcPr>
          <w:p w14:paraId="29253552">
            <w:pPr>
              <w:spacing w:line="600" w:lineRule="exact"/>
              <w:jc w:val="center"/>
              <w:rPr>
                <w:rFonts w:hint="eastAsia"/>
                <w:szCs w:val="21"/>
              </w:rPr>
            </w:pPr>
          </w:p>
        </w:tc>
      </w:tr>
      <w:tr w14:paraId="131DE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2700" w:type="dxa"/>
            <w:noWrap w:val="0"/>
            <w:vAlign w:val="center"/>
          </w:tcPr>
          <w:p w14:paraId="7B292585">
            <w:pPr>
              <w:spacing w:line="600" w:lineRule="exact"/>
              <w:rPr>
                <w:rFonts w:hint="eastAsia"/>
                <w:szCs w:val="21"/>
              </w:rPr>
            </w:pPr>
            <w:r>
              <w:rPr>
                <w:rFonts w:hint="eastAsia"/>
                <w:szCs w:val="21"/>
              </w:rPr>
              <w:t>项目负责人</w:t>
            </w:r>
          </w:p>
        </w:tc>
        <w:tc>
          <w:tcPr>
            <w:tcW w:w="2700" w:type="dxa"/>
            <w:noWrap w:val="0"/>
            <w:vAlign w:val="center"/>
          </w:tcPr>
          <w:p w14:paraId="07054750">
            <w:pPr>
              <w:spacing w:line="600" w:lineRule="exact"/>
              <w:jc w:val="center"/>
              <w:rPr>
                <w:rFonts w:hint="eastAsia"/>
                <w:szCs w:val="21"/>
              </w:rPr>
            </w:pPr>
          </w:p>
        </w:tc>
        <w:tc>
          <w:tcPr>
            <w:tcW w:w="1980" w:type="dxa"/>
            <w:noWrap w:val="0"/>
            <w:vAlign w:val="center"/>
          </w:tcPr>
          <w:p w14:paraId="0FB76D2C">
            <w:pPr>
              <w:spacing w:line="600" w:lineRule="exact"/>
              <w:jc w:val="center"/>
              <w:rPr>
                <w:rFonts w:hint="eastAsia"/>
                <w:szCs w:val="21"/>
              </w:rPr>
            </w:pPr>
            <w:r>
              <w:rPr>
                <w:rFonts w:hint="eastAsia"/>
                <w:szCs w:val="21"/>
              </w:rPr>
              <w:t>联系电话</w:t>
            </w:r>
          </w:p>
        </w:tc>
        <w:tc>
          <w:tcPr>
            <w:tcW w:w="2372" w:type="dxa"/>
            <w:gridSpan w:val="2"/>
            <w:noWrap w:val="0"/>
            <w:vAlign w:val="center"/>
          </w:tcPr>
          <w:p w14:paraId="099A72F8">
            <w:pPr>
              <w:spacing w:line="600" w:lineRule="exact"/>
              <w:jc w:val="center"/>
              <w:rPr>
                <w:rFonts w:hint="eastAsia"/>
                <w:szCs w:val="21"/>
              </w:rPr>
            </w:pPr>
          </w:p>
        </w:tc>
      </w:tr>
      <w:tr w14:paraId="75F71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2700" w:type="dxa"/>
            <w:noWrap w:val="0"/>
            <w:vAlign w:val="center"/>
          </w:tcPr>
          <w:p w14:paraId="7C87ACCC">
            <w:pPr>
              <w:rPr>
                <w:rFonts w:hint="eastAsia"/>
                <w:szCs w:val="21"/>
              </w:rPr>
            </w:pPr>
            <w:r>
              <w:rPr>
                <w:rFonts w:hint="eastAsia"/>
                <w:szCs w:val="21"/>
              </w:rPr>
              <w:t>代理起止时间</w:t>
            </w:r>
          </w:p>
        </w:tc>
        <w:tc>
          <w:tcPr>
            <w:tcW w:w="7052" w:type="dxa"/>
            <w:gridSpan w:val="4"/>
            <w:noWrap w:val="0"/>
            <w:vAlign w:val="center"/>
          </w:tcPr>
          <w:p w14:paraId="665BCB2E">
            <w:pPr>
              <w:jc w:val="center"/>
              <w:rPr>
                <w:rFonts w:hint="eastAsia"/>
                <w:szCs w:val="21"/>
              </w:rPr>
            </w:pPr>
          </w:p>
        </w:tc>
      </w:tr>
      <w:tr w14:paraId="32F9F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2700" w:type="dxa"/>
            <w:noWrap w:val="0"/>
            <w:vAlign w:val="center"/>
          </w:tcPr>
          <w:p w14:paraId="7AEF4A94">
            <w:pPr>
              <w:spacing w:line="600" w:lineRule="exact"/>
              <w:jc w:val="center"/>
              <w:rPr>
                <w:rFonts w:hint="eastAsia"/>
                <w:szCs w:val="21"/>
              </w:rPr>
            </w:pPr>
            <w:r>
              <w:rPr>
                <w:rFonts w:hint="eastAsia"/>
                <w:szCs w:val="21"/>
              </w:rPr>
              <w:t>评  分  项  目</w:t>
            </w:r>
          </w:p>
        </w:tc>
        <w:tc>
          <w:tcPr>
            <w:tcW w:w="6120" w:type="dxa"/>
            <w:gridSpan w:val="3"/>
            <w:noWrap w:val="0"/>
            <w:vAlign w:val="center"/>
          </w:tcPr>
          <w:p w14:paraId="111973B3">
            <w:pPr>
              <w:spacing w:line="600" w:lineRule="exact"/>
              <w:jc w:val="center"/>
              <w:rPr>
                <w:rFonts w:hint="eastAsia"/>
                <w:szCs w:val="21"/>
              </w:rPr>
            </w:pPr>
            <w:r>
              <w:rPr>
                <w:rFonts w:hint="eastAsia"/>
                <w:szCs w:val="21"/>
              </w:rPr>
              <w:t>评  分  标  准</w:t>
            </w:r>
          </w:p>
        </w:tc>
        <w:tc>
          <w:tcPr>
            <w:tcW w:w="932" w:type="dxa"/>
            <w:noWrap w:val="0"/>
            <w:vAlign w:val="center"/>
          </w:tcPr>
          <w:p w14:paraId="43B05C1C">
            <w:pPr>
              <w:spacing w:line="600" w:lineRule="exact"/>
              <w:jc w:val="center"/>
              <w:rPr>
                <w:rFonts w:hint="eastAsia"/>
                <w:szCs w:val="21"/>
              </w:rPr>
            </w:pPr>
            <w:r>
              <w:rPr>
                <w:rFonts w:hint="eastAsia"/>
                <w:szCs w:val="21"/>
              </w:rPr>
              <w:t>分值</w:t>
            </w:r>
          </w:p>
        </w:tc>
      </w:tr>
      <w:tr w14:paraId="10612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2700" w:type="dxa"/>
            <w:vMerge w:val="restart"/>
            <w:noWrap w:val="0"/>
            <w:vAlign w:val="center"/>
          </w:tcPr>
          <w:p w14:paraId="2B22DB9E">
            <w:pPr>
              <w:spacing w:line="360" w:lineRule="auto"/>
              <w:rPr>
                <w:rFonts w:hint="eastAsia" w:eastAsia="宋体"/>
                <w:szCs w:val="21"/>
                <w:lang w:eastAsia="zh-CN"/>
              </w:rPr>
            </w:pPr>
            <w:r>
              <w:rPr>
                <w:rFonts w:hint="eastAsia"/>
                <w:szCs w:val="21"/>
                <w:lang w:eastAsia="zh-CN"/>
              </w:rPr>
              <w:t>标底审核</w:t>
            </w:r>
          </w:p>
        </w:tc>
        <w:tc>
          <w:tcPr>
            <w:tcW w:w="6120" w:type="dxa"/>
            <w:gridSpan w:val="3"/>
            <w:noWrap w:val="0"/>
            <w:vAlign w:val="center"/>
          </w:tcPr>
          <w:p w14:paraId="40F5B1EF">
            <w:pPr>
              <w:spacing w:line="360" w:lineRule="auto"/>
              <w:rPr>
                <w:rFonts w:hint="eastAsia"/>
                <w:sz w:val="18"/>
                <w:szCs w:val="18"/>
              </w:rPr>
            </w:pPr>
            <w:r>
              <w:rPr>
                <w:rFonts w:hint="eastAsia"/>
                <w:sz w:val="18"/>
                <w:szCs w:val="18"/>
                <w:lang w:eastAsia="zh-CN"/>
              </w:rPr>
              <w:t>经审核的</w:t>
            </w:r>
            <w:r>
              <w:rPr>
                <w:rFonts w:hint="eastAsia"/>
                <w:sz w:val="18"/>
                <w:szCs w:val="18"/>
              </w:rPr>
              <w:t>清单完整准确，无缺项漏项，标底符合市场行情，无服务单位过失导致的已发招标文件的修改或补充（</w:t>
            </w:r>
            <w:r>
              <w:rPr>
                <w:rFonts w:hint="eastAsia"/>
                <w:sz w:val="18"/>
                <w:szCs w:val="18"/>
                <w:lang w:val="en-US" w:eastAsia="zh-CN"/>
              </w:rPr>
              <w:t>4</w:t>
            </w:r>
            <w:r>
              <w:rPr>
                <w:rFonts w:hint="eastAsia"/>
                <w:sz w:val="18"/>
                <w:szCs w:val="18"/>
              </w:rPr>
              <w:t>0-</w:t>
            </w:r>
            <w:r>
              <w:rPr>
                <w:rFonts w:hint="eastAsia"/>
                <w:sz w:val="18"/>
                <w:szCs w:val="18"/>
                <w:lang w:val="en-US" w:eastAsia="zh-CN"/>
              </w:rPr>
              <w:t>5</w:t>
            </w:r>
            <w:r>
              <w:rPr>
                <w:rFonts w:hint="eastAsia"/>
                <w:sz w:val="18"/>
                <w:szCs w:val="18"/>
              </w:rPr>
              <w:t>0）</w:t>
            </w:r>
          </w:p>
        </w:tc>
        <w:tc>
          <w:tcPr>
            <w:tcW w:w="932" w:type="dxa"/>
            <w:vMerge w:val="restart"/>
            <w:noWrap w:val="0"/>
            <w:vAlign w:val="center"/>
          </w:tcPr>
          <w:p w14:paraId="69A9C5A5">
            <w:pPr>
              <w:spacing w:line="600" w:lineRule="exact"/>
              <w:jc w:val="center"/>
              <w:rPr>
                <w:rFonts w:hint="eastAsia"/>
                <w:szCs w:val="21"/>
              </w:rPr>
            </w:pPr>
          </w:p>
        </w:tc>
      </w:tr>
      <w:tr w14:paraId="2A00F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2" w:hRule="atLeast"/>
          <w:jc w:val="center"/>
        </w:trPr>
        <w:tc>
          <w:tcPr>
            <w:tcW w:w="2700" w:type="dxa"/>
            <w:vMerge w:val="continue"/>
            <w:noWrap w:val="0"/>
            <w:vAlign w:val="center"/>
          </w:tcPr>
          <w:p w14:paraId="1DF32806">
            <w:pPr>
              <w:spacing w:line="360" w:lineRule="auto"/>
              <w:rPr>
                <w:rFonts w:hint="eastAsia"/>
                <w:szCs w:val="21"/>
              </w:rPr>
            </w:pPr>
          </w:p>
        </w:tc>
        <w:tc>
          <w:tcPr>
            <w:tcW w:w="6120" w:type="dxa"/>
            <w:gridSpan w:val="3"/>
            <w:noWrap w:val="0"/>
            <w:vAlign w:val="center"/>
          </w:tcPr>
          <w:p w14:paraId="5379F74A">
            <w:pPr>
              <w:spacing w:line="360" w:lineRule="auto"/>
              <w:rPr>
                <w:rFonts w:hint="eastAsia"/>
                <w:sz w:val="18"/>
                <w:szCs w:val="18"/>
              </w:rPr>
            </w:pPr>
            <w:r>
              <w:rPr>
                <w:rFonts w:hint="eastAsia"/>
                <w:sz w:val="18"/>
                <w:szCs w:val="18"/>
                <w:lang w:eastAsia="zh-CN"/>
              </w:rPr>
              <w:t>经审核的清单</w:t>
            </w:r>
            <w:r>
              <w:rPr>
                <w:rFonts w:hint="eastAsia"/>
                <w:sz w:val="18"/>
                <w:szCs w:val="18"/>
              </w:rPr>
              <w:t>基本完整准确，无重大项目缺项漏项，标底基本符合市场行情，因服务单位过失导致的已发招标文件的修改或补充不对招标产生重大影响（10-</w:t>
            </w:r>
            <w:r>
              <w:rPr>
                <w:rFonts w:hint="eastAsia"/>
                <w:sz w:val="18"/>
                <w:szCs w:val="18"/>
                <w:lang w:val="en-US" w:eastAsia="zh-CN"/>
              </w:rPr>
              <w:t>4</w:t>
            </w:r>
            <w:r>
              <w:rPr>
                <w:rFonts w:hint="eastAsia"/>
                <w:sz w:val="18"/>
                <w:szCs w:val="18"/>
              </w:rPr>
              <w:t>0）</w:t>
            </w:r>
          </w:p>
        </w:tc>
        <w:tc>
          <w:tcPr>
            <w:tcW w:w="932" w:type="dxa"/>
            <w:vMerge w:val="continue"/>
            <w:noWrap w:val="0"/>
            <w:vAlign w:val="center"/>
          </w:tcPr>
          <w:p w14:paraId="25765BF4">
            <w:pPr>
              <w:spacing w:line="600" w:lineRule="exact"/>
              <w:jc w:val="center"/>
              <w:rPr>
                <w:rFonts w:hint="eastAsia"/>
                <w:szCs w:val="21"/>
              </w:rPr>
            </w:pPr>
          </w:p>
        </w:tc>
      </w:tr>
      <w:tr w14:paraId="6DBA7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2700" w:type="dxa"/>
            <w:vMerge w:val="continue"/>
            <w:noWrap w:val="0"/>
            <w:vAlign w:val="center"/>
          </w:tcPr>
          <w:p w14:paraId="690AB60B">
            <w:pPr>
              <w:spacing w:line="360" w:lineRule="auto"/>
              <w:rPr>
                <w:rFonts w:hint="eastAsia"/>
                <w:szCs w:val="21"/>
              </w:rPr>
            </w:pPr>
          </w:p>
        </w:tc>
        <w:tc>
          <w:tcPr>
            <w:tcW w:w="6120" w:type="dxa"/>
            <w:gridSpan w:val="3"/>
            <w:noWrap w:val="0"/>
            <w:vAlign w:val="center"/>
          </w:tcPr>
          <w:p w14:paraId="33E251D0">
            <w:pPr>
              <w:spacing w:line="360" w:lineRule="auto"/>
              <w:rPr>
                <w:rFonts w:hint="eastAsia"/>
                <w:sz w:val="18"/>
                <w:szCs w:val="18"/>
              </w:rPr>
            </w:pPr>
            <w:r>
              <w:rPr>
                <w:rFonts w:hint="eastAsia"/>
                <w:sz w:val="18"/>
                <w:szCs w:val="18"/>
                <w:lang w:eastAsia="zh-CN"/>
              </w:rPr>
              <w:t>经审核的</w:t>
            </w:r>
            <w:r>
              <w:rPr>
                <w:rFonts w:hint="eastAsia"/>
                <w:sz w:val="18"/>
                <w:szCs w:val="18"/>
              </w:rPr>
              <w:t>清单严重缺漏，标底偏离市场实际，因服务单位过失导致重大损失或招标失败（0-10）</w:t>
            </w:r>
          </w:p>
        </w:tc>
        <w:tc>
          <w:tcPr>
            <w:tcW w:w="932" w:type="dxa"/>
            <w:vMerge w:val="continue"/>
            <w:noWrap w:val="0"/>
            <w:vAlign w:val="center"/>
          </w:tcPr>
          <w:p w14:paraId="4CE515A0">
            <w:pPr>
              <w:spacing w:line="600" w:lineRule="exact"/>
              <w:jc w:val="center"/>
              <w:rPr>
                <w:rFonts w:hint="eastAsia"/>
                <w:szCs w:val="21"/>
              </w:rPr>
            </w:pPr>
          </w:p>
        </w:tc>
      </w:tr>
      <w:tr w14:paraId="687D7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2700" w:type="dxa"/>
            <w:vMerge w:val="restart"/>
            <w:noWrap w:val="0"/>
            <w:vAlign w:val="center"/>
          </w:tcPr>
          <w:p w14:paraId="09C0EA44">
            <w:pPr>
              <w:spacing w:line="360" w:lineRule="auto"/>
              <w:rPr>
                <w:rFonts w:hint="eastAsia"/>
                <w:szCs w:val="21"/>
              </w:rPr>
            </w:pPr>
            <w:r>
              <w:rPr>
                <w:rFonts w:hint="eastAsia"/>
                <w:szCs w:val="21"/>
                <w:lang w:eastAsia="zh-CN"/>
              </w:rPr>
              <w:t>标底审核</w:t>
            </w:r>
            <w:r>
              <w:rPr>
                <w:rFonts w:hint="eastAsia"/>
                <w:szCs w:val="21"/>
              </w:rPr>
              <w:t>能力及服务质量</w:t>
            </w:r>
          </w:p>
        </w:tc>
        <w:tc>
          <w:tcPr>
            <w:tcW w:w="6120" w:type="dxa"/>
            <w:gridSpan w:val="3"/>
            <w:noWrap w:val="0"/>
            <w:vAlign w:val="center"/>
          </w:tcPr>
          <w:p w14:paraId="60B2EEF2">
            <w:pPr>
              <w:spacing w:line="360" w:lineRule="auto"/>
              <w:rPr>
                <w:rFonts w:hint="eastAsia"/>
                <w:sz w:val="18"/>
                <w:szCs w:val="18"/>
              </w:rPr>
            </w:pPr>
            <w:r>
              <w:rPr>
                <w:rFonts w:hint="eastAsia"/>
                <w:sz w:val="18"/>
                <w:szCs w:val="18"/>
                <w:lang w:eastAsia="zh-CN"/>
              </w:rPr>
              <w:t>标底审核</w:t>
            </w:r>
            <w:r>
              <w:rPr>
                <w:rFonts w:hint="eastAsia"/>
                <w:sz w:val="18"/>
                <w:szCs w:val="18"/>
              </w:rPr>
              <w:t>服务按计划时间完成，配备有经验的项目负责人，全过程服务及时、耐心，态度端正（20-25）</w:t>
            </w:r>
          </w:p>
        </w:tc>
        <w:tc>
          <w:tcPr>
            <w:tcW w:w="932" w:type="dxa"/>
            <w:vMerge w:val="restart"/>
            <w:noWrap w:val="0"/>
            <w:vAlign w:val="center"/>
          </w:tcPr>
          <w:p w14:paraId="4C259D8B">
            <w:pPr>
              <w:spacing w:line="600" w:lineRule="exact"/>
              <w:jc w:val="center"/>
              <w:rPr>
                <w:rFonts w:hint="eastAsia"/>
                <w:szCs w:val="21"/>
              </w:rPr>
            </w:pPr>
          </w:p>
        </w:tc>
      </w:tr>
      <w:tr w14:paraId="62F22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00" w:type="dxa"/>
            <w:vMerge w:val="continue"/>
            <w:noWrap w:val="0"/>
            <w:vAlign w:val="center"/>
          </w:tcPr>
          <w:p w14:paraId="5F521D63">
            <w:pPr>
              <w:spacing w:line="360" w:lineRule="auto"/>
              <w:rPr>
                <w:rFonts w:hint="eastAsia"/>
                <w:szCs w:val="21"/>
              </w:rPr>
            </w:pPr>
          </w:p>
        </w:tc>
        <w:tc>
          <w:tcPr>
            <w:tcW w:w="6120" w:type="dxa"/>
            <w:gridSpan w:val="3"/>
            <w:noWrap w:val="0"/>
            <w:vAlign w:val="center"/>
          </w:tcPr>
          <w:p w14:paraId="38D15DF8">
            <w:pPr>
              <w:spacing w:line="360" w:lineRule="auto"/>
              <w:rPr>
                <w:rFonts w:hint="eastAsia"/>
                <w:sz w:val="18"/>
                <w:szCs w:val="18"/>
              </w:rPr>
            </w:pPr>
            <w:r>
              <w:rPr>
                <w:rFonts w:hint="eastAsia"/>
                <w:sz w:val="18"/>
                <w:szCs w:val="18"/>
                <w:lang w:eastAsia="zh-CN"/>
              </w:rPr>
              <w:t>标底审核</w:t>
            </w:r>
            <w:r>
              <w:rPr>
                <w:rFonts w:hint="eastAsia"/>
                <w:sz w:val="18"/>
                <w:szCs w:val="18"/>
              </w:rPr>
              <w:t>服务按计划时间完成，配备的项目负责人经验欠缺，但不影响招标工作，全过程服务及时、耐心，态度端正（10-20）</w:t>
            </w:r>
          </w:p>
        </w:tc>
        <w:tc>
          <w:tcPr>
            <w:tcW w:w="932" w:type="dxa"/>
            <w:vMerge w:val="continue"/>
            <w:noWrap w:val="0"/>
            <w:vAlign w:val="center"/>
          </w:tcPr>
          <w:p w14:paraId="45F7CBFE">
            <w:pPr>
              <w:spacing w:line="600" w:lineRule="exact"/>
              <w:jc w:val="center"/>
              <w:rPr>
                <w:rFonts w:hint="eastAsia"/>
                <w:szCs w:val="21"/>
              </w:rPr>
            </w:pPr>
          </w:p>
        </w:tc>
      </w:tr>
      <w:tr w14:paraId="73382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00" w:type="dxa"/>
            <w:vMerge w:val="continue"/>
            <w:noWrap w:val="0"/>
            <w:vAlign w:val="center"/>
          </w:tcPr>
          <w:p w14:paraId="17C99290">
            <w:pPr>
              <w:spacing w:line="360" w:lineRule="auto"/>
              <w:rPr>
                <w:rFonts w:hint="eastAsia"/>
                <w:szCs w:val="21"/>
              </w:rPr>
            </w:pPr>
          </w:p>
        </w:tc>
        <w:tc>
          <w:tcPr>
            <w:tcW w:w="6120" w:type="dxa"/>
            <w:gridSpan w:val="3"/>
            <w:noWrap w:val="0"/>
            <w:vAlign w:val="center"/>
          </w:tcPr>
          <w:p w14:paraId="16AF5B4E">
            <w:pPr>
              <w:spacing w:line="360" w:lineRule="auto"/>
              <w:rPr>
                <w:rFonts w:hint="eastAsia"/>
                <w:sz w:val="18"/>
                <w:szCs w:val="18"/>
              </w:rPr>
            </w:pPr>
            <w:r>
              <w:rPr>
                <w:rFonts w:hint="eastAsia"/>
                <w:sz w:val="18"/>
                <w:szCs w:val="18"/>
                <w:lang w:eastAsia="zh-CN"/>
              </w:rPr>
              <w:t>标底审核</w:t>
            </w:r>
            <w:r>
              <w:rPr>
                <w:rFonts w:hint="eastAsia"/>
                <w:sz w:val="18"/>
                <w:szCs w:val="18"/>
              </w:rPr>
              <w:t>服务未按计划时间完成，配备的项目负责人经验欠缺（0-10）</w:t>
            </w:r>
          </w:p>
        </w:tc>
        <w:tc>
          <w:tcPr>
            <w:tcW w:w="932" w:type="dxa"/>
            <w:vMerge w:val="continue"/>
            <w:noWrap w:val="0"/>
            <w:vAlign w:val="center"/>
          </w:tcPr>
          <w:p w14:paraId="5BCD75B1">
            <w:pPr>
              <w:spacing w:line="600" w:lineRule="exact"/>
              <w:jc w:val="center"/>
              <w:rPr>
                <w:rFonts w:hint="eastAsia"/>
                <w:szCs w:val="21"/>
              </w:rPr>
            </w:pPr>
          </w:p>
        </w:tc>
      </w:tr>
      <w:tr w14:paraId="0CCFC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2700" w:type="dxa"/>
            <w:vMerge w:val="restart"/>
            <w:noWrap w:val="0"/>
            <w:vAlign w:val="center"/>
          </w:tcPr>
          <w:p w14:paraId="500335B4">
            <w:pPr>
              <w:spacing w:line="360" w:lineRule="auto"/>
              <w:rPr>
                <w:rFonts w:hint="eastAsia"/>
                <w:szCs w:val="21"/>
              </w:rPr>
            </w:pPr>
            <w:r>
              <w:rPr>
                <w:rFonts w:hint="eastAsia"/>
                <w:szCs w:val="21"/>
              </w:rPr>
              <w:t>职业道德</w:t>
            </w:r>
          </w:p>
        </w:tc>
        <w:tc>
          <w:tcPr>
            <w:tcW w:w="6120" w:type="dxa"/>
            <w:gridSpan w:val="3"/>
            <w:noWrap w:val="0"/>
            <w:vAlign w:val="center"/>
          </w:tcPr>
          <w:p w14:paraId="0463D479">
            <w:pPr>
              <w:spacing w:line="360" w:lineRule="auto"/>
              <w:rPr>
                <w:rFonts w:hint="eastAsia"/>
                <w:sz w:val="18"/>
                <w:szCs w:val="18"/>
              </w:rPr>
            </w:pPr>
            <w:r>
              <w:rPr>
                <w:rFonts w:hint="eastAsia"/>
                <w:sz w:val="18"/>
                <w:szCs w:val="18"/>
              </w:rPr>
              <w:t>坚守底线，在</w:t>
            </w:r>
            <w:r>
              <w:rPr>
                <w:rFonts w:hint="eastAsia"/>
                <w:sz w:val="18"/>
                <w:szCs w:val="18"/>
                <w:lang w:eastAsia="zh-CN"/>
              </w:rPr>
              <w:t>标底审核</w:t>
            </w:r>
            <w:r>
              <w:rPr>
                <w:rFonts w:hint="eastAsia"/>
                <w:sz w:val="18"/>
                <w:szCs w:val="18"/>
              </w:rPr>
              <w:t>活动中无违法、违规及损害业主利益的行为（15-25）</w:t>
            </w:r>
          </w:p>
        </w:tc>
        <w:tc>
          <w:tcPr>
            <w:tcW w:w="932" w:type="dxa"/>
            <w:vMerge w:val="restart"/>
            <w:noWrap w:val="0"/>
            <w:vAlign w:val="center"/>
          </w:tcPr>
          <w:p w14:paraId="23397361">
            <w:pPr>
              <w:spacing w:line="600" w:lineRule="exact"/>
              <w:jc w:val="center"/>
              <w:rPr>
                <w:rFonts w:hint="eastAsia"/>
                <w:szCs w:val="21"/>
              </w:rPr>
            </w:pPr>
          </w:p>
        </w:tc>
      </w:tr>
      <w:tr w14:paraId="3BE5C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2700" w:type="dxa"/>
            <w:vMerge w:val="continue"/>
            <w:noWrap w:val="0"/>
            <w:vAlign w:val="center"/>
          </w:tcPr>
          <w:p w14:paraId="2424023E">
            <w:pPr>
              <w:spacing w:line="360" w:lineRule="auto"/>
              <w:rPr>
                <w:rFonts w:hint="eastAsia"/>
                <w:szCs w:val="21"/>
              </w:rPr>
            </w:pPr>
          </w:p>
        </w:tc>
        <w:tc>
          <w:tcPr>
            <w:tcW w:w="6120" w:type="dxa"/>
            <w:gridSpan w:val="3"/>
            <w:noWrap w:val="0"/>
            <w:vAlign w:val="center"/>
          </w:tcPr>
          <w:p w14:paraId="4CAA0F68">
            <w:pPr>
              <w:spacing w:line="360" w:lineRule="auto"/>
              <w:rPr>
                <w:rFonts w:hint="eastAsia"/>
                <w:sz w:val="18"/>
                <w:szCs w:val="18"/>
              </w:rPr>
            </w:pPr>
            <w:r>
              <w:rPr>
                <w:rFonts w:hint="eastAsia"/>
                <w:sz w:val="18"/>
                <w:szCs w:val="18"/>
              </w:rPr>
              <w:t>在</w:t>
            </w:r>
            <w:r>
              <w:rPr>
                <w:rFonts w:hint="eastAsia"/>
                <w:sz w:val="18"/>
                <w:szCs w:val="18"/>
                <w:lang w:eastAsia="zh-CN"/>
              </w:rPr>
              <w:t>标底审核</w:t>
            </w:r>
            <w:r>
              <w:rPr>
                <w:rFonts w:hint="eastAsia"/>
                <w:sz w:val="18"/>
                <w:szCs w:val="18"/>
              </w:rPr>
              <w:t>活动</w:t>
            </w:r>
            <w:r>
              <w:rPr>
                <w:rFonts w:hint="eastAsia"/>
                <w:sz w:val="18"/>
                <w:szCs w:val="18"/>
                <w:lang w:eastAsia="zh-CN"/>
              </w:rPr>
              <w:t>中</w:t>
            </w:r>
            <w:r>
              <w:rPr>
                <w:rFonts w:hint="eastAsia"/>
                <w:sz w:val="18"/>
                <w:szCs w:val="18"/>
              </w:rPr>
              <w:t>有违法、违规及损害业主利益的行为（0-15）</w:t>
            </w:r>
          </w:p>
        </w:tc>
        <w:tc>
          <w:tcPr>
            <w:tcW w:w="932" w:type="dxa"/>
            <w:vMerge w:val="continue"/>
            <w:noWrap w:val="0"/>
            <w:vAlign w:val="center"/>
          </w:tcPr>
          <w:p w14:paraId="0B75CD32">
            <w:pPr>
              <w:spacing w:line="600" w:lineRule="exact"/>
              <w:jc w:val="center"/>
              <w:rPr>
                <w:rFonts w:hint="eastAsia"/>
                <w:szCs w:val="21"/>
              </w:rPr>
            </w:pPr>
          </w:p>
        </w:tc>
      </w:tr>
      <w:tr w14:paraId="7633D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820" w:type="dxa"/>
            <w:gridSpan w:val="4"/>
            <w:noWrap w:val="0"/>
            <w:vAlign w:val="center"/>
          </w:tcPr>
          <w:p w14:paraId="3BE0AFB4">
            <w:pPr>
              <w:spacing w:line="600" w:lineRule="exact"/>
              <w:ind w:firstLine="630" w:firstLineChars="300"/>
              <w:jc w:val="center"/>
              <w:rPr>
                <w:rFonts w:hint="eastAsia"/>
                <w:szCs w:val="21"/>
              </w:rPr>
            </w:pPr>
            <w:r>
              <w:rPr>
                <w:rFonts w:hint="eastAsia"/>
                <w:szCs w:val="21"/>
              </w:rPr>
              <w:t>评  分  小  计</w:t>
            </w:r>
          </w:p>
        </w:tc>
        <w:tc>
          <w:tcPr>
            <w:tcW w:w="932" w:type="dxa"/>
            <w:noWrap w:val="0"/>
            <w:vAlign w:val="center"/>
          </w:tcPr>
          <w:p w14:paraId="6F7DAD8E">
            <w:pPr>
              <w:spacing w:line="600" w:lineRule="exact"/>
              <w:rPr>
                <w:rFonts w:hint="eastAsia"/>
                <w:szCs w:val="21"/>
              </w:rPr>
            </w:pPr>
          </w:p>
        </w:tc>
      </w:tr>
      <w:tr w14:paraId="41589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2700" w:type="dxa"/>
            <w:noWrap w:val="0"/>
            <w:vAlign w:val="center"/>
          </w:tcPr>
          <w:p w14:paraId="14890B25">
            <w:pPr>
              <w:spacing w:line="600" w:lineRule="exact"/>
              <w:rPr>
                <w:rFonts w:hint="eastAsia"/>
                <w:szCs w:val="21"/>
              </w:rPr>
            </w:pPr>
            <w:r>
              <w:rPr>
                <w:rFonts w:hint="eastAsia"/>
                <w:szCs w:val="21"/>
              </w:rPr>
              <w:t>综合评价意见</w:t>
            </w:r>
          </w:p>
        </w:tc>
        <w:tc>
          <w:tcPr>
            <w:tcW w:w="7052" w:type="dxa"/>
            <w:gridSpan w:val="4"/>
            <w:noWrap w:val="0"/>
            <w:vAlign w:val="center"/>
          </w:tcPr>
          <w:p w14:paraId="70DAA8CA">
            <w:pPr>
              <w:spacing w:line="600" w:lineRule="exact"/>
              <w:rPr>
                <w:rFonts w:hint="eastAsia"/>
                <w:szCs w:val="21"/>
              </w:rPr>
            </w:pPr>
          </w:p>
        </w:tc>
      </w:tr>
      <w:tr w14:paraId="61FA4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2700" w:type="dxa"/>
            <w:noWrap w:val="0"/>
            <w:vAlign w:val="center"/>
          </w:tcPr>
          <w:p w14:paraId="7469F26B">
            <w:pPr>
              <w:spacing w:line="600" w:lineRule="exact"/>
              <w:rPr>
                <w:rFonts w:hint="eastAsia"/>
                <w:szCs w:val="21"/>
              </w:rPr>
            </w:pPr>
            <w:r>
              <w:rPr>
                <w:rFonts w:hint="eastAsia"/>
                <w:szCs w:val="21"/>
              </w:rPr>
              <w:t>主办部门负责人签字</w:t>
            </w:r>
          </w:p>
        </w:tc>
        <w:tc>
          <w:tcPr>
            <w:tcW w:w="7052" w:type="dxa"/>
            <w:gridSpan w:val="4"/>
            <w:noWrap w:val="0"/>
            <w:vAlign w:val="center"/>
          </w:tcPr>
          <w:p w14:paraId="6988A29F">
            <w:pPr>
              <w:spacing w:line="600" w:lineRule="exact"/>
              <w:rPr>
                <w:rFonts w:hint="eastAsia"/>
                <w:szCs w:val="21"/>
              </w:rPr>
            </w:pPr>
          </w:p>
        </w:tc>
      </w:tr>
    </w:tbl>
    <w:p w14:paraId="3D7BC660">
      <w:pPr>
        <w:pStyle w:val="22"/>
      </w:pPr>
    </w:p>
    <w:p w14:paraId="35B51EE2">
      <w:pPr>
        <w:pStyle w:val="2"/>
        <w:rPr>
          <w:rFonts w:hint="eastAsia"/>
          <w:lang w:eastAsia="zh-CN"/>
        </w:rPr>
      </w:pPr>
    </w:p>
    <w:p w14:paraId="6EE9AC32">
      <w:pPr>
        <w:pStyle w:val="22"/>
      </w:pPr>
    </w:p>
    <w:p w14:paraId="7086B82F">
      <w:pPr>
        <w:snapToGrid w:val="0"/>
        <w:spacing w:line="360" w:lineRule="auto"/>
        <w:jc w:val="center"/>
        <w:rPr>
          <w:rFonts w:ascii="仿宋" w:hAnsi="仿宋" w:eastAsia="仿宋"/>
          <w:b/>
          <w:sz w:val="28"/>
          <w:szCs w:val="28"/>
        </w:rPr>
      </w:pPr>
      <w:r>
        <w:rPr>
          <w:rFonts w:hint="eastAsia" w:ascii="仿宋" w:hAnsi="仿宋" w:eastAsia="仿宋" w:cs="仿宋_GB2312"/>
          <w:b/>
          <w:sz w:val="32"/>
        </w:rPr>
        <w:t>二、商务要求</w:t>
      </w:r>
    </w:p>
    <w:p w14:paraId="798413E8">
      <w:pPr>
        <w:widowControl/>
        <w:snapToGrid w:val="0"/>
        <w:spacing w:line="360" w:lineRule="auto"/>
        <w:rPr>
          <w:rFonts w:ascii="仿宋" w:eastAsia="仿宋"/>
          <w:b/>
          <w:bCs/>
          <w:kern w:val="0"/>
          <w:sz w:val="24"/>
        </w:rPr>
      </w:pPr>
      <w:r>
        <w:rPr>
          <w:rFonts w:hint="eastAsia" w:ascii="仿宋" w:hAnsi="仿宋" w:eastAsia="仿宋"/>
          <w:sz w:val="24"/>
        </w:rPr>
        <w:t>▲</w:t>
      </w:r>
      <w:r>
        <w:rPr>
          <w:rFonts w:hint="eastAsia" w:ascii="仿宋" w:eastAsia="仿宋"/>
          <w:b/>
          <w:bCs/>
          <w:kern w:val="0"/>
          <w:sz w:val="24"/>
        </w:rPr>
        <w:t>2.1服务期限</w:t>
      </w:r>
    </w:p>
    <w:p w14:paraId="121A1790">
      <w:pPr>
        <w:widowControl/>
        <w:snapToGrid w:val="0"/>
        <w:spacing w:line="360" w:lineRule="auto"/>
        <w:ind w:firstLine="480" w:firstLineChars="200"/>
        <w:rPr>
          <w:rFonts w:ascii="仿宋" w:eastAsia="仿宋"/>
          <w:kern w:val="0"/>
          <w:sz w:val="24"/>
        </w:rPr>
      </w:pPr>
      <w:r>
        <w:rPr>
          <w:rFonts w:hint="eastAsia" w:ascii="仿宋" w:eastAsia="仿宋"/>
          <w:kern w:val="0"/>
          <w:sz w:val="24"/>
        </w:rPr>
        <w:t>合同签订之日起计算至服务结束为止。</w:t>
      </w:r>
    </w:p>
    <w:p w14:paraId="56ED9963">
      <w:pPr>
        <w:widowControl/>
        <w:snapToGrid w:val="0"/>
        <w:spacing w:line="360" w:lineRule="auto"/>
        <w:rPr>
          <w:rFonts w:ascii="仿宋" w:eastAsia="仿宋"/>
          <w:b/>
          <w:bCs/>
          <w:sz w:val="24"/>
        </w:rPr>
      </w:pPr>
      <w:r>
        <w:rPr>
          <w:rFonts w:hint="eastAsia" w:ascii="仿宋" w:hAnsi="仿宋" w:eastAsia="仿宋"/>
          <w:sz w:val="24"/>
        </w:rPr>
        <w:t>▲</w:t>
      </w:r>
      <w:r>
        <w:rPr>
          <w:rFonts w:hint="eastAsia" w:ascii="仿宋" w:eastAsia="仿宋"/>
          <w:b/>
          <w:bCs/>
          <w:sz w:val="24"/>
        </w:rPr>
        <w:t>2.3数量调整</w:t>
      </w:r>
    </w:p>
    <w:p w14:paraId="44016FA3">
      <w:pPr>
        <w:widowControl/>
        <w:spacing w:line="480" w:lineRule="exact"/>
        <w:ind w:firstLine="480"/>
        <w:jc w:val="left"/>
        <w:rPr>
          <w:rFonts w:ascii="仿宋" w:hAnsi="仿宋" w:eastAsia="仿宋"/>
          <w:sz w:val="24"/>
        </w:rPr>
      </w:pPr>
      <w:r>
        <w:rPr>
          <w:rFonts w:hint="eastAsia" w:ascii="仿宋" w:hAnsi="仿宋" w:eastAsia="仿宋"/>
          <w:sz w:val="24"/>
        </w:rPr>
        <w:t>采购人保留合同履行中调整部分服务的权力，投标人应对服务类别明细报价，按投标单价不变的前提下进行调整，双方不得拒绝。合同最终结算金额按实际使用量乘以投标单价进行计算，追加的采购金额不得超过原合同采购金额的10%。如遇本次招标没有涉及的服务时，由中标人提供申请，采购人确认后实施。</w:t>
      </w:r>
    </w:p>
    <w:p w14:paraId="69E79B47">
      <w:pPr>
        <w:widowControl/>
        <w:spacing w:line="480" w:lineRule="exact"/>
        <w:jc w:val="left"/>
        <w:rPr>
          <w:rFonts w:ascii="仿宋" w:hAnsi="仿宋" w:eastAsia="仿宋"/>
          <w:sz w:val="24"/>
        </w:rPr>
      </w:pPr>
      <w:r>
        <w:rPr>
          <w:rFonts w:hint="eastAsia" w:ascii="仿宋" w:hAnsi="仿宋" w:eastAsia="仿宋"/>
          <w:sz w:val="24"/>
        </w:rPr>
        <w:t>▲</w:t>
      </w:r>
      <w:r>
        <w:rPr>
          <w:rFonts w:hint="eastAsia" w:ascii="仿宋" w:eastAsia="仿宋"/>
          <w:b/>
          <w:bCs/>
          <w:sz w:val="24"/>
        </w:rPr>
        <w:t>2.4付款方式</w:t>
      </w:r>
    </w:p>
    <w:p w14:paraId="14942CB8">
      <w:pPr>
        <w:widowControl/>
        <w:spacing w:line="560" w:lineRule="exact"/>
        <w:ind w:firstLine="482"/>
        <w:jc w:val="left"/>
        <w:rPr>
          <w:rFonts w:ascii="仿宋" w:hAnsi="仿宋" w:eastAsia="仿宋"/>
          <w:sz w:val="24"/>
          <w:highlight w:val="none"/>
        </w:rPr>
      </w:pPr>
      <w:r>
        <w:rPr>
          <w:rFonts w:hint="eastAsia" w:ascii="仿宋" w:hAnsi="仿宋" w:eastAsia="仿宋"/>
          <w:sz w:val="24"/>
        </w:rPr>
        <w:t>2.4.1工程施工招标代理服务费支付方式：完成每个（项目）标段工程施工招标工作，资料齐</w:t>
      </w:r>
      <w:r>
        <w:rPr>
          <w:rFonts w:hint="eastAsia" w:ascii="仿宋" w:hAnsi="仿宋" w:eastAsia="仿宋"/>
          <w:sz w:val="24"/>
          <w:highlight w:val="none"/>
        </w:rPr>
        <w:t>全</w:t>
      </w:r>
      <w:r>
        <w:rPr>
          <w:rFonts w:hint="eastAsia" w:ascii="仿宋" w:hAnsi="仿宋" w:eastAsia="仿宋"/>
          <w:sz w:val="24"/>
          <w:highlight w:val="none"/>
          <w:lang w:eastAsia="zh-CN"/>
        </w:rPr>
        <w:t>（</w:t>
      </w:r>
      <w:r>
        <w:rPr>
          <w:rFonts w:hint="eastAsia" w:ascii="仿宋" w:hAnsi="仿宋" w:eastAsia="仿宋"/>
          <w:sz w:val="24"/>
          <w:highlight w:val="none"/>
          <w:lang w:val="en-US" w:eastAsia="zh-CN"/>
        </w:rPr>
        <w:t>含电子化资料归档完成</w:t>
      </w:r>
      <w:r>
        <w:rPr>
          <w:rFonts w:hint="eastAsia" w:ascii="仿宋" w:hAnsi="仿宋" w:eastAsia="仿宋"/>
          <w:sz w:val="24"/>
          <w:highlight w:val="none"/>
          <w:lang w:eastAsia="zh-CN"/>
        </w:rPr>
        <w:t>）</w:t>
      </w:r>
      <w:r>
        <w:rPr>
          <w:rFonts w:hint="eastAsia" w:ascii="仿宋" w:hAnsi="仿宋" w:eastAsia="仿宋"/>
          <w:sz w:val="24"/>
          <w:highlight w:val="none"/>
        </w:rPr>
        <w:t>且政府相关单位要求的资料上传完毕后一次性付清；</w:t>
      </w:r>
    </w:p>
    <w:p w14:paraId="30E826C8">
      <w:pPr>
        <w:widowControl/>
        <w:spacing w:line="560" w:lineRule="exact"/>
        <w:ind w:firstLine="482"/>
        <w:jc w:val="left"/>
        <w:rPr>
          <w:rFonts w:hint="eastAsia" w:ascii="仿宋" w:hAnsi="仿宋" w:eastAsia="仿宋"/>
          <w:sz w:val="24"/>
          <w:highlight w:val="none"/>
        </w:rPr>
      </w:pPr>
      <w:r>
        <w:rPr>
          <w:rFonts w:hint="eastAsia" w:ascii="仿宋" w:hAnsi="仿宋" w:eastAsia="仿宋"/>
          <w:sz w:val="24"/>
          <w:highlight w:val="none"/>
        </w:rPr>
        <w:t>2.4.2完成服务类（包括但不限于监理、设计等）、工程设备/材料物资采购每个（项目）标段招标代理工作、资料齐全</w:t>
      </w:r>
      <w:r>
        <w:rPr>
          <w:rFonts w:hint="eastAsia" w:ascii="仿宋" w:hAnsi="仿宋" w:eastAsia="仿宋"/>
          <w:sz w:val="24"/>
          <w:highlight w:val="none"/>
          <w:lang w:eastAsia="zh-CN"/>
        </w:rPr>
        <w:t>（</w:t>
      </w:r>
      <w:r>
        <w:rPr>
          <w:rFonts w:hint="eastAsia" w:ascii="仿宋" w:hAnsi="仿宋" w:eastAsia="仿宋"/>
          <w:sz w:val="24"/>
          <w:highlight w:val="none"/>
          <w:lang w:val="en-US" w:eastAsia="zh-CN"/>
        </w:rPr>
        <w:t>含电子化资料归档完成</w:t>
      </w:r>
      <w:r>
        <w:rPr>
          <w:rFonts w:hint="eastAsia" w:ascii="仿宋" w:hAnsi="仿宋" w:eastAsia="仿宋"/>
          <w:sz w:val="24"/>
          <w:highlight w:val="none"/>
          <w:lang w:eastAsia="zh-CN"/>
        </w:rPr>
        <w:t>）</w:t>
      </w:r>
      <w:r>
        <w:rPr>
          <w:rFonts w:hint="eastAsia" w:ascii="仿宋" w:hAnsi="仿宋" w:eastAsia="仿宋"/>
          <w:sz w:val="24"/>
          <w:highlight w:val="none"/>
        </w:rPr>
        <w:t>且政府相关单位要求的资料上传完毕后付清。</w:t>
      </w:r>
    </w:p>
    <w:p w14:paraId="5E866A59">
      <w:pPr>
        <w:widowControl/>
        <w:spacing w:line="560" w:lineRule="exact"/>
        <w:ind w:firstLine="482"/>
        <w:jc w:val="left"/>
      </w:pPr>
      <w:r>
        <w:rPr>
          <w:rFonts w:hint="eastAsia" w:ascii="仿宋" w:hAnsi="仿宋" w:eastAsia="仿宋"/>
          <w:sz w:val="24"/>
          <w:highlight w:val="none"/>
          <w:lang w:val="en-US" w:eastAsia="zh-CN"/>
        </w:rPr>
        <w:t xml:space="preserve">2.4.3 </w:t>
      </w:r>
      <w:r>
        <w:rPr>
          <w:rFonts w:hint="eastAsia" w:ascii="仿宋" w:hAnsi="仿宋" w:eastAsia="仿宋"/>
          <w:sz w:val="24"/>
          <w:highlight w:val="none"/>
        </w:rPr>
        <w:t>标底审核费用：项目招标工作结束，支付本项目服务价款的</w:t>
      </w:r>
      <w:r>
        <w:rPr>
          <w:rFonts w:hint="eastAsia" w:ascii="仿宋" w:hAnsi="仿宋" w:eastAsia="仿宋"/>
          <w:sz w:val="24"/>
          <w:highlight w:val="none"/>
          <w:lang w:val="en-US" w:eastAsia="zh-CN"/>
        </w:rPr>
        <w:t>80</w:t>
      </w:r>
      <w:r>
        <w:rPr>
          <w:rFonts w:hint="eastAsia" w:ascii="仿宋" w:hAnsi="仿宋" w:eastAsia="仿宋"/>
          <w:sz w:val="24"/>
          <w:highlight w:val="none"/>
        </w:rPr>
        <w:t>%；</w:t>
      </w:r>
      <w:r>
        <w:rPr>
          <w:rFonts w:hint="eastAsia" w:ascii="仿宋" w:hAnsi="仿宋" w:eastAsia="仿宋"/>
          <w:sz w:val="24"/>
          <w:highlight w:val="none"/>
          <w:lang w:eastAsia="zh-CN"/>
        </w:rPr>
        <w:t>本工程涉及的</w:t>
      </w:r>
      <w:r>
        <w:rPr>
          <w:rFonts w:hint="eastAsia" w:ascii="仿宋" w:hAnsi="仿宋" w:eastAsia="仿宋"/>
          <w:sz w:val="24"/>
          <w:highlight w:val="none"/>
          <w:lang w:val="en-US" w:eastAsia="zh-CN"/>
        </w:rPr>
        <w:t>所有</w:t>
      </w:r>
      <w:r>
        <w:rPr>
          <w:rFonts w:hint="eastAsia" w:ascii="仿宋" w:hAnsi="仿宋" w:eastAsia="仿宋"/>
          <w:sz w:val="24"/>
          <w:highlight w:val="none"/>
          <w:lang w:eastAsia="zh-CN"/>
        </w:rPr>
        <w:t>项目结算审核完成（如有政府抽审以政府抽审完成时间为准）且考核完成支付剩余价款。</w:t>
      </w:r>
    </w:p>
    <w:p w14:paraId="07801F0A">
      <w:pPr>
        <w:widowControl/>
        <w:spacing w:line="560" w:lineRule="exact"/>
        <w:ind w:firstLine="482"/>
        <w:jc w:val="left"/>
        <w:rPr>
          <w:rFonts w:ascii="仿宋" w:hAnsi="仿宋" w:eastAsia="仿宋"/>
          <w:sz w:val="24"/>
        </w:rPr>
      </w:pPr>
      <w:r>
        <w:rPr>
          <w:rFonts w:hint="eastAsia" w:ascii="仿宋" w:hAnsi="仿宋" w:eastAsia="仿宋"/>
          <w:sz w:val="24"/>
        </w:rPr>
        <w:t>2.4.</w:t>
      </w:r>
      <w:r>
        <w:rPr>
          <w:rFonts w:hint="eastAsia" w:ascii="仿宋" w:hAnsi="仿宋" w:eastAsia="仿宋"/>
          <w:sz w:val="24"/>
          <w:lang w:val="en-US" w:eastAsia="zh-CN"/>
        </w:rPr>
        <w:t>4</w:t>
      </w:r>
      <w:r>
        <w:rPr>
          <w:rFonts w:hint="eastAsia" w:ascii="仿宋" w:hAnsi="仿宋" w:eastAsia="仿宋"/>
          <w:sz w:val="24"/>
        </w:rPr>
        <w:t>中标单位需要提供符合业主要求的增值税发票。</w:t>
      </w:r>
    </w:p>
    <w:p w14:paraId="7F2D846A">
      <w:pPr>
        <w:widowControl/>
        <w:spacing w:line="560" w:lineRule="exact"/>
        <w:ind w:firstLine="482"/>
        <w:jc w:val="left"/>
        <w:rPr>
          <w:rFonts w:ascii="仿宋" w:hAnsi="仿宋" w:eastAsia="仿宋"/>
          <w:sz w:val="24"/>
        </w:rPr>
      </w:pPr>
      <w:r>
        <w:rPr>
          <w:rFonts w:hint="eastAsia" w:ascii="仿宋" w:hAnsi="仿宋" w:eastAsia="仿宋"/>
          <w:sz w:val="24"/>
        </w:rPr>
        <w:t>2.4.</w:t>
      </w:r>
      <w:r>
        <w:rPr>
          <w:rFonts w:hint="eastAsia" w:ascii="仿宋" w:hAnsi="仿宋" w:eastAsia="仿宋"/>
          <w:sz w:val="24"/>
          <w:lang w:val="en-US" w:eastAsia="zh-CN"/>
        </w:rPr>
        <w:t>5</w:t>
      </w:r>
      <w:r>
        <w:rPr>
          <w:rFonts w:hint="eastAsia" w:ascii="仿宋" w:hAnsi="仿宋" w:eastAsia="仿宋"/>
          <w:sz w:val="24"/>
        </w:rPr>
        <w:t>合同双方确认，本合同及本合同约定的其它文件组成部分中的各项约定都是通过法定招标过程形成的合法成果，不存在与招标文件和中标人投标文件实质性内容不一致的条款。如果存在任何此类不一致的条款，也不是合同双方真实意思的表示，对合同双方不构成任何合同或法律约束力。合同双方也不存在且也不会签订任何背离本合同实质性内容的其他协议或合同。如果存在或签订背离本合同实质性内容的其他协议或合同，也不是合同双方真实意思的表示，对合同双方不构成任何合同或法律约束力。</w:t>
      </w:r>
    </w:p>
    <w:p w14:paraId="70199756">
      <w:pPr>
        <w:spacing w:line="440" w:lineRule="exact"/>
        <w:jc w:val="left"/>
        <w:rPr>
          <w:rFonts w:ascii="仿宋" w:hAnsi="仿宋" w:eastAsia="仿宋"/>
          <w:b/>
          <w:bCs/>
          <w:kern w:val="0"/>
          <w:sz w:val="24"/>
        </w:rPr>
      </w:pPr>
      <w:r>
        <w:rPr>
          <w:rFonts w:hint="eastAsia" w:ascii="仿宋" w:hAnsi="仿宋" w:eastAsia="仿宋"/>
          <w:b/>
          <w:bCs/>
          <w:kern w:val="0"/>
          <w:sz w:val="24"/>
        </w:rPr>
        <w:t>▲2.5质量要求</w:t>
      </w:r>
    </w:p>
    <w:p w14:paraId="536E91DD">
      <w:pPr>
        <w:adjustRightInd/>
        <w:spacing w:line="440" w:lineRule="exact"/>
        <w:ind w:firstLine="480" w:firstLineChars="200"/>
        <w:jc w:val="left"/>
        <w:rPr>
          <w:rFonts w:ascii="仿宋" w:hAnsi="仿宋" w:eastAsia="仿宋"/>
          <w:bCs/>
          <w:sz w:val="24"/>
          <w:szCs w:val="20"/>
        </w:rPr>
      </w:pPr>
      <w:r>
        <w:rPr>
          <w:rFonts w:hint="eastAsia" w:ascii="仿宋" w:hAnsi="仿宋" w:eastAsia="仿宋"/>
          <w:bCs/>
          <w:sz w:val="24"/>
          <w:szCs w:val="20"/>
          <w:u w:val="single"/>
        </w:rPr>
        <w:t xml:space="preserve"> 优质服务 </w:t>
      </w:r>
      <w:r>
        <w:rPr>
          <w:rFonts w:hint="eastAsia" w:ascii="仿宋" w:hAnsi="仿宋" w:eastAsia="仿宋"/>
          <w:bCs/>
          <w:sz w:val="24"/>
          <w:szCs w:val="20"/>
        </w:rPr>
        <w:t>且必须符合国家法律法规和行业标准为准。</w:t>
      </w:r>
    </w:p>
    <w:p w14:paraId="28FF99E2">
      <w:pPr>
        <w:spacing w:line="440" w:lineRule="exact"/>
        <w:jc w:val="left"/>
        <w:rPr>
          <w:rFonts w:ascii="仿宋" w:hAnsi="仿宋" w:eastAsia="仿宋"/>
          <w:bCs/>
          <w:sz w:val="24"/>
          <w:szCs w:val="20"/>
        </w:rPr>
      </w:pPr>
      <w:r>
        <w:rPr>
          <w:rFonts w:hint="eastAsia" w:ascii="仿宋" w:hAnsi="仿宋" w:eastAsia="仿宋"/>
          <w:b/>
          <w:bCs/>
          <w:kern w:val="0"/>
          <w:sz w:val="24"/>
        </w:rPr>
        <w:t xml:space="preserve">▲2.6结算原则   </w:t>
      </w:r>
      <w:r>
        <w:rPr>
          <w:rFonts w:hint="eastAsia" w:ascii="仿宋" w:hAnsi="仿宋" w:eastAsia="仿宋"/>
          <w:bCs/>
          <w:sz w:val="24"/>
          <w:szCs w:val="20"/>
        </w:rPr>
        <w:t xml:space="preserve"> </w:t>
      </w:r>
    </w:p>
    <w:p w14:paraId="1EA61BB5">
      <w:pPr>
        <w:widowControl/>
        <w:spacing w:line="560" w:lineRule="exact"/>
        <w:ind w:firstLine="482"/>
        <w:jc w:val="left"/>
        <w:rPr>
          <w:rFonts w:ascii="仿宋" w:hAnsi="仿宋" w:eastAsia="仿宋"/>
          <w:sz w:val="24"/>
        </w:rPr>
      </w:pPr>
      <w:r>
        <w:rPr>
          <w:rFonts w:hint="eastAsia" w:ascii="仿宋" w:hAnsi="仿宋" w:eastAsia="仿宋"/>
          <w:sz w:val="24"/>
        </w:rPr>
        <w:t>2.6.1招标文件、招标答疑会纪要、中标投标人的中标报价等作为结算依据。</w:t>
      </w:r>
    </w:p>
    <w:p w14:paraId="62CB1CCF">
      <w:pPr>
        <w:widowControl/>
        <w:spacing w:line="480" w:lineRule="exact"/>
        <w:ind w:firstLine="482"/>
        <w:jc w:val="left"/>
        <w:rPr>
          <w:rFonts w:hint="eastAsia" w:ascii="仿宋" w:hAnsi="仿宋" w:eastAsia="仿宋"/>
          <w:sz w:val="24"/>
          <w:highlight w:val="none"/>
        </w:rPr>
      </w:pPr>
      <w:r>
        <w:rPr>
          <w:rFonts w:hint="eastAsia" w:ascii="仿宋" w:hAnsi="仿宋" w:eastAsia="仿宋"/>
          <w:sz w:val="24"/>
          <w:highlight w:val="none"/>
        </w:rPr>
        <w:t>2.6.2施工类招标代理费以招标项目的中标金额为计算基础，按招标代理中标费率一次性包死，不再调整，经计算后不足5000元，按5000元/每次</w:t>
      </w:r>
      <w:r>
        <w:rPr>
          <w:rFonts w:hint="eastAsia" w:ascii="仿宋" w:hAnsi="仿宋" w:eastAsia="仿宋"/>
          <w:sz w:val="24"/>
          <w:highlight w:val="none"/>
          <w:lang w:eastAsia="zh-CN"/>
        </w:rPr>
        <w:t>（</w:t>
      </w:r>
      <w:r>
        <w:rPr>
          <w:rFonts w:hint="eastAsia" w:ascii="仿宋" w:hAnsi="仿宋" w:eastAsia="仿宋"/>
          <w:sz w:val="24"/>
          <w:highlight w:val="none"/>
        </w:rPr>
        <w:t>如有专家评审费发生的</w:t>
      </w:r>
      <w:r>
        <w:rPr>
          <w:rFonts w:hint="eastAsia" w:ascii="仿宋" w:hAnsi="仿宋" w:eastAsia="仿宋"/>
          <w:sz w:val="24"/>
          <w:highlight w:val="none"/>
          <w:lang w:eastAsia="zh-CN"/>
        </w:rPr>
        <w:t>保底</w:t>
      </w:r>
      <w:r>
        <w:rPr>
          <w:rFonts w:hint="eastAsia" w:ascii="仿宋" w:hAnsi="仿宋" w:eastAsia="仿宋"/>
          <w:sz w:val="24"/>
          <w:highlight w:val="none"/>
        </w:rPr>
        <w:t>按8000元/次，</w:t>
      </w:r>
      <w:r>
        <w:rPr>
          <w:rFonts w:hint="eastAsia" w:ascii="仿宋" w:hAnsi="仿宋" w:eastAsia="仿宋"/>
          <w:b/>
          <w:bCs/>
          <w:sz w:val="24"/>
          <w:highlight w:val="none"/>
        </w:rPr>
        <w:t>如</w:t>
      </w:r>
      <w:r>
        <w:rPr>
          <w:rFonts w:hint="eastAsia" w:ascii="仿宋" w:hAnsi="仿宋" w:eastAsia="仿宋"/>
          <w:b/>
          <w:bCs/>
          <w:sz w:val="24"/>
          <w:highlight w:val="none"/>
          <w:lang w:eastAsia="zh-CN"/>
        </w:rPr>
        <w:t>限额以上项目进交易中心开评标</w:t>
      </w:r>
      <w:r>
        <w:rPr>
          <w:rFonts w:hint="eastAsia" w:ascii="仿宋" w:hAnsi="仿宋" w:eastAsia="仿宋"/>
          <w:b/>
          <w:bCs/>
          <w:sz w:val="24"/>
          <w:highlight w:val="none"/>
        </w:rPr>
        <w:t>抽取省库专家的</w:t>
      </w:r>
      <w:r>
        <w:rPr>
          <w:rFonts w:hint="eastAsia" w:ascii="仿宋" w:hAnsi="仿宋" w:eastAsia="仿宋"/>
          <w:b/>
          <w:bCs/>
          <w:sz w:val="24"/>
          <w:highlight w:val="none"/>
          <w:lang w:eastAsia="zh-CN"/>
        </w:rPr>
        <w:t>保底</w:t>
      </w:r>
      <w:r>
        <w:rPr>
          <w:rFonts w:hint="eastAsia" w:ascii="仿宋" w:hAnsi="仿宋" w:eastAsia="仿宋"/>
          <w:b/>
          <w:bCs/>
          <w:sz w:val="24"/>
          <w:highlight w:val="none"/>
        </w:rPr>
        <w:t>按1</w:t>
      </w:r>
      <w:r>
        <w:rPr>
          <w:rFonts w:hint="eastAsia" w:ascii="仿宋" w:hAnsi="仿宋" w:eastAsia="仿宋"/>
          <w:b/>
          <w:bCs/>
          <w:sz w:val="24"/>
          <w:highlight w:val="none"/>
          <w:lang w:val="en-US" w:eastAsia="zh-CN"/>
        </w:rPr>
        <w:t>8</w:t>
      </w:r>
      <w:r>
        <w:rPr>
          <w:rFonts w:hint="eastAsia" w:ascii="仿宋" w:hAnsi="仿宋" w:eastAsia="仿宋"/>
          <w:b/>
          <w:bCs/>
          <w:sz w:val="24"/>
          <w:highlight w:val="none"/>
        </w:rPr>
        <w:t>000元/次</w:t>
      </w:r>
      <w:r>
        <w:rPr>
          <w:rFonts w:hint="eastAsia" w:ascii="仿宋" w:hAnsi="仿宋" w:eastAsia="仿宋"/>
          <w:b/>
          <w:bCs/>
          <w:sz w:val="24"/>
          <w:highlight w:val="none"/>
          <w:lang w:eastAsia="zh-CN"/>
        </w:rPr>
        <w:t>）计取</w:t>
      </w:r>
      <w:r>
        <w:rPr>
          <w:rFonts w:hint="eastAsia" w:ascii="仿宋" w:hAnsi="仿宋" w:eastAsia="仿宋"/>
          <w:sz w:val="24"/>
          <w:highlight w:val="none"/>
        </w:rPr>
        <w:t>；</w:t>
      </w:r>
    </w:p>
    <w:p w14:paraId="3637D4BB">
      <w:pPr>
        <w:widowControl/>
        <w:spacing w:line="480" w:lineRule="exact"/>
        <w:ind w:firstLine="482"/>
        <w:jc w:val="left"/>
        <w:rPr>
          <w:rFonts w:hint="default" w:ascii="仿宋" w:hAnsi="仿宋" w:eastAsia="仿宋"/>
          <w:sz w:val="24"/>
          <w:highlight w:val="none"/>
          <w:lang w:val="en-US" w:eastAsia="zh-CN"/>
        </w:rPr>
      </w:pPr>
      <w:r>
        <w:rPr>
          <w:rFonts w:hint="eastAsia" w:ascii="仿宋" w:hAnsi="仿宋" w:eastAsia="仿宋"/>
          <w:sz w:val="24"/>
          <w:highlight w:val="none"/>
        </w:rPr>
        <w:t>2.6.3服务类（包括不限于监理、设计等）、工程设备/材料物资采购招标代理不再按照中标费率结算，费用结算原则如下：若经计算后费用不足5000元，按照5000元/每次（如有专家评审费发生的按8000元/次，</w:t>
      </w:r>
      <w:r>
        <w:rPr>
          <w:rFonts w:hint="eastAsia" w:ascii="仿宋" w:hAnsi="仿宋" w:eastAsia="仿宋"/>
          <w:b/>
          <w:bCs/>
          <w:sz w:val="24"/>
          <w:highlight w:val="none"/>
        </w:rPr>
        <w:t>如</w:t>
      </w:r>
      <w:r>
        <w:rPr>
          <w:rFonts w:hint="eastAsia" w:ascii="仿宋" w:hAnsi="仿宋" w:eastAsia="仿宋"/>
          <w:b/>
          <w:bCs/>
          <w:sz w:val="24"/>
          <w:highlight w:val="none"/>
          <w:lang w:eastAsia="zh-CN"/>
        </w:rPr>
        <w:t>限额以上项目进交易中心开评标</w:t>
      </w:r>
      <w:r>
        <w:rPr>
          <w:rFonts w:hint="eastAsia" w:ascii="仿宋" w:hAnsi="仿宋" w:eastAsia="仿宋"/>
          <w:b/>
          <w:bCs/>
          <w:sz w:val="24"/>
          <w:highlight w:val="none"/>
        </w:rPr>
        <w:t>抽取省库专家的</w:t>
      </w:r>
      <w:r>
        <w:rPr>
          <w:rFonts w:hint="eastAsia" w:ascii="仿宋" w:hAnsi="仿宋" w:eastAsia="仿宋"/>
          <w:b/>
          <w:bCs/>
          <w:sz w:val="24"/>
          <w:highlight w:val="none"/>
          <w:lang w:eastAsia="zh-CN"/>
        </w:rPr>
        <w:t>保底</w:t>
      </w:r>
      <w:r>
        <w:rPr>
          <w:rFonts w:hint="eastAsia" w:ascii="仿宋" w:hAnsi="仿宋" w:eastAsia="仿宋"/>
          <w:b/>
          <w:bCs/>
          <w:sz w:val="24"/>
          <w:highlight w:val="none"/>
        </w:rPr>
        <w:t>按1</w:t>
      </w:r>
      <w:r>
        <w:rPr>
          <w:rFonts w:hint="eastAsia" w:ascii="仿宋" w:hAnsi="仿宋" w:eastAsia="仿宋"/>
          <w:b/>
          <w:bCs/>
          <w:sz w:val="24"/>
          <w:highlight w:val="none"/>
          <w:lang w:val="en-US" w:eastAsia="zh-CN"/>
        </w:rPr>
        <w:t>8</w:t>
      </w:r>
      <w:r>
        <w:rPr>
          <w:rFonts w:hint="eastAsia" w:ascii="仿宋" w:hAnsi="仿宋" w:eastAsia="仿宋"/>
          <w:b/>
          <w:bCs/>
          <w:sz w:val="24"/>
          <w:highlight w:val="none"/>
        </w:rPr>
        <w:t>000元/次</w:t>
      </w:r>
      <w:r>
        <w:rPr>
          <w:rFonts w:hint="eastAsia" w:ascii="仿宋" w:hAnsi="仿宋" w:eastAsia="仿宋"/>
          <w:sz w:val="24"/>
          <w:highlight w:val="none"/>
        </w:rPr>
        <w:t>计取</w:t>
      </w:r>
      <w:r>
        <w:rPr>
          <w:rFonts w:hint="eastAsia" w:ascii="仿宋" w:hAnsi="仿宋" w:eastAsia="仿宋"/>
          <w:b/>
          <w:bCs/>
          <w:sz w:val="24"/>
          <w:highlight w:val="none"/>
          <w:lang w:eastAsia="zh-CN"/>
        </w:rPr>
        <w:t>）</w:t>
      </w:r>
      <w:r>
        <w:rPr>
          <w:rFonts w:hint="eastAsia" w:ascii="仿宋" w:hAnsi="仿宋" w:eastAsia="仿宋"/>
          <w:sz w:val="24"/>
          <w:highlight w:val="none"/>
        </w:rPr>
        <w:t>。服务类/工程设备/材料物资采购等非工程施工类的</w:t>
      </w:r>
      <w:r>
        <w:rPr>
          <w:rFonts w:hint="eastAsia" w:ascii="仿宋" w:hAnsi="仿宋" w:eastAsia="仿宋"/>
          <w:sz w:val="24"/>
          <w:highlight w:val="none"/>
          <w:lang w:val="en-US" w:eastAsia="zh-CN"/>
        </w:rPr>
        <w:t>询价、比价及</w:t>
      </w:r>
      <w:r>
        <w:rPr>
          <w:rFonts w:hint="eastAsia" w:ascii="仿宋" w:hAnsi="仿宋" w:eastAsia="仿宋"/>
          <w:sz w:val="24"/>
          <w:highlight w:val="none"/>
        </w:rPr>
        <w:t>控制价编制均已包含在工程设备/材料物资采购招标代理费中，不再单独计取。</w:t>
      </w:r>
      <w:r>
        <w:rPr>
          <w:rFonts w:hint="eastAsia" w:ascii="仿宋" w:hAnsi="仿宋" w:eastAsia="仿宋"/>
          <w:sz w:val="24"/>
          <w:highlight w:val="none"/>
          <w:lang w:val="en-US" w:eastAsia="zh-CN"/>
        </w:rPr>
        <w:t>本次招标范围不包括需要出具工程造价预算报告的服务内容。</w:t>
      </w:r>
    </w:p>
    <w:p w14:paraId="022D1BE9">
      <w:pPr>
        <w:widowControl/>
        <w:spacing w:line="480" w:lineRule="exact"/>
        <w:ind w:firstLine="482"/>
        <w:jc w:val="left"/>
        <w:rPr>
          <w:rFonts w:hint="default" w:ascii="仿宋" w:hAnsi="仿宋" w:eastAsia="仿宋"/>
          <w:sz w:val="24"/>
          <w:highlight w:val="none"/>
          <w:lang w:val="en-US" w:eastAsia="zh-CN"/>
        </w:rPr>
      </w:pPr>
      <w:r>
        <w:rPr>
          <w:rFonts w:hint="eastAsia" w:ascii="仿宋" w:hAnsi="仿宋" w:eastAsia="仿宋"/>
          <w:sz w:val="24"/>
          <w:highlight w:val="none"/>
          <w:lang w:val="en-US" w:eastAsia="zh-CN"/>
        </w:rPr>
        <w:t>2.6.4如项目已完成招标文件编制并已发布公告，经业主通知不再进行下一步工作，代理费用按照3000元/只计取。</w:t>
      </w:r>
    </w:p>
    <w:p w14:paraId="2C4FE223">
      <w:pPr>
        <w:widowControl/>
        <w:spacing w:line="560" w:lineRule="exact"/>
        <w:ind w:firstLine="482"/>
        <w:jc w:val="left"/>
        <w:rPr>
          <w:rFonts w:ascii="仿宋" w:hAnsi="仿宋" w:eastAsia="仿宋"/>
          <w:sz w:val="24"/>
          <w:highlight w:val="none"/>
        </w:rPr>
      </w:pPr>
      <w:r>
        <w:rPr>
          <w:rFonts w:hint="eastAsia" w:ascii="仿宋" w:hAnsi="仿宋" w:eastAsia="仿宋"/>
          <w:sz w:val="24"/>
          <w:highlight w:val="none"/>
        </w:rPr>
        <w:t>2.6.</w:t>
      </w:r>
      <w:r>
        <w:rPr>
          <w:rFonts w:hint="eastAsia" w:ascii="仿宋" w:hAnsi="仿宋" w:eastAsia="仿宋"/>
          <w:sz w:val="24"/>
          <w:highlight w:val="none"/>
          <w:lang w:val="en-US" w:eastAsia="zh-CN"/>
        </w:rPr>
        <w:t>5</w:t>
      </w:r>
      <w:r>
        <w:rPr>
          <w:rFonts w:hint="eastAsia" w:ascii="仿宋" w:hAnsi="仿宋" w:eastAsia="仿宋"/>
          <w:sz w:val="24"/>
          <w:highlight w:val="none"/>
        </w:rPr>
        <w:t>招标代理服务范围内所发生的费用按以下原则处理：除招标代理活动中的场地费、公证费由招标人支付，其余费用均由本项目中标单位承担。</w:t>
      </w:r>
    </w:p>
    <w:p w14:paraId="54AD8D1F">
      <w:pPr>
        <w:widowControl/>
        <w:spacing w:line="560" w:lineRule="exact"/>
        <w:ind w:firstLine="482"/>
        <w:jc w:val="left"/>
        <w:rPr>
          <w:rFonts w:hint="eastAsia" w:ascii="仿宋" w:hAnsi="仿宋" w:eastAsia="仿宋"/>
          <w:sz w:val="24"/>
          <w:highlight w:val="none"/>
        </w:rPr>
      </w:pPr>
      <w:r>
        <w:rPr>
          <w:rFonts w:hint="eastAsia" w:ascii="仿宋" w:hAnsi="仿宋" w:eastAsia="仿宋"/>
          <w:sz w:val="24"/>
          <w:highlight w:val="none"/>
        </w:rPr>
        <w:t>2.</w:t>
      </w:r>
      <w:r>
        <w:rPr>
          <w:rFonts w:hint="eastAsia" w:ascii="仿宋" w:hAnsi="仿宋" w:eastAsia="仿宋"/>
          <w:sz w:val="24"/>
          <w:highlight w:val="none"/>
          <w:lang w:val="en-US" w:eastAsia="zh-CN"/>
        </w:rPr>
        <w:t>6</w:t>
      </w:r>
      <w:r>
        <w:rPr>
          <w:rFonts w:hint="eastAsia" w:ascii="仿宋" w:hAnsi="仿宋" w:eastAsia="仿宋"/>
          <w:sz w:val="24"/>
          <w:highlight w:val="none"/>
        </w:rPr>
        <w:t>.</w:t>
      </w:r>
      <w:r>
        <w:rPr>
          <w:rFonts w:hint="eastAsia" w:ascii="仿宋" w:hAnsi="仿宋" w:eastAsia="仿宋"/>
          <w:sz w:val="24"/>
          <w:highlight w:val="none"/>
          <w:lang w:val="en-US" w:eastAsia="zh-CN"/>
        </w:rPr>
        <w:t>6</w:t>
      </w:r>
      <w:r>
        <w:rPr>
          <w:rFonts w:hint="eastAsia" w:ascii="仿宋" w:hAnsi="仿宋" w:eastAsia="仿宋"/>
          <w:sz w:val="24"/>
          <w:highlight w:val="none"/>
        </w:rPr>
        <w:t>其他：非中标单位的原因引起的招标项目第一次招标失败的，采购人如需后期再次进行招标的，服务费不再计取，专家费按实计取。</w:t>
      </w:r>
    </w:p>
    <w:p w14:paraId="221B1026">
      <w:pPr>
        <w:widowControl/>
        <w:spacing w:line="560" w:lineRule="exact"/>
        <w:ind w:firstLine="482"/>
        <w:jc w:val="left"/>
        <w:rPr>
          <w:rFonts w:hint="eastAsia" w:ascii="仿宋" w:hAnsi="仿宋" w:eastAsia="仿宋"/>
          <w:sz w:val="24"/>
          <w:highlight w:val="none"/>
        </w:rPr>
      </w:pPr>
      <w:r>
        <w:rPr>
          <w:rFonts w:hint="eastAsia" w:ascii="仿宋" w:hAnsi="仿宋" w:eastAsia="仿宋"/>
          <w:sz w:val="24"/>
          <w:highlight w:val="none"/>
        </w:rPr>
        <w:t>2.</w:t>
      </w:r>
      <w:r>
        <w:rPr>
          <w:rFonts w:hint="eastAsia" w:ascii="仿宋" w:hAnsi="仿宋" w:eastAsia="仿宋"/>
          <w:sz w:val="24"/>
          <w:highlight w:val="none"/>
          <w:lang w:val="en-US" w:eastAsia="zh-CN"/>
        </w:rPr>
        <w:t>6</w:t>
      </w:r>
      <w:r>
        <w:rPr>
          <w:rFonts w:hint="eastAsia" w:ascii="仿宋" w:hAnsi="仿宋" w:eastAsia="仿宋"/>
          <w:sz w:val="24"/>
          <w:highlight w:val="none"/>
        </w:rPr>
        <w:t>.</w:t>
      </w:r>
      <w:r>
        <w:rPr>
          <w:rFonts w:hint="eastAsia" w:ascii="仿宋" w:hAnsi="仿宋" w:eastAsia="仿宋"/>
          <w:sz w:val="24"/>
          <w:highlight w:val="none"/>
          <w:lang w:val="en-US" w:eastAsia="zh-CN"/>
        </w:rPr>
        <w:t>7</w:t>
      </w:r>
      <w:r>
        <w:rPr>
          <w:rFonts w:hint="eastAsia" w:ascii="仿宋" w:hAnsi="仿宋" w:eastAsia="仿宋"/>
          <w:sz w:val="24"/>
          <w:highlight w:val="none"/>
        </w:rPr>
        <w:t>以上涉及到的招标代理费用均包含评标专家费用。采购人不再另行支付评标专家费，除2.</w:t>
      </w:r>
      <w:r>
        <w:rPr>
          <w:rFonts w:hint="eastAsia" w:ascii="仿宋" w:hAnsi="仿宋" w:eastAsia="仿宋"/>
          <w:sz w:val="24"/>
          <w:highlight w:val="none"/>
          <w:lang w:val="en-US" w:eastAsia="zh-CN"/>
        </w:rPr>
        <w:t>6</w:t>
      </w:r>
      <w:r>
        <w:rPr>
          <w:rFonts w:hint="eastAsia" w:ascii="仿宋" w:hAnsi="仿宋" w:eastAsia="仿宋"/>
          <w:sz w:val="24"/>
          <w:highlight w:val="none"/>
        </w:rPr>
        <w:t>.</w:t>
      </w:r>
      <w:r>
        <w:rPr>
          <w:rFonts w:hint="eastAsia" w:ascii="仿宋" w:hAnsi="仿宋" w:eastAsia="仿宋"/>
          <w:sz w:val="24"/>
          <w:highlight w:val="none"/>
          <w:lang w:val="en-US" w:eastAsia="zh-CN"/>
        </w:rPr>
        <w:t>6</w:t>
      </w:r>
      <w:r>
        <w:rPr>
          <w:rFonts w:hint="eastAsia" w:ascii="仿宋" w:hAnsi="仿宋" w:eastAsia="仿宋"/>
          <w:sz w:val="24"/>
          <w:highlight w:val="none"/>
        </w:rPr>
        <w:t>之外。</w:t>
      </w:r>
    </w:p>
    <w:p w14:paraId="2CAD4707">
      <w:pPr>
        <w:widowControl/>
        <w:spacing w:line="480" w:lineRule="exact"/>
        <w:ind w:firstLine="482"/>
        <w:jc w:val="left"/>
        <w:rPr>
          <w:rFonts w:hint="eastAsia" w:ascii="仿宋" w:hAnsi="仿宋" w:eastAsia="仿宋"/>
          <w:sz w:val="24"/>
          <w:highlight w:val="none"/>
        </w:rPr>
      </w:pPr>
      <w:r>
        <w:rPr>
          <w:rFonts w:hint="eastAsia" w:ascii="仿宋" w:hAnsi="仿宋" w:eastAsia="仿宋"/>
          <w:sz w:val="24"/>
          <w:highlight w:val="none"/>
        </w:rPr>
        <w:t>2.</w:t>
      </w:r>
      <w:r>
        <w:rPr>
          <w:rFonts w:hint="eastAsia" w:ascii="仿宋" w:hAnsi="仿宋" w:eastAsia="仿宋"/>
          <w:sz w:val="24"/>
          <w:highlight w:val="none"/>
          <w:lang w:val="en-US" w:eastAsia="zh-CN"/>
        </w:rPr>
        <w:t>6</w:t>
      </w:r>
      <w:r>
        <w:rPr>
          <w:rFonts w:hint="eastAsia" w:ascii="仿宋" w:hAnsi="仿宋" w:eastAsia="仿宋"/>
          <w:sz w:val="24"/>
          <w:highlight w:val="none"/>
        </w:rPr>
        <w:t>.</w:t>
      </w:r>
      <w:r>
        <w:rPr>
          <w:rFonts w:hint="eastAsia" w:ascii="仿宋" w:hAnsi="仿宋" w:eastAsia="仿宋"/>
          <w:sz w:val="24"/>
          <w:highlight w:val="none"/>
          <w:lang w:val="en-US" w:eastAsia="zh-CN"/>
        </w:rPr>
        <w:t>8</w:t>
      </w:r>
      <w:r>
        <w:rPr>
          <w:rFonts w:hint="eastAsia" w:ascii="仿宋" w:hAnsi="仿宋" w:eastAsia="仿宋"/>
          <w:sz w:val="24"/>
        </w:rPr>
        <w:t>标底审核费</w:t>
      </w:r>
      <w:r>
        <w:rPr>
          <w:rFonts w:hint="eastAsia" w:ascii="仿宋" w:hAnsi="仿宋" w:eastAsia="仿宋"/>
          <w:sz w:val="24"/>
          <w:lang w:eastAsia="zh-CN"/>
        </w:rPr>
        <w:t>用</w:t>
      </w:r>
      <w:r>
        <w:rPr>
          <w:rFonts w:hint="eastAsia" w:ascii="仿宋" w:hAnsi="仿宋" w:eastAsia="仿宋"/>
          <w:sz w:val="24"/>
          <w:highlight w:val="none"/>
        </w:rPr>
        <w:t>以审定的标底价（如有财政审核以财政审定价为准）或预算价为计算基数，按中标费率一次性包死，若经计算后费用低于2000元的按2000元计取。</w:t>
      </w:r>
    </w:p>
    <w:p w14:paraId="095FC4AB">
      <w:pPr>
        <w:widowControl/>
        <w:spacing w:line="480" w:lineRule="exact"/>
        <w:ind w:firstLine="482"/>
        <w:jc w:val="left"/>
      </w:pPr>
      <w:r>
        <w:rPr>
          <w:rFonts w:hint="eastAsia" w:ascii="仿宋" w:hAnsi="仿宋" w:eastAsia="仿宋"/>
          <w:sz w:val="24"/>
          <w:highlight w:val="none"/>
        </w:rPr>
        <w:t>2.</w:t>
      </w:r>
      <w:r>
        <w:rPr>
          <w:rFonts w:hint="eastAsia" w:ascii="仿宋" w:hAnsi="仿宋" w:eastAsia="仿宋"/>
          <w:sz w:val="24"/>
          <w:highlight w:val="none"/>
          <w:lang w:val="en-US" w:eastAsia="zh-CN"/>
        </w:rPr>
        <w:t>6</w:t>
      </w:r>
      <w:r>
        <w:rPr>
          <w:rFonts w:hint="eastAsia" w:ascii="仿宋" w:hAnsi="仿宋" w:eastAsia="仿宋"/>
          <w:sz w:val="24"/>
          <w:highlight w:val="none"/>
        </w:rPr>
        <w:t>.</w:t>
      </w:r>
      <w:r>
        <w:rPr>
          <w:rFonts w:hint="eastAsia" w:ascii="仿宋" w:hAnsi="仿宋" w:eastAsia="仿宋"/>
          <w:sz w:val="24"/>
          <w:highlight w:val="none"/>
          <w:lang w:val="en-US" w:eastAsia="zh-CN"/>
        </w:rPr>
        <w:t>9</w:t>
      </w:r>
      <w:r>
        <w:rPr>
          <w:rFonts w:hint="eastAsia" w:ascii="仿宋" w:hAnsi="仿宋" w:eastAsia="仿宋"/>
          <w:b/>
          <w:bCs/>
          <w:sz w:val="24"/>
          <w:highlight w:val="none"/>
          <w:u w:val="single"/>
          <w:lang w:val="en-US" w:eastAsia="zh-CN"/>
        </w:rPr>
        <w:t>如项目完成标底审核初稿，经业主通知不再进行下一步工作，标底审核收费按照2.6.8条款中收费计算公式的七折计取。</w:t>
      </w:r>
    </w:p>
    <w:p w14:paraId="7CD1B296">
      <w:pPr>
        <w:widowControl/>
        <w:spacing w:line="560" w:lineRule="exact"/>
        <w:ind w:firstLine="482"/>
        <w:jc w:val="left"/>
        <w:rPr>
          <w:rFonts w:hint="default" w:ascii="仿宋" w:hAnsi="仿宋" w:eastAsia="仿宋"/>
          <w:b/>
          <w:bCs/>
          <w:sz w:val="24"/>
          <w:highlight w:val="none"/>
          <w:u w:val="single"/>
          <w:lang w:val="en-US" w:eastAsia="zh-CN"/>
        </w:rPr>
      </w:pPr>
      <w:r>
        <w:rPr>
          <w:rFonts w:hint="eastAsia" w:ascii="仿宋" w:hAnsi="仿宋" w:eastAsia="仿宋"/>
          <w:b/>
          <w:bCs/>
          <w:sz w:val="24"/>
          <w:highlight w:val="none"/>
          <w:u w:val="single"/>
          <w:lang w:val="en-US" w:eastAsia="zh-CN"/>
        </w:rPr>
        <w:t>2.6.10 经计算后如结算金额如超过中标金额10%的，结算金额按中标金额的110%计取，超过10%部分不再计取，请投标人在投标报价时考虑该风险因素。</w:t>
      </w:r>
    </w:p>
    <w:p w14:paraId="50D456D9">
      <w:pPr>
        <w:spacing w:line="440" w:lineRule="exact"/>
        <w:jc w:val="left"/>
        <w:rPr>
          <w:rFonts w:ascii="仿宋" w:hAnsi="仿宋" w:eastAsia="仿宋"/>
          <w:b/>
          <w:bCs/>
          <w:kern w:val="0"/>
          <w:sz w:val="24"/>
          <w:highlight w:val="none"/>
        </w:rPr>
      </w:pPr>
      <w:r>
        <w:rPr>
          <w:rFonts w:hint="eastAsia" w:ascii="仿宋" w:hAnsi="仿宋" w:eastAsia="仿宋"/>
          <w:b/>
          <w:bCs/>
          <w:kern w:val="0"/>
          <w:sz w:val="24"/>
          <w:highlight w:val="none"/>
        </w:rPr>
        <w:t>▲2.7 违约责任：</w:t>
      </w:r>
    </w:p>
    <w:p w14:paraId="5E4DD572">
      <w:pPr>
        <w:widowControl/>
        <w:snapToGrid w:val="0"/>
        <w:spacing w:line="480" w:lineRule="exact"/>
        <w:ind w:firstLine="480" w:firstLineChars="200"/>
        <w:rPr>
          <w:rFonts w:ascii="仿宋" w:hAnsi="仿宋" w:eastAsia="仿宋"/>
          <w:sz w:val="24"/>
        </w:rPr>
      </w:pPr>
      <w:r>
        <w:rPr>
          <w:rFonts w:hint="eastAsia" w:ascii="仿宋" w:hAnsi="仿宋" w:eastAsia="仿宋"/>
          <w:sz w:val="24"/>
        </w:rPr>
        <w:t>2.7.1进度控制</w:t>
      </w:r>
    </w:p>
    <w:p w14:paraId="62A4F45E">
      <w:pPr>
        <w:widowControl/>
        <w:snapToGrid w:val="0"/>
        <w:spacing w:line="480" w:lineRule="exact"/>
        <w:ind w:firstLine="480" w:firstLineChars="200"/>
        <w:rPr>
          <w:rFonts w:ascii="仿宋" w:hAnsi="仿宋" w:eastAsia="仿宋"/>
          <w:sz w:val="24"/>
        </w:rPr>
      </w:pPr>
      <w:r>
        <w:rPr>
          <w:rFonts w:hint="eastAsia" w:ascii="仿宋" w:hAnsi="仿宋" w:eastAsia="仿宋"/>
          <w:sz w:val="24"/>
        </w:rPr>
        <w:t>因中标单位自身责任超过规定时间未能完成</w:t>
      </w:r>
      <w:r>
        <w:rPr>
          <w:rFonts w:hint="eastAsia" w:ascii="仿宋" w:hAnsi="仿宋" w:eastAsia="仿宋"/>
          <w:sz w:val="24"/>
          <w:lang w:eastAsia="zh-CN"/>
        </w:rPr>
        <w:t>招标文件编制</w:t>
      </w:r>
      <w:r>
        <w:rPr>
          <w:rFonts w:hint="eastAsia" w:ascii="仿宋" w:hAnsi="仿宋" w:eastAsia="仿宋"/>
          <w:sz w:val="24"/>
        </w:rPr>
        <w:t>工作的，每延迟一天扣1000元；超过规定时间未能完成招标工作的，每延迟一天扣1000元。超过规定时间未能完成</w:t>
      </w:r>
      <w:r>
        <w:rPr>
          <w:rFonts w:hint="eastAsia" w:ascii="仿宋" w:hAnsi="仿宋" w:eastAsia="仿宋"/>
          <w:sz w:val="24"/>
          <w:lang w:val="en-US" w:eastAsia="zh-CN"/>
        </w:rPr>
        <w:t>其他</w:t>
      </w:r>
      <w:r>
        <w:rPr>
          <w:rFonts w:hint="eastAsia" w:ascii="仿宋" w:hAnsi="仿宋" w:eastAsia="仿宋"/>
          <w:sz w:val="24"/>
        </w:rPr>
        <w:t>工作的，每延迟一天扣1000元。</w:t>
      </w:r>
    </w:p>
    <w:p w14:paraId="356CA071">
      <w:pPr>
        <w:pStyle w:val="22"/>
        <w:spacing w:line="480" w:lineRule="exact"/>
        <w:ind w:firstLine="480" w:firstLineChars="200"/>
        <w:rPr>
          <w:rFonts w:ascii="仿宋" w:hAnsi="仿宋" w:eastAsia="仿宋" w:cs="Times New Roman"/>
          <w:szCs w:val="24"/>
          <w:lang w:val="en-US"/>
        </w:rPr>
      </w:pPr>
      <w:r>
        <w:rPr>
          <w:rFonts w:hint="eastAsia" w:ascii="仿宋" w:hAnsi="仿宋" w:eastAsia="仿宋" w:cs="Times New Roman"/>
          <w:szCs w:val="24"/>
          <w:lang w:val="en-US"/>
        </w:rPr>
        <w:t>2.7.2质量控制：</w:t>
      </w:r>
    </w:p>
    <w:p w14:paraId="0A7BE0CC">
      <w:pPr>
        <w:widowControl/>
        <w:spacing w:line="480" w:lineRule="exact"/>
        <w:ind w:firstLine="480"/>
        <w:jc w:val="left"/>
        <w:rPr>
          <w:rFonts w:hint="eastAsia" w:ascii="仿宋" w:hAnsi="仿宋" w:eastAsia="仿宋" w:cs="Arial"/>
          <w:snapToGrid w:val="0"/>
          <w:sz w:val="24"/>
          <w:szCs w:val="21"/>
          <w:highlight w:val="none"/>
        </w:rPr>
      </w:pPr>
      <w:r>
        <w:rPr>
          <w:rFonts w:hint="eastAsia" w:ascii="仿宋" w:hAnsi="仿宋" w:eastAsia="仿宋" w:cs="Arial"/>
          <w:snapToGrid w:val="0"/>
          <w:sz w:val="24"/>
          <w:szCs w:val="21"/>
          <w:highlight w:val="none"/>
        </w:rPr>
        <w:t>由于服务单位的过错</w:t>
      </w:r>
      <w:r>
        <w:rPr>
          <w:rFonts w:hint="eastAsia" w:ascii="仿宋" w:hAnsi="仿宋" w:eastAsia="仿宋" w:cs="Arial"/>
          <w:snapToGrid w:val="0"/>
          <w:sz w:val="24"/>
          <w:szCs w:val="21"/>
          <w:highlight w:val="none"/>
          <w:lang w:eastAsia="zh-CN"/>
        </w:rPr>
        <w:t>造成采购人</w:t>
      </w:r>
      <w:r>
        <w:rPr>
          <w:rFonts w:hint="eastAsia" w:ascii="仿宋" w:hAnsi="仿宋" w:eastAsia="仿宋" w:cs="Arial"/>
          <w:snapToGrid w:val="0"/>
          <w:sz w:val="24"/>
          <w:szCs w:val="21"/>
          <w:highlight w:val="none"/>
        </w:rPr>
        <w:t>被财政、审计、建设</w:t>
      </w:r>
      <w:r>
        <w:rPr>
          <w:rFonts w:hint="eastAsia" w:ascii="仿宋" w:hAnsi="仿宋" w:eastAsia="仿宋" w:cs="Arial"/>
          <w:snapToGrid w:val="0"/>
          <w:sz w:val="24"/>
          <w:szCs w:val="21"/>
          <w:highlight w:val="none"/>
          <w:lang w:eastAsia="zh-CN"/>
        </w:rPr>
        <w:t>、公管办</w:t>
      </w:r>
      <w:r>
        <w:rPr>
          <w:rFonts w:hint="eastAsia" w:ascii="仿宋" w:hAnsi="仿宋" w:eastAsia="仿宋" w:cs="Arial"/>
          <w:snapToGrid w:val="0"/>
          <w:sz w:val="24"/>
          <w:szCs w:val="21"/>
          <w:highlight w:val="none"/>
        </w:rPr>
        <w:t>等相关部门书面批评或扣分的，每发生一次扣10000元</w:t>
      </w:r>
      <w:r>
        <w:rPr>
          <w:rFonts w:hint="eastAsia" w:ascii="仿宋" w:hAnsi="仿宋" w:eastAsia="仿宋" w:cs="Arial"/>
          <w:snapToGrid w:val="0"/>
          <w:sz w:val="24"/>
          <w:szCs w:val="21"/>
          <w:highlight w:val="none"/>
          <w:lang w:eastAsia="zh-CN"/>
        </w:rPr>
        <w:t>。</w:t>
      </w:r>
      <w:r>
        <w:rPr>
          <w:rFonts w:hint="eastAsia" w:ascii="仿宋" w:hAnsi="仿宋" w:eastAsia="仿宋" w:cs="Arial"/>
          <w:snapToGrid w:val="0"/>
          <w:sz w:val="24"/>
          <w:szCs w:val="21"/>
          <w:highlight w:val="none"/>
        </w:rPr>
        <w:t>情节特别严重的，采购人有权直接</w:t>
      </w:r>
      <w:r>
        <w:rPr>
          <w:rFonts w:hint="eastAsia" w:ascii="仿宋" w:hAnsi="仿宋" w:eastAsia="仿宋" w:cs="Arial"/>
          <w:snapToGrid w:val="0"/>
          <w:sz w:val="24"/>
          <w:szCs w:val="21"/>
          <w:highlight w:val="none"/>
          <w:lang w:val="en-US" w:eastAsia="zh-CN"/>
        </w:rPr>
        <w:t>终止</w:t>
      </w:r>
      <w:r>
        <w:rPr>
          <w:rFonts w:hint="eastAsia" w:ascii="仿宋" w:hAnsi="仿宋" w:eastAsia="仿宋" w:cs="Arial"/>
          <w:snapToGrid w:val="0"/>
          <w:sz w:val="24"/>
          <w:szCs w:val="21"/>
          <w:highlight w:val="none"/>
        </w:rPr>
        <w:t>合同，取消其在浙江绍兴杭绍临空示范区开发集团有限公司（区轨道集团）及下属子公司各项目工程中1年的投标资格。</w:t>
      </w:r>
    </w:p>
    <w:p w14:paraId="14856DBA">
      <w:pPr>
        <w:widowControl/>
        <w:spacing w:line="480" w:lineRule="exact"/>
        <w:ind w:firstLine="480"/>
        <w:jc w:val="left"/>
        <w:rPr>
          <w:highlight w:val="none"/>
        </w:rPr>
      </w:pPr>
      <w:r>
        <w:rPr>
          <w:rFonts w:hint="eastAsia" w:ascii="仿宋" w:hAnsi="仿宋" w:eastAsia="仿宋" w:cs="仿宋"/>
          <w:kern w:val="0"/>
          <w:sz w:val="24"/>
          <w:highlight w:val="none"/>
          <w:lang w:val="en-US" w:eastAsia="zh-CN"/>
        </w:rPr>
        <w:t xml:space="preserve">2.7.3 </w:t>
      </w:r>
      <w:r>
        <w:rPr>
          <w:rFonts w:hint="eastAsia" w:ascii="仿宋" w:eastAsia="仿宋"/>
          <w:kern w:val="0"/>
          <w:sz w:val="24"/>
          <w:highlight w:val="none"/>
        </w:rPr>
        <w:t>工程决算审计后的工程量所发生的差错额与原标底相应误差不允许超过3%。若进行核对后发生差错额在3%-5%（含本数）以内的，扣除1万元违约金；发生差错额超过5%的，扣除3万元违约金</w:t>
      </w:r>
      <w:r>
        <w:rPr>
          <w:rFonts w:hint="eastAsia" w:ascii="仿宋" w:eastAsia="仿宋"/>
          <w:kern w:val="0"/>
          <w:sz w:val="24"/>
          <w:highlight w:val="none"/>
          <w:lang w:eastAsia="zh-CN"/>
        </w:rPr>
        <w:t>（</w:t>
      </w:r>
      <w:r>
        <w:rPr>
          <w:rFonts w:hint="eastAsia" w:ascii="仿宋" w:eastAsia="仿宋"/>
          <w:kern w:val="0"/>
          <w:sz w:val="24"/>
          <w:highlight w:val="none"/>
          <w:lang w:val="en-US" w:eastAsia="zh-CN"/>
        </w:rPr>
        <w:t>以上累计不超过标底审核部分总金额的20%</w:t>
      </w:r>
      <w:r>
        <w:rPr>
          <w:rFonts w:hint="eastAsia" w:ascii="仿宋" w:eastAsia="仿宋"/>
          <w:kern w:val="0"/>
          <w:sz w:val="24"/>
          <w:highlight w:val="none"/>
          <w:lang w:eastAsia="zh-CN"/>
        </w:rPr>
        <w:t>）</w:t>
      </w:r>
      <w:r>
        <w:rPr>
          <w:rFonts w:hint="eastAsia" w:ascii="仿宋" w:eastAsia="仿宋"/>
          <w:kern w:val="0"/>
          <w:sz w:val="24"/>
          <w:highlight w:val="none"/>
        </w:rPr>
        <w:t>。工程决算审计后的工程量为：除业主要求增减的工程量（工程签证变更）以及招标图和施工图变化部分。</w:t>
      </w:r>
    </w:p>
    <w:p w14:paraId="73144D53">
      <w:pPr>
        <w:spacing w:line="440" w:lineRule="exact"/>
        <w:jc w:val="center"/>
        <w:rPr>
          <w:rFonts w:ascii="仿宋" w:hAnsi="仿宋" w:eastAsia="仿宋" w:cs="仿宋_GB2312"/>
          <w:b/>
          <w:sz w:val="36"/>
          <w:szCs w:val="36"/>
        </w:rPr>
      </w:pPr>
      <w:r>
        <w:rPr>
          <w:rFonts w:hint="eastAsia" w:ascii="仿宋" w:hAnsi="仿宋" w:eastAsia="仿宋" w:cs="仿宋_GB2312"/>
          <w:b/>
          <w:sz w:val="36"/>
          <w:szCs w:val="36"/>
        </w:rPr>
        <w:t xml:space="preserve">第四部分   </w:t>
      </w:r>
      <w:bookmarkStart w:id="62" w:name="_Toc184310343"/>
      <w:bookmarkEnd w:id="62"/>
      <w:bookmarkStart w:id="63" w:name="_Toc184310299"/>
      <w:bookmarkEnd w:id="63"/>
      <w:bookmarkStart w:id="64" w:name="_Toc184314468"/>
      <w:bookmarkEnd w:id="64"/>
      <w:bookmarkStart w:id="65" w:name="_Toc184313278"/>
      <w:bookmarkEnd w:id="65"/>
      <w:bookmarkStart w:id="66" w:name="_Toc184313253"/>
      <w:bookmarkEnd w:id="66"/>
      <w:bookmarkStart w:id="67" w:name="_Toc184312139"/>
      <w:bookmarkEnd w:id="67"/>
      <w:bookmarkStart w:id="68" w:name="_Toc184310331"/>
      <w:bookmarkEnd w:id="68"/>
      <w:bookmarkStart w:id="69" w:name="_Toc184312124"/>
      <w:bookmarkEnd w:id="69"/>
      <w:bookmarkStart w:id="70" w:name="_Toc184312105"/>
      <w:bookmarkEnd w:id="70"/>
      <w:bookmarkStart w:id="71" w:name="_Toc184313259"/>
      <w:bookmarkEnd w:id="71"/>
      <w:bookmarkStart w:id="72" w:name="_Toc184312091"/>
      <w:bookmarkEnd w:id="72"/>
      <w:bookmarkStart w:id="73" w:name="_Toc184312080"/>
      <w:bookmarkEnd w:id="73"/>
      <w:bookmarkStart w:id="74" w:name="_Toc184314430"/>
      <w:bookmarkEnd w:id="74"/>
      <w:bookmarkStart w:id="75" w:name="_Toc184313284"/>
      <w:bookmarkEnd w:id="75"/>
      <w:bookmarkStart w:id="76" w:name="_Toc184313293"/>
      <w:bookmarkEnd w:id="76"/>
      <w:bookmarkStart w:id="77" w:name="_Toc184312076"/>
      <w:bookmarkEnd w:id="77"/>
      <w:bookmarkStart w:id="78" w:name="_Toc184312132"/>
      <w:bookmarkEnd w:id="78"/>
      <w:bookmarkStart w:id="79" w:name="_Toc184310317"/>
      <w:bookmarkEnd w:id="79"/>
      <w:bookmarkStart w:id="80" w:name="_Toc184314472"/>
      <w:bookmarkEnd w:id="80"/>
      <w:bookmarkStart w:id="81" w:name="_Toc184308088"/>
      <w:bookmarkEnd w:id="81"/>
      <w:bookmarkStart w:id="82" w:name="_Toc184310334"/>
      <w:bookmarkEnd w:id="82"/>
      <w:bookmarkStart w:id="83" w:name="_Toc184310283"/>
      <w:bookmarkEnd w:id="83"/>
      <w:bookmarkStart w:id="84" w:name="_Toc184314451"/>
      <w:bookmarkEnd w:id="84"/>
      <w:bookmarkStart w:id="85" w:name="_Toc184312112"/>
      <w:bookmarkEnd w:id="85"/>
      <w:bookmarkStart w:id="86" w:name="_Toc184312095"/>
      <w:bookmarkEnd w:id="86"/>
      <w:bookmarkStart w:id="87" w:name="_Toc184308097"/>
      <w:bookmarkEnd w:id="87"/>
      <w:bookmarkStart w:id="88" w:name="_Toc184308065"/>
      <w:bookmarkEnd w:id="88"/>
      <w:bookmarkStart w:id="89" w:name="_Toc184313279"/>
      <w:bookmarkEnd w:id="89"/>
      <w:bookmarkStart w:id="90" w:name="_Toc184314482"/>
      <w:bookmarkEnd w:id="90"/>
      <w:bookmarkStart w:id="91" w:name="_Toc184313258"/>
      <w:bookmarkEnd w:id="91"/>
      <w:bookmarkStart w:id="92" w:name="_Toc184310304"/>
      <w:bookmarkEnd w:id="92"/>
      <w:bookmarkStart w:id="93" w:name="_Toc184308104"/>
      <w:bookmarkEnd w:id="93"/>
      <w:bookmarkStart w:id="94" w:name="_Toc184314424"/>
      <w:bookmarkEnd w:id="94"/>
      <w:bookmarkStart w:id="95" w:name="_Toc184313241"/>
      <w:bookmarkEnd w:id="95"/>
      <w:bookmarkStart w:id="96" w:name="_Toc184314441"/>
      <w:bookmarkEnd w:id="96"/>
      <w:bookmarkStart w:id="97" w:name="_Toc184313273"/>
      <w:bookmarkEnd w:id="97"/>
      <w:bookmarkStart w:id="98" w:name="_Toc184312078"/>
      <w:bookmarkEnd w:id="98"/>
      <w:bookmarkStart w:id="99" w:name="_Toc184312079"/>
      <w:bookmarkEnd w:id="99"/>
      <w:bookmarkStart w:id="100" w:name="_Toc184308098"/>
      <w:bookmarkEnd w:id="100"/>
      <w:bookmarkStart w:id="101" w:name="_Toc184308076"/>
      <w:bookmarkEnd w:id="101"/>
      <w:bookmarkStart w:id="102" w:name="_Toc184308073"/>
      <w:bookmarkEnd w:id="102"/>
      <w:bookmarkStart w:id="103" w:name="_Toc184308062"/>
      <w:bookmarkEnd w:id="103"/>
      <w:bookmarkStart w:id="104" w:name="_Toc184308078"/>
      <w:bookmarkEnd w:id="104"/>
      <w:bookmarkStart w:id="105" w:name="_Toc184313285"/>
      <w:bookmarkEnd w:id="105"/>
      <w:bookmarkStart w:id="106" w:name="_Toc184312138"/>
      <w:bookmarkEnd w:id="106"/>
      <w:bookmarkStart w:id="107" w:name="_Toc184312120"/>
      <w:bookmarkEnd w:id="107"/>
      <w:bookmarkStart w:id="108" w:name="_Toc184308067"/>
      <w:bookmarkEnd w:id="108"/>
      <w:bookmarkStart w:id="109" w:name="_Toc184308058"/>
      <w:bookmarkEnd w:id="109"/>
      <w:bookmarkStart w:id="110" w:name="_Toc184314471"/>
      <w:bookmarkEnd w:id="110"/>
      <w:bookmarkStart w:id="111" w:name="_Toc184308086"/>
      <w:bookmarkEnd w:id="111"/>
      <w:bookmarkStart w:id="112" w:name="_Toc184314453"/>
      <w:bookmarkEnd w:id="112"/>
      <w:bookmarkStart w:id="113" w:name="_Toc184312114"/>
      <w:bookmarkEnd w:id="113"/>
      <w:bookmarkStart w:id="114" w:name="_Toc184310319"/>
      <w:bookmarkEnd w:id="114"/>
      <w:bookmarkStart w:id="115" w:name="_Toc184312130"/>
      <w:bookmarkEnd w:id="115"/>
      <w:bookmarkStart w:id="116" w:name="_Toc184313252"/>
      <w:bookmarkEnd w:id="116"/>
      <w:bookmarkStart w:id="117" w:name="_Toc184313289"/>
      <w:bookmarkEnd w:id="117"/>
      <w:bookmarkStart w:id="118" w:name="_Toc184312110"/>
      <w:bookmarkEnd w:id="118"/>
      <w:bookmarkStart w:id="119" w:name="_Toc184313243"/>
      <w:bookmarkEnd w:id="119"/>
      <w:bookmarkStart w:id="120" w:name="_Toc184312100"/>
      <w:bookmarkEnd w:id="120"/>
      <w:bookmarkStart w:id="121" w:name="_Toc184312119"/>
      <w:bookmarkEnd w:id="121"/>
      <w:bookmarkStart w:id="122" w:name="_Toc184313255"/>
      <w:bookmarkEnd w:id="122"/>
      <w:bookmarkStart w:id="123" w:name="_Toc184314433"/>
      <w:bookmarkEnd w:id="123"/>
      <w:bookmarkStart w:id="124" w:name="_Toc184313266"/>
      <w:bookmarkEnd w:id="124"/>
      <w:bookmarkStart w:id="125" w:name="_Toc184310306"/>
      <w:bookmarkEnd w:id="125"/>
      <w:bookmarkStart w:id="126" w:name="_Toc184314447"/>
      <w:bookmarkEnd w:id="126"/>
      <w:bookmarkStart w:id="127" w:name="_Toc184308052"/>
      <w:bookmarkEnd w:id="127"/>
      <w:bookmarkStart w:id="128" w:name="_Toc184312086"/>
      <w:bookmarkEnd w:id="128"/>
      <w:bookmarkStart w:id="129" w:name="_Toc184314439"/>
      <w:bookmarkEnd w:id="129"/>
      <w:bookmarkStart w:id="130" w:name="_Toc184313261"/>
      <w:bookmarkEnd w:id="130"/>
      <w:bookmarkStart w:id="131" w:name="_Toc184313306"/>
      <w:bookmarkEnd w:id="131"/>
      <w:bookmarkStart w:id="132" w:name="_Toc184312103"/>
      <w:bookmarkEnd w:id="132"/>
      <w:bookmarkStart w:id="133" w:name="_Toc184313246"/>
      <w:bookmarkEnd w:id="133"/>
      <w:bookmarkStart w:id="134" w:name="_Toc184308089"/>
      <w:bookmarkEnd w:id="134"/>
      <w:bookmarkStart w:id="135" w:name="_Toc184310338"/>
      <w:bookmarkEnd w:id="135"/>
      <w:bookmarkStart w:id="136" w:name="_Toc184310286"/>
      <w:bookmarkEnd w:id="136"/>
      <w:bookmarkStart w:id="137" w:name="_Toc184313249"/>
      <w:bookmarkEnd w:id="137"/>
      <w:bookmarkStart w:id="138" w:name="_Toc184314463"/>
      <w:bookmarkEnd w:id="138"/>
      <w:bookmarkStart w:id="139" w:name="_Toc184313242"/>
      <w:bookmarkEnd w:id="139"/>
      <w:bookmarkStart w:id="140" w:name="_Toc184313307"/>
      <w:bookmarkEnd w:id="140"/>
      <w:bookmarkStart w:id="141" w:name="_Toc184308036"/>
      <w:bookmarkEnd w:id="141"/>
      <w:bookmarkStart w:id="142" w:name="_Toc184310278"/>
      <w:bookmarkEnd w:id="142"/>
      <w:bookmarkStart w:id="143" w:name="_Toc184308051"/>
      <w:bookmarkEnd w:id="143"/>
      <w:bookmarkStart w:id="144" w:name="_Toc184310327"/>
      <w:bookmarkEnd w:id="144"/>
      <w:bookmarkStart w:id="145" w:name="_Toc184310295"/>
      <w:bookmarkEnd w:id="145"/>
      <w:bookmarkStart w:id="146" w:name="_Toc184314416"/>
      <w:bookmarkEnd w:id="146"/>
      <w:bookmarkStart w:id="147" w:name="_Toc184314435"/>
      <w:bookmarkEnd w:id="147"/>
      <w:bookmarkStart w:id="148" w:name="_Toc184312126"/>
      <w:bookmarkEnd w:id="148"/>
      <w:bookmarkStart w:id="149" w:name="_Toc184310310"/>
      <w:bookmarkEnd w:id="149"/>
      <w:bookmarkStart w:id="150" w:name="_Toc184312135"/>
      <w:bookmarkEnd w:id="150"/>
      <w:bookmarkStart w:id="151" w:name="_Toc184310329"/>
      <w:bookmarkEnd w:id="151"/>
      <w:bookmarkStart w:id="152" w:name="_Toc184308092"/>
      <w:bookmarkEnd w:id="152"/>
      <w:bookmarkStart w:id="153" w:name="_Toc184313283"/>
      <w:bookmarkEnd w:id="153"/>
      <w:bookmarkStart w:id="154" w:name="_Toc184313254"/>
      <w:bookmarkEnd w:id="154"/>
      <w:bookmarkStart w:id="155" w:name="_Toc184310322"/>
      <w:bookmarkEnd w:id="155"/>
      <w:bookmarkStart w:id="156" w:name="_Toc184312106"/>
      <w:bookmarkEnd w:id="156"/>
      <w:bookmarkStart w:id="157" w:name="_Toc184312127"/>
      <w:bookmarkEnd w:id="157"/>
      <w:bookmarkStart w:id="158" w:name="_Toc184313292"/>
      <w:bookmarkEnd w:id="158"/>
      <w:bookmarkStart w:id="159" w:name="_Toc184310307"/>
      <w:bookmarkEnd w:id="159"/>
      <w:bookmarkStart w:id="160" w:name="_Toc184308093"/>
      <w:bookmarkEnd w:id="160"/>
      <w:bookmarkStart w:id="161" w:name="_Toc184310303"/>
      <w:bookmarkEnd w:id="161"/>
      <w:bookmarkStart w:id="162" w:name="_Toc184314478"/>
      <w:bookmarkEnd w:id="162"/>
      <w:bookmarkStart w:id="163" w:name="_Toc184313250"/>
      <w:bookmarkEnd w:id="163"/>
      <w:bookmarkStart w:id="164" w:name="_Toc184308056"/>
      <w:bookmarkEnd w:id="164"/>
      <w:bookmarkStart w:id="165" w:name="_Toc184312125"/>
      <w:bookmarkEnd w:id="165"/>
      <w:bookmarkStart w:id="166" w:name="_Toc184314437"/>
      <w:bookmarkEnd w:id="166"/>
      <w:bookmarkStart w:id="167" w:name="_Toc184310314"/>
      <w:bookmarkEnd w:id="167"/>
      <w:bookmarkStart w:id="168" w:name="_Toc184310301"/>
      <w:bookmarkEnd w:id="168"/>
      <w:bookmarkStart w:id="169" w:name="_Toc184308043"/>
      <w:bookmarkEnd w:id="169"/>
      <w:bookmarkStart w:id="170" w:name="_Toc184313286"/>
      <w:bookmarkEnd w:id="170"/>
      <w:bookmarkStart w:id="171" w:name="_Toc184310296"/>
      <w:bookmarkEnd w:id="171"/>
      <w:bookmarkStart w:id="172" w:name="_Toc184313281"/>
      <w:bookmarkEnd w:id="172"/>
      <w:bookmarkStart w:id="173" w:name="_Toc184310305"/>
      <w:bookmarkEnd w:id="173"/>
      <w:bookmarkStart w:id="174" w:name="_Toc184314473"/>
      <w:bookmarkEnd w:id="174"/>
      <w:bookmarkStart w:id="175" w:name="_Toc184312104"/>
      <w:bookmarkEnd w:id="175"/>
      <w:bookmarkStart w:id="176" w:name="_Toc184308044"/>
      <w:bookmarkEnd w:id="176"/>
      <w:bookmarkStart w:id="177" w:name="_Toc184310288"/>
      <w:bookmarkEnd w:id="177"/>
      <w:bookmarkStart w:id="178" w:name="_Toc184314421"/>
      <w:bookmarkEnd w:id="178"/>
      <w:bookmarkStart w:id="179" w:name="_Toc184308037"/>
      <w:bookmarkEnd w:id="179"/>
      <w:bookmarkStart w:id="180" w:name="_Toc184314420"/>
      <w:bookmarkEnd w:id="180"/>
      <w:bookmarkStart w:id="181" w:name="_Toc184313265"/>
      <w:bookmarkEnd w:id="181"/>
      <w:bookmarkStart w:id="182" w:name="_Toc184314477"/>
      <w:bookmarkEnd w:id="182"/>
      <w:bookmarkStart w:id="183" w:name="_Toc184308059"/>
      <w:bookmarkEnd w:id="183"/>
      <w:bookmarkStart w:id="184" w:name="_Toc184313304"/>
      <w:bookmarkEnd w:id="184"/>
      <w:bookmarkStart w:id="185" w:name="_Toc184310325"/>
      <w:bookmarkEnd w:id="185"/>
      <w:bookmarkStart w:id="186" w:name="_Toc184312087"/>
      <w:bookmarkEnd w:id="186"/>
      <w:bookmarkStart w:id="187" w:name="_Toc184313268"/>
      <w:bookmarkEnd w:id="187"/>
      <w:bookmarkStart w:id="188" w:name="_Toc184310337"/>
      <w:bookmarkEnd w:id="188"/>
      <w:bookmarkStart w:id="189" w:name="_Toc184312129"/>
      <w:bookmarkEnd w:id="189"/>
      <w:bookmarkStart w:id="190" w:name="_Toc184314444"/>
      <w:bookmarkEnd w:id="190"/>
      <w:bookmarkStart w:id="191" w:name="_Toc184314415"/>
      <w:bookmarkEnd w:id="191"/>
      <w:bookmarkStart w:id="192" w:name="_Toc184310328"/>
      <w:bookmarkEnd w:id="192"/>
      <w:bookmarkStart w:id="193" w:name="_Toc184310272"/>
      <w:bookmarkEnd w:id="193"/>
      <w:bookmarkStart w:id="194" w:name="_Toc184310273"/>
      <w:bookmarkEnd w:id="194"/>
      <w:bookmarkStart w:id="195" w:name="_Toc184313275"/>
      <w:bookmarkEnd w:id="195"/>
      <w:bookmarkStart w:id="196" w:name="_Toc184310281"/>
      <w:bookmarkEnd w:id="196"/>
      <w:bookmarkStart w:id="197" w:name="_Toc184308082"/>
      <w:bookmarkEnd w:id="197"/>
      <w:bookmarkStart w:id="198" w:name="_Toc184314448"/>
      <w:bookmarkEnd w:id="198"/>
      <w:bookmarkStart w:id="199" w:name="_Toc184313294"/>
      <w:bookmarkEnd w:id="199"/>
      <w:bookmarkStart w:id="200" w:name="_Toc184310275"/>
      <w:bookmarkEnd w:id="200"/>
      <w:bookmarkStart w:id="201" w:name="_Toc184312074"/>
      <w:bookmarkEnd w:id="201"/>
      <w:bookmarkStart w:id="202" w:name="_Toc184314454"/>
      <w:bookmarkEnd w:id="202"/>
      <w:bookmarkStart w:id="203" w:name="_Toc184314455"/>
      <w:bookmarkEnd w:id="203"/>
      <w:bookmarkStart w:id="204" w:name="_Toc184308087"/>
      <w:bookmarkEnd w:id="204"/>
      <w:bookmarkStart w:id="205" w:name="_Toc184312083"/>
      <w:bookmarkEnd w:id="205"/>
      <w:bookmarkStart w:id="206" w:name="_Toc184310287"/>
      <w:bookmarkEnd w:id="206"/>
      <w:bookmarkStart w:id="207" w:name="_Toc184314425"/>
      <w:bookmarkEnd w:id="207"/>
      <w:bookmarkStart w:id="208" w:name="_Toc184310294"/>
      <w:bookmarkEnd w:id="208"/>
      <w:bookmarkStart w:id="209" w:name="_Toc184312101"/>
      <w:bookmarkEnd w:id="209"/>
      <w:bookmarkStart w:id="210" w:name="_Toc184310284"/>
      <w:bookmarkEnd w:id="210"/>
      <w:bookmarkStart w:id="211" w:name="_Toc184308045"/>
      <w:bookmarkEnd w:id="211"/>
      <w:bookmarkStart w:id="212" w:name="_Toc184312097"/>
      <w:bookmarkEnd w:id="212"/>
      <w:bookmarkStart w:id="213" w:name="_Toc184313301"/>
      <w:bookmarkEnd w:id="213"/>
      <w:bookmarkStart w:id="214" w:name="_Toc184310309"/>
      <w:bookmarkEnd w:id="214"/>
      <w:bookmarkStart w:id="215" w:name="_Toc184308041"/>
      <w:bookmarkEnd w:id="215"/>
      <w:bookmarkStart w:id="216" w:name="_Toc184312137"/>
      <w:bookmarkEnd w:id="216"/>
      <w:bookmarkStart w:id="217" w:name="_Toc184308074"/>
      <w:bookmarkEnd w:id="217"/>
      <w:bookmarkStart w:id="218" w:name="_Toc184312085"/>
      <w:bookmarkEnd w:id="218"/>
      <w:bookmarkStart w:id="219" w:name="_Toc184314412"/>
      <w:bookmarkEnd w:id="219"/>
      <w:bookmarkStart w:id="220" w:name="_Toc184312116"/>
      <w:bookmarkEnd w:id="220"/>
      <w:bookmarkStart w:id="221" w:name="_Toc184313276"/>
      <w:bookmarkEnd w:id="221"/>
      <w:bookmarkStart w:id="222" w:name="_Toc184308091"/>
      <w:bookmarkEnd w:id="222"/>
      <w:bookmarkStart w:id="223" w:name="_Toc184312067"/>
      <w:bookmarkEnd w:id="223"/>
      <w:bookmarkStart w:id="224" w:name="_Toc184310298"/>
      <w:bookmarkEnd w:id="224"/>
      <w:bookmarkStart w:id="225" w:name="_Toc184310292"/>
      <w:bookmarkEnd w:id="225"/>
      <w:bookmarkStart w:id="226" w:name="_Toc184313251"/>
      <w:bookmarkEnd w:id="226"/>
      <w:bookmarkStart w:id="227" w:name="_Toc184314464"/>
      <w:bookmarkEnd w:id="227"/>
      <w:bookmarkStart w:id="228" w:name="_Toc184313248"/>
      <w:bookmarkEnd w:id="228"/>
      <w:bookmarkStart w:id="229" w:name="_Toc184314434"/>
      <w:bookmarkEnd w:id="229"/>
      <w:bookmarkStart w:id="230" w:name="_Toc184308049"/>
      <w:bookmarkEnd w:id="230"/>
      <w:bookmarkStart w:id="231" w:name="_Toc184313257"/>
      <w:bookmarkEnd w:id="231"/>
      <w:bookmarkStart w:id="232" w:name="_Toc184312115"/>
      <w:bookmarkEnd w:id="232"/>
      <w:bookmarkStart w:id="233" w:name="_Toc184312099"/>
      <w:bookmarkEnd w:id="233"/>
      <w:bookmarkStart w:id="234" w:name="_Toc184310300"/>
      <w:bookmarkEnd w:id="234"/>
      <w:bookmarkStart w:id="235" w:name="_Toc184308057"/>
      <w:bookmarkEnd w:id="235"/>
      <w:bookmarkStart w:id="236" w:name="_Toc184310333"/>
      <w:bookmarkEnd w:id="236"/>
      <w:bookmarkStart w:id="237" w:name="_Toc184310289"/>
      <w:bookmarkEnd w:id="237"/>
      <w:bookmarkStart w:id="238" w:name="_Toc184313277"/>
      <w:bookmarkEnd w:id="238"/>
      <w:bookmarkStart w:id="239" w:name="_Toc184313287"/>
      <w:bookmarkEnd w:id="239"/>
      <w:bookmarkStart w:id="240" w:name="_Toc184310293"/>
      <w:bookmarkEnd w:id="240"/>
      <w:bookmarkStart w:id="241" w:name="_Toc184308061"/>
      <w:bookmarkEnd w:id="241"/>
      <w:bookmarkStart w:id="242" w:name="_Toc184308099"/>
      <w:bookmarkEnd w:id="242"/>
      <w:bookmarkStart w:id="243" w:name="_Toc184313260"/>
      <w:bookmarkEnd w:id="243"/>
      <w:bookmarkStart w:id="244" w:name="_Toc184313280"/>
      <w:bookmarkEnd w:id="244"/>
      <w:bookmarkStart w:id="245" w:name="_Toc184310316"/>
      <w:bookmarkEnd w:id="245"/>
      <w:bookmarkStart w:id="246" w:name="_Toc184312133"/>
      <w:bookmarkEnd w:id="246"/>
      <w:bookmarkStart w:id="247" w:name="_Toc184314422"/>
      <w:bookmarkEnd w:id="247"/>
      <w:bookmarkStart w:id="248" w:name="_Toc184308040"/>
      <w:bookmarkEnd w:id="248"/>
      <w:bookmarkStart w:id="249" w:name="_Toc184313308"/>
      <w:bookmarkEnd w:id="249"/>
      <w:bookmarkStart w:id="250" w:name="_Toc184312082"/>
      <w:bookmarkEnd w:id="250"/>
      <w:bookmarkStart w:id="251" w:name="_Toc184308083"/>
      <w:bookmarkEnd w:id="251"/>
      <w:bookmarkStart w:id="252" w:name="_Toc184314470"/>
      <w:bookmarkEnd w:id="252"/>
      <w:bookmarkStart w:id="253" w:name="_Toc184312098"/>
      <w:bookmarkEnd w:id="253"/>
      <w:bookmarkStart w:id="254" w:name="_Toc184310276"/>
      <w:bookmarkEnd w:id="254"/>
      <w:bookmarkStart w:id="255" w:name="_Toc184312084"/>
      <w:bookmarkEnd w:id="255"/>
      <w:bookmarkStart w:id="256" w:name="_Toc184312102"/>
      <w:bookmarkEnd w:id="256"/>
      <w:bookmarkStart w:id="257" w:name="_Toc184314467"/>
      <w:bookmarkEnd w:id="257"/>
      <w:bookmarkStart w:id="258" w:name="_Toc184312073"/>
      <w:bookmarkEnd w:id="258"/>
      <w:bookmarkStart w:id="259" w:name="_Toc184314469"/>
      <w:bookmarkEnd w:id="259"/>
      <w:bookmarkStart w:id="260" w:name="_Toc184313238"/>
      <w:bookmarkEnd w:id="260"/>
      <w:bookmarkStart w:id="261" w:name="_Toc184314460"/>
      <w:bookmarkEnd w:id="261"/>
      <w:bookmarkStart w:id="262" w:name="_Toc184308048"/>
      <w:bookmarkEnd w:id="262"/>
      <w:bookmarkStart w:id="263" w:name="_Toc184312109"/>
      <w:bookmarkEnd w:id="263"/>
      <w:bookmarkStart w:id="264" w:name="_Toc184312070"/>
      <w:bookmarkEnd w:id="264"/>
      <w:bookmarkStart w:id="265" w:name="_Toc184314411"/>
      <w:bookmarkEnd w:id="265"/>
      <w:bookmarkStart w:id="266" w:name="_Toc184308066"/>
      <w:bookmarkEnd w:id="266"/>
      <w:bookmarkStart w:id="267" w:name="_Toc184312122"/>
      <w:bookmarkEnd w:id="267"/>
      <w:bookmarkStart w:id="268" w:name="_Toc184314457"/>
      <w:bookmarkEnd w:id="268"/>
      <w:bookmarkStart w:id="269" w:name="_Toc184313309"/>
      <w:bookmarkEnd w:id="269"/>
      <w:bookmarkStart w:id="270" w:name="_Toc184312131"/>
      <w:bookmarkEnd w:id="270"/>
      <w:bookmarkStart w:id="271" w:name="_Toc184312113"/>
      <w:bookmarkEnd w:id="271"/>
      <w:bookmarkStart w:id="272" w:name="_Toc184308072"/>
      <w:bookmarkEnd w:id="272"/>
      <w:bookmarkStart w:id="273" w:name="_Toc184312072"/>
      <w:bookmarkEnd w:id="273"/>
      <w:bookmarkStart w:id="274" w:name="_Toc184310341"/>
      <w:bookmarkEnd w:id="274"/>
      <w:bookmarkStart w:id="275" w:name="_Toc184314458"/>
      <w:bookmarkEnd w:id="275"/>
      <w:bookmarkStart w:id="276" w:name="_Toc184308071"/>
      <w:bookmarkEnd w:id="276"/>
      <w:bookmarkStart w:id="277" w:name="_Toc184313300"/>
      <w:bookmarkEnd w:id="277"/>
      <w:bookmarkStart w:id="278" w:name="_Toc184308075"/>
      <w:bookmarkEnd w:id="278"/>
      <w:bookmarkStart w:id="279" w:name="_Toc184312107"/>
      <w:bookmarkEnd w:id="279"/>
      <w:bookmarkStart w:id="280" w:name="_Toc184314436"/>
      <w:bookmarkEnd w:id="280"/>
      <w:bookmarkStart w:id="281" w:name="_Toc184314428"/>
      <w:bookmarkEnd w:id="281"/>
      <w:bookmarkStart w:id="282" w:name="_Toc184312108"/>
      <w:bookmarkEnd w:id="282"/>
      <w:bookmarkStart w:id="283" w:name="_Toc184308085"/>
      <w:bookmarkEnd w:id="283"/>
      <w:bookmarkStart w:id="284" w:name="_Toc184314474"/>
      <w:bookmarkEnd w:id="284"/>
      <w:bookmarkStart w:id="285" w:name="_Toc184314414"/>
      <w:bookmarkEnd w:id="285"/>
      <w:bookmarkStart w:id="286" w:name="_Toc184310290"/>
      <w:bookmarkEnd w:id="286"/>
      <w:bookmarkStart w:id="287" w:name="_Toc184308107"/>
      <w:bookmarkEnd w:id="287"/>
      <w:bookmarkStart w:id="288" w:name="_Toc184314461"/>
      <w:bookmarkEnd w:id="288"/>
      <w:bookmarkStart w:id="289" w:name="_Toc184310342"/>
      <w:bookmarkEnd w:id="289"/>
      <w:bookmarkStart w:id="290" w:name="_Toc184312081"/>
      <w:bookmarkEnd w:id="290"/>
      <w:bookmarkStart w:id="291" w:name="_Toc184308038"/>
      <w:bookmarkEnd w:id="291"/>
      <w:bookmarkStart w:id="292" w:name="_Toc184312128"/>
      <w:bookmarkEnd w:id="292"/>
      <w:bookmarkStart w:id="293" w:name="_Toc184308069"/>
      <w:bookmarkEnd w:id="293"/>
      <w:bookmarkStart w:id="294" w:name="_Toc184314438"/>
      <w:bookmarkEnd w:id="294"/>
      <w:bookmarkStart w:id="295" w:name="_Toc184308094"/>
      <w:bookmarkEnd w:id="295"/>
      <w:bookmarkStart w:id="296" w:name="_Toc184310279"/>
      <w:bookmarkEnd w:id="296"/>
      <w:bookmarkStart w:id="297" w:name="_Toc184310340"/>
      <w:bookmarkEnd w:id="297"/>
      <w:bookmarkStart w:id="298" w:name="_Toc184310282"/>
      <w:bookmarkEnd w:id="298"/>
      <w:bookmarkStart w:id="299" w:name="_Toc184310291"/>
      <w:bookmarkEnd w:id="299"/>
      <w:bookmarkStart w:id="300" w:name="_Toc184312077"/>
      <w:bookmarkEnd w:id="300"/>
      <w:bookmarkStart w:id="301" w:name="_Toc184312118"/>
      <w:bookmarkEnd w:id="301"/>
      <w:bookmarkStart w:id="302" w:name="_Toc184313256"/>
      <w:bookmarkEnd w:id="302"/>
      <w:bookmarkStart w:id="303" w:name="_Toc184313245"/>
      <w:bookmarkEnd w:id="303"/>
      <w:bookmarkStart w:id="304" w:name="_Toc184312075"/>
      <w:bookmarkEnd w:id="304"/>
      <w:bookmarkStart w:id="305" w:name="_Toc184314410"/>
      <w:bookmarkEnd w:id="305"/>
      <w:bookmarkStart w:id="306" w:name="_Toc184313290"/>
      <w:bookmarkEnd w:id="306"/>
      <w:bookmarkStart w:id="307" w:name="_Toc184313299"/>
      <w:bookmarkEnd w:id="307"/>
      <w:bookmarkStart w:id="308" w:name="_Toc184310320"/>
      <w:bookmarkEnd w:id="308"/>
      <w:bookmarkStart w:id="309" w:name="_Toc184310332"/>
      <w:bookmarkEnd w:id="309"/>
      <w:bookmarkStart w:id="310" w:name="_Toc184308081"/>
      <w:bookmarkEnd w:id="310"/>
      <w:bookmarkStart w:id="311" w:name="_Toc184308042"/>
      <w:bookmarkEnd w:id="311"/>
      <w:bookmarkStart w:id="312" w:name="_Toc184313291"/>
      <w:bookmarkEnd w:id="312"/>
      <w:bookmarkStart w:id="313" w:name="_Toc184313303"/>
      <w:bookmarkEnd w:id="313"/>
      <w:bookmarkStart w:id="314" w:name="_Toc184314445"/>
      <w:bookmarkEnd w:id="314"/>
      <w:bookmarkStart w:id="315" w:name="_Toc184308084"/>
      <w:bookmarkEnd w:id="315"/>
      <w:bookmarkStart w:id="316" w:name="_Toc184308047"/>
      <w:bookmarkEnd w:id="316"/>
      <w:bookmarkStart w:id="317" w:name="_Toc184308068"/>
      <w:bookmarkEnd w:id="317"/>
      <w:bookmarkStart w:id="318" w:name="_Toc184314446"/>
      <w:bookmarkEnd w:id="318"/>
      <w:bookmarkStart w:id="319" w:name="_Toc184310297"/>
      <w:bookmarkEnd w:id="319"/>
      <w:bookmarkStart w:id="320" w:name="_Toc184310339"/>
      <w:bookmarkEnd w:id="320"/>
      <w:bookmarkStart w:id="321" w:name="_Toc184312069"/>
      <w:bookmarkEnd w:id="321"/>
      <w:bookmarkStart w:id="322" w:name="_Toc184310285"/>
      <w:bookmarkEnd w:id="322"/>
      <w:bookmarkStart w:id="323" w:name="_Toc184308079"/>
      <w:bookmarkEnd w:id="323"/>
      <w:bookmarkStart w:id="324" w:name="_Toc184310313"/>
      <w:bookmarkEnd w:id="324"/>
      <w:bookmarkStart w:id="325" w:name="_Toc184314419"/>
      <w:bookmarkEnd w:id="325"/>
      <w:bookmarkStart w:id="326" w:name="_Toc184313267"/>
      <w:bookmarkEnd w:id="326"/>
      <w:bookmarkStart w:id="327" w:name="_Toc184312136"/>
      <w:bookmarkEnd w:id="327"/>
      <w:bookmarkStart w:id="328" w:name="_Toc184313282"/>
      <w:bookmarkEnd w:id="328"/>
      <w:bookmarkStart w:id="329" w:name="_Toc184313264"/>
      <w:bookmarkEnd w:id="329"/>
      <w:bookmarkStart w:id="330" w:name="_Toc184314423"/>
      <w:bookmarkEnd w:id="330"/>
      <w:bookmarkStart w:id="331" w:name="_Toc184314431"/>
      <w:bookmarkEnd w:id="331"/>
      <w:bookmarkStart w:id="332" w:name="_Toc184310344"/>
      <w:bookmarkEnd w:id="332"/>
      <w:bookmarkStart w:id="333" w:name="_Toc184312117"/>
      <w:bookmarkEnd w:id="333"/>
      <w:bookmarkStart w:id="334" w:name="_Toc184308053"/>
      <w:bookmarkEnd w:id="334"/>
      <w:bookmarkStart w:id="335" w:name="_Toc184314443"/>
      <w:bookmarkEnd w:id="335"/>
      <w:bookmarkStart w:id="336" w:name="_Toc184314427"/>
      <w:bookmarkEnd w:id="336"/>
      <w:bookmarkStart w:id="337" w:name="_Toc184310323"/>
      <w:bookmarkEnd w:id="337"/>
      <w:bookmarkStart w:id="338" w:name="_Toc184308095"/>
      <w:bookmarkEnd w:id="338"/>
      <w:bookmarkStart w:id="339" w:name="_Toc184308108"/>
      <w:bookmarkEnd w:id="339"/>
      <w:bookmarkStart w:id="340" w:name="_Toc184313295"/>
      <w:bookmarkEnd w:id="340"/>
      <w:bookmarkStart w:id="341" w:name="_Toc184313274"/>
      <w:bookmarkEnd w:id="341"/>
      <w:bookmarkStart w:id="342" w:name="_Toc184314432"/>
      <w:bookmarkEnd w:id="342"/>
      <w:bookmarkStart w:id="343" w:name="_Toc184312071"/>
      <w:bookmarkEnd w:id="343"/>
      <w:bookmarkStart w:id="344" w:name="_Toc184314452"/>
      <w:bookmarkEnd w:id="344"/>
      <w:bookmarkStart w:id="345" w:name="_Toc184313270"/>
      <w:bookmarkEnd w:id="345"/>
      <w:bookmarkStart w:id="346" w:name="_Toc184314442"/>
      <w:bookmarkEnd w:id="346"/>
      <w:bookmarkStart w:id="347" w:name="_Toc184314450"/>
      <w:bookmarkEnd w:id="347"/>
      <w:bookmarkStart w:id="348" w:name="_Toc184312088"/>
      <w:bookmarkEnd w:id="348"/>
      <w:bookmarkStart w:id="349" w:name="_Toc184310280"/>
      <w:bookmarkEnd w:id="349"/>
      <w:bookmarkStart w:id="350" w:name="_Toc184313298"/>
      <w:bookmarkEnd w:id="350"/>
      <w:bookmarkStart w:id="351" w:name="_Toc184308077"/>
      <w:bookmarkEnd w:id="351"/>
      <w:bookmarkStart w:id="352" w:name="_Toc184313271"/>
      <w:bookmarkEnd w:id="352"/>
      <w:bookmarkStart w:id="353" w:name="_Toc184313288"/>
      <w:bookmarkEnd w:id="353"/>
      <w:bookmarkStart w:id="354" w:name="_Toc184314417"/>
      <w:bookmarkEnd w:id="354"/>
      <w:bookmarkStart w:id="355" w:name="_Toc184308046"/>
      <w:bookmarkEnd w:id="355"/>
      <w:bookmarkStart w:id="356" w:name="_Toc184310336"/>
      <w:bookmarkEnd w:id="356"/>
      <w:bookmarkStart w:id="357" w:name="_Toc184308060"/>
      <w:bookmarkEnd w:id="357"/>
      <w:bookmarkStart w:id="358" w:name="_Toc184310312"/>
      <w:bookmarkEnd w:id="358"/>
      <w:bookmarkStart w:id="359" w:name="_Toc184312090"/>
      <w:bookmarkEnd w:id="359"/>
      <w:bookmarkStart w:id="360" w:name="_Toc184313296"/>
      <w:bookmarkEnd w:id="360"/>
      <w:bookmarkStart w:id="361" w:name="_Toc184310311"/>
      <w:bookmarkEnd w:id="361"/>
      <w:bookmarkStart w:id="362" w:name="_Toc184314440"/>
      <w:bookmarkEnd w:id="362"/>
      <w:bookmarkStart w:id="363" w:name="_Toc184313297"/>
      <w:bookmarkEnd w:id="363"/>
      <w:bookmarkStart w:id="364" w:name="_Toc184313244"/>
      <w:bookmarkEnd w:id="364"/>
      <w:bookmarkStart w:id="365" w:name="_Toc184314413"/>
      <w:bookmarkEnd w:id="365"/>
      <w:bookmarkStart w:id="366" w:name="_Toc184310308"/>
      <w:bookmarkEnd w:id="366"/>
      <w:bookmarkStart w:id="367" w:name="_Toc184314475"/>
      <w:bookmarkEnd w:id="367"/>
      <w:bookmarkStart w:id="368" w:name="_Toc184308096"/>
      <w:bookmarkEnd w:id="368"/>
      <w:bookmarkStart w:id="369" w:name="_Toc184314466"/>
      <w:bookmarkEnd w:id="369"/>
      <w:bookmarkStart w:id="370" w:name="_Toc184313240"/>
      <w:bookmarkEnd w:id="370"/>
      <w:bookmarkStart w:id="371" w:name="_Toc184308090"/>
      <w:bookmarkEnd w:id="371"/>
      <w:bookmarkStart w:id="372" w:name="_Toc184310326"/>
      <w:bookmarkEnd w:id="372"/>
      <w:bookmarkStart w:id="373" w:name="_Toc184312121"/>
      <w:bookmarkEnd w:id="373"/>
      <w:bookmarkStart w:id="374" w:name="_Toc184308055"/>
      <w:bookmarkEnd w:id="374"/>
      <w:bookmarkStart w:id="375" w:name="_Toc184310274"/>
      <w:bookmarkEnd w:id="375"/>
      <w:bookmarkStart w:id="376" w:name="_Toc184312096"/>
      <w:bookmarkEnd w:id="376"/>
      <w:bookmarkStart w:id="377" w:name="_Toc184314418"/>
      <w:bookmarkEnd w:id="377"/>
      <w:bookmarkStart w:id="378" w:name="_Toc184310321"/>
      <w:bookmarkEnd w:id="378"/>
      <w:bookmarkStart w:id="379" w:name="_Toc184313305"/>
      <w:bookmarkEnd w:id="379"/>
      <w:bookmarkStart w:id="380" w:name="_Toc184308105"/>
      <w:bookmarkEnd w:id="380"/>
      <w:bookmarkStart w:id="381" w:name="_Toc184314429"/>
      <w:bookmarkEnd w:id="381"/>
      <w:bookmarkStart w:id="382" w:name="_Toc184310277"/>
      <w:bookmarkEnd w:id="382"/>
      <w:bookmarkStart w:id="383" w:name="_Toc184314476"/>
      <w:bookmarkEnd w:id="383"/>
      <w:bookmarkStart w:id="384" w:name="_Toc184310335"/>
      <w:bookmarkEnd w:id="384"/>
      <w:bookmarkStart w:id="385" w:name="_Toc184308101"/>
      <w:bookmarkEnd w:id="385"/>
      <w:bookmarkStart w:id="386" w:name="_Toc184312092"/>
      <w:bookmarkEnd w:id="386"/>
      <w:bookmarkStart w:id="387" w:name="_Toc184312093"/>
      <w:bookmarkEnd w:id="387"/>
      <w:bookmarkStart w:id="388" w:name="_Toc184314481"/>
      <w:bookmarkEnd w:id="388"/>
      <w:bookmarkStart w:id="389" w:name="_Toc184313247"/>
      <w:bookmarkEnd w:id="389"/>
      <w:bookmarkStart w:id="390" w:name="_Toc184314465"/>
      <w:bookmarkEnd w:id="390"/>
      <w:bookmarkStart w:id="391" w:name="_Toc184312134"/>
      <w:bookmarkEnd w:id="391"/>
      <w:bookmarkStart w:id="392" w:name="_Toc184308103"/>
      <w:bookmarkEnd w:id="392"/>
      <w:bookmarkStart w:id="393" w:name="_Toc184312111"/>
      <w:bookmarkEnd w:id="393"/>
      <w:bookmarkStart w:id="394" w:name="_Toc184308050"/>
      <w:bookmarkEnd w:id="394"/>
      <w:bookmarkStart w:id="395" w:name="_Toc184313269"/>
      <w:bookmarkEnd w:id="395"/>
      <w:bookmarkStart w:id="396" w:name="_Toc184313262"/>
      <w:bookmarkEnd w:id="396"/>
      <w:bookmarkStart w:id="397" w:name="_Toc184310318"/>
      <w:bookmarkEnd w:id="397"/>
      <w:bookmarkStart w:id="398" w:name="_Toc184312068"/>
      <w:bookmarkEnd w:id="398"/>
      <w:bookmarkStart w:id="399" w:name="_Toc184313310"/>
      <w:bookmarkEnd w:id="399"/>
      <w:bookmarkStart w:id="400" w:name="_Toc184312094"/>
      <w:bookmarkEnd w:id="400"/>
      <w:bookmarkStart w:id="401" w:name="_Toc184314456"/>
      <w:bookmarkEnd w:id="401"/>
      <w:bookmarkStart w:id="402" w:name="_Toc184308070"/>
      <w:bookmarkEnd w:id="402"/>
      <w:bookmarkStart w:id="403" w:name="_Toc184308106"/>
      <w:bookmarkEnd w:id="403"/>
      <w:bookmarkStart w:id="404" w:name="_Toc184310302"/>
      <w:bookmarkEnd w:id="404"/>
      <w:bookmarkStart w:id="405" w:name="_Toc184308080"/>
      <w:bookmarkEnd w:id="405"/>
      <w:bookmarkStart w:id="406" w:name="_Toc184308039"/>
      <w:bookmarkEnd w:id="406"/>
      <w:bookmarkStart w:id="407" w:name="_Toc184314462"/>
      <w:bookmarkEnd w:id="407"/>
      <w:bookmarkStart w:id="408" w:name="_Toc184314459"/>
      <w:bookmarkEnd w:id="408"/>
      <w:bookmarkStart w:id="409" w:name="_Toc184313263"/>
      <w:bookmarkEnd w:id="409"/>
      <w:bookmarkStart w:id="410" w:name="_Toc184308054"/>
      <w:bookmarkEnd w:id="410"/>
      <w:bookmarkStart w:id="411" w:name="_Toc184314480"/>
      <w:bookmarkEnd w:id="411"/>
      <w:bookmarkStart w:id="412" w:name="_Toc184314426"/>
      <w:bookmarkEnd w:id="412"/>
      <w:bookmarkStart w:id="413" w:name="_Toc184308100"/>
      <w:bookmarkEnd w:id="413"/>
      <w:bookmarkStart w:id="414" w:name="_Toc184310315"/>
      <w:bookmarkEnd w:id="414"/>
      <w:bookmarkStart w:id="415" w:name="_Toc184312123"/>
      <w:bookmarkEnd w:id="415"/>
      <w:bookmarkStart w:id="416" w:name="_Toc184308102"/>
      <w:bookmarkEnd w:id="416"/>
      <w:bookmarkStart w:id="417" w:name="_Toc184308063"/>
      <w:bookmarkEnd w:id="417"/>
      <w:bookmarkStart w:id="418" w:name="_Toc184313239"/>
      <w:bookmarkEnd w:id="418"/>
      <w:bookmarkStart w:id="419" w:name="_Toc184308064"/>
      <w:bookmarkEnd w:id="419"/>
      <w:bookmarkStart w:id="420" w:name="_Toc184313302"/>
      <w:bookmarkEnd w:id="420"/>
      <w:bookmarkStart w:id="421" w:name="_Toc184310330"/>
      <w:bookmarkEnd w:id="421"/>
      <w:bookmarkStart w:id="422" w:name="_Toc184314479"/>
      <w:bookmarkEnd w:id="422"/>
      <w:bookmarkStart w:id="423" w:name="_Toc184314449"/>
      <w:bookmarkEnd w:id="423"/>
      <w:bookmarkStart w:id="424" w:name="_Toc184313272"/>
      <w:bookmarkEnd w:id="424"/>
      <w:bookmarkStart w:id="425" w:name="_Toc184310324"/>
      <w:bookmarkEnd w:id="425"/>
      <w:bookmarkStart w:id="426" w:name="_Toc184312089"/>
      <w:bookmarkEnd w:id="426"/>
      <w:r>
        <w:rPr>
          <w:rFonts w:hint="eastAsia" w:ascii="仿宋" w:hAnsi="仿宋" w:eastAsia="仿宋" w:cs="仿宋_GB2312"/>
          <w:b/>
          <w:sz w:val="36"/>
          <w:szCs w:val="36"/>
        </w:rPr>
        <w:t>评标方法及评分标准</w:t>
      </w:r>
    </w:p>
    <w:p w14:paraId="72C9F55F">
      <w:pPr>
        <w:snapToGrid w:val="0"/>
        <w:spacing w:line="360" w:lineRule="auto"/>
        <w:jc w:val="center"/>
        <w:rPr>
          <w:rFonts w:ascii="仿宋" w:hAnsi="仿宋" w:eastAsia="仿宋"/>
          <w:b/>
          <w:sz w:val="28"/>
          <w:szCs w:val="28"/>
        </w:rPr>
      </w:pPr>
      <w:r>
        <w:rPr>
          <w:rFonts w:hint="eastAsia" w:ascii="仿宋" w:hAnsi="仿宋" w:eastAsia="仿宋" w:cs="仿宋_GB2312"/>
          <w:b/>
          <w:sz w:val="32"/>
        </w:rPr>
        <w:t>一、评标方法</w:t>
      </w:r>
    </w:p>
    <w:p w14:paraId="5E284AE5">
      <w:pPr>
        <w:adjustRightInd/>
        <w:spacing w:line="360" w:lineRule="auto"/>
        <w:ind w:firstLine="482" w:firstLineChars="200"/>
        <w:rPr>
          <w:rFonts w:ascii="仿宋" w:hAnsi="仿宋" w:eastAsia="仿宋" w:cs="Arial"/>
          <w:kern w:val="0"/>
          <w:sz w:val="24"/>
        </w:rPr>
      </w:pPr>
      <w:r>
        <w:rPr>
          <w:rFonts w:hint="eastAsia" w:ascii="仿宋" w:hAnsi="仿宋" w:eastAsia="仿宋" w:cs="Arial"/>
          <w:b/>
          <w:kern w:val="0"/>
          <w:sz w:val="24"/>
        </w:rPr>
        <w:t>1.</w:t>
      </w:r>
      <w:r>
        <w:rPr>
          <w:rFonts w:hint="eastAsia" w:ascii="仿宋" w:hAnsi="仿宋" w:eastAsia="仿宋"/>
          <w:b/>
          <w:sz w:val="24"/>
          <w:szCs w:val="20"/>
        </w:rPr>
        <w:t>综合评标价法。</w:t>
      </w:r>
      <w:r>
        <w:rPr>
          <w:rFonts w:hint="eastAsia" w:ascii="仿宋" w:hAnsi="仿宋" w:eastAsia="仿宋" w:cs="Arial"/>
          <w:kern w:val="0"/>
          <w:sz w:val="24"/>
        </w:rPr>
        <w:t>综合评分法，是指投标文件满足招标文件全部实质性要求，且按照评审因素的量化指标评审得分最高的投标人为中标候选人的评标方法。</w:t>
      </w:r>
    </w:p>
    <w:p w14:paraId="59FC4AD7">
      <w:pPr>
        <w:snapToGrid w:val="0"/>
        <w:spacing w:line="360" w:lineRule="auto"/>
        <w:ind w:firstLine="360" w:firstLineChars="150"/>
        <w:rPr>
          <w:rFonts w:ascii="仿宋" w:hAnsi="仿宋" w:eastAsia="仿宋" w:cs="Arial"/>
          <w:kern w:val="0"/>
          <w:sz w:val="24"/>
        </w:rPr>
      </w:pPr>
    </w:p>
    <w:p w14:paraId="18317072">
      <w:pPr>
        <w:snapToGrid w:val="0"/>
        <w:spacing w:line="360" w:lineRule="auto"/>
        <w:jc w:val="center"/>
        <w:rPr>
          <w:rFonts w:ascii="仿宋" w:hAnsi="仿宋" w:eastAsia="仿宋" w:cs="仿宋_GB2312"/>
          <w:b/>
          <w:sz w:val="32"/>
        </w:rPr>
      </w:pPr>
      <w:r>
        <w:rPr>
          <w:rFonts w:hint="eastAsia" w:ascii="仿宋" w:hAnsi="仿宋" w:eastAsia="仿宋" w:cs="仿宋_GB2312"/>
          <w:b/>
          <w:sz w:val="32"/>
        </w:rPr>
        <w:t>二、评标委员会的组成</w:t>
      </w:r>
    </w:p>
    <w:p w14:paraId="389C11B9">
      <w:pPr>
        <w:snapToGrid w:val="0"/>
        <w:spacing w:line="360" w:lineRule="auto"/>
        <w:ind w:firstLine="482" w:firstLineChars="200"/>
        <w:rPr>
          <w:rFonts w:ascii="仿宋" w:hAnsi="仿宋" w:eastAsia="仿宋" w:cs="Arial"/>
          <w:kern w:val="0"/>
          <w:sz w:val="24"/>
        </w:rPr>
      </w:pPr>
      <w:r>
        <w:rPr>
          <w:rFonts w:hint="eastAsia" w:ascii="仿宋" w:hAnsi="仿宋" w:eastAsia="仿宋" w:cs="Arial"/>
          <w:b/>
          <w:kern w:val="0"/>
          <w:sz w:val="24"/>
        </w:rPr>
        <w:t>2.评标委员会的组成。</w:t>
      </w:r>
      <w:r>
        <w:rPr>
          <w:rFonts w:ascii="仿宋" w:hAnsi="仿宋" w:eastAsia="仿宋" w:cs="Arial"/>
          <w:kern w:val="0"/>
          <w:sz w:val="24"/>
        </w:rPr>
        <w:t>评标委员会由采购人代表和评审专家组成，成员人数为5人以上单数，其中评审专家不少于成员总数的三分之二。</w:t>
      </w:r>
    </w:p>
    <w:p w14:paraId="20C202F6">
      <w:pPr>
        <w:pStyle w:val="228"/>
        <w:spacing w:before="0"/>
        <w:ind w:firstLine="482"/>
        <w:rPr>
          <w:rFonts w:ascii="仿宋" w:hAnsi="仿宋" w:eastAsia="仿宋" w:cs="Arial"/>
          <w:kern w:val="0"/>
        </w:rPr>
      </w:pPr>
      <w:r>
        <w:rPr>
          <w:rFonts w:hint="eastAsia" w:ascii="仿宋" w:hAnsi="仿宋" w:eastAsia="仿宋" w:cs="Arial"/>
          <w:b/>
          <w:kern w:val="0"/>
        </w:rPr>
        <w:t>3.评</w:t>
      </w:r>
      <w:r>
        <w:rPr>
          <w:rFonts w:hint="eastAsia" w:ascii="仿宋" w:hAnsi="仿宋" w:eastAsia="仿宋" w:cs="Arial"/>
          <w:b/>
          <w:kern w:val="0"/>
          <w:szCs w:val="24"/>
        </w:rPr>
        <w:t>标委员会的组成人员的回避。</w:t>
      </w:r>
      <w:r>
        <w:rPr>
          <w:rFonts w:hint="eastAsia" w:ascii="仿宋" w:hAnsi="仿宋" w:eastAsia="仿宋" w:cs="Arial"/>
          <w:kern w:val="0"/>
        </w:rPr>
        <w:t>在国企采购活动中，评标委员会的组成人员与供应商有下列利害关系之一的，应当回避：</w:t>
      </w:r>
    </w:p>
    <w:p w14:paraId="28D95B7B">
      <w:pPr>
        <w:pStyle w:val="228"/>
        <w:spacing w:before="0"/>
        <w:ind w:firstLine="480"/>
        <w:jc w:val="left"/>
        <w:rPr>
          <w:rFonts w:ascii="仿宋" w:hAnsi="仿宋" w:eastAsia="仿宋" w:cs="Arial"/>
          <w:kern w:val="0"/>
        </w:rPr>
      </w:pPr>
      <w:r>
        <w:rPr>
          <w:rFonts w:hint="eastAsia" w:ascii="仿宋" w:hAnsi="仿宋" w:eastAsia="仿宋" w:cs="Arial"/>
          <w:kern w:val="0"/>
        </w:rPr>
        <w:t>3.1参加采购活动前3年内与供应商存在劳动关系；</w:t>
      </w:r>
    </w:p>
    <w:p w14:paraId="2E508BAF">
      <w:pPr>
        <w:pStyle w:val="228"/>
        <w:spacing w:before="0"/>
        <w:ind w:firstLine="480"/>
        <w:jc w:val="left"/>
        <w:rPr>
          <w:rFonts w:ascii="仿宋" w:hAnsi="仿宋" w:eastAsia="仿宋" w:cs="Arial"/>
          <w:kern w:val="0"/>
        </w:rPr>
      </w:pPr>
      <w:r>
        <w:rPr>
          <w:rFonts w:hint="eastAsia" w:ascii="仿宋" w:hAnsi="仿宋" w:eastAsia="仿宋" w:cs="Arial"/>
          <w:kern w:val="0"/>
        </w:rPr>
        <w:t>3.2参加采购活动前3年内担任供应商的董事、监事；</w:t>
      </w:r>
    </w:p>
    <w:p w14:paraId="645C578B">
      <w:pPr>
        <w:pStyle w:val="228"/>
        <w:spacing w:before="0"/>
        <w:ind w:firstLine="480"/>
        <w:jc w:val="left"/>
        <w:rPr>
          <w:rFonts w:ascii="仿宋" w:hAnsi="仿宋" w:eastAsia="仿宋" w:cs="Arial"/>
          <w:kern w:val="0"/>
        </w:rPr>
      </w:pPr>
      <w:r>
        <w:rPr>
          <w:rFonts w:hint="eastAsia" w:ascii="仿宋" w:hAnsi="仿宋" w:eastAsia="仿宋" w:cs="Arial"/>
          <w:kern w:val="0"/>
        </w:rPr>
        <w:t>3.3参加采购活动前3年内是供应商的控股股东或者实际控制人；</w:t>
      </w:r>
    </w:p>
    <w:p w14:paraId="218E9B50">
      <w:pPr>
        <w:pStyle w:val="228"/>
        <w:spacing w:before="0"/>
        <w:ind w:firstLine="480"/>
        <w:jc w:val="left"/>
        <w:rPr>
          <w:rFonts w:ascii="仿宋" w:hAnsi="仿宋" w:eastAsia="仿宋" w:cs="Arial"/>
          <w:kern w:val="0"/>
        </w:rPr>
      </w:pPr>
      <w:r>
        <w:rPr>
          <w:rFonts w:hint="eastAsia" w:ascii="仿宋" w:hAnsi="仿宋" w:eastAsia="仿宋" w:cs="Arial"/>
          <w:kern w:val="0"/>
        </w:rPr>
        <w:t>3.4与供应商的法定代表人或者负责人有夫妻、直系血亲、三代以内旁系血亲或者近姻亲关系；</w:t>
      </w:r>
    </w:p>
    <w:p w14:paraId="4CE830A6">
      <w:pPr>
        <w:pStyle w:val="228"/>
        <w:spacing w:before="0"/>
        <w:ind w:firstLine="480"/>
        <w:jc w:val="left"/>
        <w:rPr>
          <w:rFonts w:ascii="仿宋" w:hAnsi="仿宋" w:eastAsia="仿宋" w:cs="Arial"/>
          <w:kern w:val="0"/>
        </w:rPr>
      </w:pPr>
      <w:r>
        <w:rPr>
          <w:rFonts w:hint="eastAsia" w:ascii="仿宋" w:hAnsi="仿宋" w:eastAsia="仿宋" w:cs="Arial"/>
          <w:kern w:val="0"/>
        </w:rPr>
        <w:t>3.5与供应商有其他可能影响国企采购活动公平、公正进行的关系。</w:t>
      </w:r>
    </w:p>
    <w:p w14:paraId="34CBB1C6">
      <w:pPr>
        <w:snapToGrid w:val="0"/>
        <w:spacing w:line="360" w:lineRule="auto"/>
        <w:ind w:left="120" w:leftChars="57" w:firstLine="482" w:firstLineChars="150"/>
        <w:jc w:val="center"/>
        <w:rPr>
          <w:rFonts w:ascii="仿宋" w:hAnsi="仿宋" w:eastAsia="仿宋"/>
          <w:b/>
          <w:sz w:val="32"/>
          <w:szCs w:val="32"/>
        </w:rPr>
      </w:pPr>
    </w:p>
    <w:p w14:paraId="7AF1D995">
      <w:pPr>
        <w:snapToGrid w:val="0"/>
        <w:spacing w:line="360" w:lineRule="auto"/>
        <w:jc w:val="center"/>
        <w:rPr>
          <w:rFonts w:ascii="仿宋" w:hAnsi="仿宋" w:eastAsia="仿宋"/>
          <w:b/>
          <w:sz w:val="32"/>
          <w:szCs w:val="32"/>
        </w:rPr>
      </w:pPr>
      <w:r>
        <w:rPr>
          <w:rFonts w:hint="eastAsia" w:ascii="仿宋" w:hAnsi="仿宋" w:eastAsia="仿宋" w:cs="仿宋_GB2312"/>
          <w:b/>
          <w:sz w:val="32"/>
        </w:rPr>
        <w:t>三、评标委员会的职责</w:t>
      </w:r>
    </w:p>
    <w:p w14:paraId="3ACD7BAE">
      <w:pPr>
        <w:pStyle w:val="228"/>
        <w:spacing w:before="0"/>
        <w:ind w:firstLine="482"/>
        <w:jc w:val="left"/>
        <w:rPr>
          <w:rFonts w:ascii="仿宋" w:hAnsi="仿宋" w:eastAsia="仿宋" w:cs="Arial"/>
          <w:b/>
          <w:kern w:val="0"/>
          <w:szCs w:val="24"/>
        </w:rPr>
      </w:pPr>
      <w:r>
        <w:rPr>
          <w:rFonts w:hint="eastAsia" w:ascii="仿宋" w:hAnsi="仿宋" w:eastAsia="仿宋" w:cs="Arial"/>
          <w:b/>
          <w:kern w:val="0"/>
          <w:szCs w:val="24"/>
        </w:rPr>
        <w:t>4.</w:t>
      </w:r>
      <w:r>
        <w:rPr>
          <w:rFonts w:ascii="仿宋" w:hAnsi="仿宋" w:eastAsia="仿宋" w:cs="Arial"/>
          <w:b/>
          <w:kern w:val="0"/>
          <w:szCs w:val="24"/>
        </w:rPr>
        <w:t>评标委员会负责具体评标事务，并独立履行下列职责：</w:t>
      </w:r>
    </w:p>
    <w:p w14:paraId="513DA415">
      <w:pPr>
        <w:pStyle w:val="228"/>
        <w:spacing w:before="0"/>
        <w:ind w:firstLine="480"/>
        <w:jc w:val="left"/>
        <w:rPr>
          <w:rFonts w:ascii="仿宋" w:hAnsi="仿宋" w:eastAsia="仿宋" w:cs="Arial"/>
          <w:kern w:val="0"/>
        </w:rPr>
      </w:pPr>
      <w:r>
        <w:rPr>
          <w:rFonts w:hint="eastAsia" w:ascii="仿宋" w:hAnsi="仿宋" w:eastAsia="仿宋" w:cs="Arial"/>
          <w:kern w:val="0"/>
        </w:rPr>
        <w:t>4.1</w:t>
      </w:r>
      <w:r>
        <w:rPr>
          <w:rFonts w:ascii="仿宋" w:hAnsi="仿宋" w:eastAsia="仿宋" w:cs="Arial"/>
          <w:kern w:val="0"/>
        </w:rPr>
        <w:t>审查、评价投标文件是否符合招标文件的商务、技术等实质性要求；</w:t>
      </w:r>
    </w:p>
    <w:p w14:paraId="5BB246C0">
      <w:pPr>
        <w:pStyle w:val="228"/>
        <w:spacing w:before="0"/>
        <w:ind w:firstLine="480"/>
        <w:jc w:val="left"/>
        <w:rPr>
          <w:rFonts w:ascii="仿宋" w:hAnsi="仿宋" w:eastAsia="仿宋" w:cs="Arial"/>
          <w:kern w:val="0"/>
        </w:rPr>
      </w:pPr>
      <w:r>
        <w:rPr>
          <w:rFonts w:hint="eastAsia" w:ascii="仿宋" w:hAnsi="仿宋" w:eastAsia="仿宋" w:cs="Arial"/>
          <w:kern w:val="0"/>
        </w:rPr>
        <w:t>4.2</w:t>
      </w:r>
      <w:r>
        <w:rPr>
          <w:rFonts w:ascii="仿宋" w:hAnsi="仿宋" w:eastAsia="仿宋" w:cs="Arial"/>
          <w:kern w:val="0"/>
        </w:rPr>
        <w:t>要求投标人对投标文件有关事项作出澄清或者说明；</w:t>
      </w:r>
    </w:p>
    <w:p w14:paraId="7C156DA1">
      <w:pPr>
        <w:pStyle w:val="228"/>
        <w:spacing w:before="0"/>
        <w:ind w:firstLine="480"/>
        <w:jc w:val="left"/>
        <w:rPr>
          <w:rFonts w:ascii="仿宋" w:hAnsi="仿宋" w:eastAsia="仿宋" w:cs="Arial"/>
          <w:kern w:val="0"/>
        </w:rPr>
      </w:pPr>
      <w:r>
        <w:rPr>
          <w:rFonts w:hint="eastAsia" w:ascii="仿宋" w:hAnsi="仿宋" w:eastAsia="仿宋" w:cs="Arial"/>
          <w:kern w:val="0"/>
        </w:rPr>
        <w:t>4.3</w:t>
      </w:r>
      <w:r>
        <w:rPr>
          <w:rFonts w:ascii="仿宋" w:hAnsi="仿宋" w:eastAsia="仿宋" w:cs="Arial"/>
          <w:kern w:val="0"/>
        </w:rPr>
        <w:t>对投标文件进行比较和评价；</w:t>
      </w:r>
    </w:p>
    <w:p w14:paraId="16087C42">
      <w:pPr>
        <w:pStyle w:val="228"/>
        <w:spacing w:before="0"/>
        <w:ind w:firstLine="480"/>
        <w:jc w:val="left"/>
        <w:rPr>
          <w:rFonts w:ascii="仿宋" w:hAnsi="仿宋" w:eastAsia="仿宋" w:cs="Arial"/>
          <w:kern w:val="0"/>
        </w:rPr>
      </w:pPr>
      <w:r>
        <w:rPr>
          <w:rFonts w:hint="eastAsia" w:ascii="仿宋" w:hAnsi="仿宋" w:eastAsia="仿宋" w:cs="Arial"/>
          <w:kern w:val="0"/>
        </w:rPr>
        <w:t>4.4</w:t>
      </w:r>
      <w:r>
        <w:rPr>
          <w:rFonts w:ascii="仿宋" w:hAnsi="仿宋" w:eastAsia="仿宋" w:cs="Arial"/>
          <w:kern w:val="0"/>
        </w:rPr>
        <w:t>确定中标候选人名单，以及根据采购人委托直接确定中标人；</w:t>
      </w:r>
    </w:p>
    <w:p w14:paraId="1352B047">
      <w:pPr>
        <w:pStyle w:val="228"/>
        <w:spacing w:before="0"/>
        <w:ind w:firstLine="480"/>
        <w:jc w:val="left"/>
        <w:rPr>
          <w:rFonts w:ascii="仿宋" w:hAnsi="仿宋" w:eastAsia="仿宋" w:cs="Arial"/>
          <w:kern w:val="0"/>
        </w:rPr>
      </w:pPr>
      <w:r>
        <w:rPr>
          <w:rFonts w:hint="eastAsia" w:ascii="仿宋" w:hAnsi="仿宋" w:eastAsia="仿宋" w:cs="Arial"/>
          <w:kern w:val="0"/>
        </w:rPr>
        <w:t>4.5</w:t>
      </w:r>
      <w:r>
        <w:rPr>
          <w:rFonts w:ascii="仿宋" w:hAnsi="仿宋" w:eastAsia="仿宋" w:cs="Arial"/>
          <w:kern w:val="0"/>
        </w:rPr>
        <w:t>向采购人、采购代理机构或者有关部门报告评标中发现的违法行为</w:t>
      </w:r>
      <w:r>
        <w:rPr>
          <w:rFonts w:hint="eastAsia" w:ascii="仿宋" w:hAnsi="仿宋" w:eastAsia="仿宋" w:cs="Arial"/>
          <w:kern w:val="0"/>
        </w:rPr>
        <w:t>；</w:t>
      </w:r>
    </w:p>
    <w:p w14:paraId="2EEDEECD">
      <w:pPr>
        <w:pStyle w:val="228"/>
        <w:spacing w:before="0"/>
        <w:ind w:firstLine="480"/>
        <w:jc w:val="left"/>
        <w:rPr>
          <w:rFonts w:ascii="仿宋" w:hAnsi="仿宋" w:eastAsia="仿宋" w:cs="Arial"/>
          <w:kern w:val="0"/>
        </w:rPr>
      </w:pPr>
      <w:r>
        <w:rPr>
          <w:rFonts w:hint="eastAsia" w:ascii="仿宋" w:hAnsi="仿宋" w:eastAsia="仿宋" w:cs="Arial"/>
          <w:kern w:val="0"/>
        </w:rPr>
        <w:t>4.6法律、法规、规章、招标文件等规定的其它事项。</w:t>
      </w:r>
    </w:p>
    <w:p w14:paraId="31EB37A0">
      <w:pPr>
        <w:pStyle w:val="228"/>
        <w:spacing w:before="0"/>
        <w:ind w:firstLine="482"/>
        <w:jc w:val="left"/>
        <w:rPr>
          <w:rFonts w:ascii="仿宋" w:hAnsi="仿宋" w:eastAsia="仿宋" w:cs="Arial"/>
          <w:b/>
          <w:kern w:val="0"/>
          <w:szCs w:val="24"/>
        </w:rPr>
      </w:pPr>
      <w:r>
        <w:rPr>
          <w:rFonts w:hint="eastAsia" w:ascii="仿宋" w:hAnsi="仿宋" w:eastAsia="仿宋" w:cs="Arial"/>
          <w:b/>
          <w:kern w:val="0"/>
          <w:szCs w:val="24"/>
        </w:rPr>
        <w:t>5.</w:t>
      </w:r>
      <w:r>
        <w:rPr>
          <w:rFonts w:ascii="仿宋" w:hAnsi="仿宋" w:eastAsia="仿宋" w:cs="Arial"/>
          <w:b/>
          <w:kern w:val="0"/>
          <w:szCs w:val="24"/>
        </w:rPr>
        <w:t>评标委员会及其成员不得有下列行为：</w:t>
      </w:r>
    </w:p>
    <w:p w14:paraId="1EF0511A">
      <w:pPr>
        <w:pStyle w:val="228"/>
        <w:spacing w:before="0"/>
        <w:ind w:firstLine="480"/>
        <w:jc w:val="left"/>
        <w:rPr>
          <w:rFonts w:ascii="仿宋" w:hAnsi="仿宋" w:eastAsia="仿宋" w:cs="Arial"/>
          <w:kern w:val="0"/>
        </w:rPr>
      </w:pPr>
      <w:r>
        <w:rPr>
          <w:rFonts w:hint="eastAsia" w:ascii="仿宋" w:hAnsi="仿宋" w:eastAsia="仿宋" w:cs="Arial"/>
          <w:kern w:val="0"/>
        </w:rPr>
        <w:t>5.1</w:t>
      </w:r>
      <w:r>
        <w:rPr>
          <w:rFonts w:ascii="仿宋" w:hAnsi="仿宋" w:eastAsia="仿宋" w:cs="Arial"/>
          <w:kern w:val="0"/>
        </w:rPr>
        <w:t>确定参与评标至评标结束前私自接触投标人；</w:t>
      </w:r>
    </w:p>
    <w:p w14:paraId="71E4BAE0">
      <w:pPr>
        <w:pStyle w:val="228"/>
        <w:spacing w:before="0"/>
        <w:ind w:firstLine="480"/>
        <w:jc w:val="left"/>
        <w:rPr>
          <w:rFonts w:ascii="仿宋" w:hAnsi="仿宋" w:eastAsia="仿宋" w:cs="Arial"/>
          <w:kern w:val="0"/>
        </w:rPr>
      </w:pPr>
      <w:r>
        <w:rPr>
          <w:rFonts w:hint="eastAsia" w:ascii="仿宋" w:hAnsi="仿宋" w:eastAsia="仿宋" w:cs="Arial"/>
          <w:kern w:val="0"/>
        </w:rPr>
        <w:t>5.2</w:t>
      </w:r>
      <w:r>
        <w:rPr>
          <w:rFonts w:ascii="仿宋" w:hAnsi="仿宋" w:eastAsia="仿宋" w:cs="Arial"/>
          <w:kern w:val="0"/>
        </w:rPr>
        <w:t>接受投标人提出的与投标文件不一致的澄清或者说明（</w:t>
      </w:r>
      <w:r>
        <w:rPr>
          <w:rFonts w:hint="eastAsia" w:ascii="仿宋" w:hAnsi="仿宋" w:eastAsia="仿宋" w:cs="Arial"/>
          <w:kern w:val="0"/>
        </w:rPr>
        <w:t>财政部87号《政府采购货物和服务招投标管理办法令</w:t>
      </w:r>
      <w:r>
        <w:rPr>
          <w:rFonts w:ascii="仿宋" w:hAnsi="仿宋" w:eastAsia="仿宋" w:cs="Arial"/>
          <w:kern w:val="0"/>
        </w:rPr>
        <w:t>第五十一条规定的情形除外）；</w:t>
      </w:r>
    </w:p>
    <w:p w14:paraId="01ACCC3B">
      <w:pPr>
        <w:pStyle w:val="228"/>
        <w:spacing w:before="0"/>
        <w:ind w:firstLine="480"/>
        <w:jc w:val="left"/>
        <w:rPr>
          <w:rFonts w:ascii="仿宋" w:hAnsi="仿宋" w:eastAsia="仿宋" w:cs="Arial"/>
          <w:kern w:val="0"/>
        </w:rPr>
      </w:pPr>
      <w:r>
        <w:rPr>
          <w:rFonts w:hint="eastAsia" w:ascii="仿宋" w:hAnsi="仿宋" w:eastAsia="仿宋" w:cs="Arial"/>
          <w:kern w:val="0"/>
        </w:rPr>
        <w:t>5.3</w:t>
      </w:r>
      <w:r>
        <w:rPr>
          <w:rFonts w:ascii="仿宋" w:hAnsi="仿宋" w:eastAsia="仿宋" w:cs="Arial"/>
          <w:kern w:val="0"/>
        </w:rPr>
        <w:t>违反评标纪律发表倾向性意见或者征询采购人的倾向性意见；</w:t>
      </w:r>
    </w:p>
    <w:p w14:paraId="2BCE0A6E">
      <w:pPr>
        <w:pStyle w:val="228"/>
        <w:spacing w:before="0"/>
        <w:ind w:firstLine="480"/>
        <w:jc w:val="left"/>
        <w:rPr>
          <w:rFonts w:ascii="仿宋" w:hAnsi="仿宋" w:eastAsia="仿宋" w:cs="Arial"/>
          <w:kern w:val="0"/>
        </w:rPr>
      </w:pPr>
      <w:r>
        <w:rPr>
          <w:rFonts w:hint="eastAsia" w:ascii="仿宋" w:hAnsi="仿宋" w:eastAsia="仿宋" w:cs="Arial"/>
          <w:kern w:val="0"/>
        </w:rPr>
        <w:t>5.4</w:t>
      </w:r>
      <w:r>
        <w:rPr>
          <w:rFonts w:ascii="仿宋" w:hAnsi="仿宋" w:eastAsia="仿宋" w:cs="Arial"/>
          <w:kern w:val="0"/>
        </w:rPr>
        <w:t>对需要专业判断的主观评审因素协商评分；</w:t>
      </w:r>
    </w:p>
    <w:p w14:paraId="4FD98B62">
      <w:pPr>
        <w:pStyle w:val="228"/>
        <w:spacing w:before="0"/>
        <w:ind w:firstLine="480"/>
        <w:jc w:val="left"/>
        <w:rPr>
          <w:rFonts w:ascii="仿宋" w:hAnsi="仿宋" w:eastAsia="仿宋" w:cs="Arial"/>
          <w:kern w:val="0"/>
        </w:rPr>
      </w:pPr>
      <w:r>
        <w:rPr>
          <w:rFonts w:hint="eastAsia" w:ascii="仿宋" w:hAnsi="仿宋" w:eastAsia="仿宋" w:cs="Arial"/>
          <w:kern w:val="0"/>
        </w:rPr>
        <w:t>5.5</w:t>
      </w:r>
      <w:r>
        <w:rPr>
          <w:rFonts w:ascii="仿宋" w:hAnsi="仿宋" w:eastAsia="仿宋" w:cs="Arial"/>
          <w:kern w:val="0"/>
        </w:rPr>
        <w:t>在评标过程中擅离职守，影响评标程序正常进行的；</w:t>
      </w:r>
    </w:p>
    <w:p w14:paraId="02EEB447">
      <w:pPr>
        <w:pStyle w:val="228"/>
        <w:spacing w:before="0"/>
        <w:ind w:firstLine="480"/>
        <w:jc w:val="left"/>
        <w:rPr>
          <w:rFonts w:ascii="仿宋" w:hAnsi="仿宋" w:eastAsia="仿宋" w:cs="Arial"/>
          <w:kern w:val="0"/>
        </w:rPr>
      </w:pPr>
      <w:r>
        <w:rPr>
          <w:rFonts w:hint="eastAsia" w:ascii="仿宋" w:hAnsi="仿宋" w:eastAsia="仿宋" w:cs="Arial"/>
          <w:kern w:val="0"/>
        </w:rPr>
        <w:t>5.6</w:t>
      </w:r>
      <w:r>
        <w:rPr>
          <w:rFonts w:ascii="仿宋" w:hAnsi="仿宋" w:eastAsia="仿宋" w:cs="Arial"/>
          <w:kern w:val="0"/>
        </w:rPr>
        <w:t>记录、复制或者带走任何评标资料；</w:t>
      </w:r>
    </w:p>
    <w:p w14:paraId="04CB9357">
      <w:pPr>
        <w:pStyle w:val="228"/>
        <w:spacing w:before="0"/>
        <w:ind w:firstLine="480"/>
        <w:jc w:val="left"/>
        <w:rPr>
          <w:rFonts w:ascii="仿宋" w:hAnsi="仿宋" w:eastAsia="仿宋" w:cs="Arial"/>
          <w:kern w:val="0"/>
        </w:rPr>
      </w:pPr>
      <w:r>
        <w:rPr>
          <w:rFonts w:hint="eastAsia" w:ascii="仿宋" w:hAnsi="仿宋" w:eastAsia="仿宋" w:cs="Arial"/>
          <w:kern w:val="0"/>
        </w:rPr>
        <w:t>5.7</w:t>
      </w:r>
      <w:r>
        <w:rPr>
          <w:rFonts w:ascii="仿宋" w:hAnsi="仿宋" w:eastAsia="仿宋" w:cs="Arial"/>
          <w:kern w:val="0"/>
        </w:rPr>
        <w:t>其他不遵守评标纪律的行为。</w:t>
      </w:r>
    </w:p>
    <w:p w14:paraId="3475007D">
      <w:pPr>
        <w:pStyle w:val="228"/>
        <w:spacing w:before="0"/>
        <w:ind w:firstLine="480"/>
        <w:rPr>
          <w:rFonts w:ascii="仿宋" w:hAnsi="仿宋" w:eastAsia="仿宋" w:cs="Arial"/>
          <w:kern w:val="0"/>
        </w:rPr>
      </w:pPr>
      <w:r>
        <w:rPr>
          <w:rFonts w:ascii="仿宋" w:hAnsi="仿宋" w:eastAsia="仿宋" w:cs="Arial"/>
          <w:kern w:val="0"/>
        </w:rPr>
        <w:t>评标委员会成员有</w:t>
      </w:r>
      <w:r>
        <w:rPr>
          <w:rFonts w:hint="eastAsia" w:ascii="仿宋" w:hAnsi="仿宋" w:eastAsia="仿宋" w:cs="Arial"/>
          <w:kern w:val="0"/>
        </w:rPr>
        <w:t>5.1-5.7</w:t>
      </w:r>
      <w:r>
        <w:rPr>
          <w:rFonts w:ascii="仿宋" w:hAnsi="仿宋" w:eastAsia="仿宋" w:cs="Arial"/>
          <w:kern w:val="0"/>
        </w:rPr>
        <w:t>行为之一的，其评审意见无效，并不得获取评审劳务报酬和报销异地评审差旅费。</w:t>
      </w:r>
    </w:p>
    <w:p w14:paraId="573EA153">
      <w:pPr>
        <w:pStyle w:val="228"/>
        <w:spacing w:before="0"/>
        <w:ind w:firstLine="0" w:firstLineChars="0"/>
        <w:rPr>
          <w:rFonts w:ascii="仿宋" w:hAnsi="仿宋" w:eastAsia="仿宋" w:cs="Arial"/>
          <w:kern w:val="0"/>
        </w:rPr>
      </w:pPr>
    </w:p>
    <w:p w14:paraId="73445B3B">
      <w:pPr>
        <w:snapToGrid w:val="0"/>
        <w:spacing w:line="360" w:lineRule="auto"/>
        <w:jc w:val="center"/>
        <w:rPr>
          <w:rFonts w:ascii="仿宋" w:hAnsi="仿宋" w:eastAsia="仿宋" w:cs="仿宋_GB2312"/>
          <w:b/>
          <w:sz w:val="32"/>
        </w:rPr>
      </w:pPr>
      <w:r>
        <w:rPr>
          <w:rFonts w:hint="eastAsia" w:ascii="仿宋" w:hAnsi="仿宋" w:eastAsia="仿宋" w:cs="仿宋_GB2312"/>
          <w:b/>
          <w:sz w:val="32"/>
        </w:rPr>
        <w:t>四、评审程序</w:t>
      </w:r>
    </w:p>
    <w:p w14:paraId="5AB6CF99">
      <w:pPr>
        <w:pStyle w:val="228"/>
        <w:spacing w:before="0"/>
        <w:ind w:firstLine="482"/>
        <w:rPr>
          <w:rFonts w:ascii="仿宋" w:hAnsi="仿宋" w:eastAsia="仿宋" w:cs="Arial"/>
          <w:color w:val="000000"/>
          <w:kern w:val="0"/>
          <w:szCs w:val="24"/>
        </w:rPr>
      </w:pPr>
      <w:r>
        <w:rPr>
          <w:rFonts w:hint="eastAsia" w:ascii="仿宋" w:hAnsi="仿宋" w:eastAsia="仿宋" w:cs="Arial"/>
          <w:b/>
          <w:color w:val="000000"/>
          <w:kern w:val="0"/>
          <w:szCs w:val="24"/>
        </w:rPr>
        <w:t>6.符合性审查。</w:t>
      </w:r>
      <w:r>
        <w:rPr>
          <w:rFonts w:ascii="仿宋" w:hAnsi="仿宋" w:eastAsia="仿宋" w:cs="Arial"/>
          <w:b/>
          <w:color w:val="000000"/>
          <w:kern w:val="0"/>
          <w:szCs w:val="24"/>
        </w:rPr>
        <w:t xml:space="preserve"> </w:t>
      </w:r>
      <w:r>
        <w:rPr>
          <w:rFonts w:ascii="仿宋" w:hAnsi="仿宋" w:eastAsia="仿宋" w:cs="Arial"/>
          <w:color w:val="000000"/>
          <w:kern w:val="0"/>
          <w:szCs w:val="24"/>
        </w:rPr>
        <w:t>评标委员会应当对符合资格的投标人的投标文件进行符合性审查，以确定其是否满足招标文件的实质性要求</w:t>
      </w:r>
      <w:r>
        <w:rPr>
          <w:rFonts w:hint="eastAsia" w:ascii="仿宋" w:hAnsi="仿宋" w:eastAsia="仿宋" w:cs="Arial"/>
          <w:color w:val="000000"/>
          <w:kern w:val="0"/>
          <w:szCs w:val="24"/>
        </w:rPr>
        <w:t>。符合投标无效情形的，投标无效</w:t>
      </w:r>
      <w:r>
        <w:rPr>
          <w:rFonts w:ascii="仿宋" w:hAnsi="仿宋" w:eastAsia="仿宋" w:cs="Arial"/>
          <w:color w:val="000000"/>
          <w:kern w:val="0"/>
          <w:szCs w:val="24"/>
        </w:rPr>
        <w:t>。</w:t>
      </w:r>
    </w:p>
    <w:p w14:paraId="47D883A5">
      <w:pPr>
        <w:pStyle w:val="228"/>
        <w:spacing w:before="0"/>
        <w:ind w:firstLine="482"/>
        <w:rPr>
          <w:rFonts w:ascii="仿宋" w:hAnsi="仿宋" w:eastAsia="仿宋" w:cs="Arial"/>
          <w:kern w:val="0"/>
          <w:szCs w:val="24"/>
        </w:rPr>
      </w:pPr>
      <w:r>
        <w:rPr>
          <w:rFonts w:hint="eastAsia" w:ascii="仿宋" w:hAnsi="仿宋" w:eastAsia="仿宋" w:cs="Arial"/>
          <w:b/>
          <w:kern w:val="0"/>
          <w:szCs w:val="24"/>
        </w:rPr>
        <w:t>7.投标人澄清、说明或者补正。</w:t>
      </w:r>
      <w:r>
        <w:rPr>
          <w:rFonts w:ascii="仿宋" w:hAnsi="仿宋" w:eastAsia="仿宋" w:cs="Arial"/>
          <w:kern w:val="0"/>
          <w:szCs w:val="24"/>
        </w:rPr>
        <w:t>对于投标文件中含义不明确、同类问题表述不一致或者有明显文字和计算错误的内容，评标委员会</w:t>
      </w:r>
      <w:r>
        <w:rPr>
          <w:rFonts w:hint="eastAsia" w:ascii="仿宋" w:hAnsi="仿宋" w:eastAsia="仿宋" w:cs="Arial"/>
          <w:kern w:val="0"/>
          <w:szCs w:val="24"/>
        </w:rPr>
        <w:t>可以书面形式要求投标人通过政采云平台以书面形式</w:t>
      </w:r>
      <w:r>
        <w:rPr>
          <w:rFonts w:ascii="仿宋" w:hAnsi="仿宋" w:eastAsia="仿宋" w:cs="Arial"/>
          <w:kern w:val="0"/>
          <w:szCs w:val="24"/>
        </w:rPr>
        <w:t>作出必要的澄清、说明或者补正</w:t>
      </w:r>
      <w:r>
        <w:rPr>
          <w:rFonts w:hint="eastAsia" w:ascii="仿宋" w:hAnsi="仿宋" w:eastAsia="仿宋" w:cs="Arial"/>
          <w:kern w:val="0"/>
          <w:szCs w:val="24"/>
        </w:rPr>
        <w:t>，投标人应在1小时内提交澄清说明或补正，逾期不提交的视为放弃澄清、说明或补正的权利。</w:t>
      </w:r>
      <w:r>
        <w:rPr>
          <w:rFonts w:ascii="仿宋" w:hAnsi="仿宋" w:eastAsia="仿宋" w:cs="Arial"/>
          <w:kern w:val="0"/>
          <w:szCs w:val="24"/>
        </w:rPr>
        <w:t>投标人的澄清、说明或者补正不得超出投标文件的范围或者改变投标文件的实质性内容。</w:t>
      </w:r>
    </w:p>
    <w:p w14:paraId="0CC6C8A4">
      <w:pPr>
        <w:pStyle w:val="228"/>
        <w:spacing w:before="0"/>
        <w:ind w:firstLine="482"/>
        <w:rPr>
          <w:rFonts w:ascii="仿宋" w:hAnsi="仿宋" w:eastAsia="仿宋" w:cs="Arial"/>
          <w:kern w:val="0"/>
          <w:szCs w:val="24"/>
        </w:rPr>
      </w:pPr>
      <w:r>
        <w:rPr>
          <w:rFonts w:hint="eastAsia" w:ascii="仿宋" w:hAnsi="仿宋" w:eastAsia="仿宋" w:cs="Arial"/>
          <w:b/>
          <w:kern w:val="0"/>
          <w:szCs w:val="24"/>
        </w:rPr>
        <w:t>8.</w:t>
      </w:r>
      <w:r>
        <w:rPr>
          <w:rFonts w:ascii="仿宋" w:hAnsi="仿宋" w:eastAsia="仿宋" w:cs="Arial"/>
          <w:b/>
          <w:kern w:val="0"/>
          <w:szCs w:val="24"/>
        </w:rPr>
        <w:t xml:space="preserve"> 比较与评价</w:t>
      </w:r>
      <w:r>
        <w:rPr>
          <w:rFonts w:hint="eastAsia" w:ascii="仿宋" w:hAnsi="仿宋" w:eastAsia="仿宋" w:cs="Arial"/>
          <w:b/>
          <w:kern w:val="0"/>
          <w:szCs w:val="24"/>
        </w:rPr>
        <w:t>。</w:t>
      </w:r>
      <w:r>
        <w:rPr>
          <w:rFonts w:ascii="仿宋" w:hAnsi="仿宋" w:eastAsia="仿宋" w:cs="Arial"/>
          <w:kern w:val="0"/>
          <w:szCs w:val="24"/>
        </w:rPr>
        <w:t>标委员会应当按照评标标准，对符合性审查合格的投标文件进行商务和技术评估，综合比较与评价。</w:t>
      </w:r>
    </w:p>
    <w:p w14:paraId="49BD5D4E">
      <w:pPr>
        <w:pStyle w:val="228"/>
        <w:spacing w:before="0"/>
        <w:ind w:firstLine="482"/>
        <w:rPr>
          <w:rFonts w:ascii="仿宋" w:hAnsi="仿宋" w:eastAsia="仿宋" w:cs="Arial"/>
          <w:kern w:val="0"/>
          <w:szCs w:val="24"/>
        </w:rPr>
      </w:pPr>
      <w:r>
        <w:rPr>
          <w:rFonts w:hint="eastAsia" w:ascii="仿宋" w:hAnsi="仿宋" w:eastAsia="仿宋" w:cs="Arial"/>
          <w:b/>
          <w:kern w:val="0"/>
          <w:szCs w:val="24"/>
        </w:rPr>
        <w:t>9.</w:t>
      </w:r>
      <w:r>
        <w:rPr>
          <w:rFonts w:ascii="仿宋" w:hAnsi="仿宋" w:eastAsia="仿宋" w:cs="Arial"/>
          <w:b/>
          <w:kern w:val="0"/>
          <w:szCs w:val="24"/>
        </w:rPr>
        <w:t xml:space="preserve"> 汇总</w:t>
      </w:r>
      <w:r>
        <w:rPr>
          <w:rFonts w:hint="eastAsia" w:ascii="仿宋" w:hAnsi="仿宋" w:eastAsia="仿宋" w:cs="Arial"/>
          <w:b/>
          <w:kern w:val="0"/>
          <w:szCs w:val="24"/>
        </w:rPr>
        <w:t>（商务技术得分情况）。</w:t>
      </w:r>
      <w:r>
        <w:rPr>
          <w:rFonts w:ascii="仿宋" w:hAnsi="仿宋" w:eastAsia="仿宋" w:cs="Arial"/>
          <w:kern w:val="0"/>
          <w:szCs w:val="24"/>
        </w:rPr>
        <w:t>评标委员会各成员应当独立对每个投标人的</w:t>
      </w:r>
      <w:r>
        <w:rPr>
          <w:rFonts w:hint="eastAsia" w:ascii="仿宋" w:hAnsi="仿宋" w:eastAsia="仿宋" w:cs="Arial"/>
          <w:kern w:val="0"/>
          <w:szCs w:val="24"/>
        </w:rPr>
        <w:t>商务和技术</w:t>
      </w:r>
      <w:r>
        <w:rPr>
          <w:rFonts w:ascii="仿宋" w:hAnsi="仿宋" w:eastAsia="仿宋" w:cs="Arial"/>
          <w:kern w:val="0"/>
          <w:szCs w:val="24"/>
        </w:rPr>
        <w:t>文件进行评价，并汇总</w:t>
      </w:r>
      <w:r>
        <w:rPr>
          <w:rFonts w:hint="eastAsia" w:ascii="仿宋" w:hAnsi="仿宋" w:eastAsia="仿宋" w:cs="Arial"/>
          <w:kern w:val="0"/>
          <w:szCs w:val="24"/>
        </w:rPr>
        <w:t>商务技术得分情况</w:t>
      </w:r>
      <w:r>
        <w:rPr>
          <w:rFonts w:ascii="仿宋" w:hAnsi="仿宋" w:eastAsia="仿宋" w:cs="Arial"/>
          <w:kern w:val="0"/>
          <w:szCs w:val="24"/>
        </w:rPr>
        <w:t>。</w:t>
      </w:r>
    </w:p>
    <w:p w14:paraId="57DBDDD1">
      <w:pPr>
        <w:pStyle w:val="228"/>
        <w:spacing w:before="0"/>
        <w:ind w:firstLine="482"/>
        <w:rPr>
          <w:rFonts w:ascii="仿宋" w:hAnsi="仿宋" w:eastAsia="仿宋" w:cs="Arial"/>
          <w:color w:val="000000"/>
          <w:kern w:val="0"/>
          <w:szCs w:val="24"/>
        </w:rPr>
      </w:pPr>
      <w:r>
        <w:rPr>
          <w:rFonts w:hint="eastAsia" w:ascii="仿宋" w:hAnsi="仿宋" w:eastAsia="仿宋" w:cs="Arial"/>
          <w:b/>
          <w:color w:val="000000"/>
          <w:kern w:val="0"/>
          <w:szCs w:val="24"/>
        </w:rPr>
        <w:t>10. 报价审核。</w:t>
      </w:r>
      <w:r>
        <w:rPr>
          <w:rFonts w:hint="eastAsia" w:ascii="仿宋" w:hAnsi="仿宋" w:eastAsia="仿宋" w:cs="Arial"/>
          <w:color w:val="000000"/>
          <w:kern w:val="0"/>
          <w:szCs w:val="24"/>
        </w:rPr>
        <w:t>对经商务和技术评审符合采购需求的投标人的报价的合理性、准确性等进行审查核实。</w:t>
      </w:r>
    </w:p>
    <w:p w14:paraId="2A0E7072">
      <w:pPr>
        <w:pStyle w:val="228"/>
        <w:spacing w:before="0"/>
        <w:ind w:firstLine="480"/>
        <w:rPr>
          <w:rFonts w:ascii="仿宋" w:hAnsi="仿宋" w:eastAsia="仿宋" w:cs="Arial"/>
          <w:kern w:val="0"/>
          <w:szCs w:val="24"/>
        </w:rPr>
      </w:pPr>
      <w:r>
        <w:rPr>
          <w:rFonts w:hint="eastAsia" w:ascii="仿宋" w:hAnsi="仿宋" w:eastAsia="仿宋" w:cs="Arial"/>
          <w:kern w:val="0"/>
          <w:szCs w:val="24"/>
        </w:rPr>
        <w:t>10.1评标委员会认为投标人的报价明显低于其他通过符合性审查投标人的报价，有可能影响产品质量或者不能诚信履约的，应当要求其在规定的时间内提供书面说明，必要时提交相关证明材料。</w:t>
      </w:r>
    </w:p>
    <w:p w14:paraId="5D4FC20F">
      <w:pPr>
        <w:pStyle w:val="228"/>
        <w:spacing w:before="0"/>
        <w:ind w:firstLine="480"/>
        <w:rPr>
          <w:rFonts w:ascii="仿宋" w:hAnsi="仿宋" w:eastAsia="仿宋" w:cs="Arial"/>
          <w:color w:val="000000"/>
          <w:kern w:val="0"/>
          <w:szCs w:val="24"/>
        </w:rPr>
      </w:pPr>
      <w:r>
        <w:rPr>
          <w:rFonts w:hint="eastAsia" w:ascii="仿宋" w:hAnsi="仿宋" w:eastAsia="仿宋" w:cs="Arial"/>
          <w:color w:val="000000"/>
          <w:kern w:val="0"/>
          <w:szCs w:val="24"/>
        </w:rPr>
        <w:t>10.2政采云投标客户端开标一览表内容与投标文件开标一览表(报价表)相应内容不一致的，以投标文件开标一览表(报价表)为准。</w:t>
      </w:r>
    </w:p>
    <w:p w14:paraId="4E59AFC8">
      <w:pPr>
        <w:pStyle w:val="228"/>
        <w:spacing w:before="0"/>
        <w:ind w:firstLine="480"/>
        <w:rPr>
          <w:rFonts w:ascii="仿宋" w:hAnsi="仿宋" w:eastAsia="仿宋" w:cs="Arial"/>
          <w:color w:val="000000"/>
          <w:kern w:val="0"/>
          <w:szCs w:val="24"/>
        </w:rPr>
      </w:pPr>
      <w:r>
        <w:rPr>
          <w:rFonts w:hint="eastAsia" w:ascii="仿宋" w:hAnsi="仿宋" w:eastAsia="仿宋" w:cs="Arial"/>
          <w:color w:val="000000"/>
          <w:kern w:val="0"/>
          <w:szCs w:val="24"/>
        </w:rPr>
        <w:t>10.3投标价格的修正原则。投标文件报价出现前后不一致的，按照下列规定修正：</w:t>
      </w:r>
    </w:p>
    <w:p w14:paraId="704BCA65">
      <w:pPr>
        <w:pStyle w:val="228"/>
        <w:spacing w:before="0"/>
        <w:ind w:firstLine="480"/>
        <w:rPr>
          <w:rFonts w:ascii="仿宋" w:hAnsi="仿宋" w:eastAsia="仿宋" w:cs="Arial"/>
          <w:color w:val="000000"/>
          <w:kern w:val="0"/>
          <w:szCs w:val="24"/>
        </w:rPr>
      </w:pPr>
      <w:r>
        <w:rPr>
          <w:rFonts w:hint="eastAsia" w:ascii="仿宋" w:hAnsi="仿宋" w:eastAsia="仿宋" w:cs="Arial"/>
          <w:color w:val="000000"/>
          <w:kern w:val="0"/>
          <w:szCs w:val="24"/>
        </w:rPr>
        <w:t>10.3.1投标文件中开标一览表(报价表)内容与投标文件中相应内容不一致的，以开标一览表(报价表)为准;</w:t>
      </w:r>
    </w:p>
    <w:p w14:paraId="299E0227">
      <w:pPr>
        <w:pStyle w:val="228"/>
        <w:spacing w:before="0"/>
        <w:ind w:firstLine="480"/>
        <w:rPr>
          <w:rFonts w:ascii="仿宋" w:hAnsi="仿宋" w:eastAsia="仿宋" w:cs="Arial"/>
          <w:color w:val="000000"/>
          <w:kern w:val="0"/>
          <w:szCs w:val="24"/>
        </w:rPr>
      </w:pPr>
      <w:r>
        <w:rPr>
          <w:rFonts w:hint="eastAsia" w:ascii="仿宋" w:hAnsi="仿宋" w:eastAsia="仿宋" w:cs="Arial"/>
          <w:color w:val="000000"/>
          <w:kern w:val="0"/>
          <w:szCs w:val="24"/>
        </w:rPr>
        <w:t>10.3.2大写金额和小写金额不一致的，以大写金额为准;</w:t>
      </w:r>
    </w:p>
    <w:p w14:paraId="6AB8D88D">
      <w:pPr>
        <w:pStyle w:val="228"/>
        <w:spacing w:before="0"/>
        <w:ind w:firstLine="480"/>
        <w:rPr>
          <w:rFonts w:ascii="仿宋" w:hAnsi="仿宋" w:eastAsia="仿宋" w:cs="Arial"/>
          <w:color w:val="000000"/>
          <w:kern w:val="0"/>
          <w:szCs w:val="24"/>
        </w:rPr>
      </w:pPr>
      <w:r>
        <w:rPr>
          <w:rFonts w:hint="eastAsia" w:ascii="仿宋" w:hAnsi="仿宋" w:eastAsia="仿宋" w:cs="Arial"/>
          <w:color w:val="000000"/>
          <w:kern w:val="0"/>
          <w:szCs w:val="24"/>
        </w:rPr>
        <w:t>10.3.3单价金额小数点或者百分比有明显错位的，以开标一览表的总价为准，并修改单价;</w:t>
      </w:r>
    </w:p>
    <w:p w14:paraId="01BD83E1">
      <w:pPr>
        <w:pStyle w:val="228"/>
        <w:spacing w:before="0"/>
        <w:ind w:firstLine="480"/>
        <w:rPr>
          <w:rFonts w:ascii="仿宋" w:hAnsi="仿宋" w:eastAsia="仿宋" w:cs="Arial"/>
          <w:kern w:val="0"/>
          <w:szCs w:val="24"/>
        </w:rPr>
      </w:pPr>
      <w:r>
        <w:rPr>
          <w:rFonts w:hint="eastAsia" w:ascii="仿宋" w:hAnsi="仿宋" w:eastAsia="仿宋" w:cs="Arial"/>
          <w:kern w:val="0"/>
          <w:szCs w:val="24"/>
        </w:rPr>
        <w:t>10.3.4总价金额与按单价汇总金额不一致的，以单价金额计算结果为准。</w:t>
      </w:r>
    </w:p>
    <w:p w14:paraId="4DD07E51">
      <w:pPr>
        <w:pStyle w:val="228"/>
        <w:spacing w:before="0"/>
        <w:ind w:firstLine="480"/>
        <w:rPr>
          <w:rFonts w:ascii="仿宋" w:hAnsi="仿宋" w:eastAsia="仿宋" w:cs="Arial"/>
          <w:kern w:val="0"/>
          <w:szCs w:val="24"/>
        </w:rPr>
      </w:pPr>
      <w:r>
        <w:rPr>
          <w:rFonts w:hint="eastAsia" w:ascii="仿宋" w:hAnsi="仿宋" w:eastAsia="仿宋" w:cs="Arial"/>
          <w:kern w:val="0"/>
          <w:szCs w:val="24"/>
        </w:rPr>
        <w:t>10.3.5同时出现两种以上不一致的，按照前款规定的顺序修正。修正后的报价按照财政部第87号令 《政府采购货物和服务招标投标管理办法》第五十一条第二款的规定经投标人确认后产生约束力。</w:t>
      </w:r>
    </w:p>
    <w:p w14:paraId="5D8A6B1D">
      <w:pPr>
        <w:spacing w:line="360" w:lineRule="auto"/>
        <w:ind w:firstLine="480" w:firstLineChars="200"/>
        <w:rPr>
          <w:rFonts w:ascii="仿宋" w:hAnsi="仿宋" w:eastAsia="仿宋" w:cs="仿宋_GB2312"/>
          <w:b/>
          <w:bCs/>
          <w:sz w:val="24"/>
        </w:rPr>
      </w:pPr>
      <w:r>
        <w:rPr>
          <w:rFonts w:hint="eastAsia" w:ascii="仿宋" w:hAnsi="仿宋" w:eastAsia="仿宋" w:cs="仿宋_GB2312"/>
          <w:bCs/>
          <w:sz w:val="24"/>
        </w:rPr>
        <w:t>▲</w:t>
      </w:r>
      <w:r>
        <w:rPr>
          <w:rFonts w:hint="eastAsia" w:ascii="仿宋" w:hAnsi="仿宋" w:eastAsia="仿宋" w:cs="仿宋_GB2312"/>
          <w:b/>
          <w:bCs/>
          <w:sz w:val="24"/>
        </w:rPr>
        <w:t>投标人对根据修正原则修正后的报价不确认的，投标无效。</w:t>
      </w:r>
    </w:p>
    <w:p w14:paraId="7F576C9E">
      <w:pPr>
        <w:spacing w:line="360" w:lineRule="auto"/>
        <w:ind w:firstLine="482" w:firstLineChars="200"/>
        <w:rPr>
          <w:rFonts w:ascii="仿宋" w:hAnsi="仿宋" w:eastAsia="仿宋" w:cs="Arial"/>
          <w:kern w:val="0"/>
          <w:sz w:val="24"/>
        </w:rPr>
      </w:pPr>
      <w:r>
        <w:rPr>
          <w:rFonts w:hint="eastAsia" w:ascii="仿宋" w:hAnsi="仿宋" w:eastAsia="仿宋" w:cs="Arial"/>
          <w:b/>
          <w:kern w:val="0"/>
          <w:sz w:val="24"/>
        </w:rPr>
        <w:t>11.</w:t>
      </w:r>
      <w:r>
        <w:rPr>
          <w:rFonts w:ascii="仿宋" w:hAnsi="仿宋" w:eastAsia="仿宋" w:cs="Arial"/>
          <w:b/>
          <w:kern w:val="0"/>
          <w:sz w:val="24"/>
        </w:rPr>
        <w:t>汇总</w:t>
      </w:r>
      <w:r>
        <w:rPr>
          <w:rFonts w:hint="eastAsia" w:ascii="仿宋" w:hAnsi="仿宋" w:eastAsia="仿宋" w:cs="Arial"/>
          <w:b/>
          <w:kern w:val="0"/>
          <w:sz w:val="24"/>
        </w:rPr>
        <w:t>得分。</w:t>
      </w:r>
      <w:r>
        <w:rPr>
          <w:rFonts w:ascii="仿宋" w:hAnsi="仿宋" w:eastAsia="仿宋" w:cs="Arial"/>
          <w:kern w:val="0"/>
          <w:sz w:val="24"/>
        </w:rPr>
        <w:t>评标委员会各成员应当独立对每个投标人的投标文件进行评价，并汇总每个投标人的得分。</w:t>
      </w:r>
    </w:p>
    <w:p w14:paraId="357B2627">
      <w:pPr>
        <w:spacing w:line="360" w:lineRule="auto"/>
        <w:ind w:firstLine="482" w:firstLineChars="200"/>
        <w:rPr>
          <w:rFonts w:ascii="仿宋" w:hAnsi="仿宋" w:eastAsia="仿宋" w:cs="Arial"/>
          <w:b/>
          <w:kern w:val="0"/>
          <w:sz w:val="24"/>
        </w:rPr>
      </w:pPr>
      <w:r>
        <w:rPr>
          <w:rFonts w:hint="eastAsia" w:ascii="仿宋" w:hAnsi="仿宋" w:eastAsia="仿宋" w:cs="Arial"/>
          <w:b/>
          <w:kern w:val="0"/>
          <w:sz w:val="24"/>
        </w:rPr>
        <w:t>12.中标候选人推荐。</w:t>
      </w:r>
    </w:p>
    <w:p w14:paraId="0F349D88">
      <w:pPr>
        <w:spacing w:line="360" w:lineRule="auto"/>
        <w:ind w:firstLine="480" w:firstLineChars="200"/>
        <w:rPr>
          <w:rFonts w:ascii="仿宋" w:hAnsi="仿宋" w:eastAsia="仿宋" w:cs="仿宋_GB2312"/>
          <w:sz w:val="24"/>
        </w:rPr>
      </w:pPr>
      <w:r>
        <w:rPr>
          <w:rFonts w:hint="eastAsia" w:ascii="仿宋" w:hAnsi="仿宋" w:eastAsia="仿宋" w:cs="仿宋_GB2312"/>
          <w:sz w:val="24"/>
        </w:rPr>
        <w:t>12.1评审后按综合得分从高到低的顺序依次选定1名中标候选人。总得分相同的，若有并列排名，则由采购人现场抽签确定。</w:t>
      </w:r>
    </w:p>
    <w:p w14:paraId="5A83EE1D">
      <w:pPr>
        <w:spacing w:line="360" w:lineRule="auto"/>
        <w:ind w:firstLine="480" w:firstLineChars="200"/>
        <w:rPr>
          <w:rFonts w:ascii="仿宋" w:hAnsi="仿宋" w:eastAsia="仿宋" w:cs="仿宋_GB2312"/>
          <w:sz w:val="24"/>
        </w:rPr>
      </w:pPr>
      <w:r>
        <w:rPr>
          <w:rFonts w:hint="eastAsia" w:ascii="仿宋" w:hAnsi="仿宋" w:eastAsia="仿宋" w:cs="仿宋_GB2312"/>
          <w:sz w:val="24"/>
        </w:rPr>
        <w:t>12.2多家投标人</w:t>
      </w:r>
      <w:r>
        <w:rPr>
          <w:rFonts w:ascii="仿宋" w:hAnsi="仿宋" w:eastAsia="仿宋" w:cs="仿宋_GB2312"/>
          <w:sz w:val="24"/>
        </w:rPr>
        <w:t>提供相同品牌产品</w:t>
      </w:r>
      <w:r>
        <w:rPr>
          <w:rFonts w:hint="eastAsia" w:ascii="仿宋" w:hAnsi="仿宋" w:eastAsia="仿宋" w:cs="仿宋_GB2312"/>
          <w:sz w:val="24"/>
        </w:rPr>
        <w:t>（</w:t>
      </w:r>
      <w:r>
        <w:rPr>
          <w:rFonts w:ascii="仿宋" w:hAnsi="仿宋" w:eastAsia="仿宋" w:cs="仿宋_GB2312"/>
          <w:sz w:val="24"/>
        </w:rPr>
        <w:t>单一产品采购项目</w:t>
      </w:r>
      <w:r>
        <w:rPr>
          <w:rFonts w:hint="eastAsia" w:ascii="仿宋" w:hAnsi="仿宋" w:eastAsia="仿宋" w:cs="仿宋_GB2312"/>
          <w:sz w:val="24"/>
        </w:rPr>
        <w:t>中的该产品或者非</w:t>
      </w:r>
      <w:r>
        <w:rPr>
          <w:rFonts w:ascii="仿宋" w:hAnsi="仿宋" w:eastAsia="仿宋" w:cs="仿宋_GB2312"/>
          <w:sz w:val="24"/>
        </w:rPr>
        <w:t>单一产品采购项目</w:t>
      </w:r>
      <w:r>
        <w:rPr>
          <w:rFonts w:hint="eastAsia" w:ascii="仿宋" w:hAnsi="仿宋" w:eastAsia="仿宋" w:cs="仿宋_GB2312"/>
          <w:sz w:val="24"/>
        </w:rPr>
        <w:t>的核心产品）</w:t>
      </w:r>
      <w:r>
        <w:rPr>
          <w:rFonts w:ascii="仿宋" w:hAnsi="仿宋" w:eastAsia="仿宋" w:cs="仿宋_GB2312"/>
          <w:sz w:val="24"/>
        </w:rPr>
        <w:t>且通过资格审查、符合性审查的不同投标人参加同一合同项下投标的，按一家投标人计算，评审后得分最高的同品牌投标人获得中标</w:t>
      </w:r>
      <w:r>
        <w:rPr>
          <w:rFonts w:hint="eastAsia" w:ascii="仿宋" w:hAnsi="仿宋" w:eastAsia="仿宋" w:cs="仿宋_GB2312"/>
          <w:sz w:val="24"/>
        </w:rPr>
        <w:t>候选</w:t>
      </w:r>
      <w:r>
        <w:rPr>
          <w:rFonts w:ascii="仿宋" w:hAnsi="仿宋" w:eastAsia="仿宋" w:cs="仿宋_GB2312"/>
          <w:sz w:val="24"/>
        </w:rPr>
        <w:t>人推荐资格；评审得分相同的</w:t>
      </w:r>
      <w:r>
        <w:rPr>
          <w:rFonts w:hint="eastAsia" w:ascii="仿宋" w:hAnsi="仿宋" w:eastAsia="仿宋" w:cs="仿宋_GB2312"/>
          <w:sz w:val="24"/>
        </w:rPr>
        <w:t>报价低者获得中标候选人推荐资格</w:t>
      </w:r>
      <w:r>
        <w:rPr>
          <w:rFonts w:ascii="仿宋" w:hAnsi="仿宋" w:eastAsia="仿宋" w:cs="仿宋_GB2312"/>
          <w:sz w:val="24"/>
        </w:rPr>
        <w:t>，</w:t>
      </w:r>
      <w:r>
        <w:rPr>
          <w:rFonts w:hint="eastAsia" w:ascii="仿宋" w:hAnsi="仿宋" w:eastAsia="仿宋" w:cs="仿宋_GB2312"/>
          <w:sz w:val="24"/>
        </w:rPr>
        <w:t>评审得分与报价均相同的</w:t>
      </w:r>
      <w:r>
        <w:rPr>
          <w:rFonts w:ascii="仿宋" w:hAnsi="仿宋" w:eastAsia="仿宋" w:cs="仿宋_GB2312"/>
          <w:sz w:val="24"/>
        </w:rPr>
        <w:t>采取随机抽取方式确定，其他同品牌投标人不作为中标候选人。</w:t>
      </w:r>
    </w:p>
    <w:p w14:paraId="1DA10B7F">
      <w:pPr>
        <w:pStyle w:val="23"/>
        <w:spacing w:line="360" w:lineRule="auto"/>
        <w:ind w:firstLine="562"/>
        <w:rPr>
          <w:rFonts w:ascii="仿宋" w:hAnsi="仿宋" w:eastAsia="仿宋" w:cs="仿宋_GB2312"/>
          <w:color w:val="000000"/>
        </w:rPr>
      </w:pPr>
      <w:r>
        <w:rPr>
          <w:rFonts w:hint="eastAsia" w:ascii="仿宋" w:hAnsi="仿宋" w:eastAsia="仿宋" w:cs="仿宋_GB2312"/>
          <w:b/>
          <w:color w:val="000000"/>
          <w:spacing w:val="20"/>
        </w:rPr>
        <w:t>13.投标无效。</w:t>
      </w:r>
      <w:r>
        <w:rPr>
          <w:rFonts w:hint="eastAsia" w:ascii="仿宋" w:hAnsi="仿宋" w:eastAsia="仿宋" w:cs="仿宋_GB2312"/>
          <w:color w:val="000000"/>
        </w:rPr>
        <w:t>有下列情况之一的，投标无效：</w:t>
      </w:r>
    </w:p>
    <w:p w14:paraId="7634B188">
      <w:pPr>
        <w:spacing w:line="360" w:lineRule="auto"/>
        <w:ind w:firstLine="480" w:firstLineChars="200"/>
        <w:rPr>
          <w:rFonts w:ascii="仿宋" w:hAnsi="仿宋" w:eastAsia="仿宋" w:cs="仿宋_GB2312"/>
          <w:sz w:val="24"/>
        </w:rPr>
      </w:pPr>
      <w:r>
        <w:rPr>
          <w:rFonts w:hint="eastAsia" w:ascii="仿宋" w:hAnsi="仿宋" w:eastAsia="仿宋"/>
          <w:sz w:val="24"/>
        </w:rPr>
        <w:t>13.1</w:t>
      </w:r>
      <w:r>
        <w:rPr>
          <w:rFonts w:hint="eastAsia" w:ascii="仿宋" w:hAnsi="仿宋" w:eastAsia="仿宋" w:cs="仿宋_GB2312"/>
          <w:sz w:val="24"/>
        </w:rPr>
        <w:t>单位负责人为同一人或者存在直接控股、管理关系的不同供应商参加同一合同项下的国企采购活动的（均无效）；</w:t>
      </w:r>
    </w:p>
    <w:p w14:paraId="7F76BF46">
      <w:pPr>
        <w:spacing w:line="360" w:lineRule="auto"/>
        <w:ind w:firstLine="480" w:firstLineChars="200"/>
        <w:rPr>
          <w:rFonts w:ascii="仿宋" w:hAnsi="仿宋" w:eastAsia="仿宋" w:cs="仿宋_GB2312"/>
          <w:color w:val="000000"/>
          <w:sz w:val="24"/>
        </w:rPr>
      </w:pPr>
      <w:r>
        <w:rPr>
          <w:rFonts w:hint="eastAsia" w:ascii="仿宋" w:hAnsi="仿宋" w:eastAsia="仿宋"/>
          <w:sz w:val="24"/>
        </w:rPr>
        <w:t>13.2</w:t>
      </w:r>
      <w:r>
        <w:rPr>
          <w:rFonts w:hint="eastAsia" w:ascii="仿宋" w:hAnsi="仿宋" w:eastAsia="仿宋" w:cs="仿宋_GB2312"/>
          <w:sz w:val="24"/>
        </w:rPr>
        <w:t>为采购项目提供整体设计、规范</w:t>
      </w:r>
      <w:r>
        <w:rPr>
          <w:rFonts w:hint="eastAsia" w:ascii="仿宋" w:hAnsi="仿宋" w:eastAsia="仿宋" w:cs="仿宋_GB2312"/>
          <w:color w:val="000000"/>
          <w:sz w:val="24"/>
        </w:rPr>
        <w:t>编制或者项目管理、监理、检测等服务的供应商再参加该采购项目的其他采购活动的；</w:t>
      </w:r>
      <w:r>
        <w:rPr>
          <w:rFonts w:ascii="仿宋" w:hAnsi="仿宋" w:eastAsia="仿宋" w:cs="仿宋_GB2312"/>
          <w:color w:val="000000"/>
          <w:sz w:val="24"/>
        </w:rPr>
        <w:t xml:space="preserve"> </w:t>
      </w:r>
    </w:p>
    <w:p w14:paraId="4B40C396">
      <w:pPr>
        <w:spacing w:line="360" w:lineRule="auto"/>
        <w:ind w:firstLine="480" w:firstLineChars="200"/>
        <w:rPr>
          <w:rFonts w:ascii="仿宋" w:hAnsi="仿宋" w:eastAsia="仿宋" w:cs="仿宋_GB2312"/>
          <w:color w:val="000000"/>
          <w:sz w:val="24"/>
        </w:rPr>
      </w:pPr>
      <w:r>
        <w:rPr>
          <w:rFonts w:hint="eastAsia" w:ascii="仿宋" w:hAnsi="仿宋" w:eastAsia="仿宋"/>
          <w:color w:val="000000"/>
          <w:sz w:val="24"/>
        </w:rPr>
        <w:t>13.3</w:t>
      </w:r>
      <w:r>
        <w:rPr>
          <w:rFonts w:hint="eastAsia" w:ascii="仿宋" w:hAnsi="仿宋" w:eastAsia="仿宋" w:cs="仿宋_GB2312"/>
          <w:color w:val="000000"/>
          <w:sz w:val="24"/>
        </w:rPr>
        <w:t>投标人不具备招标文件中规定的资格要求的（投标人未提供有效的资格证明文件的，视为投标人不具备招标文件中规定的资格要求）；</w:t>
      </w:r>
    </w:p>
    <w:p w14:paraId="1191309F">
      <w:pPr>
        <w:spacing w:line="360" w:lineRule="auto"/>
        <w:ind w:firstLine="480" w:firstLineChars="200"/>
        <w:rPr>
          <w:rFonts w:ascii="仿宋" w:hAnsi="仿宋" w:eastAsia="仿宋" w:cs="仿宋_GB2312"/>
          <w:color w:val="000000"/>
          <w:sz w:val="24"/>
        </w:rPr>
      </w:pPr>
      <w:r>
        <w:rPr>
          <w:rFonts w:hint="eastAsia" w:ascii="仿宋" w:hAnsi="仿宋" w:eastAsia="仿宋" w:cs="仿宋_GB2312"/>
          <w:color w:val="000000"/>
          <w:sz w:val="24"/>
        </w:rPr>
        <w:t>13.4投标文件“资格文件”和“商务技术文件”部分中出现用于价格分评审的投标报价的（招标文件另有规定的参与“商务技术文件”评审的报价除外）；</w:t>
      </w:r>
    </w:p>
    <w:p w14:paraId="2BA7D5C2">
      <w:pPr>
        <w:spacing w:line="360" w:lineRule="auto"/>
        <w:ind w:firstLine="480" w:firstLineChars="200"/>
        <w:rPr>
          <w:rFonts w:ascii="仿宋" w:hAnsi="仿宋" w:eastAsia="仿宋" w:cs="仿宋_GB2312"/>
          <w:color w:val="000000"/>
          <w:sz w:val="24"/>
        </w:rPr>
      </w:pPr>
      <w:r>
        <w:rPr>
          <w:rFonts w:hint="eastAsia" w:ascii="仿宋" w:hAnsi="仿宋" w:eastAsia="仿宋" w:cs="仿宋_GB2312"/>
          <w:color w:val="000000"/>
          <w:sz w:val="24"/>
        </w:rPr>
        <w:t>13.5投标文件未按招标文件规定的格式填写，或对招标服务或对技术或产品等要求未详细应答或应答内容不全、有缺失的，经评标委员会认定为无法评审的；</w:t>
      </w:r>
    </w:p>
    <w:p w14:paraId="76C143EB">
      <w:pPr>
        <w:spacing w:line="360" w:lineRule="auto"/>
        <w:ind w:firstLine="480" w:firstLineChars="200"/>
        <w:rPr>
          <w:rFonts w:ascii="仿宋" w:hAnsi="仿宋" w:eastAsia="仿宋" w:cs="仿宋_GB2312"/>
          <w:color w:val="000000"/>
          <w:sz w:val="24"/>
        </w:rPr>
      </w:pPr>
      <w:r>
        <w:rPr>
          <w:rFonts w:hint="eastAsia" w:ascii="仿宋" w:hAnsi="仿宋" w:eastAsia="仿宋" w:cs="仿宋_GB2312"/>
          <w:color w:val="000000"/>
          <w:sz w:val="24"/>
        </w:rPr>
        <w:t>13.6投标文件关键信息填写不完整或字迹不能辨认或有漏项的，经评标委员会认定属于重大偏差的；</w:t>
      </w:r>
    </w:p>
    <w:p w14:paraId="24F3AFC0">
      <w:pPr>
        <w:spacing w:line="360" w:lineRule="auto"/>
        <w:ind w:firstLine="480" w:firstLineChars="200"/>
        <w:rPr>
          <w:rFonts w:ascii="仿宋" w:hAnsi="仿宋" w:eastAsia="仿宋" w:cs="仿宋_GB2312"/>
          <w:color w:val="000000"/>
          <w:sz w:val="24"/>
        </w:rPr>
      </w:pPr>
      <w:r>
        <w:rPr>
          <w:rFonts w:hint="eastAsia" w:ascii="仿宋" w:hAnsi="仿宋" w:eastAsia="仿宋" w:cs="仿宋_GB2312"/>
          <w:color w:val="000000"/>
          <w:sz w:val="24"/>
        </w:rPr>
        <w:t>13.7投标文件重要信息前后不一致，经评标委员会询标后仍然无法评审的；</w:t>
      </w:r>
    </w:p>
    <w:p w14:paraId="3E8AEDB9">
      <w:pPr>
        <w:spacing w:line="360" w:lineRule="auto"/>
        <w:ind w:firstLine="480" w:firstLineChars="200"/>
        <w:rPr>
          <w:rFonts w:ascii="仿宋" w:hAnsi="仿宋" w:eastAsia="仿宋" w:cs="仿宋_GB2312"/>
          <w:color w:val="000000"/>
          <w:sz w:val="24"/>
        </w:rPr>
      </w:pPr>
      <w:r>
        <w:rPr>
          <w:rFonts w:hint="eastAsia" w:ascii="仿宋" w:hAnsi="仿宋" w:eastAsia="仿宋" w:cs="仿宋_GB2312"/>
          <w:color w:val="000000"/>
          <w:sz w:val="24"/>
        </w:rPr>
        <w:t>13.8投标文件未按照招标文件要求签署、盖章的；</w:t>
      </w:r>
    </w:p>
    <w:p w14:paraId="1C63154C">
      <w:pPr>
        <w:spacing w:line="360" w:lineRule="auto"/>
        <w:ind w:firstLine="480" w:firstLineChars="200"/>
        <w:rPr>
          <w:rFonts w:ascii="仿宋" w:hAnsi="仿宋" w:eastAsia="仿宋" w:cs="仿宋_GB2312"/>
          <w:color w:val="000000"/>
          <w:sz w:val="24"/>
        </w:rPr>
      </w:pPr>
      <w:r>
        <w:rPr>
          <w:rFonts w:hint="eastAsia" w:ascii="仿宋" w:hAnsi="仿宋" w:eastAsia="仿宋"/>
          <w:color w:val="000000"/>
          <w:sz w:val="24"/>
        </w:rPr>
        <w:t>13.9</w:t>
      </w:r>
      <w:r>
        <w:rPr>
          <w:rFonts w:hint="eastAsia" w:ascii="仿宋" w:hAnsi="仿宋" w:eastAsia="仿宋" w:cs="仿宋_GB2312"/>
          <w:color w:val="000000"/>
          <w:sz w:val="24"/>
        </w:rPr>
        <w:t>投标文件含有采购人不能接受的附加条件的；</w:t>
      </w:r>
    </w:p>
    <w:p w14:paraId="6210B32E">
      <w:pPr>
        <w:spacing w:line="360" w:lineRule="auto"/>
        <w:ind w:firstLine="480" w:firstLineChars="200"/>
        <w:rPr>
          <w:rFonts w:ascii="仿宋" w:hAnsi="仿宋" w:eastAsia="仿宋" w:cs="仿宋_GB2312"/>
          <w:color w:val="000000"/>
          <w:sz w:val="24"/>
        </w:rPr>
      </w:pPr>
      <w:r>
        <w:rPr>
          <w:rFonts w:hint="eastAsia" w:ascii="仿宋" w:hAnsi="仿宋" w:eastAsia="仿宋"/>
          <w:color w:val="000000"/>
          <w:sz w:val="24"/>
        </w:rPr>
        <w:t>13.10</w:t>
      </w:r>
      <w:r>
        <w:rPr>
          <w:rFonts w:hint="eastAsia" w:ascii="仿宋" w:hAnsi="仿宋" w:eastAsia="仿宋" w:cs="仿宋_GB2312"/>
          <w:color w:val="000000"/>
          <w:sz w:val="24"/>
        </w:rPr>
        <w:t>投标文件中承诺的投标有效期少于招标文件中载明的投标有效期的；</w:t>
      </w:r>
    </w:p>
    <w:p w14:paraId="2F245657">
      <w:pPr>
        <w:spacing w:line="360" w:lineRule="auto"/>
        <w:ind w:firstLine="480" w:firstLineChars="200"/>
        <w:rPr>
          <w:rFonts w:ascii="仿宋" w:hAnsi="仿宋" w:eastAsia="仿宋" w:cs="仿宋_GB2312"/>
          <w:color w:val="000000"/>
          <w:sz w:val="24"/>
        </w:rPr>
      </w:pPr>
      <w:r>
        <w:rPr>
          <w:rFonts w:hint="eastAsia" w:ascii="仿宋" w:hAnsi="仿宋" w:eastAsia="仿宋"/>
          <w:color w:val="000000"/>
          <w:sz w:val="24"/>
        </w:rPr>
        <w:t>13.11</w:t>
      </w:r>
      <w:r>
        <w:rPr>
          <w:rFonts w:hint="eastAsia" w:ascii="仿宋" w:hAnsi="仿宋" w:eastAsia="仿宋" w:cs="仿宋_GB2312"/>
          <w:color w:val="000000"/>
          <w:sz w:val="24"/>
        </w:rPr>
        <w:t>投标人所投内容不符合采购需求中实质性要求的；</w:t>
      </w:r>
    </w:p>
    <w:p w14:paraId="76F7F379">
      <w:pPr>
        <w:spacing w:line="360" w:lineRule="auto"/>
        <w:ind w:firstLine="480" w:firstLineChars="200"/>
        <w:rPr>
          <w:rFonts w:ascii="仿宋" w:hAnsi="仿宋" w:eastAsia="仿宋"/>
          <w:color w:val="000000"/>
          <w:sz w:val="24"/>
        </w:rPr>
      </w:pPr>
      <w:r>
        <w:rPr>
          <w:rFonts w:hint="eastAsia" w:ascii="仿宋" w:hAnsi="仿宋" w:eastAsia="仿宋"/>
          <w:color w:val="000000"/>
          <w:sz w:val="24"/>
        </w:rPr>
        <w:t>13.12投标文件出现不是唯一的、有选择性投标报价的;</w:t>
      </w:r>
    </w:p>
    <w:p w14:paraId="4682DC0F">
      <w:pPr>
        <w:spacing w:line="360" w:lineRule="auto"/>
        <w:ind w:firstLine="480" w:firstLineChars="200"/>
        <w:rPr>
          <w:rFonts w:ascii="仿宋" w:hAnsi="仿宋" w:eastAsia="仿宋" w:cs="仿宋_GB2312"/>
          <w:color w:val="000000"/>
          <w:sz w:val="24"/>
        </w:rPr>
      </w:pPr>
      <w:r>
        <w:rPr>
          <w:rFonts w:hint="eastAsia" w:ascii="仿宋" w:hAnsi="仿宋" w:eastAsia="仿宋"/>
          <w:color w:val="000000"/>
          <w:sz w:val="24"/>
        </w:rPr>
        <w:t>13.13</w:t>
      </w:r>
      <w:r>
        <w:rPr>
          <w:rFonts w:hint="eastAsia" w:ascii="仿宋" w:hAnsi="仿宋" w:eastAsia="仿宋" w:cs="仿宋_GB2312"/>
          <w:color w:val="000000"/>
          <w:sz w:val="24"/>
        </w:rPr>
        <w:t>投标报价高于本项目采购预算或者最高限价的;</w:t>
      </w:r>
    </w:p>
    <w:p w14:paraId="573A4BA5">
      <w:pPr>
        <w:spacing w:line="360" w:lineRule="auto"/>
        <w:ind w:firstLine="480" w:firstLineChars="200"/>
        <w:rPr>
          <w:rFonts w:ascii="仿宋" w:hAnsi="仿宋" w:eastAsia="仿宋" w:cs="仿宋_GB2312"/>
          <w:color w:val="000000"/>
          <w:sz w:val="24"/>
        </w:rPr>
      </w:pPr>
      <w:r>
        <w:rPr>
          <w:rFonts w:hint="eastAsia" w:ascii="仿宋" w:hAnsi="仿宋" w:eastAsia="仿宋"/>
          <w:color w:val="000000"/>
          <w:sz w:val="24"/>
        </w:rPr>
        <w:t>13.14</w:t>
      </w:r>
      <w:r>
        <w:rPr>
          <w:rFonts w:hint="eastAsia" w:ascii="仿宋" w:hAnsi="仿宋" w:eastAsia="仿宋" w:cs="仿宋_GB2312"/>
          <w:color w:val="000000"/>
          <w:sz w:val="24"/>
        </w:rPr>
        <w:t>报价明显低于其他通过符合性审查投标人的报价，有可能影响产品质量或者不能诚信履约的，未能按要求提供书面说明或者提交相关证明材料，不能证明其报价合理性的;</w:t>
      </w:r>
    </w:p>
    <w:p w14:paraId="73C2A94A">
      <w:pPr>
        <w:spacing w:line="360" w:lineRule="auto"/>
        <w:ind w:firstLine="480" w:firstLineChars="200"/>
        <w:rPr>
          <w:rFonts w:ascii="仿宋" w:hAnsi="仿宋" w:eastAsia="仿宋" w:cs="仿宋_GB2312"/>
          <w:sz w:val="24"/>
        </w:rPr>
      </w:pPr>
      <w:r>
        <w:rPr>
          <w:rFonts w:hint="eastAsia" w:ascii="仿宋" w:hAnsi="仿宋" w:eastAsia="仿宋"/>
          <w:sz w:val="24"/>
        </w:rPr>
        <w:t>13.15</w:t>
      </w:r>
      <w:r>
        <w:rPr>
          <w:rFonts w:hint="eastAsia" w:ascii="仿宋" w:hAnsi="仿宋" w:eastAsia="仿宋" w:cs="仿宋_GB2312"/>
          <w:sz w:val="24"/>
        </w:rPr>
        <w:t>《投标（开标）一览表》填写不完整或字迹不能辨认或有漏项的，经评标委员会认定属于重大偏差的；</w:t>
      </w:r>
    </w:p>
    <w:p w14:paraId="41A72354">
      <w:pPr>
        <w:spacing w:line="360" w:lineRule="auto"/>
        <w:ind w:firstLine="480" w:firstLineChars="200"/>
        <w:rPr>
          <w:rFonts w:ascii="仿宋" w:hAnsi="仿宋" w:eastAsia="仿宋" w:cs="仿宋_GB2312"/>
          <w:sz w:val="24"/>
        </w:rPr>
      </w:pPr>
      <w:r>
        <w:rPr>
          <w:rFonts w:hint="eastAsia" w:ascii="仿宋" w:hAnsi="仿宋" w:eastAsia="仿宋"/>
          <w:sz w:val="24"/>
        </w:rPr>
        <w:t>13.16</w:t>
      </w:r>
      <w:r>
        <w:rPr>
          <w:rFonts w:hint="eastAsia" w:ascii="仿宋" w:hAnsi="仿宋" w:eastAsia="仿宋" w:cs="仿宋_GB2312"/>
          <w:sz w:val="24"/>
        </w:rPr>
        <w:t>投标人对根据修正原则修正后的报价不确认的；</w:t>
      </w:r>
    </w:p>
    <w:p w14:paraId="12A2C8D3">
      <w:pPr>
        <w:spacing w:line="360" w:lineRule="auto"/>
        <w:ind w:firstLine="480" w:firstLineChars="200"/>
        <w:rPr>
          <w:rFonts w:ascii="仿宋" w:hAnsi="仿宋" w:eastAsia="仿宋" w:cs="仿宋_GB2312"/>
          <w:sz w:val="24"/>
        </w:rPr>
      </w:pPr>
      <w:r>
        <w:rPr>
          <w:rFonts w:hint="eastAsia" w:ascii="仿宋" w:hAnsi="仿宋" w:eastAsia="仿宋" w:cs="仿宋_GB2312"/>
          <w:sz w:val="24"/>
        </w:rPr>
        <w:t>13.17投标人提供虚假材料投标的（包括但不限于以下情节）；</w:t>
      </w:r>
    </w:p>
    <w:p w14:paraId="66962267">
      <w:pPr>
        <w:spacing w:line="360" w:lineRule="auto"/>
        <w:ind w:firstLine="480" w:firstLineChars="200"/>
        <w:rPr>
          <w:rFonts w:ascii="仿宋" w:hAnsi="仿宋" w:eastAsia="仿宋" w:cs="仿宋_GB2312"/>
          <w:sz w:val="24"/>
        </w:rPr>
      </w:pPr>
      <w:r>
        <w:rPr>
          <w:rFonts w:hint="eastAsia" w:ascii="仿宋" w:hAnsi="仿宋" w:eastAsia="仿宋" w:cs="仿宋_GB2312"/>
          <w:sz w:val="24"/>
        </w:rPr>
        <w:t>13.17.1使用伪造、变造的许可证件；</w:t>
      </w:r>
    </w:p>
    <w:p w14:paraId="7AC51A61">
      <w:pPr>
        <w:spacing w:line="360" w:lineRule="auto"/>
        <w:ind w:firstLine="480" w:firstLineChars="200"/>
        <w:rPr>
          <w:rFonts w:ascii="仿宋" w:hAnsi="仿宋" w:eastAsia="仿宋" w:cs="仿宋_GB2312"/>
          <w:color w:val="000000"/>
          <w:sz w:val="24"/>
        </w:rPr>
      </w:pPr>
      <w:r>
        <w:rPr>
          <w:rFonts w:hint="eastAsia" w:ascii="仿宋" w:hAnsi="仿宋" w:eastAsia="仿宋" w:cs="仿宋_GB2312"/>
          <w:color w:val="000000"/>
          <w:sz w:val="24"/>
        </w:rPr>
        <w:t>13.17.2提供虚假的财务状况或者业绩；</w:t>
      </w:r>
    </w:p>
    <w:p w14:paraId="5F64BC83">
      <w:pPr>
        <w:spacing w:line="360" w:lineRule="auto"/>
        <w:ind w:firstLine="480" w:firstLineChars="200"/>
        <w:rPr>
          <w:rFonts w:ascii="仿宋" w:hAnsi="仿宋" w:eastAsia="仿宋" w:cs="仿宋_GB2312"/>
          <w:color w:val="000000"/>
          <w:sz w:val="24"/>
        </w:rPr>
      </w:pPr>
      <w:r>
        <w:rPr>
          <w:rFonts w:hint="eastAsia" w:ascii="仿宋" w:hAnsi="仿宋" w:eastAsia="仿宋" w:cs="仿宋_GB2312"/>
          <w:color w:val="000000"/>
          <w:sz w:val="24"/>
        </w:rPr>
        <w:t>13.17.3提供虚假的项目负责人或者主要技术人员简历、劳动关系证明；</w:t>
      </w:r>
    </w:p>
    <w:p w14:paraId="27602CDD">
      <w:pPr>
        <w:spacing w:line="360" w:lineRule="auto"/>
        <w:ind w:firstLine="480" w:firstLineChars="200"/>
        <w:rPr>
          <w:rFonts w:ascii="仿宋" w:hAnsi="仿宋" w:eastAsia="仿宋" w:cs="仿宋_GB2312"/>
          <w:color w:val="000000"/>
          <w:sz w:val="24"/>
        </w:rPr>
      </w:pPr>
      <w:r>
        <w:rPr>
          <w:rFonts w:hint="eastAsia" w:ascii="仿宋" w:hAnsi="仿宋" w:eastAsia="仿宋" w:cs="仿宋_GB2312"/>
          <w:color w:val="000000"/>
          <w:sz w:val="24"/>
        </w:rPr>
        <w:t>13.17.4提供虚假的信用状况；</w:t>
      </w:r>
    </w:p>
    <w:p w14:paraId="5D45D707">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13.</w:t>
      </w:r>
      <w:r>
        <w:rPr>
          <w:rFonts w:hint="eastAsia" w:ascii="仿宋" w:hAnsi="仿宋" w:eastAsia="仿宋" w:cs="仿宋_GB2312"/>
          <w:color w:val="000000"/>
          <w:sz w:val="24"/>
        </w:rPr>
        <w:t>17</w:t>
      </w:r>
      <w:r>
        <w:rPr>
          <w:rFonts w:ascii="仿宋" w:hAnsi="仿宋" w:eastAsia="仿宋" w:cs="仿宋_GB2312"/>
          <w:color w:val="000000"/>
          <w:sz w:val="24"/>
        </w:rPr>
        <w:t>.</w:t>
      </w:r>
      <w:r>
        <w:rPr>
          <w:rFonts w:hint="eastAsia" w:ascii="仿宋" w:hAnsi="仿宋" w:eastAsia="仿宋" w:cs="仿宋_GB2312"/>
          <w:color w:val="000000"/>
          <w:sz w:val="24"/>
        </w:rPr>
        <w:t>5其他弄虚作假的行为。</w:t>
      </w:r>
    </w:p>
    <w:p w14:paraId="4DC0F128">
      <w:pPr>
        <w:spacing w:line="360" w:lineRule="auto"/>
        <w:ind w:firstLine="480" w:firstLineChars="200"/>
        <w:rPr>
          <w:rFonts w:ascii="仿宋" w:hAnsi="仿宋" w:eastAsia="仿宋" w:cs="仿宋_GB2312"/>
          <w:color w:val="000000"/>
          <w:sz w:val="24"/>
        </w:rPr>
      </w:pPr>
      <w:r>
        <w:rPr>
          <w:rFonts w:hint="eastAsia" w:ascii="仿宋" w:hAnsi="仿宋" w:eastAsia="仿宋"/>
          <w:color w:val="000000"/>
          <w:sz w:val="24"/>
        </w:rPr>
        <w:t>13.18投标人有恶意串通、妨碍其他投标人的竞争行为、损害采购人或者其他投标人的合法权益情形的；有下列情形之一的，属于或视为恶意串通，其投标无效：</w:t>
      </w:r>
    </w:p>
    <w:p w14:paraId="5400069F">
      <w:pPr>
        <w:spacing w:line="360" w:lineRule="auto"/>
        <w:ind w:firstLine="480" w:firstLineChars="200"/>
        <w:rPr>
          <w:rFonts w:ascii="仿宋" w:hAnsi="仿宋" w:eastAsia="仿宋" w:cs="仿宋_GB2312"/>
          <w:color w:val="000000"/>
          <w:sz w:val="24"/>
        </w:rPr>
      </w:pPr>
      <w:r>
        <w:rPr>
          <w:rFonts w:hint="eastAsia" w:ascii="仿宋" w:hAnsi="仿宋" w:eastAsia="仿宋"/>
          <w:color w:val="000000"/>
          <w:sz w:val="24"/>
        </w:rPr>
        <w:t>13.18.1</w:t>
      </w:r>
      <w:r>
        <w:rPr>
          <w:rFonts w:hint="eastAsia" w:ascii="仿宋" w:hAnsi="仿宋" w:eastAsia="仿宋" w:cs="仿宋_GB2312"/>
          <w:color w:val="000000"/>
          <w:sz w:val="24"/>
        </w:rPr>
        <w:t>供应商直接或者间接从采购人或者采购代理机构处获得其他供应商的相关情况并修改其投标文件或者响应文件；</w:t>
      </w:r>
    </w:p>
    <w:p w14:paraId="7F0738FE">
      <w:pPr>
        <w:spacing w:line="360" w:lineRule="auto"/>
        <w:ind w:firstLine="480" w:firstLineChars="200"/>
        <w:rPr>
          <w:rFonts w:ascii="仿宋" w:hAnsi="仿宋" w:eastAsia="仿宋" w:cs="仿宋_GB2312"/>
          <w:color w:val="000000"/>
          <w:sz w:val="24"/>
        </w:rPr>
      </w:pPr>
      <w:r>
        <w:rPr>
          <w:rFonts w:hint="eastAsia" w:ascii="仿宋" w:hAnsi="仿宋" w:eastAsia="仿宋" w:cs="仿宋_GB2312"/>
          <w:color w:val="000000"/>
          <w:sz w:val="24"/>
        </w:rPr>
        <w:t>13.18.2供应商按照采购人或者采购代理机构的授意撤换、修改投标文件或者响应文件；</w:t>
      </w:r>
    </w:p>
    <w:p w14:paraId="22133762">
      <w:pPr>
        <w:spacing w:line="360" w:lineRule="auto"/>
        <w:ind w:firstLine="480" w:firstLineChars="200"/>
        <w:rPr>
          <w:rFonts w:ascii="仿宋" w:hAnsi="仿宋" w:eastAsia="仿宋" w:cs="仿宋_GB2312"/>
          <w:sz w:val="24"/>
        </w:rPr>
      </w:pPr>
      <w:r>
        <w:rPr>
          <w:rFonts w:hint="eastAsia" w:ascii="仿宋" w:hAnsi="仿宋" w:eastAsia="仿宋" w:cs="仿宋_GB2312"/>
          <w:sz w:val="24"/>
        </w:rPr>
        <w:t>13.18.3供应商之间协商报价、技术方案等投标文件或者响应文件的实质性内容；</w:t>
      </w:r>
    </w:p>
    <w:p w14:paraId="316C0ADF">
      <w:pPr>
        <w:spacing w:line="360" w:lineRule="auto"/>
        <w:ind w:firstLine="480" w:firstLineChars="200"/>
        <w:rPr>
          <w:rFonts w:ascii="仿宋" w:hAnsi="仿宋" w:eastAsia="仿宋" w:cs="仿宋_GB2312"/>
          <w:sz w:val="24"/>
        </w:rPr>
      </w:pPr>
      <w:r>
        <w:rPr>
          <w:rFonts w:hint="eastAsia" w:ascii="仿宋" w:hAnsi="仿宋" w:eastAsia="仿宋" w:cs="仿宋_GB2312"/>
          <w:sz w:val="24"/>
        </w:rPr>
        <w:t>13.18.4属于同一集团、协会、商会等组织成员的供应商按照该组织要求协同参加国企采购活动；</w:t>
      </w:r>
    </w:p>
    <w:p w14:paraId="12E8D0E4">
      <w:pPr>
        <w:spacing w:line="360" w:lineRule="auto"/>
        <w:ind w:firstLine="480" w:firstLineChars="200"/>
        <w:rPr>
          <w:rFonts w:ascii="仿宋" w:hAnsi="仿宋" w:eastAsia="仿宋" w:cs="仿宋_GB2312"/>
          <w:sz w:val="24"/>
        </w:rPr>
      </w:pPr>
      <w:r>
        <w:rPr>
          <w:rFonts w:hint="eastAsia" w:ascii="仿宋" w:hAnsi="仿宋" w:eastAsia="仿宋" w:cs="仿宋_GB2312"/>
          <w:sz w:val="24"/>
        </w:rPr>
        <w:t>13.18.5供应商之间事先约定由某一特定供应商中标、成交；</w:t>
      </w:r>
    </w:p>
    <w:p w14:paraId="0194A75C">
      <w:pPr>
        <w:spacing w:line="360" w:lineRule="auto"/>
        <w:ind w:firstLine="480" w:firstLineChars="200"/>
        <w:rPr>
          <w:rFonts w:ascii="仿宋" w:hAnsi="仿宋" w:eastAsia="仿宋" w:cs="仿宋_GB2312"/>
          <w:sz w:val="24"/>
        </w:rPr>
      </w:pPr>
      <w:r>
        <w:rPr>
          <w:rFonts w:hint="eastAsia" w:ascii="仿宋" w:hAnsi="仿宋" w:eastAsia="仿宋" w:cs="仿宋_GB2312"/>
          <w:sz w:val="24"/>
        </w:rPr>
        <w:t>13.18.6供应商之间商定部分供应商放弃参加国企采购活动或者放弃中标、成交；</w:t>
      </w:r>
    </w:p>
    <w:p w14:paraId="17ABFC1B">
      <w:pPr>
        <w:spacing w:line="360" w:lineRule="auto"/>
        <w:ind w:firstLine="480" w:firstLineChars="200"/>
        <w:rPr>
          <w:rFonts w:ascii="仿宋" w:hAnsi="仿宋" w:eastAsia="仿宋" w:cs="仿宋_GB2312"/>
          <w:sz w:val="24"/>
        </w:rPr>
      </w:pPr>
      <w:r>
        <w:rPr>
          <w:rFonts w:hint="eastAsia" w:ascii="仿宋" w:hAnsi="仿宋" w:eastAsia="仿宋" w:cs="仿宋_GB2312"/>
          <w:sz w:val="24"/>
        </w:rPr>
        <w:t>13.18.7供应商与采购人或者采购代理机构之间、供应商相互之间，为谋求特定供应商中标、成交或者排斥其他供应商的其他串通行为。</w:t>
      </w:r>
    </w:p>
    <w:p w14:paraId="5BFAE222">
      <w:pPr>
        <w:spacing w:line="360" w:lineRule="auto"/>
        <w:ind w:firstLine="480" w:firstLineChars="200"/>
        <w:rPr>
          <w:rFonts w:ascii="仿宋" w:hAnsi="仿宋" w:eastAsia="仿宋" w:cs="仿宋_GB2312"/>
          <w:sz w:val="24"/>
        </w:rPr>
      </w:pPr>
      <w:r>
        <w:rPr>
          <w:rFonts w:hint="eastAsia" w:ascii="仿宋" w:hAnsi="仿宋" w:eastAsia="仿宋" w:cs="仿宋_GB2312"/>
          <w:sz w:val="24"/>
        </w:rPr>
        <w:t>13.18.8不同投标人的投标文件由同一单位或者个人编制；</w:t>
      </w:r>
    </w:p>
    <w:p w14:paraId="527089C3">
      <w:pPr>
        <w:spacing w:line="360" w:lineRule="auto"/>
        <w:ind w:firstLine="480" w:firstLineChars="200"/>
        <w:rPr>
          <w:rFonts w:ascii="仿宋" w:hAnsi="仿宋" w:eastAsia="仿宋" w:cs="仿宋_GB2312"/>
          <w:sz w:val="24"/>
        </w:rPr>
      </w:pPr>
      <w:r>
        <w:rPr>
          <w:rFonts w:hint="eastAsia" w:ascii="仿宋" w:hAnsi="仿宋" w:eastAsia="仿宋" w:cs="仿宋_GB2312"/>
          <w:sz w:val="24"/>
        </w:rPr>
        <w:t>13.18.9不同投标人委托同一单位或者个人办理投标事宜；</w:t>
      </w:r>
    </w:p>
    <w:p w14:paraId="3830851F">
      <w:pPr>
        <w:spacing w:line="360" w:lineRule="auto"/>
        <w:ind w:firstLine="480" w:firstLineChars="200"/>
        <w:rPr>
          <w:rFonts w:ascii="仿宋" w:hAnsi="仿宋" w:eastAsia="仿宋" w:cs="仿宋_GB2312"/>
          <w:sz w:val="24"/>
        </w:rPr>
      </w:pPr>
      <w:r>
        <w:rPr>
          <w:rFonts w:hint="eastAsia" w:ascii="仿宋" w:hAnsi="仿宋" w:eastAsia="仿宋" w:cs="仿宋_GB2312"/>
          <w:sz w:val="24"/>
        </w:rPr>
        <w:t>13.18.10不同投标人的投标文件载明的项目管理成员或者联系人员为同一人；</w:t>
      </w:r>
    </w:p>
    <w:p w14:paraId="43D25D46">
      <w:pPr>
        <w:spacing w:line="360" w:lineRule="auto"/>
        <w:ind w:firstLine="480" w:firstLineChars="200"/>
        <w:rPr>
          <w:rFonts w:ascii="仿宋" w:hAnsi="仿宋" w:eastAsia="仿宋" w:cs="仿宋_GB2312"/>
          <w:sz w:val="24"/>
        </w:rPr>
      </w:pPr>
      <w:r>
        <w:rPr>
          <w:rFonts w:hint="eastAsia" w:ascii="仿宋" w:hAnsi="仿宋" w:eastAsia="仿宋" w:cs="仿宋_GB2312"/>
          <w:sz w:val="24"/>
        </w:rPr>
        <w:t>13.18.11不同投标人的投标文件异常一致或者投标报价呈规律性差异；</w:t>
      </w:r>
    </w:p>
    <w:p w14:paraId="174834A7">
      <w:pPr>
        <w:spacing w:line="360" w:lineRule="auto"/>
        <w:ind w:firstLine="480" w:firstLineChars="200"/>
        <w:rPr>
          <w:rFonts w:ascii="仿宋" w:hAnsi="仿宋" w:eastAsia="仿宋" w:cs="仿宋_GB2312"/>
          <w:sz w:val="24"/>
        </w:rPr>
      </w:pPr>
      <w:r>
        <w:rPr>
          <w:rFonts w:hint="eastAsia" w:ascii="仿宋" w:hAnsi="仿宋" w:eastAsia="仿宋" w:cs="仿宋_GB2312"/>
          <w:sz w:val="24"/>
        </w:rPr>
        <w:t>13.18.12不同投标人的投标文件相互混装；</w:t>
      </w:r>
    </w:p>
    <w:p w14:paraId="25D2A126">
      <w:pPr>
        <w:spacing w:line="360" w:lineRule="auto"/>
        <w:ind w:firstLine="480" w:firstLineChars="200"/>
        <w:rPr>
          <w:rFonts w:ascii="仿宋" w:hAnsi="仿宋" w:eastAsia="仿宋" w:cs="仿宋_GB2312"/>
          <w:sz w:val="24"/>
        </w:rPr>
      </w:pPr>
      <w:r>
        <w:rPr>
          <w:rFonts w:hint="eastAsia" w:ascii="仿宋" w:hAnsi="仿宋" w:eastAsia="仿宋" w:cs="仿宋_GB2312"/>
          <w:sz w:val="24"/>
        </w:rPr>
        <w:t xml:space="preserve">13.19违反法律、法律及本招标文件规定的其它无效投标情形。 </w:t>
      </w:r>
    </w:p>
    <w:p w14:paraId="6010CF6F">
      <w:pPr>
        <w:spacing w:line="360" w:lineRule="auto"/>
        <w:ind w:firstLine="240" w:firstLineChars="100"/>
        <w:rPr>
          <w:rFonts w:ascii="仿宋" w:hAnsi="仿宋" w:eastAsia="仿宋" w:cs="仿宋_GB2312"/>
          <w:sz w:val="24"/>
          <w:szCs w:val="21"/>
        </w:rPr>
      </w:pPr>
    </w:p>
    <w:p w14:paraId="12A12D27">
      <w:pPr>
        <w:snapToGrid w:val="0"/>
        <w:spacing w:line="360" w:lineRule="auto"/>
        <w:jc w:val="center"/>
        <w:rPr>
          <w:rFonts w:ascii="仿宋" w:hAnsi="仿宋" w:eastAsia="仿宋" w:cs="仿宋_GB2312"/>
          <w:b/>
          <w:sz w:val="32"/>
        </w:rPr>
      </w:pPr>
      <w:r>
        <w:rPr>
          <w:rFonts w:hint="eastAsia" w:ascii="仿宋" w:hAnsi="仿宋" w:eastAsia="仿宋" w:cs="仿宋_GB2312"/>
          <w:b/>
          <w:sz w:val="32"/>
        </w:rPr>
        <w:t>五、评标报告</w:t>
      </w:r>
    </w:p>
    <w:p w14:paraId="360BA209">
      <w:pPr>
        <w:pStyle w:val="228"/>
        <w:spacing w:before="0"/>
        <w:ind w:firstLine="482"/>
        <w:jc w:val="left"/>
        <w:rPr>
          <w:rFonts w:ascii="仿宋" w:hAnsi="仿宋" w:eastAsia="仿宋" w:cs="仿宋_GB2312"/>
          <w:szCs w:val="24"/>
        </w:rPr>
      </w:pPr>
      <w:r>
        <w:rPr>
          <w:rFonts w:hint="eastAsia" w:ascii="仿宋" w:hAnsi="仿宋" w:eastAsia="仿宋" w:cs="仿宋_GB2312"/>
          <w:b/>
          <w:szCs w:val="24"/>
        </w:rPr>
        <w:t>14.</w:t>
      </w:r>
      <w:r>
        <w:rPr>
          <w:rFonts w:ascii="仿宋" w:hAnsi="仿宋" w:eastAsia="仿宋" w:cs="仿宋_GB2312"/>
          <w:b/>
          <w:szCs w:val="24"/>
        </w:rPr>
        <w:t xml:space="preserve"> 评标报告</w:t>
      </w:r>
      <w:r>
        <w:rPr>
          <w:rFonts w:hint="eastAsia" w:ascii="仿宋" w:hAnsi="仿宋" w:eastAsia="仿宋" w:cs="仿宋_GB2312"/>
          <w:b/>
          <w:szCs w:val="24"/>
        </w:rPr>
        <w:t>与推荐</w:t>
      </w:r>
      <w:r>
        <w:rPr>
          <w:rFonts w:ascii="仿宋" w:hAnsi="仿宋" w:eastAsia="仿宋" w:cs="仿宋_GB2312"/>
          <w:b/>
          <w:szCs w:val="24"/>
        </w:rPr>
        <w:t>中标候选人</w:t>
      </w:r>
      <w:r>
        <w:rPr>
          <w:rFonts w:hint="eastAsia" w:ascii="仿宋" w:hAnsi="仿宋" w:eastAsia="仿宋" w:cs="仿宋_GB2312"/>
          <w:b/>
          <w:szCs w:val="24"/>
        </w:rPr>
        <w:t>。</w:t>
      </w:r>
      <w:r>
        <w:rPr>
          <w:rFonts w:ascii="仿宋" w:hAnsi="仿宋" w:eastAsia="仿宋" w:cs="仿宋_GB2312"/>
          <w:szCs w:val="24"/>
        </w:rPr>
        <w:t>评标委员会根据全体评标成员签字的原始评标记录和评标结果编写评标报告</w:t>
      </w:r>
      <w:r>
        <w:rPr>
          <w:rFonts w:hint="eastAsia" w:ascii="仿宋" w:hAnsi="仿宋" w:eastAsia="仿宋" w:cs="仿宋_GB2312"/>
          <w:szCs w:val="24"/>
        </w:rPr>
        <w:t>，</w:t>
      </w:r>
      <w:r>
        <w:rPr>
          <w:rFonts w:ascii="仿宋" w:hAnsi="仿宋" w:eastAsia="仿宋" w:cs="仿宋_GB2312"/>
          <w:szCs w:val="24"/>
        </w:rPr>
        <w:t>并</w:t>
      </w:r>
      <w:r>
        <w:rPr>
          <w:rFonts w:hint="eastAsia" w:ascii="仿宋" w:hAnsi="仿宋" w:eastAsia="仿宋" w:cs="仿宋_GB2312"/>
          <w:szCs w:val="24"/>
        </w:rPr>
        <w:t>推荐</w:t>
      </w:r>
      <w:r>
        <w:rPr>
          <w:rFonts w:ascii="仿宋" w:hAnsi="仿宋" w:eastAsia="仿宋" w:cs="仿宋_GB2312"/>
          <w:szCs w:val="24"/>
        </w:rPr>
        <w:t>中标候选人</w:t>
      </w:r>
      <w:r>
        <w:rPr>
          <w:rFonts w:hint="eastAsia" w:ascii="仿宋" w:hAnsi="仿宋" w:eastAsia="仿宋" w:cs="仿宋_GB2312"/>
          <w:szCs w:val="24"/>
        </w:rPr>
        <w:t>，评审</w:t>
      </w:r>
      <w:r>
        <w:rPr>
          <w:rFonts w:ascii="仿宋" w:hAnsi="仿宋" w:eastAsia="仿宋" w:cs="仿宋_GB2312"/>
          <w:szCs w:val="24"/>
        </w:rPr>
        <w:t>报告由</w:t>
      </w:r>
      <w:r>
        <w:rPr>
          <w:rFonts w:hint="eastAsia" w:ascii="仿宋" w:hAnsi="仿宋" w:eastAsia="仿宋" w:cs="仿宋_GB2312"/>
          <w:szCs w:val="24"/>
        </w:rPr>
        <w:t>评标委员会</w:t>
      </w:r>
      <w:r>
        <w:rPr>
          <w:rFonts w:ascii="仿宋" w:hAnsi="仿宋" w:eastAsia="仿宋" w:cs="仿宋_GB2312"/>
          <w:szCs w:val="24"/>
        </w:rPr>
        <w:t>成员签字</w:t>
      </w:r>
      <w:r>
        <w:rPr>
          <w:rFonts w:hint="eastAsia" w:ascii="仿宋" w:hAnsi="仿宋" w:eastAsia="仿宋" w:cs="仿宋_GB2312"/>
          <w:szCs w:val="24"/>
        </w:rPr>
        <w:t>确认提交</w:t>
      </w:r>
      <w:r>
        <w:rPr>
          <w:rFonts w:ascii="仿宋" w:hAnsi="仿宋" w:eastAsia="仿宋" w:cs="仿宋_GB2312"/>
          <w:szCs w:val="24"/>
        </w:rPr>
        <w:t>。</w:t>
      </w:r>
    </w:p>
    <w:p w14:paraId="0542F906">
      <w:pPr>
        <w:widowControl/>
        <w:adjustRightInd/>
        <w:spacing w:line="360" w:lineRule="auto"/>
        <w:ind w:firstLine="482" w:firstLineChars="200"/>
        <w:jc w:val="left"/>
        <w:rPr>
          <w:rFonts w:ascii="仿宋" w:hAnsi="仿宋" w:eastAsia="仿宋" w:cs="仿宋_GB2312"/>
          <w:sz w:val="24"/>
        </w:rPr>
      </w:pPr>
      <w:r>
        <w:rPr>
          <w:rFonts w:hint="eastAsia" w:ascii="仿宋" w:hAnsi="仿宋" w:eastAsia="仿宋" w:cs="仿宋_GB2312"/>
          <w:b/>
          <w:sz w:val="24"/>
        </w:rPr>
        <w:t>15.</w:t>
      </w:r>
      <w:r>
        <w:rPr>
          <w:rFonts w:ascii="仿宋" w:hAnsi="仿宋" w:eastAsia="仿宋" w:cs="仿宋_GB2312"/>
          <w:b/>
          <w:sz w:val="24"/>
        </w:rPr>
        <w:t xml:space="preserve"> </w:t>
      </w:r>
      <w:r>
        <w:rPr>
          <w:rFonts w:hint="eastAsia" w:ascii="仿宋" w:hAnsi="仿宋" w:eastAsia="仿宋" w:cs="仿宋_GB2312"/>
          <w:b/>
          <w:sz w:val="24"/>
        </w:rPr>
        <w:t>评标争议</w:t>
      </w:r>
      <w:r>
        <w:rPr>
          <w:rFonts w:ascii="仿宋" w:hAnsi="仿宋" w:eastAsia="仿宋" w:cs="仿宋_GB2312"/>
          <w:b/>
          <w:sz w:val="24"/>
        </w:rPr>
        <w:t>事项</w:t>
      </w:r>
      <w:r>
        <w:rPr>
          <w:rFonts w:hint="eastAsia" w:ascii="仿宋" w:hAnsi="仿宋" w:eastAsia="仿宋" w:cs="仿宋_GB2312"/>
          <w:b/>
          <w:sz w:val="24"/>
        </w:rPr>
        <w:t>处理。</w:t>
      </w:r>
      <w:r>
        <w:rPr>
          <w:rFonts w:ascii="仿宋" w:hAnsi="仿宋" w:eastAsia="仿宋" w:cs="仿宋_GB2312"/>
          <w:sz w:val="24"/>
        </w:rPr>
        <w:t>评标委员会成员对需要共同认定的事项存在争议的，应当按照少数服从多数的原则作出结论。持不同意见的评标委员会成员应当在评标报告上签署不同意见及理由，否则视为同意评标报告。</w:t>
      </w:r>
    </w:p>
    <w:p w14:paraId="3A7C4E57">
      <w:pPr>
        <w:widowControl/>
        <w:adjustRightInd/>
        <w:spacing w:line="360" w:lineRule="auto"/>
        <w:jc w:val="left"/>
        <w:rPr>
          <w:rFonts w:ascii="仿宋" w:hAnsi="仿宋" w:eastAsia="仿宋" w:cs="仿宋_GB2312"/>
          <w:sz w:val="24"/>
        </w:rPr>
      </w:pPr>
    </w:p>
    <w:p w14:paraId="00E4F65D">
      <w:pPr>
        <w:snapToGrid w:val="0"/>
        <w:spacing w:line="360" w:lineRule="auto"/>
        <w:jc w:val="center"/>
        <w:rPr>
          <w:rFonts w:ascii="仿宋" w:hAnsi="仿宋" w:eastAsia="仿宋" w:cs="仿宋_GB2312"/>
          <w:b/>
          <w:sz w:val="32"/>
        </w:rPr>
      </w:pPr>
      <w:r>
        <w:rPr>
          <w:rFonts w:hint="eastAsia" w:ascii="仿宋" w:hAnsi="仿宋" w:eastAsia="仿宋" w:cs="仿宋_GB2312"/>
          <w:b/>
          <w:sz w:val="32"/>
        </w:rPr>
        <w:t>六、 废标</w:t>
      </w:r>
    </w:p>
    <w:p w14:paraId="582BDDA4">
      <w:pPr>
        <w:pStyle w:val="23"/>
        <w:snapToGrid w:val="0"/>
        <w:spacing w:line="360" w:lineRule="auto"/>
        <w:ind w:firstLine="482"/>
        <w:jc w:val="left"/>
        <w:rPr>
          <w:rFonts w:ascii="仿宋" w:hAnsi="仿宋" w:eastAsia="仿宋" w:cs="仿宋_GB2312"/>
        </w:rPr>
      </w:pPr>
      <w:r>
        <w:rPr>
          <w:rFonts w:hint="eastAsia" w:ascii="仿宋" w:hAnsi="仿宋" w:eastAsia="仿宋" w:cs="仿宋_GB2312"/>
          <w:b/>
        </w:rPr>
        <w:t>16.废标。</w:t>
      </w:r>
      <w:r>
        <w:rPr>
          <w:rFonts w:hint="eastAsia" w:ascii="仿宋" w:hAnsi="仿宋" w:eastAsia="仿宋" w:cs="仿宋_GB2312"/>
        </w:rPr>
        <w:t>在采购中，出现下列情形之一的，应予废标：</w:t>
      </w:r>
    </w:p>
    <w:p w14:paraId="0B5A2880">
      <w:pPr>
        <w:pStyle w:val="23"/>
        <w:snapToGrid w:val="0"/>
        <w:spacing w:line="360" w:lineRule="auto"/>
        <w:jc w:val="left"/>
        <w:rPr>
          <w:rFonts w:ascii="仿宋" w:hAnsi="仿宋" w:eastAsia="仿宋" w:cs="仿宋_GB2312"/>
        </w:rPr>
      </w:pPr>
      <w:r>
        <w:rPr>
          <w:rFonts w:hint="eastAsia" w:ascii="仿宋" w:hAnsi="仿宋" w:eastAsia="仿宋" w:cs="仿宋_GB2312"/>
        </w:rPr>
        <w:t>16.1符合专业条件的供应商或者对招标文件作实质响应的供应商不足3家的；</w:t>
      </w:r>
    </w:p>
    <w:p w14:paraId="1D54C163">
      <w:pPr>
        <w:pStyle w:val="23"/>
        <w:snapToGrid w:val="0"/>
        <w:spacing w:line="360" w:lineRule="auto"/>
        <w:jc w:val="left"/>
        <w:rPr>
          <w:rFonts w:ascii="仿宋" w:hAnsi="仿宋" w:eastAsia="仿宋" w:cs="仿宋_GB2312"/>
        </w:rPr>
      </w:pPr>
      <w:r>
        <w:rPr>
          <w:rFonts w:hint="eastAsia" w:ascii="仿宋" w:hAnsi="仿宋" w:eastAsia="仿宋" w:cs="仿宋_GB2312"/>
        </w:rPr>
        <w:t>16.2出现影响采购公正的违法、违规行为的；</w:t>
      </w:r>
    </w:p>
    <w:p w14:paraId="04387B35">
      <w:pPr>
        <w:pStyle w:val="23"/>
        <w:snapToGrid w:val="0"/>
        <w:spacing w:line="360" w:lineRule="auto"/>
        <w:jc w:val="left"/>
        <w:rPr>
          <w:rFonts w:ascii="仿宋" w:hAnsi="仿宋" w:eastAsia="仿宋" w:cs="仿宋_GB2312"/>
        </w:rPr>
      </w:pPr>
      <w:r>
        <w:rPr>
          <w:rFonts w:hint="eastAsia" w:ascii="仿宋" w:hAnsi="仿宋" w:eastAsia="仿宋" w:cs="仿宋_GB2312"/>
        </w:rPr>
        <w:t>16.3投标人的报价均超过了采购预算，采购人不能支付的；</w:t>
      </w:r>
    </w:p>
    <w:p w14:paraId="76667A9F">
      <w:pPr>
        <w:pStyle w:val="23"/>
        <w:snapToGrid w:val="0"/>
        <w:spacing w:line="360" w:lineRule="auto"/>
        <w:jc w:val="left"/>
        <w:rPr>
          <w:rFonts w:ascii="仿宋" w:hAnsi="仿宋" w:eastAsia="仿宋" w:cs="仿宋_GB2312"/>
        </w:rPr>
      </w:pPr>
      <w:r>
        <w:rPr>
          <w:rFonts w:hint="eastAsia" w:ascii="仿宋" w:hAnsi="仿宋" w:eastAsia="仿宋" w:cs="仿宋_GB2312"/>
        </w:rPr>
        <w:t>16.4因重大变故，采购任务取消的。</w:t>
      </w:r>
    </w:p>
    <w:p w14:paraId="0FEB8C47">
      <w:pPr>
        <w:pStyle w:val="23"/>
        <w:snapToGrid w:val="0"/>
        <w:spacing w:line="360" w:lineRule="auto"/>
        <w:jc w:val="left"/>
        <w:rPr>
          <w:rFonts w:ascii="仿宋" w:hAnsi="仿宋" w:eastAsia="仿宋" w:cs="仿宋_GB2312"/>
        </w:rPr>
      </w:pPr>
      <w:r>
        <w:rPr>
          <w:rFonts w:hint="eastAsia" w:ascii="仿宋" w:hAnsi="仿宋" w:eastAsia="仿宋" w:cs="仿宋_GB2312"/>
        </w:rPr>
        <w:t>废标后，采购代理机构应当将废标理由通知所有投标人。</w:t>
      </w:r>
    </w:p>
    <w:p w14:paraId="7C640A8C">
      <w:pPr>
        <w:pStyle w:val="23"/>
        <w:snapToGrid w:val="0"/>
        <w:spacing w:line="360" w:lineRule="auto"/>
        <w:rPr>
          <w:rFonts w:ascii="仿宋" w:hAnsi="仿宋" w:eastAsia="仿宋" w:cs="仿宋_GB2312"/>
        </w:rPr>
      </w:pPr>
    </w:p>
    <w:p w14:paraId="0387CB36">
      <w:pPr>
        <w:snapToGrid w:val="0"/>
        <w:spacing w:line="360" w:lineRule="auto"/>
        <w:ind w:left="120" w:leftChars="57" w:firstLine="482" w:firstLineChars="150"/>
        <w:jc w:val="center"/>
        <w:rPr>
          <w:rFonts w:ascii="仿宋" w:hAnsi="仿宋" w:eastAsia="仿宋" w:cs="仿宋_GB2312"/>
          <w:b/>
          <w:sz w:val="32"/>
        </w:rPr>
      </w:pPr>
      <w:r>
        <w:rPr>
          <w:rFonts w:hint="eastAsia" w:ascii="仿宋" w:hAnsi="仿宋" w:eastAsia="仿宋" w:cs="仿宋_GB2312"/>
          <w:b/>
          <w:sz w:val="32"/>
        </w:rPr>
        <w:t>七、评审过程的保密与录像</w:t>
      </w:r>
    </w:p>
    <w:p w14:paraId="5C6B72EC">
      <w:pPr>
        <w:widowControl/>
        <w:spacing w:line="360" w:lineRule="auto"/>
        <w:ind w:firstLine="482" w:firstLineChars="200"/>
        <w:jc w:val="left"/>
        <w:rPr>
          <w:rFonts w:ascii="仿宋" w:hAnsi="仿宋" w:eastAsia="仿宋" w:cs="仿宋_GB2312"/>
          <w:sz w:val="24"/>
        </w:rPr>
      </w:pPr>
      <w:r>
        <w:rPr>
          <w:rFonts w:hint="eastAsia" w:ascii="仿宋" w:hAnsi="仿宋" w:eastAsia="仿宋" w:cs="仿宋_GB2312"/>
          <w:b/>
          <w:sz w:val="24"/>
        </w:rPr>
        <w:t>17.保密。</w:t>
      </w:r>
      <w:r>
        <w:rPr>
          <w:rFonts w:ascii="仿宋" w:hAnsi="仿宋" w:eastAsia="仿宋" w:cs="仿宋_GB2312"/>
          <w:sz w:val="24"/>
        </w:rPr>
        <w:t>评审活动在严格保密的情况下进行。评审过程中凡是与采购响应文件评审和比较、中标成交供应商推荐等评审有关的情况，以及涉及国家秘密和商业秘密等信息，评标委员会成员、采购人和采购代理机构工作人员、相关监督人员等与评审有关的人员应当予以保密。</w:t>
      </w:r>
    </w:p>
    <w:p w14:paraId="6E7DB39D">
      <w:pPr>
        <w:widowControl/>
        <w:spacing w:line="360" w:lineRule="auto"/>
        <w:ind w:firstLine="482" w:firstLineChars="200"/>
        <w:jc w:val="left"/>
      </w:pPr>
      <w:r>
        <w:rPr>
          <w:rFonts w:hint="eastAsia" w:ascii="仿宋" w:hAnsi="仿宋" w:eastAsia="仿宋" w:cs="仿宋_GB2312"/>
          <w:b/>
          <w:sz w:val="24"/>
        </w:rPr>
        <w:t>18.录音录像。</w:t>
      </w:r>
      <w:r>
        <w:rPr>
          <w:rFonts w:hint="eastAsia" w:ascii="仿宋" w:hAnsi="仿宋" w:eastAsia="仿宋" w:cs="仿宋_GB2312"/>
          <w:sz w:val="24"/>
        </w:rPr>
        <w:t>采购代理机构对评审工作现场进行全过程录音录像，录音录像资料作为采购项目文件随其他文件一并存档。</w:t>
      </w:r>
    </w:p>
    <w:p w14:paraId="158D2076">
      <w:pPr>
        <w:pStyle w:val="58"/>
      </w:pPr>
    </w:p>
    <w:p w14:paraId="0F209979">
      <w:pPr>
        <w:pStyle w:val="58"/>
        <w:ind w:firstLine="0"/>
      </w:pPr>
    </w:p>
    <w:p w14:paraId="725AB085">
      <w:pPr>
        <w:pStyle w:val="58"/>
      </w:pPr>
    </w:p>
    <w:p w14:paraId="77EAA290">
      <w:pPr>
        <w:snapToGrid w:val="0"/>
        <w:spacing w:line="360" w:lineRule="auto"/>
        <w:ind w:left="120" w:leftChars="57" w:firstLine="482" w:firstLineChars="150"/>
        <w:jc w:val="center"/>
        <w:rPr>
          <w:rFonts w:ascii="仿宋" w:hAnsi="仿宋" w:eastAsia="仿宋" w:cs="仿宋_GB2312"/>
          <w:b/>
          <w:sz w:val="32"/>
        </w:rPr>
      </w:pPr>
      <w:r>
        <w:rPr>
          <w:rFonts w:hint="eastAsia" w:ascii="仿宋" w:hAnsi="仿宋" w:eastAsia="仿宋" w:cs="仿宋_GB2312"/>
          <w:b/>
          <w:color w:val="000000"/>
          <w:sz w:val="32"/>
        </w:rPr>
        <w:t>八、具体评标标准</w:t>
      </w:r>
    </w:p>
    <w:p w14:paraId="6A2E20B0">
      <w:pPr>
        <w:widowControl/>
        <w:spacing w:line="360" w:lineRule="auto"/>
        <w:ind w:firstLine="480" w:firstLineChars="200"/>
        <w:rPr>
          <w:rFonts w:ascii="仿宋" w:hAnsi="仿宋" w:eastAsia="仿宋" w:cs="仿宋_GB2312"/>
          <w:sz w:val="24"/>
        </w:rPr>
      </w:pPr>
      <w:r>
        <w:rPr>
          <w:rFonts w:hint="eastAsia" w:ascii="仿宋" w:hAnsi="仿宋" w:eastAsia="仿宋" w:cs="仿宋_GB2312"/>
          <w:color w:val="000000"/>
          <w:sz w:val="24"/>
        </w:rPr>
        <w:t>21.</w:t>
      </w:r>
      <w:r>
        <w:rPr>
          <w:rFonts w:hint="eastAsia" w:ascii="仿宋" w:hAnsi="仿宋" w:eastAsia="仿宋" w:cs="仿宋_GB2312"/>
          <w:color w:val="000000"/>
          <w:sz w:val="24"/>
          <w:highlight w:val="none"/>
        </w:rPr>
        <w:t>商务技术分</w:t>
      </w:r>
      <w:r>
        <w:rPr>
          <w:rFonts w:hint="eastAsia" w:ascii="仿宋" w:hAnsi="仿宋" w:eastAsia="仿宋" w:cs="仿宋_GB2312"/>
          <w:sz w:val="24"/>
          <w:highlight w:val="none"/>
        </w:rPr>
        <w:t>（</w:t>
      </w:r>
      <w:r>
        <w:rPr>
          <w:rFonts w:hint="eastAsia" w:ascii="仿宋" w:hAnsi="仿宋" w:eastAsia="仿宋" w:cs="仿宋_GB2312"/>
          <w:sz w:val="24"/>
          <w:highlight w:val="none"/>
          <w:lang w:val="en-US" w:eastAsia="zh-CN"/>
        </w:rPr>
        <w:t>25</w:t>
      </w:r>
      <w:r>
        <w:rPr>
          <w:rFonts w:hint="eastAsia" w:ascii="仿宋" w:hAnsi="仿宋" w:eastAsia="仿宋" w:cs="仿宋_GB2312"/>
          <w:sz w:val="24"/>
          <w:highlight w:val="none"/>
        </w:rPr>
        <w:t>分）</w:t>
      </w:r>
    </w:p>
    <w:tbl>
      <w:tblPr>
        <w:tblStyle w:val="60"/>
        <w:tblW w:w="94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4"/>
        <w:gridCol w:w="1056"/>
        <w:gridCol w:w="6821"/>
        <w:gridCol w:w="744"/>
      </w:tblGrid>
      <w:tr w14:paraId="62AF0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trPr>
        <w:tc>
          <w:tcPr>
            <w:tcW w:w="864" w:type="dxa"/>
            <w:vAlign w:val="center"/>
          </w:tcPr>
          <w:p w14:paraId="1F281C03">
            <w:pPr>
              <w:widowControl/>
              <w:jc w:val="center"/>
              <w:rPr>
                <w:rFonts w:ascii="仿宋" w:hAnsi="仿宋" w:eastAsia="仿宋" w:cs="仿宋_GB2312"/>
                <w:sz w:val="24"/>
              </w:rPr>
            </w:pPr>
            <w:r>
              <w:rPr>
                <w:rFonts w:hint="eastAsia" w:ascii="仿宋" w:hAnsi="仿宋" w:eastAsia="仿宋" w:cs="仿宋_GB2312"/>
                <w:sz w:val="24"/>
              </w:rPr>
              <w:t>类别</w:t>
            </w:r>
          </w:p>
        </w:tc>
        <w:tc>
          <w:tcPr>
            <w:tcW w:w="1056" w:type="dxa"/>
            <w:vAlign w:val="center"/>
          </w:tcPr>
          <w:p w14:paraId="19FF0F2E">
            <w:pPr>
              <w:jc w:val="center"/>
              <w:rPr>
                <w:rFonts w:ascii="仿宋" w:hAnsi="仿宋" w:eastAsia="仿宋" w:cs="仿宋_GB2312"/>
                <w:sz w:val="24"/>
              </w:rPr>
            </w:pPr>
            <w:r>
              <w:rPr>
                <w:rFonts w:hint="eastAsia" w:ascii="仿宋" w:hAnsi="仿宋" w:eastAsia="仿宋" w:cs="仿宋_GB2312"/>
                <w:sz w:val="24"/>
              </w:rPr>
              <w:t>项目</w:t>
            </w:r>
          </w:p>
        </w:tc>
        <w:tc>
          <w:tcPr>
            <w:tcW w:w="6821" w:type="dxa"/>
            <w:vAlign w:val="center"/>
          </w:tcPr>
          <w:p w14:paraId="07D68121">
            <w:pPr>
              <w:ind w:firstLine="480" w:firstLineChars="200"/>
              <w:jc w:val="center"/>
              <w:rPr>
                <w:rFonts w:ascii="仿宋" w:hAnsi="仿宋" w:eastAsia="仿宋" w:cs="仿宋_GB2312"/>
                <w:sz w:val="24"/>
              </w:rPr>
            </w:pPr>
            <w:r>
              <w:rPr>
                <w:rFonts w:hint="eastAsia" w:ascii="仿宋" w:hAnsi="仿宋" w:eastAsia="仿宋" w:cs="仿宋_GB2312"/>
                <w:sz w:val="24"/>
              </w:rPr>
              <w:t>评分细则</w:t>
            </w:r>
          </w:p>
        </w:tc>
        <w:tc>
          <w:tcPr>
            <w:tcW w:w="744" w:type="dxa"/>
            <w:vAlign w:val="center"/>
          </w:tcPr>
          <w:p w14:paraId="5322BD29">
            <w:pPr>
              <w:widowControl/>
              <w:jc w:val="center"/>
              <w:rPr>
                <w:rFonts w:ascii="仿宋" w:hAnsi="仿宋" w:eastAsia="仿宋" w:cs="仿宋_GB2312"/>
                <w:sz w:val="24"/>
              </w:rPr>
            </w:pPr>
            <w:r>
              <w:rPr>
                <w:rFonts w:hint="eastAsia" w:ascii="仿宋" w:hAnsi="仿宋" w:eastAsia="仿宋" w:cs="仿宋_GB2312"/>
                <w:sz w:val="24"/>
              </w:rPr>
              <w:t>分值</w:t>
            </w:r>
          </w:p>
        </w:tc>
      </w:tr>
      <w:tr w14:paraId="230CE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trPr>
        <w:tc>
          <w:tcPr>
            <w:tcW w:w="864" w:type="dxa"/>
            <w:vMerge w:val="restart"/>
            <w:vAlign w:val="center"/>
          </w:tcPr>
          <w:p w14:paraId="24F3B4DB">
            <w:pPr>
              <w:widowControl/>
              <w:jc w:val="center"/>
              <w:rPr>
                <w:rFonts w:ascii="仿宋" w:hAnsi="仿宋" w:eastAsia="仿宋" w:cs="仿宋_GB2312"/>
                <w:sz w:val="24"/>
              </w:rPr>
            </w:pPr>
            <w:r>
              <w:rPr>
                <w:rFonts w:hint="eastAsia" w:ascii="仿宋" w:hAnsi="仿宋" w:eastAsia="仿宋" w:cs="仿宋_GB2312"/>
                <w:sz w:val="24"/>
              </w:rPr>
              <w:t>商务技术</w:t>
            </w:r>
          </w:p>
        </w:tc>
        <w:tc>
          <w:tcPr>
            <w:tcW w:w="1056" w:type="dxa"/>
            <w:vAlign w:val="center"/>
          </w:tcPr>
          <w:p w14:paraId="054CFDD5">
            <w:pPr>
              <w:widowControl/>
              <w:jc w:val="left"/>
              <w:rPr>
                <w:rFonts w:hint="eastAsia" w:ascii="仿宋" w:hAnsi="仿宋" w:eastAsia="仿宋" w:cs="仿宋_GB2312"/>
                <w:sz w:val="24"/>
                <w:highlight w:val="none"/>
                <w:lang w:val="en-US" w:eastAsia="zh-CN"/>
              </w:rPr>
            </w:pPr>
            <w:r>
              <w:rPr>
                <w:rFonts w:hint="eastAsia" w:ascii="仿宋" w:hAnsi="仿宋" w:eastAsia="仿宋" w:cs="仿宋_GB2312"/>
                <w:sz w:val="24"/>
                <w:highlight w:val="none"/>
              </w:rPr>
              <w:t xml:space="preserve">企业  </w:t>
            </w:r>
            <w:r>
              <w:rPr>
                <w:rFonts w:hint="eastAsia" w:ascii="仿宋" w:hAnsi="仿宋" w:eastAsia="仿宋" w:cs="仿宋_GB2312"/>
                <w:sz w:val="24"/>
                <w:highlight w:val="none"/>
                <w:lang w:eastAsia="zh-CN"/>
              </w:rPr>
              <w:t>信用</w:t>
            </w:r>
          </w:p>
        </w:tc>
        <w:tc>
          <w:tcPr>
            <w:tcW w:w="6821" w:type="dxa"/>
            <w:vAlign w:val="center"/>
          </w:tcPr>
          <w:p w14:paraId="3A35E3C3">
            <w:pPr>
              <w:widowControl/>
              <w:numPr>
                <w:ilvl w:val="0"/>
                <w:numId w:val="0"/>
              </w:numPr>
              <w:spacing w:line="360" w:lineRule="auto"/>
              <w:rPr>
                <w:rFonts w:hint="eastAsia" w:ascii="仿宋" w:hAnsi="仿宋" w:eastAsia="仿宋" w:cs="仿宋_GB2312"/>
                <w:sz w:val="24"/>
                <w:highlight w:val="none"/>
              </w:rPr>
            </w:pPr>
            <w:r>
              <w:rPr>
                <w:rFonts w:hint="eastAsia" w:ascii="仿宋" w:hAnsi="仿宋" w:eastAsia="仿宋" w:cs="仿宋_GB2312"/>
                <w:sz w:val="24"/>
                <w:highlight w:val="none"/>
              </w:rPr>
              <w:t>202</w:t>
            </w:r>
            <w:r>
              <w:rPr>
                <w:rFonts w:hint="eastAsia" w:ascii="仿宋" w:hAnsi="仿宋" w:eastAsia="仿宋" w:cs="仿宋_GB2312"/>
                <w:sz w:val="24"/>
                <w:highlight w:val="none"/>
                <w:lang w:val="en-US" w:eastAsia="zh-CN"/>
              </w:rPr>
              <w:t>4</w:t>
            </w:r>
            <w:r>
              <w:rPr>
                <w:rFonts w:hint="eastAsia" w:ascii="仿宋" w:hAnsi="仿宋" w:eastAsia="仿宋" w:cs="仿宋_GB2312"/>
                <w:sz w:val="24"/>
                <w:highlight w:val="none"/>
              </w:rPr>
              <w:t>年1月1日以来（以获奖证书或文件落款日期为准）获得过省级及以上造价管理部门评定的造价咨询企业动态信用等级AAAA级及以上的得2分，AAA的得1分，其余不得分；（提供信用等级证书或文件扫描件并加盖投标人公章）</w:t>
            </w:r>
          </w:p>
          <w:p w14:paraId="2C41B81F">
            <w:pPr>
              <w:widowControl/>
              <w:jc w:val="left"/>
              <w:rPr>
                <w:rFonts w:hint="eastAsia" w:ascii="仿宋" w:hAnsi="仿宋" w:eastAsia="仿宋" w:cs="仿宋_GB2312"/>
                <w:sz w:val="24"/>
                <w:highlight w:val="none"/>
              </w:rPr>
            </w:pPr>
            <w:r>
              <w:rPr>
                <w:rFonts w:hint="eastAsia" w:ascii="仿宋" w:hAnsi="仿宋" w:eastAsia="仿宋" w:cs="仿宋_GB2312"/>
                <w:sz w:val="24"/>
                <w:highlight w:val="none"/>
              </w:rPr>
              <w:t>注：若造价咨询企业动态信用等级为A、B、C、D，其中信用A为最高级的，B为次高级，A、B对应本次招投标活动中的AAAA级及以上，C对应本次招投标活动中的AAA，依次类推。如投标单位所在地动态信用评价等级以其他形式表示的，各等级从高到低依次对应。（如投标人为浙江省内单位，须提供投标截止日当月的浙江省造价咨询企业动态信用等级，否则不予认可；如投标人为浙江省外单位，提供的造价咨询企业动态信用等级若与浙江省内评定等级不一致的，需提供相关评定等级划分的证明材料并加盖公章，否则不予认可）</w:t>
            </w:r>
          </w:p>
        </w:tc>
        <w:tc>
          <w:tcPr>
            <w:tcW w:w="744" w:type="dxa"/>
            <w:vAlign w:val="center"/>
          </w:tcPr>
          <w:p w14:paraId="0181EBDB">
            <w:pPr>
              <w:widowControl/>
              <w:jc w:val="center"/>
              <w:rPr>
                <w:rFonts w:ascii="仿宋" w:hAnsi="仿宋" w:eastAsia="仿宋" w:cs="仿宋_GB2312"/>
                <w:sz w:val="24"/>
              </w:rPr>
            </w:pPr>
            <w:r>
              <w:rPr>
                <w:rFonts w:hint="eastAsia" w:ascii="仿宋" w:hAnsi="仿宋" w:eastAsia="仿宋" w:cs="仿宋_GB2312"/>
                <w:sz w:val="24"/>
              </w:rPr>
              <w:t>2</w:t>
            </w:r>
          </w:p>
        </w:tc>
      </w:tr>
      <w:tr w14:paraId="4C4A3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864" w:type="dxa"/>
            <w:vMerge w:val="continue"/>
            <w:vAlign w:val="center"/>
          </w:tcPr>
          <w:p w14:paraId="387D6CB3">
            <w:pPr>
              <w:widowControl/>
              <w:ind w:firstLine="480" w:firstLineChars="200"/>
              <w:rPr>
                <w:rFonts w:ascii="仿宋" w:hAnsi="仿宋" w:eastAsia="仿宋" w:cs="仿宋_GB2312"/>
                <w:sz w:val="24"/>
              </w:rPr>
            </w:pPr>
          </w:p>
        </w:tc>
        <w:tc>
          <w:tcPr>
            <w:tcW w:w="1056" w:type="dxa"/>
            <w:vAlign w:val="center"/>
          </w:tcPr>
          <w:p w14:paraId="6A740109">
            <w:pPr>
              <w:widowControl/>
              <w:jc w:val="center"/>
              <w:rPr>
                <w:rFonts w:ascii="仿宋" w:hAnsi="仿宋" w:eastAsia="仿宋" w:cs="仿宋_GB2312"/>
                <w:sz w:val="24"/>
              </w:rPr>
            </w:pPr>
            <w:r>
              <w:rPr>
                <w:rFonts w:hint="eastAsia" w:ascii="仿宋" w:hAnsi="仿宋" w:eastAsia="仿宋" w:cs="仿宋_GB2312"/>
                <w:sz w:val="24"/>
              </w:rPr>
              <w:t>项目负责人</w:t>
            </w:r>
          </w:p>
        </w:tc>
        <w:tc>
          <w:tcPr>
            <w:tcW w:w="6821" w:type="dxa"/>
            <w:vAlign w:val="center"/>
          </w:tcPr>
          <w:p w14:paraId="3B0DBC86">
            <w:pPr>
              <w:widowControl/>
              <w:numPr>
                <w:ilvl w:val="0"/>
                <w:numId w:val="0"/>
              </w:numPr>
              <w:jc w:val="left"/>
              <w:rPr>
                <w:rFonts w:ascii="仿宋" w:hAnsi="仿宋" w:eastAsia="仿宋" w:cs="仿宋_GB2312"/>
                <w:b w:val="0"/>
                <w:bCs w:val="0"/>
                <w:sz w:val="24"/>
                <w:highlight w:val="none"/>
              </w:rPr>
            </w:pPr>
            <w:r>
              <w:rPr>
                <w:rFonts w:hint="eastAsia" w:ascii="仿宋" w:hAnsi="仿宋" w:eastAsia="仿宋" w:cs="仿宋_GB2312"/>
                <w:b w:val="0"/>
                <w:bCs w:val="0"/>
                <w:sz w:val="24"/>
                <w:highlight w:val="none"/>
              </w:rPr>
              <w:t>本项目负责人具有高级职称的，得2分；（提供相关证书复印件加盖单位公章。）</w:t>
            </w:r>
          </w:p>
        </w:tc>
        <w:tc>
          <w:tcPr>
            <w:tcW w:w="744" w:type="dxa"/>
            <w:vAlign w:val="center"/>
          </w:tcPr>
          <w:p w14:paraId="259796BC">
            <w:pPr>
              <w:widowControl/>
              <w:jc w:val="center"/>
              <w:rPr>
                <w:rFonts w:hint="eastAsia" w:ascii="仿宋" w:hAnsi="仿宋" w:eastAsia="仿宋" w:cs="仿宋_GB2312"/>
                <w:sz w:val="24"/>
                <w:lang w:eastAsia="zh-CN"/>
              </w:rPr>
            </w:pPr>
            <w:r>
              <w:rPr>
                <w:rFonts w:hint="eastAsia" w:ascii="仿宋" w:hAnsi="仿宋" w:eastAsia="仿宋" w:cs="仿宋_GB2312"/>
                <w:sz w:val="24"/>
                <w:lang w:val="en-US" w:eastAsia="zh-CN"/>
              </w:rPr>
              <w:t>2</w:t>
            </w:r>
          </w:p>
        </w:tc>
      </w:tr>
      <w:tr w14:paraId="7F1FD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864" w:type="dxa"/>
            <w:vMerge w:val="continue"/>
            <w:vAlign w:val="center"/>
          </w:tcPr>
          <w:p w14:paraId="385625DA">
            <w:pPr>
              <w:widowControl/>
              <w:ind w:firstLine="480" w:firstLineChars="200"/>
              <w:rPr>
                <w:rFonts w:ascii="仿宋" w:hAnsi="仿宋" w:eastAsia="仿宋" w:cs="仿宋_GB2312"/>
                <w:sz w:val="24"/>
              </w:rPr>
            </w:pPr>
          </w:p>
        </w:tc>
        <w:tc>
          <w:tcPr>
            <w:tcW w:w="1056" w:type="dxa"/>
            <w:vAlign w:val="center"/>
          </w:tcPr>
          <w:p w14:paraId="791EB25F">
            <w:pPr>
              <w:widowControl/>
              <w:jc w:val="center"/>
              <w:rPr>
                <w:rFonts w:ascii="仿宋" w:hAnsi="仿宋" w:eastAsia="仿宋" w:cs="仿宋_GB2312"/>
                <w:sz w:val="24"/>
                <w:lang w:val="zh-CN"/>
              </w:rPr>
            </w:pPr>
            <w:r>
              <w:rPr>
                <w:rFonts w:hint="eastAsia" w:ascii="仿宋" w:hAnsi="仿宋" w:eastAsia="仿宋" w:cs="仿宋_GB2312"/>
                <w:sz w:val="24"/>
              </w:rPr>
              <w:t>企业业绩实力</w:t>
            </w:r>
          </w:p>
        </w:tc>
        <w:tc>
          <w:tcPr>
            <w:tcW w:w="6821" w:type="dxa"/>
            <w:vAlign w:val="center"/>
          </w:tcPr>
          <w:p w14:paraId="731007C1">
            <w:pPr>
              <w:widowControl/>
              <w:jc w:val="left"/>
              <w:rPr>
                <w:rFonts w:ascii="仿宋" w:hAnsi="仿宋" w:eastAsia="仿宋" w:cs="仿宋_GB2312"/>
                <w:b w:val="0"/>
                <w:bCs w:val="0"/>
                <w:sz w:val="24"/>
                <w:highlight w:val="none"/>
              </w:rPr>
            </w:pPr>
            <w:r>
              <w:rPr>
                <w:rFonts w:hint="eastAsia" w:ascii="仿宋" w:hAnsi="仿宋" w:eastAsia="仿宋" w:cs="仿宋_GB2312"/>
                <w:b w:val="0"/>
                <w:bCs w:val="0"/>
                <w:sz w:val="24"/>
                <w:highlight w:val="none"/>
                <w:lang w:val="en-US" w:eastAsia="zh-CN"/>
              </w:rPr>
              <w:t>1、</w:t>
            </w:r>
            <w:r>
              <w:rPr>
                <w:rFonts w:hint="eastAsia" w:ascii="仿宋" w:hAnsi="仿宋" w:eastAsia="仿宋" w:cs="仿宋_GB2312"/>
                <w:b w:val="0"/>
                <w:bCs w:val="0"/>
                <w:sz w:val="24"/>
                <w:highlight w:val="none"/>
              </w:rPr>
              <w:t>投标人自20</w:t>
            </w:r>
            <w:r>
              <w:rPr>
                <w:rFonts w:hint="eastAsia" w:ascii="仿宋" w:hAnsi="仿宋" w:eastAsia="仿宋" w:cs="仿宋_GB2312"/>
                <w:b w:val="0"/>
                <w:bCs w:val="0"/>
                <w:sz w:val="24"/>
                <w:highlight w:val="none"/>
                <w:lang w:val="en-US" w:eastAsia="zh-CN"/>
              </w:rPr>
              <w:t>20</w:t>
            </w:r>
            <w:r>
              <w:rPr>
                <w:rFonts w:hint="eastAsia" w:ascii="仿宋" w:hAnsi="仿宋" w:eastAsia="仿宋" w:cs="仿宋_GB2312"/>
                <w:b w:val="0"/>
                <w:bCs w:val="0"/>
                <w:sz w:val="24"/>
                <w:highlight w:val="none"/>
              </w:rPr>
              <w:t>年1月1日以来（时间</w:t>
            </w:r>
            <w:r>
              <w:rPr>
                <w:rFonts w:hint="eastAsia" w:ascii="仿宋" w:hAnsi="仿宋" w:eastAsia="仿宋" w:cs="仿宋_GB2312"/>
                <w:b w:val="0"/>
                <w:bCs w:val="0"/>
                <w:sz w:val="24"/>
                <w:highlight w:val="none"/>
                <w:lang w:eastAsia="zh-CN"/>
              </w:rPr>
              <w:t>、金额</w:t>
            </w:r>
            <w:r>
              <w:rPr>
                <w:rFonts w:hint="eastAsia" w:ascii="仿宋" w:hAnsi="仿宋" w:eastAsia="仿宋" w:cs="仿宋_GB2312"/>
                <w:b w:val="0"/>
                <w:bCs w:val="0"/>
                <w:sz w:val="24"/>
                <w:highlight w:val="none"/>
              </w:rPr>
              <w:t>以</w:t>
            </w:r>
            <w:r>
              <w:rPr>
                <w:rFonts w:hint="eastAsia" w:ascii="仿宋" w:hAnsi="仿宋" w:eastAsia="仿宋" w:cs="仿宋_GB2312"/>
                <w:b w:val="0"/>
                <w:bCs w:val="0"/>
                <w:sz w:val="24"/>
                <w:highlight w:val="none"/>
                <w:lang w:eastAsia="zh-CN"/>
              </w:rPr>
              <w:t>中标通知书</w:t>
            </w:r>
            <w:r>
              <w:rPr>
                <w:rFonts w:hint="eastAsia" w:ascii="仿宋" w:hAnsi="仿宋" w:eastAsia="仿宋" w:cs="仿宋_GB2312"/>
                <w:b w:val="0"/>
                <w:bCs w:val="0"/>
                <w:sz w:val="24"/>
                <w:highlight w:val="none"/>
              </w:rPr>
              <w:t>为准）完成</w:t>
            </w:r>
            <w:r>
              <w:rPr>
                <w:rFonts w:hint="eastAsia" w:ascii="仿宋" w:hAnsi="仿宋" w:eastAsia="仿宋" w:cs="仿宋_GB2312"/>
                <w:b w:val="0"/>
                <w:bCs w:val="0"/>
                <w:sz w:val="24"/>
                <w:highlight w:val="none"/>
                <w:lang w:eastAsia="zh-CN"/>
              </w:rPr>
              <w:t>过</w:t>
            </w:r>
            <w:r>
              <w:rPr>
                <w:rFonts w:hint="eastAsia" w:ascii="仿宋" w:hAnsi="仿宋" w:eastAsia="仿宋" w:cs="仿宋_GB2312"/>
                <w:sz w:val="24"/>
                <w:highlight w:val="none"/>
              </w:rPr>
              <w:t>新建或改建市政道路工程单项工程造价</w:t>
            </w:r>
            <w:r>
              <w:rPr>
                <w:rFonts w:hint="eastAsia" w:ascii="仿宋" w:hAnsi="仿宋" w:eastAsia="仿宋" w:cs="仿宋_GB2312"/>
                <w:sz w:val="24"/>
                <w:highlight w:val="none"/>
                <w:lang w:val="en-US" w:eastAsia="zh-CN"/>
              </w:rPr>
              <w:t>4</w:t>
            </w:r>
            <w:r>
              <w:rPr>
                <w:rFonts w:hint="eastAsia" w:ascii="仿宋" w:hAnsi="仿宋" w:eastAsia="仿宋" w:cs="仿宋_GB2312"/>
                <w:sz w:val="24"/>
                <w:highlight w:val="none"/>
              </w:rPr>
              <w:t>000万</w:t>
            </w:r>
            <w:r>
              <w:rPr>
                <w:rFonts w:hint="eastAsia" w:ascii="仿宋" w:hAnsi="仿宋" w:eastAsia="仿宋" w:cs="仿宋_GB2312"/>
                <w:sz w:val="24"/>
                <w:highlight w:val="none"/>
                <w:lang w:val="en-US" w:eastAsia="zh-CN"/>
              </w:rPr>
              <w:t>元</w:t>
            </w:r>
            <w:r>
              <w:rPr>
                <w:rFonts w:hint="eastAsia" w:ascii="仿宋" w:hAnsi="仿宋" w:eastAsia="仿宋" w:cs="仿宋_GB2312"/>
                <w:sz w:val="24"/>
                <w:highlight w:val="none"/>
              </w:rPr>
              <w:t>及以上项目</w:t>
            </w:r>
            <w:r>
              <w:rPr>
                <w:rFonts w:hint="eastAsia" w:ascii="仿宋" w:hAnsi="仿宋" w:eastAsia="仿宋" w:cs="仿宋_GB2312"/>
                <w:b w:val="0"/>
                <w:bCs w:val="0"/>
                <w:sz w:val="24"/>
                <w:highlight w:val="none"/>
                <w:lang w:eastAsia="zh-CN"/>
              </w:rPr>
              <w:t>招标代理</w:t>
            </w:r>
            <w:r>
              <w:rPr>
                <w:rFonts w:hint="eastAsia" w:ascii="仿宋" w:hAnsi="仿宋" w:eastAsia="仿宋" w:cs="仿宋_GB2312"/>
                <w:b w:val="0"/>
                <w:bCs w:val="0"/>
                <w:sz w:val="24"/>
                <w:highlight w:val="none"/>
              </w:rPr>
              <w:t>业绩的，</w:t>
            </w:r>
            <w:r>
              <w:rPr>
                <w:rFonts w:hint="eastAsia" w:ascii="仿宋" w:hAnsi="仿宋" w:eastAsia="仿宋" w:cs="仿宋_GB2312"/>
                <w:b w:val="0"/>
                <w:bCs w:val="0"/>
                <w:sz w:val="24"/>
                <w:highlight w:val="none"/>
                <w:lang w:val="en-US" w:eastAsia="zh-CN"/>
              </w:rPr>
              <w:t>每一项得1.5分，最高</w:t>
            </w:r>
            <w:r>
              <w:rPr>
                <w:rFonts w:hint="eastAsia" w:ascii="仿宋" w:hAnsi="仿宋" w:eastAsia="仿宋" w:cs="仿宋_GB2312"/>
                <w:b w:val="0"/>
                <w:bCs w:val="0"/>
                <w:sz w:val="24"/>
                <w:highlight w:val="none"/>
              </w:rPr>
              <w:t>得</w:t>
            </w:r>
            <w:r>
              <w:rPr>
                <w:rFonts w:hint="eastAsia" w:ascii="仿宋" w:hAnsi="仿宋" w:eastAsia="仿宋" w:cs="仿宋_GB2312"/>
                <w:b w:val="0"/>
                <w:bCs w:val="0"/>
                <w:sz w:val="24"/>
                <w:highlight w:val="none"/>
                <w:lang w:val="en-US" w:eastAsia="zh-CN"/>
              </w:rPr>
              <w:t>3</w:t>
            </w:r>
            <w:r>
              <w:rPr>
                <w:rFonts w:hint="eastAsia" w:ascii="仿宋" w:hAnsi="仿宋" w:eastAsia="仿宋" w:cs="仿宋_GB2312"/>
                <w:b w:val="0"/>
                <w:bCs w:val="0"/>
                <w:sz w:val="24"/>
                <w:highlight w:val="none"/>
              </w:rPr>
              <w:t>分。</w:t>
            </w:r>
          </w:p>
          <w:p w14:paraId="606CE6D1">
            <w:pPr>
              <w:widowControl/>
              <w:jc w:val="left"/>
              <w:rPr>
                <w:rFonts w:hint="eastAsia" w:ascii="仿宋" w:hAnsi="仿宋" w:eastAsia="仿宋" w:cs="仿宋_GB2312"/>
                <w:b w:val="0"/>
                <w:bCs w:val="0"/>
                <w:sz w:val="24"/>
                <w:highlight w:val="none"/>
                <w:lang w:eastAsia="zh-CN"/>
              </w:rPr>
            </w:pPr>
            <w:r>
              <w:rPr>
                <w:rFonts w:hint="eastAsia" w:ascii="仿宋" w:hAnsi="仿宋" w:eastAsia="仿宋" w:cs="仿宋_GB2312"/>
                <w:b w:val="0"/>
                <w:bCs w:val="0"/>
                <w:sz w:val="24"/>
                <w:highlight w:val="none"/>
              </w:rPr>
              <w:t>（提供（1）体现上述业绩要求的</w:t>
            </w:r>
            <w:r>
              <w:rPr>
                <w:rFonts w:hint="eastAsia" w:ascii="仿宋" w:hAnsi="仿宋" w:eastAsia="仿宋" w:cs="仿宋_GB2312"/>
                <w:b w:val="0"/>
                <w:bCs w:val="0"/>
                <w:sz w:val="24"/>
                <w:highlight w:val="none"/>
                <w:lang w:eastAsia="zh-CN"/>
              </w:rPr>
              <w:t>施工中标通知书</w:t>
            </w:r>
            <w:r>
              <w:rPr>
                <w:rFonts w:hint="eastAsia" w:ascii="仿宋" w:hAnsi="仿宋" w:eastAsia="仿宋" w:cs="仿宋_GB2312"/>
                <w:b w:val="0"/>
                <w:bCs w:val="0"/>
                <w:sz w:val="24"/>
                <w:highlight w:val="none"/>
              </w:rPr>
              <w:t>，时间</w:t>
            </w:r>
            <w:r>
              <w:rPr>
                <w:rFonts w:hint="eastAsia" w:ascii="仿宋" w:hAnsi="仿宋" w:eastAsia="仿宋" w:cs="仿宋_GB2312"/>
                <w:b w:val="0"/>
                <w:bCs w:val="0"/>
                <w:sz w:val="24"/>
                <w:highlight w:val="none"/>
                <w:lang w:eastAsia="zh-CN"/>
              </w:rPr>
              <w:t>、</w:t>
            </w:r>
            <w:r>
              <w:rPr>
                <w:rFonts w:hint="eastAsia" w:ascii="仿宋" w:hAnsi="仿宋" w:eastAsia="仿宋" w:cs="仿宋_GB2312"/>
                <w:b w:val="0"/>
                <w:bCs w:val="0"/>
                <w:sz w:val="24"/>
                <w:highlight w:val="none"/>
                <w:lang w:val="en-US" w:eastAsia="zh-CN"/>
              </w:rPr>
              <w:t>金额</w:t>
            </w:r>
            <w:r>
              <w:rPr>
                <w:rFonts w:hint="eastAsia" w:ascii="仿宋" w:hAnsi="仿宋" w:eastAsia="仿宋" w:cs="仿宋_GB2312"/>
                <w:b w:val="0"/>
                <w:bCs w:val="0"/>
                <w:sz w:val="24"/>
                <w:highlight w:val="none"/>
              </w:rPr>
              <w:t>以</w:t>
            </w:r>
            <w:r>
              <w:rPr>
                <w:rFonts w:hint="eastAsia" w:ascii="仿宋" w:hAnsi="仿宋" w:eastAsia="仿宋" w:cs="仿宋_GB2312"/>
                <w:b w:val="0"/>
                <w:bCs w:val="0"/>
                <w:sz w:val="24"/>
                <w:highlight w:val="none"/>
                <w:lang w:eastAsia="zh-CN"/>
              </w:rPr>
              <w:t>中标通知书上</w:t>
            </w:r>
            <w:r>
              <w:rPr>
                <w:rFonts w:hint="eastAsia" w:ascii="仿宋" w:hAnsi="仿宋" w:eastAsia="仿宋" w:cs="仿宋_GB2312"/>
                <w:b w:val="0"/>
                <w:bCs w:val="0"/>
                <w:sz w:val="24"/>
                <w:highlight w:val="none"/>
              </w:rPr>
              <w:t>时间</w:t>
            </w:r>
            <w:r>
              <w:rPr>
                <w:rFonts w:hint="eastAsia" w:ascii="仿宋" w:hAnsi="仿宋" w:eastAsia="仿宋" w:cs="仿宋_GB2312"/>
                <w:b w:val="0"/>
                <w:bCs w:val="0"/>
                <w:sz w:val="24"/>
                <w:highlight w:val="none"/>
                <w:lang w:eastAsia="zh-CN"/>
              </w:rPr>
              <w:t>、</w:t>
            </w:r>
            <w:r>
              <w:rPr>
                <w:rFonts w:hint="eastAsia" w:ascii="仿宋" w:hAnsi="仿宋" w:eastAsia="仿宋" w:cs="仿宋_GB2312"/>
                <w:b w:val="0"/>
                <w:bCs w:val="0"/>
                <w:sz w:val="24"/>
                <w:highlight w:val="none"/>
                <w:lang w:val="en-US" w:eastAsia="zh-CN"/>
              </w:rPr>
              <w:t>金额</w:t>
            </w:r>
            <w:r>
              <w:rPr>
                <w:rFonts w:hint="eastAsia" w:ascii="仿宋" w:hAnsi="仿宋" w:eastAsia="仿宋" w:cs="仿宋_GB2312"/>
                <w:b w:val="0"/>
                <w:bCs w:val="0"/>
                <w:sz w:val="24"/>
                <w:highlight w:val="none"/>
              </w:rPr>
              <w:t>为准</w:t>
            </w:r>
            <w:r>
              <w:rPr>
                <w:rFonts w:hint="eastAsia" w:ascii="仿宋" w:hAnsi="仿宋" w:eastAsia="仿宋" w:cs="仿宋_GB2312"/>
                <w:b w:val="0"/>
                <w:bCs w:val="0"/>
                <w:sz w:val="24"/>
                <w:highlight w:val="none"/>
                <w:lang w:eastAsia="zh-CN"/>
              </w:rPr>
              <w:t>。（</w:t>
            </w:r>
            <w:r>
              <w:rPr>
                <w:rFonts w:hint="eastAsia" w:ascii="仿宋" w:hAnsi="仿宋" w:eastAsia="仿宋" w:cs="仿宋_GB2312"/>
                <w:b w:val="0"/>
                <w:bCs w:val="0"/>
                <w:sz w:val="24"/>
                <w:highlight w:val="none"/>
                <w:lang w:val="en-US" w:eastAsia="zh-CN"/>
              </w:rPr>
              <w:t>2</w:t>
            </w:r>
            <w:r>
              <w:rPr>
                <w:rFonts w:hint="eastAsia" w:ascii="仿宋" w:hAnsi="仿宋" w:eastAsia="仿宋" w:cs="仿宋_GB2312"/>
                <w:b w:val="0"/>
                <w:bCs w:val="0"/>
                <w:sz w:val="24"/>
                <w:highlight w:val="none"/>
                <w:lang w:eastAsia="zh-CN"/>
              </w:rPr>
              <w:t>）</w:t>
            </w:r>
            <w:r>
              <w:rPr>
                <w:rFonts w:hint="eastAsia" w:ascii="仿宋" w:hAnsi="仿宋" w:eastAsia="仿宋" w:cs="仿宋_GB2312"/>
                <w:b w:val="0"/>
                <w:bCs w:val="0"/>
                <w:sz w:val="24"/>
                <w:highlight w:val="none"/>
              </w:rPr>
              <w:t>体现上述业绩要求的</w:t>
            </w:r>
            <w:r>
              <w:rPr>
                <w:rFonts w:hint="eastAsia" w:ascii="仿宋" w:hAnsi="仿宋" w:eastAsia="仿宋" w:cs="仿宋_GB2312"/>
                <w:b w:val="0"/>
                <w:bCs w:val="0"/>
                <w:sz w:val="24"/>
                <w:highlight w:val="none"/>
                <w:lang w:eastAsia="zh-CN"/>
              </w:rPr>
              <w:t>招标代理</w:t>
            </w:r>
            <w:r>
              <w:rPr>
                <w:rFonts w:hint="eastAsia" w:ascii="仿宋" w:hAnsi="仿宋" w:eastAsia="仿宋" w:cs="仿宋_GB2312"/>
                <w:b w:val="0"/>
                <w:bCs w:val="0"/>
                <w:sz w:val="24"/>
                <w:highlight w:val="none"/>
              </w:rPr>
              <w:t>合同。（</w:t>
            </w:r>
            <w:r>
              <w:rPr>
                <w:rFonts w:hint="eastAsia" w:ascii="仿宋" w:hAnsi="仿宋" w:eastAsia="仿宋" w:cs="仿宋_GB2312"/>
                <w:b w:val="0"/>
                <w:bCs w:val="0"/>
                <w:sz w:val="24"/>
                <w:highlight w:val="none"/>
                <w:lang w:val="en-US" w:eastAsia="zh-CN"/>
              </w:rPr>
              <w:t>3</w:t>
            </w:r>
            <w:r>
              <w:rPr>
                <w:rFonts w:hint="eastAsia" w:ascii="仿宋" w:hAnsi="仿宋" w:eastAsia="仿宋" w:cs="仿宋_GB2312"/>
                <w:b w:val="0"/>
                <w:bCs w:val="0"/>
                <w:sz w:val="24"/>
                <w:highlight w:val="none"/>
              </w:rPr>
              <w:t>）上述体现业绩的相关材料须提供复印件并加盖单位公章</w:t>
            </w:r>
            <w:r>
              <w:rPr>
                <w:rFonts w:hint="eastAsia" w:ascii="仿宋" w:hAnsi="仿宋" w:eastAsia="仿宋" w:cs="仿宋_GB2312"/>
                <w:b w:val="0"/>
                <w:bCs w:val="0"/>
                <w:sz w:val="24"/>
                <w:highlight w:val="none"/>
                <w:lang w:eastAsia="zh-CN"/>
              </w:rPr>
              <w:t>。（</w:t>
            </w:r>
            <w:r>
              <w:rPr>
                <w:rFonts w:hint="eastAsia" w:ascii="仿宋" w:hAnsi="仿宋" w:eastAsia="仿宋" w:cs="仿宋_GB2312"/>
                <w:b w:val="0"/>
                <w:bCs w:val="0"/>
                <w:sz w:val="24"/>
                <w:highlight w:val="none"/>
                <w:lang w:val="en-US" w:eastAsia="zh-CN"/>
              </w:rPr>
              <w:t>4</w:t>
            </w:r>
            <w:r>
              <w:rPr>
                <w:rFonts w:hint="eastAsia" w:ascii="仿宋" w:hAnsi="仿宋" w:eastAsia="仿宋" w:cs="仿宋_GB2312"/>
                <w:b w:val="0"/>
                <w:bCs w:val="0"/>
                <w:sz w:val="24"/>
                <w:highlight w:val="none"/>
                <w:lang w:eastAsia="zh-CN"/>
              </w:rPr>
              <w:t>）施工单位委托的</w:t>
            </w:r>
            <w:r>
              <w:rPr>
                <w:rFonts w:hint="eastAsia" w:ascii="仿宋" w:hAnsi="仿宋" w:eastAsia="仿宋" w:cs="仿宋_GB2312"/>
                <w:b w:val="0"/>
                <w:bCs w:val="0"/>
                <w:sz w:val="24"/>
                <w:highlight w:val="none"/>
                <w:lang w:val="en-US" w:eastAsia="zh-CN"/>
              </w:rPr>
              <w:t>招标代理</w:t>
            </w:r>
            <w:r>
              <w:rPr>
                <w:rFonts w:hint="eastAsia" w:ascii="仿宋" w:hAnsi="仿宋" w:eastAsia="仿宋" w:cs="仿宋_GB2312"/>
                <w:b w:val="0"/>
                <w:bCs w:val="0"/>
                <w:sz w:val="24"/>
                <w:highlight w:val="none"/>
                <w:lang w:eastAsia="zh-CN"/>
              </w:rPr>
              <w:t>业绩无效。</w:t>
            </w:r>
          </w:p>
          <w:p w14:paraId="0977AA74">
            <w:pPr>
              <w:widowControl/>
              <w:jc w:val="left"/>
              <w:rPr>
                <w:rFonts w:ascii="仿宋" w:hAnsi="仿宋" w:eastAsia="仿宋" w:cs="仿宋_GB2312"/>
                <w:sz w:val="24"/>
                <w:highlight w:val="none"/>
              </w:rPr>
            </w:pPr>
            <w:r>
              <w:rPr>
                <w:rFonts w:hint="eastAsia" w:ascii="仿宋" w:hAnsi="仿宋" w:eastAsia="仿宋" w:cs="仿宋_GB2312"/>
                <w:b w:val="0"/>
                <w:bCs w:val="0"/>
                <w:sz w:val="24"/>
                <w:highlight w:val="none"/>
                <w:lang w:val="en-US" w:eastAsia="zh-CN"/>
              </w:rPr>
              <w:t>2、</w:t>
            </w:r>
            <w:r>
              <w:rPr>
                <w:rFonts w:hint="eastAsia" w:ascii="仿宋" w:hAnsi="仿宋" w:eastAsia="仿宋" w:cs="仿宋_GB2312"/>
                <w:sz w:val="24"/>
                <w:highlight w:val="none"/>
              </w:rPr>
              <w:t>投标人自20</w:t>
            </w:r>
            <w:r>
              <w:rPr>
                <w:rFonts w:hint="eastAsia" w:ascii="仿宋" w:hAnsi="仿宋" w:eastAsia="仿宋" w:cs="仿宋_GB2312"/>
                <w:sz w:val="24"/>
                <w:highlight w:val="none"/>
                <w:lang w:val="en-US" w:eastAsia="zh-CN"/>
              </w:rPr>
              <w:t>20</w:t>
            </w:r>
            <w:r>
              <w:rPr>
                <w:rFonts w:hint="eastAsia" w:ascii="仿宋" w:hAnsi="仿宋" w:eastAsia="仿宋" w:cs="仿宋_GB2312"/>
                <w:sz w:val="24"/>
                <w:highlight w:val="none"/>
              </w:rPr>
              <w:t>年1月1日以来（时间</w:t>
            </w:r>
            <w:r>
              <w:rPr>
                <w:rFonts w:hint="eastAsia" w:ascii="仿宋" w:hAnsi="仿宋" w:eastAsia="仿宋" w:cs="仿宋_GB2312"/>
                <w:sz w:val="24"/>
                <w:highlight w:val="none"/>
                <w:lang w:eastAsia="zh-CN"/>
              </w:rPr>
              <w:t>、金额</w:t>
            </w:r>
            <w:r>
              <w:rPr>
                <w:rFonts w:hint="eastAsia" w:ascii="仿宋" w:hAnsi="仿宋" w:eastAsia="仿宋" w:cs="仿宋_GB2312"/>
                <w:sz w:val="24"/>
                <w:highlight w:val="none"/>
              </w:rPr>
              <w:t>以造价咨询报告为准）完成</w:t>
            </w:r>
            <w:r>
              <w:rPr>
                <w:rFonts w:hint="eastAsia" w:ascii="仿宋" w:hAnsi="仿宋" w:eastAsia="仿宋" w:cs="仿宋_GB2312"/>
                <w:sz w:val="24"/>
                <w:highlight w:val="none"/>
                <w:lang w:eastAsia="zh-CN"/>
              </w:rPr>
              <w:t>过</w:t>
            </w:r>
            <w:r>
              <w:rPr>
                <w:rFonts w:hint="eastAsia" w:ascii="仿宋" w:hAnsi="仿宋" w:eastAsia="仿宋" w:cs="仿宋_GB2312"/>
                <w:sz w:val="24"/>
                <w:highlight w:val="none"/>
              </w:rPr>
              <w:t>新建或改建市政道路工程单项工程造价</w:t>
            </w:r>
            <w:r>
              <w:rPr>
                <w:rFonts w:hint="eastAsia" w:ascii="仿宋" w:hAnsi="仿宋" w:eastAsia="仿宋" w:cs="仿宋_GB2312"/>
                <w:sz w:val="24"/>
                <w:highlight w:val="none"/>
                <w:lang w:val="en-US" w:eastAsia="zh-CN"/>
              </w:rPr>
              <w:t>4</w:t>
            </w:r>
            <w:r>
              <w:rPr>
                <w:rFonts w:hint="eastAsia" w:ascii="仿宋" w:hAnsi="仿宋" w:eastAsia="仿宋" w:cs="仿宋_GB2312"/>
                <w:sz w:val="24"/>
                <w:highlight w:val="none"/>
              </w:rPr>
              <w:t>000万</w:t>
            </w:r>
            <w:r>
              <w:rPr>
                <w:rFonts w:hint="eastAsia" w:ascii="仿宋" w:hAnsi="仿宋" w:eastAsia="仿宋" w:cs="仿宋_GB2312"/>
                <w:sz w:val="24"/>
                <w:highlight w:val="none"/>
                <w:lang w:val="en-US" w:eastAsia="zh-CN"/>
              </w:rPr>
              <w:t>元</w:t>
            </w:r>
            <w:r>
              <w:rPr>
                <w:rFonts w:hint="eastAsia" w:ascii="仿宋" w:hAnsi="仿宋" w:eastAsia="仿宋" w:cs="仿宋_GB2312"/>
                <w:sz w:val="24"/>
                <w:highlight w:val="none"/>
              </w:rPr>
              <w:t>及以上项目</w:t>
            </w:r>
            <w:r>
              <w:rPr>
                <w:rFonts w:hint="eastAsia" w:ascii="仿宋" w:hAnsi="仿宋" w:eastAsia="仿宋" w:cs="仿宋_GB2312"/>
                <w:sz w:val="24"/>
                <w:highlight w:val="none"/>
                <w:lang w:eastAsia="zh-CN"/>
              </w:rPr>
              <w:t>施工</w:t>
            </w:r>
            <w:r>
              <w:rPr>
                <w:rFonts w:hint="eastAsia" w:ascii="仿宋" w:hAnsi="仿宋" w:eastAsia="仿宋" w:cs="仿宋_GB2312"/>
                <w:sz w:val="24"/>
                <w:highlight w:val="none"/>
              </w:rPr>
              <w:t>标底编制</w:t>
            </w:r>
            <w:r>
              <w:rPr>
                <w:rFonts w:hint="eastAsia" w:ascii="仿宋" w:hAnsi="仿宋" w:eastAsia="仿宋" w:cs="仿宋_GB2312"/>
                <w:sz w:val="24"/>
                <w:highlight w:val="none"/>
                <w:lang w:eastAsia="zh-CN"/>
              </w:rPr>
              <w:t>或标底审核</w:t>
            </w:r>
            <w:r>
              <w:rPr>
                <w:rFonts w:hint="eastAsia" w:ascii="仿宋" w:hAnsi="仿宋" w:eastAsia="仿宋" w:cs="仿宋_GB2312"/>
                <w:sz w:val="24"/>
                <w:highlight w:val="none"/>
              </w:rPr>
              <w:t>或</w:t>
            </w:r>
            <w:r>
              <w:rPr>
                <w:rFonts w:hint="eastAsia" w:ascii="仿宋" w:hAnsi="仿宋" w:eastAsia="仿宋" w:cs="仿宋_GB2312"/>
                <w:sz w:val="24"/>
                <w:highlight w:val="none"/>
                <w:lang w:eastAsia="zh-CN"/>
              </w:rPr>
              <w:t>结算审核</w:t>
            </w:r>
            <w:r>
              <w:rPr>
                <w:rFonts w:hint="eastAsia" w:ascii="仿宋" w:hAnsi="仿宋" w:eastAsia="仿宋" w:cs="仿宋_GB2312"/>
                <w:sz w:val="24"/>
                <w:highlight w:val="none"/>
              </w:rPr>
              <w:t>业绩的，</w:t>
            </w:r>
            <w:r>
              <w:rPr>
                <w:rFonts w:hint="eastAsia" w:ascii="仿宋" w:hAnsi="仿宋" w:eastAsia="仿宋" w:cs="仿宋_GB2312"/>
                <w:sz w:val="24"/>
                <w:highlight w:val="none"/>
                <w:lang w:val="en-US" w:eastAsia="zh-CN"/>
              </w:rPr>
              <w:t>每一项得2分，最高</w:t>
            </w:r>
            <w:r>
              <w:rPr>
                <w:rFonts w:hint="eastAsia" w:ascii="仿宋" w:hAnsi="仿宋" w:eastAsia="仿宋" w:cs="仿宋_GB2312"/>
                <w:sz w:val="24"/>
                <w:highlight w:val="none"/>
              </w:rPr>
              <w:t>得</w:t>
            </w:r>
            <w:r>
              <w:rPr>
                <w:rFonts w:hint="eastAsia" w:ascii="仿宋" w:hAnsi="仿宋" w:eastAsia="仿宋" w:cs="仿宋_GB2312"/>
                <w:sz w:val="24"/>
                <w:highlight w:val="none"/>
                <w:lang w:val="en-US" w:eastAsia="zh-CN"/>
              </w:rPr>
              <w:t>4</w:t>
            </w:r>
            <w:r>
              <w:rPr>
                <w:rFonts w:hint="eastAsia" w:ascii="仿宋" w:hAnsi="仿宋" w:eastAsia="仿宋" w:cs="仿宋_GB2312"/>
                <w:sz w:val="24"/>
                <w:highlight w:val="none"/>
              </w:rPr>
              <w:t>分。</w:t>
            </w:r>
          </w:p>
          <w:p w14:paraId="19CFDE8F">
            <w:pPr>
              <w:widowControl/>
              <w:jc w:val="left"/>
              <w:rPr>
                <w:rFonts w:hint="default" w:ascii="仿宋" w:hAnsi="仿宋" w:eastAsia="仿宋" w:cs="仿宋_GB2312"/>
                <w:b w:val="0"/>
                <w:bCs w:val="0"/>
                <w:sz w:val="24"/>
                <w:highlight w:val="none"/>
                <w:lang w:val="en-US"/>
              </w:rPr>
            </w:pPr>
            <w:r>
              <w:rPr>
                <w:rFonts w:hint="eastAsia" w:ascii="仿宋" w:hAnsi="仿宋" w:eastAsia="仿宋" w:cs="仿宋_GB2312"/>
                <w:b/>
                <w:bCs/>
                <w:sz w:val="24"/>
                <w:highlight w:val="none"/>
              </w:rPr>
              <w:t>（提供（1）体现上述业绩要求的工程造价咨询报告书（加盖</w:t>
            </w:r>
            <w:r>
              <w:rPr>
                <w:rFonts w:hint="eastAsia" w:ascii="仿宋" w:hAnsi="仿宋" w:eastAsia="仿宋" w:cs="仿宋_GB2312"/>
                <w:b/>
                <w:bCs/>
                <w:sz w:val="24"/>
                <w:highlight w:val="none"/>
                <w:lang w:eastAsia="zh-CN"/>
              </w:rPr>
              <w:t>标底编制</w:t>
            </w:r>
            <w:r>
              <w:rPr>
                <w:rFonts w:hint="eastAsia" w:ascii="仿宋" w:hAnsi="仿宋" w:eastAsia="仿宋" w:cs="仿宋_GB2312"/>
                <w:b/>
                <w:bCs/>
                <w:sz w:val="24"/>
                <w:highlight w:val="none"/>
              </w:rPr>
              <w:t>单位</w:t>
            </w:r>
            <w:r>
              <w:rPr>
                <w:rFonts w:hint="eastAsia" w:ascii="仿宋" w:hAnsi="仿宋" w:eastAsia="仿宋" w:cs="仿宋_GB2312"/>
                <w:b/>
                <w:bCs/>
                <w:sz w:val="24"/>
                <w:highlight w:val="none"/>
                <w:lang w:eastAsia="zh-CN"/>
              </w:rPr>
              <w:t>或标底审核或结算审核单位公章、业主单位</w:t>
            </w:r>
            <w:r>
              <w:rPr>
                <w:rFonts w:hint="eastAsia" w:ascii="仿宋" w:hAnsi="仿宋" w:eastAsia="仿宋" w:cs="仿宋_GB2312"/>
                <w:b/>
                <w:bCs/>
                <w:sz w:val="24"/>
                <w:highlight w:val="none"/>
              </w:rPr>
              <w:t>公章及人员资格章，时间以</w:t>
            </w:r>
            <w:r>
              <w:rPr>
                <w:rFonts w:hint="eastAsia" w:ascii="仿宋" w:hAnsi="仿宋" w:eastAsia="仿宋" w:cs="仿宋_GB2312"/>
                <w:b/>
                <w:bCs/>
                <w:sz w:val="24"/>
                <w:highlight w:val="none"/>
                <w:lang w:eastAsia="zh-CN"/>
              </w:rPr>
              <w:t>造价咨询</w:t>
            </w:r>
            <w:r>
              <w:rPr>
                <w:rFonts w:hint="eastAsia" w:ascii="仿宋" w:hAnsi="仿宋" w:eastAsia="仿宋" w:cs="仿宋_GB2312"/>
                <w:b/>
                <w:bCs/>
                <w:sz w:val="24"/>
                <w:highlight w:val="none"/>
              </w:rPr>
              <w:t>报告书出具时间为准</w:t>
            </w:r>
            <w:r>
              <w:rPr>
                <w:rFonts w:hint="eastAsia" w:ascii="仿宋" w:hAnsi="仿宋" w:eastAsia="仿宋" w:cs="仿宋_GB2312"/>
                <w:b/>
                <w:bCs/>
                <w:sz w:val="24"/>
                <w:highlight w:val="none"/>
                <w:lang w:eastAsia="zh-CN"/>
              </w:rPr>
              <w:t>。（</w:t>
            </w:r>
            <w:r>
              <w:rPr>
                <w:rFonts w:hint="eastAsia" w:ascii="仿宋" w:hAnsi="仿宋" w:eastAsia="仿宋" w:cs="仿宋_GB2312"/>
                <w:b/>
                <w:bCs/>
                <w:sz w:val="24"/>
                <w:highlight w:val="none"/>
                <w:lang w:val="en-US" w:eastAsia="zh-CN"/>
              </w:rPr>
              <w:t>2</w:t>
            </w:r>
            <w:r>
              <w:rPr>
                <w:rFonts w:hint="eastAsia" w:ascii="仿宋" w:hAnsi="仿宋" w:eastAsia="仿宋" w:cs="仿宋_GB2312"/>
                <w:b/>
                <w:bCs/>
                <w:sz w:val="24"/>
                <w:highlight w:val="none"/>
                <w:lang w:eastAsia="zh-CN"/>
              </w:rPr>
              <w:t>）</w:t>
            </w:r>
            <w:r>
              <w:rPr>
                <w:rFonts w:hint="eastAsia" w:ascii="仿宋" w:hAnsi="仿宋" w:eastAsia="仿宋" w:cs="仿宋_GB2312"/>
                <w:b/>
                <w:bCs/>
                <w:sz w:val="24"/>
                <w:highlight w:val="none"/>
              </w:rPr>
              <w:t>体现上述业绩要求的造价咨询合同。（</w:t>
            </w:r>
            <w:r>
              <w:rPr>
                <w:rFonts w:hint="eastAsia" w:ascii="仿宋" w:hAnsi="仿宋" w:eastAsia="仿宋" w:cs="仿宋_GB2312"/>
                <w:b/>
                <w:bCs/>
                <w:sz w:val="24"/>
                <w:highlight w:val="none"/>
                <w:lang w:val="en-US" w:eastAsia="zh-CN"/>
              </w:rPr>
              <w:t>3</w:t>
            </w:r>
            <w:r>
              <w:rPr>
                <w:rFonts w:hint="eastAsia" w:ascii="仿宋" w:hAnsi="仿宋" w:eastAsia="仿宋" w:cs="仿宋_GB2312"/>
                <w:b/>
                <w:bCs/>
                <w:sz w:val="24"/>
                <w:highlight w:val="none"/>
              </w:rPr>
              <w:t>）上述体现业绩的相关材料须提供复印件并加盖单位公章</w:t>
            </w:r>
            <w:r>
              <w:rPr>
                <w:rFonts w:hint="eastAsia" w:ascii="仿宋" w:hAnsi="仿宋" w:eastAsia="仿宋" w:cs="仿宋_GB2312"/>
                <w:b/>
                <w:bCs/>
                <w:sz w:val="24"/>
                <w:highlight w:val="none"/>
                <w:lang w:eastAsia="zh-CN"/>
              </w:rPr>
              <w:t>。（</w:t>
            </w:r>
            <w:r>
              <w:rPr>
                <w:rFonts w:hint="eastAsia" w:ascii="仿宋" w:hAnsi="仿宋" w:eastAsia="仿宋" w:cs="仿宋_GB2312"/>
                <w:b/>
                <w:bCs/>
                <w:sz w:val="24"/>
                <w:highlight w:val="none"/>
                <w:lang w:val="en-US" w:eastAsia="zh-CN"/>
              </w:rPr>
              <w:t>4</w:t>
            </w:r>
            <w:r>
              <w:rPr>
                <w:rFonts w:hint="eastAsia" w:ascii="仿宋" w:hAnsi="仿宋" w:eastAsia="仿宋" w:cs="仿宋_GB2312"/>
                <w:b/>
                <w:bCs/>
                <w:sz w:val="24"/>
                <w:highlight w:val="none"/>
                <w:lang w:eastAsia="zh-CN"/>
              </w:rPr>
              <w:t>）施工单位委托的造价咨询业绩无效</w:t>
            </w:r>
          </w:p>
        </w:tc>
        <w:tc>
          <w:tcPr>
            <w:tcW w:w="744" w:type="dxa"/>
            <w:vAlign w:val="center"/>
          </w:tcPr>
          <w:p w14:paraId="7B8F7B87">
            <w:pPr>
              <w:widowControl/>
              <w:jc w:val="center"/>
              <w:rPr>
                <w:rFonts w:hint="default" w:ascii="仿宋" w:hAnsi="仿宋" w:eastAsia="仿宋" w:cs="仿宋_GB2312"/>
                <w:sz w:val="24"/>
                <w:lang w:val="en-US" w:eastAsia="zh-CN"/>
              </w:rPr>
            </w:pPr>
            <w:r>
              <w:rPr>
                <w:rFonts w:hint="eastAsia" w:ascii="仿宋" w:hAnsi="仿宋" w:eastAsia="仿宋" w:cs="仿宋_GB2312"/>
                <w:sz w:val="24"/>
                <w:lang w:val="en-US" w:eastAsia="zh-CN"/>
              </w:rPr>
              <w:t>7</w:t>
            </w:r>
          </w:p>
        </w:tc>
      </w:tr>
      <w:tr w14:paraId="5B14A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864" w:type="dxa"/>
            <w:vMerge w:val="continue"/>
            <w:vAlign w:val="center"/>
          </w:tcPr>
          <w:p w14:paraId="36915A9B">
            <w:pPr>
              <w:widowControl/>
              <w:jc w:val="center"/>
              <w:rPr>
                <w:rFonts w:ascii="仿宋" w:hAnsi="仿宋" w:eastAsia="仿宋" w:cs="仿宋_GB2312"/>
                <w:sz w:val="24"/>
              </w:rPr>
            </w:pPr>
          </w:p>
        </w:tc>
        <w:tc>
          <w:tcPr>
            <w:tcW w:w="1056" w:type="dxa"/>
            <w:vAlign w:val="center"/>
          </w:tcPr>
          <w:p w14:paraId="263D5502">
            <w:pPr>
              <w:widowControl/>
              <w:jc w:val="center"/>
              <w:rPr>
                <w:rFonts w:ascii="仿宋" w:hAnsi="仿宋" w:eastAsia="仿宋" w:cs="仿宋_GB2312"/>
                <w:sz w:val="24"/>
              </w:rPr>
            </w:pPr>
            <w:r>
              <w:rPr>
                <w:rFonts w:hint="eastAsia" w:ascii="仿宋" w:hAnsi="仿宋" w:eastAsia="仿宋" w:cs="仿宋_GB2312"/>
                <w:sz w:val="24"/>
              </w:rPr>
              <w:t>技术</w:t>
            </w:r>
          </w:p>
        </w:tc>
        <w:tc>
          <w:tcPr>
            <w:tcW w:w="6821" w:type="dxa"/>
            <w:vAlign w:val="center"/>
          </w:tcPr>
          <w:p w14:paraId="30C5E445">
            <w:pPr>
              <w:widowControl/>
              <w:jc w:val="left"/>
              <w:rPr>
                <w:rFonts w:ascii="仿宋" w:hAnsi="仿宋" w:eastAsia="仿宋" w:cs="仿宋_GB2312"/>
                <w:sz w:val="24"/>
                <w:highlight w:val="none"/>
              </w:rPr>
            </w:pPr>
            <w:r>
              <w:rPr>
                <w:rFonts w:hint="eastAsia" w:ascii="仿宋" w:hAnsi="仿宋" w:eastAsia="仿宋" w:cs="仿宋_GB2312"/>
                <w:sz w:val="24"/>
                <w:highlight w:val="none"/>
              </w:rPr>
              <w:t>1、服务方案：对工作内容、工作方案及工作思路把握准确，思路清晰；</w:t>
            </w:r>
          </w:p>
          <w:p w14:paraId="1441EB76">
            <w:pPr>
              <w:pStyle w:val="22"/>
              <w:spacing w:line="240" w:lineRule="auto"/>
              <w:rPr>
                <w:rFonts w:eastAsia="仿宋"/>
                <w:b/>
                <w:bCs/>
                <w:highlight w:val="none"/>
              </w:rPr>
            </w:pPr>
            <w:r>
              <w:rPr>
                <w:rFonts w:hint="eastAsia" w:ascii="仿宋" w:hAnsi="仿宋" w:eastAsia="仿宋" w:cs="仿宋_GB2312"/>
                <w:b/>
                <w:bCs/>
                <w:highlight w:val="none"/>
              </w:rPr>
              <w:t>（</w:t>
            </w:r>
            <w:r>
              <w:rPr>
                <w:rFonts w:hint="eastAsia" w:ascii="仿宋" w:hAnsi="仿宋" w:eastAsia="仿宋" w:cs="仿宋_GB2312"/>
                <w:b/>
                <w:bCs/>
                <w:highlight w:val="none"/>
                <w:lang w:eastAsia="zh-CN"/>
              </w:rPr>
              <w:t>针</w:t>
            </w:r>
            <w:r>
              <w:rPr>
                <w:rFonts w:hint="eastAsia" w:ascii="仿宋" w:hAnsi="仿宋" w:eastAsia="仿宋" w:cs="仿宋_GB2312"/>
                <w:sz w:val="24"/>
                <w:highlight w:val="none"/>
              </w:rPr>
              <w:t>对工作内容、工作方案及工作思路把握准确，思路清晰</w:t>
            </w:r>
            <w:r>
              <w:rPr>
                <w:rFonts w:hint="eastAsia" w:ascii="仿宋" w:hAnsi="仿宋" w:eastAsia="仿宋" w:cs="仿宋_GB2312"/>
                <w:b/>
                <w:bCs/>
                <w:highlight w:val="none"/>
                <w:lang w:val="en-US"/>
              </w:rPr>
              <w:t>好的得</w:t>
            </w:r>
            <w:r>
              <w:rPr>
                <w:rFonts w:hint="eastAsia" w:ascii="仿宋" w:hAnsi="仿宋" w:eastAsia="仿宋" w:cs="仿宋_GB2312"/>
                <w:b/>
                <w:bCs/>
                <w:highlight w:val="none"/>
                <w:lang w:val="en-US" w:eastAsia="zh-CN"/>
              </w:rPr>
              <w:t>3.1</w:t>
            </w:r>
            <w:r>
              <w:rPr>
                <w:rFonts w:hint="eastAsia" w:ascii="仿宋" w:hAnsi="仿宋" w:eastAsia="仿宋" w:cs="仿宋_GB2312"/>
                <w:b/>
                <w:bCs/>
                <w:highlight w:val="none"/>
                <w:lang w:val="en-US"/>
              </w:rPr>
              <w:t>-</w:t>
            </w:r>
            <w:r>
              <w:rPr>
                <w:rFonts w:hint="eastAsia" w:ascii="仿宋" w:hAnsi="仿宋" w:eastAsia="仿宋" w:cs="仿宋_GB2312"/>
                <w:b/>
                <w:bCs/>
                <w:highlight w:val="none"/>
                <w:lang w:val="en-US" w:eastAsia="zh-CN"/>
              </w:rPr>
              <w:t>4</w:t>
            </w:r>
            <w:r>
              <w:rPr>
                <w:rFonts w:hint="eastAsia" w:ascii="仿宋" w:hAnsi="仿宋" w:eastAsia="仿宋" w:cs="仿宋_GB2312"/>
                <w:b/>
                <w:bCs/>
                <w:highlight w:val="none"/>
                <w:lang w:val="en-US"/>
              </w:rPr>
              <w:t>分，</w:t>
            </w:r>
            <w:r>
              <w:rPr>
                <w:rFonts w:hint="eastAsia" w:ascii="仿宋" w:hAnsi="仿宋" w:eastAsia="仿宋" w:cs="仿宋_GB2312"/>
                <w:b/>
                <w:bCs/>
                <w:highlight w:val="none"/>
                <w:lang w:eastAsia="zh-CN"/>
              </w:rPr>
              <w:t>针</w:t>
            </w:r>
            <w:r>
              <w:rPr>
                <w:rFonts w:hint="eastAsia" w:ascii="仿宋" w:hAnsi="仿宋" w:eastAsia="仿宋" w:cs="仿宋_GB2312"/>
                <w:sz w:val="24"/>
                <w:highlight w:val="none"/>
              </w:rPr>
              <w:t>对工作内容、工作方案及工作思路把握准确，思路清晰</w:t>
            </w:r>
            <w:r>
              <w:rPr>
                <w:rFonts w:hint="eastAsia" w:ascii="仿宋" w:hAnsi="仿宋" w:eastAsia="仿宋" w:cs="仿宋_GB2312"/>
                <w:b/>
                <w:bCs/>
                <w:highlight w:val="none"/>
                <w:lang w:val="en-US"/>
              </w:rPr>
              <w:t>一般得</w:t>
            </w:r>
            <w:r>
              <w:rPr>
                <w:rFonts w:hint="eastAsia" w:ascii="仿宋" w:hAnsi="仿宋" w:eastAsia="仿宋" w:cs="仿宋_GB2312"/>
                <w:b/>
                <w:bCs/>
                <w:highlight w:val="none"/>
                <w:lang w:val="en-US" w:eastAsia="zh-CN"/>
              </w:rPr>
              <w:t>2.1</w:t>
            </w:r>
            <w:r>
              <w:rPr>
                <w:rFonts w:hint="eastAsia" w:ascii="仿宋" w:hAnsi="仿宋" w:eastAsia="仿宋" w:cs="仿宋_GB2312"/>
                <w:b/>
                <w:bCs/>
                <w:highlight w:val="none"/>
                <w:lang w:val="en-US"/>
              </w:rPr>
              <w:t>-</w:t>
            </w:r>
            <w:r>
              <w:rPr>
                <w:rFonts w:hint="eastAsia" w:ascii="仿宋" w:hAnsi="仿宋" w:eastAsia="仿宋" w:cs="仿宋_GB2312"/>
                <w:b/>
                <w:bCs/>
                <w:highlight w:val="none"/>
                <w:lang w:val="en-US" w:eastAsia="zh-CN"/>
              </w:rPr>
              <w:t>3.0</w:t>
            </w:r>
            <w:r>
              <w:rPr>
                <w:rFonts w:hint="eastAsia" w:ascii="仿宋" w:hAnsi="仿宋" w:eastAsia="仿宋" w:cs="仿宋_GB2312"/>
                <w:b/>
                <w:bCs/>
                <w:highlight w:val="none"/>
                <w:lang w:val="en-US"/>
              </w:rPr>
              <w:t>分，</w:t>
            </w:r>
            <w:r>
              <w:rPr>
                <w:rFonts w:hint="eastAsia" w:ascii="仿宋" w:hAnsi="仿宋" w:eastAsia="仿宋" w:cs="仿宋_GB2312"/>
                <w:b/>
                <w:bCs/>
                <w:highlight w:val="none"/>
                <w:lang w:eastAsia="zh-CN"/>
              </w:rPr>
              <w:t>针</w:t>
            </w:r>
            <w:r>
              <w:rPr>
                <w:rFonts w:hint="eastAsia" w:ascii="仿宋" w:hAnsi="仿宋" w:eastAsia="仿宋" w:cs="仿宋_GB2312"/>
                <w:sz w:val="24"/>
                <w:highlight w:val="none"/>
              </w:rPr>
              <w:t>对工作内容、工作方案及工作思路把握准确，思路清晰</w:t>
            </w:r>
            <w:r>
              <w:rPr>
                <w:rFonts w:hint="eastAsia" w:ascii="仿宋" w:hAnsi="仿宋" w:eastAsia="仿宋" w:cs="仿宋_GB2312"/>
                <w:b/>
                <w:bCs/>
                <w:highlight w:val="none"/>
                <w:lang w:val="en-US"/>
              </w:rPr>
              <w:t>差的得</w:t>
            </w:r>
            <w:r>
              <w:rPr>
                <w:rFonts w:hint="eastAsia" w:ascii="仿宋" w:hAnsi="仿宋" w:eastAsia="仿宋" w:cs="仿宋_GB2312"/>
                <w:b/>
                <w:bCs/>
                <w:highlight w:val="none"/>
                <w:lang w:val="en-US" w:eastAsia="zh-CN"/>
              </w:rPr>
              <w:t>0.1</w:t>
            </w:r>
            <w:r>
              <w:rPr>
                <w:rFonts w:hint="eastAsia" w:ascii="仿宋" w:hAnsi="仿宋" w:eastAsia="仿宋" w:cs="仿宋_GB2312"/>
                <w:b/>
                <w:bCs/>
                <w:highlight w:val="none"/>
                <w:lang w:val="en-US"/>
              </w:rPr>
              <w:t>-</w:t>
            </w:r>
            <w:r>
              <w:rPr>
                <w:rFonts w:hint="eastAsia" w:ascii="仿宋" w:hAnsi="仿宋" w:eastAsia="仿宋" w:cs="仿宋_GB2312"/>
                <w:b/>
                <w:bCs/>
                <w:highlight w:val="none"/>
                <w:lang w:val="en-US" w:eastAsia="zh-CN"/>
              </w:rPr>
              <w:t>2.0</w:t>
            </w:r>
            <w:r>
              <w:rPr>
                <w:rFonts w:hint="eastAsia" w:ascii="仿宋" w:hAnsi="仿宋" w:eastAsia="仿宋" w:cs="仿宋_GB2312"/>
                <w:b/>
                <w:bCs/>
                <w:highlight w:val="none"/>
                <w:lang w:val="en-US"/>
              </w:rPr>
              <w:t>分，不提供不得分）</w:t>
            </w:r>
          </w:p>
          <w:p w14:paraId="3E5E51DA">
            <w:pPr>
              <w:widowControl/>
              <w:jc w:val="left"/>
              <w:rPr>
                <w:rFonts w:ascii="仿宋" w:hAnsi="仿宋" w:eastAsia="仿宋" w:cs="仿宋_GB2312"/>
                <w:sz w:val="24"/>
                <w:highlight w:val="none"/>
              </w:rPr>
            </w:pPr>
            <w:r>
              <w:rPr>
                <w:rFonts w:hint="eastAsia" w:ascii="仿宋" w:hAnsi="仿宋" w:eastAsia="仿宋" w:cs="仿宋_GB2312"/>
                <w:sz w:val="24"/>
                <w:highlight w:val="none"/>
              </w:rPr>
              <w:t>2、针对</w:t>
            </w:r>
            <w:r>
              <w:rPr>
                <w:rFonts w:hint="eastAsia" w:ascii="仿宋" w:hAnsi="仿宋" w:eastAsia="仿宋" w:cs="仿宋_GB2312"/>
                <w:sz w:val="24"/>
                <w:highlight w:val="none"/>
                <w:lang w:val="en-US" w:eastAsia="zh-CN"/>
              </w:rPr>
              <w:t>本项目招标代理及标底审核</w:t>
            </w:r>
            <w:r>
              <w:rPr>
                <w:rFonts w:hint="eastAsia" w:ascii="仿宋" w:hAnsi="仿宋" w:eastAsia="仿宋" w:cs="仿宋_GB2312"/>
                <w:sz w:val="24"/>
                <w:highlight w:val="none"/>
              </w:rPr>
              <w:t>质量保证措施：重难点质量保证制度、人员配备、服务和配合工作措施、时间和进度安排等相关内容；</w:t>
            </w:r>
          </w:p>
          <w:p w14:paraId="43958261">
            <w:pPr>
              <w:pStyle w:val="22"/>
              <w:spacing w:line="240" w:lineRule="auto"/>
              <w:rPr>
                <w:rFonts w:eastAsia="仿宋"/>
                <w:b/>
                <w:bCs/>
                <w:highlight w:val="none"/>
              </w:rPr>
            </w:pPr>
            <w:r>
              <w:rPr>
                <w:rFonts w:hint="eastAsia" w:ascii="仿宋" w:hAnsi="仿宋" w:eastAsia="仿宋" w:cs="仿宋_GB2312"/>
                <w:b/>
                <w:bCs/>
                <w:highlight w:val="none"/>
              </w:rPr>
              <w:t>（</w:t>
            </w:r>
            <w:r>
              <w:rPr>
                <w:rFonts w:hint="eastAsia" w:ascii="仿宋" w:hAnsi="仿宋" w:eastAsia="仿宋" w:cs="仿宋_GB2312"/>
                <w:b/>
                <w:bCs/>
                <w:highlight w:val="none"/>
                <w:lang w:eastAsia="zh-CN"/>
              </w:rPr>
              <w:t>针对</w:t>
            </w:r>
            <w:r>
              <w:rPr>
                <w:rFonts w:hint="eastAsia" w:ascii="仿宋" w:hAnsi="仿宋" w:eastAsia="仿宋" w:cs="仿宋_GB2312"/>
                <w:sz w:val="24"/>
                <w:highlight w:val="none"/>
              </w:rPr>
              <w:t>重难点质量保证制度、人员配备、服务和配合工作措施、时间和进度安排等相关内容</w:t>
            </w:r>
            <w:r>
              <w:rPr>
                <w:rFonts w:hint="eastAsia" w:ascii="仿宋" w:hAnsi="仿宋" w:eastAsia="仿宋" w:cs="仿宋_GB2312"/>
                <w:b/>
                <w:bCs/>
                <w:highlight w:val="none"/>
                <w:lang w:val="en-US"/>
              </w:rPr>
              <w:t>好的得</w:t>
            </w:r>
            <w:r>
              <w:rPr>
                <w:rFonts w:hint="eastAsia" w:ascii="仿宋" w:hAnsi="仿宋" w:eastAsia="仿宋" w:cs="仿宋_GB2312"/>
                <w:b/>
                <w:bCs/>
                <w:highlight w:val="none"/>
                <w:lang w:val="en-US" w:eastAsia="zh-CN"/>
              </w:rPr>
              <w:t>3.1-4</w:t>
            </w:r>
            <w:r>
              <w:rPr>
                <w:rFonts w:hint="eastAsia" w:ascii="仿宋" w:hAnsi="仿宋" w:eastAsia="仿宋" w:cs="仿宋_GB2312"/>
                <w:b/>
                <w:bCs/>
                <w:highlight w:val="none"/>
                <w:lang w:val="en-US"/>
              </w:rPr>
              <w:t>分，</w:t>
            </w:r>
            <w:r>
              <w:rPr>
                <w:rFonts w:hint="eastAsia" w:ascii="仿宋" w:hAnsi="仿宋" w:eastAsia="仿宋" w:cs="仿宋_GB2312"/>
                <w:b/>
                <w:bCs/>
                <w:highlight w:val="none"/>
                <w:lang w:eastAsia="zh-CN"/>
              </w:rPr>
              <w:t>针对</w:t>
            </w:r>
            <w:r>
              <w:rPr>
                <w:rFonts w:hint="eastAsia" w:ascii="仿宋" w:hAnsi="仿宋" w:eastAsia="仿宋" w:cs="仿宋_GB2312"/>
                <w:sz w:val="24"/>
                <w:highlight w:val="none"/>
              </w:rPr>
              <w:t>重难点质量保证制度、人员配备、服务和配合工作措施、时间和进度安排等相关内容</w:t>
            </w:r>
            <w:r>
              <w:rPr>
                <w:rFonts w:hint="eastAsia" w:ascii="仿宋" w:hAnsi="仿宋" w:eastAsia="仿宋" w:cs="仿宋_GB2312"/>
                <w:b/>
                <w:bCs/>
                <w:highlight w:val="none"/>
                <w:lang w:val="en-US"/>
              </w:rPr>
              <w:t>一般得</w:t>
            </w:r>
            <w:r>
              <w:rPr>
                <w:rFonts w:hint="eastAsia" w:ascii="仿宋" w:hAnsi="仿宋" w:eastAsia="仿宋" w:cs="仿宋_GB2312"/>
                <w:b/>
                <w:bCs/>
                <w:highlight w:val="none"/>
                <w:lang w:val="en-US" w:eastAsia="zh-CN"/>
              </w:rPr>
              <w:t>2.1-3.0</w:t>
            </w:r>
            <w:r>
              <w:rPr>
                <w:rFonts w:hint="eastAsia" w:ascii="仿宋" w:hAnsi="仿宋" w:eastAsia="仿宋" w:cs="仿宋_GB2312"/>
                <w:b/>
                <w:bCs/>
                <w:highlight w:val="none"/>
                <w:lang w:val="en-US"/>
              </w:rPr>
              <w:t>分，</w:t>
            </w:r>
            <w:r>
              <w:rPr>
                <w:rFonts w:hint="eastAsia" w:ascii="仿宋" w:hAnsi="仿宋" w:eastAsia="仿宋" w:cs="仿宋_GB2312"/>
                <w:b/>
                <w:bCs/>
                <w:highlight w:val="none"/>
                <w:lang w:eastAsia="zh-CN"/>
              </w:rPr>
              <w:t>针对</w:t>
            </w:r>
            <w:r>
              <w:rPr>
                <w:rFonts w:hint="eastAsia" w:ascii="仿宋" w:hAnsi="仿宋" w:eastAsia="仿宋" w:cs="仿宋_GB2312"/>
                <w:sz w:val="24"/>
                <w:highlight w:val="none"/>
              </w:rPr>
              <w:t>重难点质量保证制度、人员配备、服务和配合工作措施、时间和进度安排等相关内容</w:t>
            </w:r>
            <w:r>
              <w:rPr>
                <w:rFonts w:hint="eastAsia" w:ascii="仿宋" w:hAnsi="仿宋" w:eastAsia="仿宋" w:cs="仿宋_GB2312"/>
                <w:b/>
                <w:bCs/>
                <w:highlight w:val="none"/>
                <w:lang w:val="en-US"/>
              </w:rPr>
              <w:t>差的得</w:t>
            </w:r>
            <w:r>
              <w:rPr>
                <w:rFonts w:hint="eastAsia" w:ascii="仿宋" w:hAnsi="仿宋" w:eastAsia="仿宋" w:cs="仿宋_GB2312"/>
                <w:b/>
                <w:bCs/>
                <w:highlight w:val="none"/>
                <w:lang w:val="en-US" w:eastAsia="zh-CN"/>
              </w:rPr>
              <w:t>0.1-2</w:t>
            </w:r>
            <w:r>
              <w:rPr>
                <w:rFonts w:hint="eastAsia" w:ascii="仿宋" w:hAnsi="仿宋" w:eastAsia="仿宋" w:cs="仿宋_GB2312"/>
                <w:b/>
                <w:bCs/>
                <w:highlight w:val="none"/>
                <w:lang w:val="en-US"/>
              </w:rPr>
              <w:t>分，不提供不得分）</w:t>
            </w:r>
          </w:p>
          <w:p w14:paraId="6E39DC52">
            <w:pPr>
              <w:widowControl/>
              <w:jc w:val="left"/>
              <w:rPr>
                <w:rFonts w:ascii="仿宋" w:hAnsi="仿宋" w:eastAsia="仿宋" w:cs="仿宋_GB2312"/>
                <w:sz w:val="24"/>
                <w:highlight w:val="none"/>
              </w:rPr>
            </w:pPr>
            <w:r>
              <w:rPr>
                <w:rFonts w:hint="eastAsia" w:ascii="仿宋" w:hAnsi="仿宋" w:eastAsia="仿宋" w:cs="仿宋_GB2312"/>
                <w:sz w:val="24"/>
                <w:highlight w:val="none"/>
              </w:rPr>
              <w:t>3、合理化建议：根据投标单位为做好本项目工程</w:t>
            </w:r>
            <w:r>
              <w:rPr>
                <w:rFonts w:hint="eastAsia" w:ascii="仿宋" w:hAnsi="仿宋" w:eastAsia="仿宋" w:cs="仿宋_GB2312"/>
                <w:sz w:val="24"/>
                <w:highlight w:val="none"/>
                <w:lang w:val="en-US" w:eastAsia="zh-CN"/>
              </w:rPr>
              <w:t>标底审核</w:t>
            </w:r>
            <w:r>
              <w:rPr>
                <w:rFonts w:hint="eastAsia" w:ascii="仿宋" w:hAnsi="仿宋" w:eastAsia="仿宋" w:cs="仿宋_GB2312"/>
                <w:sz w:val="24"/>
                <w:highlight w:val="none"/>
              </w:rPr>
              <w:t>、招标代理服务项目提出的合理化建议；</w:t>
            </w:r>
          </w:p>
          <w:p w14:paraId="7E1A8762">
            <w:pPr>
              <w:pStyle w:val="22"/>
              <w:spacing w:line="240" w:lineRule="auto"/>
              <w:rPr>
                <w:rFonts w:ascii="仿宋" w:hAnsi="仿宋" w:eastAsia="仿宋" w:cs="仿宋_GB2312"/>
              </w:rPr>
            </w:pPr>
            <w:r>
              <w:rPr>
                <w:rFonts w:hint="eastAsia" w:ascii="仿宋" w:hAnsi="仿宋" w:eastAsia="仿宋" w:cs="仿宋_GB2312"/>
                <w:b/>
                <w:bCs/>
                <w:lang w:val="en-US"/>
              </w:rPr>
              <w:t>好的得</w:t>
            </w:r>
            <w:r>
              <w:rPr>
                <w:rFonts w:hint="eastAsia" w:ascii="仿宋" w:hAnsi="仿宋" w:eastAsia="仿宋" w:cs="仿宋_GB2312"/>
                <w:b/>
                <w:bCs/>
                <w:lang w:val="en-US" w:eastAsia="zh-CN"/>
              </w:rPr>
              <w:t>2.1</w:t>
            </w:r>
            <w:r>
              <w:rPr>
                <w:rFonts w:hint="eastAsia" w:ascii="仿宋" w:hAnsi="仿宋" w:eastAsia="仿宋" w:cs="仿宋_GB2312"/>
                <w:b/>
                <w:bCs/>
                <w:lang w:val="en-US"/>
              </w:rPr>
              <w:t>-</w:t>
            </w:r>
            <w:r>
              <w:rPr>
                <w:rFonts w:hint="eastAsia" w:ascii="仿宋" w:hAnsi="仿宋" w:eastAsia="仿宋" w:cs="仿宋_GB2312"/>
                <w:b/>
                <w:bCs/>
                <w:lang w:val="en-US" w:eastAsia="zh-CN"/>
              </w:rPr>
              <w:t>3</w:t>
            </w:r>
            <w:r>
              <w:rPr>
                <w:rFonts w:hint="eastAsia" w:ascii="仿宋" w:hAnsi="仿宋" w:eastAsia="仿宋" w:cs="仿宋_GB2312"/>
                <w:b/>
                <w:bCs/>
                <w:lang w:val="en-US"/>
              </w:rPr>
              <w:t>分，一般得</w:t>
            </w:r>
            <w:r>
              <w:rPr>
                <w:rFonts w:hint="eastAsia" w:ascii="仿宋" w:hAnsi="仿宋" w:eastAsia="仿宋" w:cs="仿宋_GB2312"/>
                <w:b/>
                <w:bCs/>
                <w:lang w:val="en-US" w:eastAsia="zh-CN"/>
              </w:rPr>
              <w:t>1.1</w:t>
            </w:r>
            <w:r>
              <w:rPr>
                <w:rFonts w:hint="eastAsia" w:ascii="仿宋" w:hAnsi="仿宋" w:eastAsia="仿宋" w:cs="仿宋_GB2312"/>
                <w:b/>
                <w:bCs/>
                <w:lang w:val="en-US"/>
              </w:rPr>
              <w:t>-</w:t>
            </w:r>
            <w:r>
              <w:rPr>
                <w:rFonts w:hint="eastAsia" w:ascii="仿宋" w:hAnsi="仿宋" w:eastAsia="仿宋" w:cs="仿宋_GB2312"/>
                <w:b/>
                <w:bCs/>
                <w:lang w:val="en-US" w:eastAsia="zh-CN"/>
              </w:rPr>
              <w:t>2.0</w:t>
            </w:r>
            <w:r>
              <w:rPr>
                <w:rFonts w:hint="eastAsia" w:ascii="仿宋" w:hAnsi="仿宋" w:eastAsia="仿宋" w:cs="仿宋_GB2312"/>
                <w:b/>
                <w:bCs/>
                <w:lang w:val="en-US"/>
              </w:rPr>
              <w:t>分，差的得</w:t>
            </w:r>
            <w:r>
              <w:rPr>
                <w:rFonts w:hint="eastAsia" w:ascii="仿宋" w:hAnsi="仿宋" w:eastAsia="仿宋" w:cs="仿宋_GB2312"/>
                <w:b/>
                <w:bCs/>
                <w:lang w:val="en-US" w:eastAsia="zh-CN"/>
              </w:rPr>
              <w:t>0.1</w:t>
            </w:r>
            <w:r>
              <w:rPr>
                <w:rFonts w:hint="eastAsia" w:ascii="仿宋" w:hAnsi="仿宋" w:eastAsia="仿宋" w:cs="仿宋_GB2312"/>
                <w:b/>
                <w:bCs/>
                <w:lang w:val="en-US"/>
              </w:rPr>
              <w:t>-</w:t>
            </w:r>
            <w:r>
              <w:rPr>
                <w:rFonts w:hint="eastAsia" w:ascii="仿宋" w:hAnsi="仿宋" w:eastAsia="仿宋" w:cs="仿宋_GB2312"/>
                <w:b/>
                <w:bCs/>
                <w:lang w:val="en-US" w:eastAsia="zh-CN"/>
              </w:rPr>
              <w:t>1.0</w:t>
            </w:r>
            <w:r>
              <w:rPr>
                <w:rFonts w:hint="eastAsia" w:ascii="仿宋" w:hAnsi="仿宋" w:eastAsia="仿宋" w:cs="仿宋_GB2312"/>
                <w:b/>
                <w:bCs/>
                <w:lang w:val="en-US"/>
              </w:rPr>
              <w:t>分，不提供不得分）</w:t>
            </w:r>
          </w:p>
        </w:tc>
        <w:tc>
          <w:tcPr>
            <w:tcW w:w="744" w:type="dxa"/>
            <w:vAlign w:val="center"/>
          </w:tcPr>
          <w:p w14:paraId="56E77599">
            <w:pPr>
              <w:widowControl/>
              <w:jc w:val="center"/>
              <w:rPr>
                <w:rFonts w:hint="default" w:ascii="仿宋" w:hAnsi="仿宋" w:eastAsia="仿宋" w:cs="仿宋_GB2312"/>
                <w:sz w:val="24"/>
                <w:lang w:val="en-US" w:eastAsia="zh-CN"/>
              </w:rPr>
            </w:pPr>
            <w:r>
              <w:rPr>
                <w:rFonts w:hint="eastAsia" w:ascii="仿宋" w:hAnsi="仿宋" w:eastAsia="仿宋" w:cs="仿宋_GB2312"/>
                <w:sz w:val="24"/>
                <w:highlight w:val="none"/>
                <w:lang w:val="en-US" w:eastAsia="zh-CN"/>
              </w:rPr>
              <w:t>11</w:t>
            </w:r>
          </w:p>
        </w:tc>
      </w:tr>
      <w:tr w14:paraId="1768B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864" w:type="dxa"/>
            <w:vAlign w:val="center"/>
          </w:tcPr>
          <w:p w14:paraId="79942118">
            <w:pPr>
              <w:widowControl/>
              <w:jc w:val="center"/>
              <w:rPr>
                <w:rFonts w:ascii="仿宋" w:hAnsi="仿宋" w:eastAsia="仿宋" w:cs="仿宋_GB2312"/>
                <w:sz w:val="24"/>
              </w:rPr>
            </w:pPr>
          </w:p>
        </w:tc>
        <w:tc>
          <w:tcPr>
            <w:tcW w:w="1056" w:type="dxa"/>
            <w:vAlign w:val="center"/>
          </w:tcPr>
          <w:p w14:paraId="1F16C2F0">
            <w:pPr>
              <w:widowControl/>
              <w:kinsoku w:val="0"/>
              <w:autoSpaceDE w:val="0"/>
              <w:autoSpaceDN w:val="0"/>
              <w:adjustRightInd/>
              <w:snapToGrid w:val="0"/>
              <w:spacing w:line="340" w:lineRule="exact"/>
              <w:jc w:val="center"/>
              <w:textAlignment w:val="baseline"/>
              <w:rPr>
                <w:rFonts w:hint="eastAsia" w:ascii="仿宋" w:hAnsi="仿宋" w:eastAsia="仿宋" w:cs="仿宋_GB2312"/>
                <w:sz w:val="24"/>
              </w:rPr>
            </w:pPr>
            <w:r>
              <w:rPr>
                <w:rFonts w:hint="eastAsia" w:ascii="仿宋" w:hAnsi="仿宋" w:eastAsia="仿宋" w:cs="宋体"/>
                <w:sz w:val="24"/>
                <w:lang w:val="zh-CN"/>
              </w:rPr>
              <w:t>业务能力</w:t>
            </w:r>
          </w:p>
        </w:tc>
        <w:tc>
          <w:tcPr>
            <w:tcW w:w="6821" w:type="dxa"/>
            <w:vAlign w:val="center"/>
          </w:tcPr>
          <w:p w14:paraId="7B833E49">
            <w:pPr>
              <w:widowControl/>
              <w:kinsoku w:val="0"/>
              <w:autoSpaceDE w:val="0"/>
              <w:autoSpaceDN w:val="0"/>
              <w:adjustRightInd/>
              <w:snapToGrid w:val="0"/>
              <w:spacing w:line="340" w:lineRule="exact"/>
              <w:textAlignment w:val="baseline"/>
              <w:rPr>
                <w:rFonts w:hint="eastAsia" w:ascii="仿宋" w:hAnsi="仿宋" w:eastAsia="仿宋" w:cs="仿宋_GB2312"/>
                <w:b/>
                <w:bCs/>
                <w:highlight w:val="yellow"/>
              </w:rPr>
            </w:pPr>
            <w:r>
              <w:rPr>
                <w:rFonts w:hint="eastAsia" w:ascii="仿宋" w:hAnsi="仿宋" w:eastAsia="仿宋" w:cs="宋体"/>
                <w:sz w:val="24"/>
              </w:rPr>
              <w:t>根据投标人提供的业务能力优势，如招标代理操作人员对项目所在</w:t>
            </w:r>
            <w:r>
              <w:rPr>
                <w:rFonts w:hint="eastAsia" w:ascii="仿宋" w:hAnsi="仿宋" w:eastAsia="仿宋" w:cs="宋体"/>
                <w:sz w:val="24"/>
                <w:highlight w:val="none"/>
              </w:rPr>
              <w:t>地交易平台的培训及熟练掌握程度、对项目所在地财政部门标底</w:t>
            </w:r>
            <w:r>
              <w:rPr>
                <w:rFonts w:hint="eastAsia" w:ascii="仿宋" w:hAnsi="仿宋" w:eastAsia="仿宋" w:cs="宋体"/>
                <w:sz w:val="24"/>
                <w:highlight w:val="none"/>
                <w:lang w:eastAsia="zh-CN"/>
              </w:rPr>
              <w:t>审核</w:t>
            </w:r>
            <w:r>
              <w:rPr>
                <w:rFonts w:hint="eastAsia" w:ascii="仿宋" w:hAnsi="仿宋" w:eastAsia="仿宋" w:cs="宋体"/>
                <w:sz w:val="24"/>
                <w:highlight w:val="none"/>
              </w:rPr>
              <w:t>口径的熟悉程度及类似项目经验，由评委进行评审</w:t>
            </w:r>
            <w:r>
              <w:rPr>
                <w:rFonts w:hint="eastAsia" w:ascii="仿宋" w:hAnsi="仿宋" w:eastAsia="仿宋" w:cs="仿宋_GB2312"/>
                <w:sz w:val="24"/>
                <w:highlight w:val="none"/>
                <w:lang w:val="en-US" w:eastAsia="zh-CN"/>
              </w:rPr>
              <w:t>。能熟练开展交易平台业务的、</w:t>
            </w:r>
            <w:r>
              <w:rPr>
                <w:rFonts w:hint="eastAsia" w:ascii="仿宋" w:hAnsi="仿宋" w:eastAsia="仿宋" w:cs="宋体"/>
                <w:sz w:val="24"/>
                <w:highlight w:val="none"/>
                <w:lang w:eastAsia="zh-CN"/>
              </w:rPr>
              <w:t>审核</w:t>
            </w:r>
            <w:r>
              <w:rPr>
                <w:rFonts w:hint="eastAsia" w:ascii="仿宋" w:hAnsi="仿宋" w:eastAsia="仿宋" w:cs="仿宋_GB2312"/>
                <w:sz w:val="24"/>
                <w:highlight w:val="none"/>
                <w:lang w:val="en-US" w:eastAsia="zh-CN"/>
              </w:rPr>
              <w:t>经验丰富得2.1-3.0分，比较能熟练开展交易平台业务的、</w:t>
            </w:r>
            <w:r>
              <w:rPr>
                <w:rFonts w:hint="eastAsia" w:ascii="仿宋" w:hAnsi="仿宋" w:eastAsia="仿宋" w:cs="宋体"/>
                <w:sz w:val="24"/>
                <w:highlight w:val="none"/>
                <w:lang w:eastAsia="zh-CN"/>
              </w:rPr>
              <w:t>审核</w:t>
            </w:r>
            <w:r>
              <w:rPr>
                <w:rFonts w:hint="eastAsia" w:ascii="仿宋" w:hAnsi="仿宋" w:eastAsia="仿宋" w:cs="仿宋_GB2312"/>
                <w:sz w:val="24"/>
                <w:highlight w:val="none"/>
                <w:lang w:val="en-US" w:eastAsia="zh-CN"/>
              </w:rPr>
              <w:t>较丰富的得1.1-2.0分，基本能开展交易平台业务的、</w:t>
            </w:r>
            <w:r>
              <w:rPr>
                <w:rFonts w:hint="eastAsia" w:ascii="仿宋" w:hAnsi="仿宋" w:eastAsia="仿宋" w:cs="宋体"/>
                <w:sz w:val="24"/>
                <w:highlight w:val="none"/>
                <w:lang w:eastAsia="zh-CN"/>
              </w:rPr>
              <w:t>审核</w:t>
            </w:r>
            <w:r>
              <w:rPr>
                <w:rFonts w:hint="eastAsia" w:ascii="仿宋" w:hAnsi="仿宋" w:eastAsia="仿宋" w:cs="仿宋_GB2312"/>
                <w:sz w:val="24"/>
                <w:highlight w:val="none"/>
                <w:lang w:val="en-US" w:eastAsia="zh-CN"/>
              </w:rPr>
              <w:t>欠丰富的得0.1-1.0分，不提供不得分</w:t>
            </w:r>
            <w:r>
              <w:rPr>
                <w:rFonts w:hint="eastAsia" w:ascii="仿宋" w:hAnsi="仿宋" w:eastAsia="仿宋" w:cs="宋体"/>
                <w:sz w:val="24"/>
                <w:highlight w:val="none"/>
              </w:rPr>
              <w:t>。</w:t>
            </w:r>
          </w:p>
        </w:tc>
        <w:tc>
          <w:tcPr>
            <w:tcW w:w="744" w:type="dxa"/>
            <w:vAlign w:val="center"/>
          </w:tcPr>
          <w:p w14:paraId="2ECC651F">
            <w:pPr>
              <w:widowControl/>
              <w:jc w:val="center"/>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3</w:t>
            </w:r>
          </w:p>
        </w:tc>
      </w:tr>
    </w:tbl>
    <w:p w14:paraId="0E4D681B">
      <w:pPr>
        <w:widowControl/>
        <w:spacing w:line="360" w:lineRule="auto"/>
        <w:ind w:firstLine="482" w:firstLineChars="200"/>
        <w:rPr>
          <w:rFonts w:hint="eastAsia" w:ascii="仿宋" w:hAnsi="仿宋" w:eastAsia="仿宋" w:cs="仿宋_GB2312"/>
          <w:b/>
          <w:sz w:val="24"/>
        </w:rPr>
      </w:pPr>
      <w:r>
        <w:rPr>
          <w:rFonts w:hint="eastAsia" w:ascii="仿宋" w:hAnsi="仿宋" w:eastAsia="仿宋" w:cs="仿宋_GB2312"/>
          <w:b/>
          <w:sz w:val="24"/>
          <w:lang w:eastAsia="zh-CN"/>
        </w:rPr>
        <w:t>注：</w:t>
      </w:r>
      <w:r>
        <w:rPr>
          <w:rFonts w:hint="eastAsia" w:ascii="仿宋" w:eastAsia="仿宋"/>
          <w:b/>
          <w:bCs w:val="0"/>
          <w:kern w:val="0"/>
          <w:sz w:val="24"/>
        </w:rPr>
        <w:t>须具有土木建筑工程专业注册一级造价工程师执业资格（2018年7月20日发布“建人[2018]67号”文件之前取得的造价工程师与一级等同）。</w:t>
      </w:r>
    </w:p>
    <w:p w14:paraId="0D425D6C">
      <w:pPr>
        <w:widowControl/>
        <w:spacing w:line="360" w:lineRule="auto"/>
        <w:ind w:firstLine="482" w:firstLineChars="200"/>
        <w:rPr>
          <w:rFonts w:ascii="仿宋" w:hAnsi="仿宋" w:eastAsia="仿宋" w:cs="仿宋_GB2312"/>
          <w:b/>
          <w:sz w:val="24"/>
        </w:rPr>
      </w:pPr>
      <w:r>
        <w:rPr>
          <w:rFonts w:hint="eastAsia" w:ascii="仿宋" w:hAnsi="仿宋" w:eastAsia="仿宋" w:cs="仿宋_GB2312"/>
          <w:b/>
          <w:sz w:val="24"/>
        </w:rPr>
        <w:t>22</w:t>
      </w:r>
      <w:r>
        <w:rPr>
          <w:rFonts w:ascii="仿宋" w:hAnsi="仿宋" w:eastAsia="仿宋" w:cs="仿宋_GB2312"/>
          <w:b/>
          <w:sz w:val="24"/>
        </w:rPr>
        <w:t>.</w:t>
      </w:r>
      <w:r>
        <w:rPr>
          <w:rFonts w:hint="eastAsia" w:ascii="仿宋" w:hAnsi="仿宋" w:eastAsia="仿宋" w:cs="仿宋_GB2312"/>
          <w:b/>
          <w:sz w:val="24"/>
        </w:rPr>
        <w:t>价格分（</w:t>
      </w:r>
      <w:r>
        <w:rPr>
          <w:rFonts w:hint="eastAsia" w:ascii="仿宋" w:hAnsi="仿宋" w:eastAsia="仿宋" w:cs="Arial"/>
          <w:b/>
          <w:kern w:val="0"/>
          <w:sz w:val="24"/>
          <w:lang w:val="en-US" w:eastAsia="zh-CN"/>
        </w:rPr>
        <w:t>75</w:t>
      </w:r>
      <w:r>
        <w:rPr>
          <w:rFonts w:hint="eastAsia" w:ascii="仿宋" w:hAnsi="仿宋" w:eastAsia="仿宋" w:cs="仿宋_GB2312"/>
          <w:b/>
          <w:sz w:val="24"/>
        </w:rPr>
        <w:t>分）</w:t>
      </w:r>
    </w:p>
    <w:p w14:paraId="59DD3562">
      <w:pPr>
        <w:spacing w:line="440" w:lineRule="exact"/>
        <w:ind w:right="78" w:rightChars="37" w:firstLine="480" w:firstLineChars="200"/>
        <w:rPr>
          <w:rFonts w:ascii="宋体" w:hAnsi="宋体" w:cs="宋体"/>
          <w:sz w:val="24"/>
          <w:highlight w:val="none"/>
        </w:rPr>
      </w:pPr>
      <w:r>
        <w:rPr>
          <w:rFonts w:hint="eastAsia" w:ascii="宋体" w:hAnsi="宋体" w:cs="宋体"/>
          <w:sz w:val="24"/>
        </w:rPr>
        <w:t>22.1、期望比率为85%-97%；投标比率Xi=投标总价/投标总价上限价。投标单位比率</w:t>
      </w:r>
      <w:r>
        <w:rPr>
          <w:rFonts w:hint="eastAsia" w:ascii="宋体" w:hAnsi="宋体" w:cs="宋体"/>
          <w:sz w:val="24"/>
          <w:highlight w:val="none"/>
        </w:rPr>
        <w:t>超出报价区间范围的，作废标处理。</w:t>
      </w:r>
    </w:p>
    <w:p w14:paraId="394B6700">
      <w:pPr>
        <w:spacing w:line="440" w:lineRule="exact"/>
        <w:ind w:right="78" w:rightChars="37" w:firstLine="480" w:firstLineChars="200"/>
        <w:rPr>
          <w:rFonts w:ascii="宋体" w:hAnsi="宋体" w:cs="宋体"/>
          <w:color w:val="000000"/>
          <w:kern w:val="0"/>
          <w:sz w:val="24"/>
          <w:highlight w:val="none"/>
        </w:rPr>
      </w:pPr>
      <w:r>
        <w:rPr>
          <w:rFonts w:hint="eastAsia" w:ascii="宋体" w:hAnsi="宋体" w:cs="宋体"/>
          <w:sz w:val="24"/>
          <w:highlight w:val="none"/>
        </w:rPr>
        <w:t>22.2、比率区间抽签值共设</w:t>
      </w:r>
      <w:r>
        <w:rPr>
          <w:rFonts w:hint="eastAsia" w:ascii="宋体" w:hAnsi="宋体" w:cs="宋体"/>
          <w:sz w:val="24"/>
          <w:highlight w:val="none"/>
          <w:lang w:val="en-US" w:eastAsia="zh-CN"/>
        </w:rPr>
        <w:t>25</w:t>
      </w:r>
      <w:r>
        <w:rPr>
          <w:rFonts w:hint="eastAsia" w:ascii="宋体" w:hAnsi="宋体" w:cs="宋体"/>
          <w:sz w:val="24"/>
          <w:highlight w:val="none"/>
        </w:rPr>
        <w:t>个数字，分别代表为：比率85%、85</w:t>
      </w:r>
      <w:r>
        <w:rPr>
          <w:rFonts w:hint="eastAsia" w:ascii="宋体" w:hAnsi="宋体" w:cs="宋体"/>
          <w:sz w:val="24"/>
          <w:highlight w:val="none"/>
          <w:lang w:val="en-US" w:eastAsia="zh-CN"/>
        </w:rPr>
        <w:t>.5</w:t>
      </w:r>
      <w:r>
        <w:rPr>
          <w:rFonts w:hint="eastAsia" w:ascii="宋体" w:hAnsi="宋体" w:cs="宋体"/>
          <w:sz w:val="24"/>
          <w:highlight w:val="none"/>
        </w:rPr>
        <w:t>%、</w:t>
      </w:r>
      <w:r>
        <w:rPr>
          <w:rFonts w:hint="eastAsia" w:ascii="宋体" w:hAnsi="宋体" w:cs="宋体"/>
          <w:sz w:val="24"/>
          <w:highlight w:val="none"/>
          <w:lang w:val="en-US" w:eastAsia="zh-CN"/>
        </w:rPr>
        <w:t>86%，86.5%、</w:t>
      </w:r>
      <w:r>
        <w:rPr>
          <w:rFonts w:hint="eastAsia" w:ascii="宋体" w:hAnsi="宋体" w:cs="宋体"/>
          <w:sz w:val="24"/>
          <w:highlight w:val="none"/>
        </w:rPr>
        <w:t>87%</w:t>
      </w:r>
      <w:r>
        <w:rPr>
          <w:rFonts w:hint="eastAsia" w:ascii="宋体" w:hAnsi="宋体" w:cs="宋体"/>
          <w:color w:val="000000"/>
          <w:kern w:val="0"/>
          <w:sz w:val="24"/>
          <w:highlight w:val="none"/>
        </w:rPr>
        <w:t>、</w:t>
      </w:r>
      <w:r>
        <w:rPr>
          <w:rFonts w:hint="eastAsia" w:ascii="宋体" w:hAnsi="宋体" w:cs="宋体"/>
          <w:color w:val="000000"/>
          <w:kern w:val="0"/>
          <w:sz w:val="24"/>
          <w:highlight w:val="none"/>
          <w:lang w:val="en-US" w:eastAsia="zh-CN"/>
        </w:rPr>
        <w:t>87.5%、88%、88.5%、</w:t>
      </w:r>
      <w:r>
        <w:rPr>
          <w:rFonts w:hint="eastAsia" w:ascii="宋体" w:hAnsi="宋体" w:cs="宋体"/>
          <w:color w:val="000000"/>
          <w:kern w:val="0"/>
          <w:sz w:val="24"/>
          <w:highlight w:val="none"/>
        </w:rPr>
        <w:t>89%、</w:t>
      </w:r>
      <w:r>
        <w:rPr>
          <w:rFonts w:hint="eastAsia" w:ascii="宋体" w:hAnsi="宋体" w:cs="宋体"/>
          <w:color w:val="000000"/>
          <w:kern w:val="0"/>
          <w:sz w:val="24"/>
          <w:highlight w:val="none"/>
          <w:lang w:val="en-US" w:eastAsia="zh-CN"/>
        </w:rPr>
        <w:t>89.5%、90%、90.5%、</w:t>
      </w:r>
      <w:r>
        <w:rPr>
          <w:rFonts w:hint="eastAsia" w:ascii="宋体" w:hAnsi="宋体" w:cs="宋体"/>
          <w:color w:val="000000"/>
          <w:kern w:val="0"/>
          <w:sz w:val="24"/>
          <w:highlight w:val="none"/>
        </w:rPr>
        <w:t>91%、</w:t>
      </w:r>
      <w:r>
        <w:rPr>
          <w:rFonts w:hint="eastAsia" w:ascii="宋体" w:hAnsi="宋体" w:cs="宋体"/>
          <w:color w:val="000000"/>
          <w:kern w:val="0"/>
          <w:sz w:val="24"/>
          <w:highlight w:val="none"/>
          <w:lang w:val="en-US" w:eastAsia="zh-CN"/>
        </w:rPr>
        <w:t>91.5%、92%、92.5%、</w:t>
      </w:r>
      <w:r>
        <w:rPr>
          <w:rFonts w:hint="eastAsia" w:ascii="宋体" w:hAnsi="宋体" w:cs="宋体"/>
          <w:sz w:val="24"/>
          <w:highlight w:val="none"/>
        </w:rPr>
        <w:t>93%</w:t>
      </w:r>
      <w:r>
        <w:rPr>
          <w:rFonts w:hint="eastAsia" w:ascii="宋体" w:hAnsi="宋体" w:cs="宋体"/>
          <w:color w:val="000000"/>
          <w:kern w:val="0"/>
          <w:sz w:val="24"/>
          <w:highlight w:val="none"/>
        </w:rPr>
        <w:t>、</w:t>
      </w:r>
      <w:r>
        <w:rPr>
          <w:rFonts w:hint="eastAsia" w:ascii="宋体" w:hAnsi="宋体" w:cs="宋体"/>
          <w:color w:val="000000"/>
          <w:kern w:val="0"/>
          <w:sz w:val="24"/>
          <w:highlight w:val="none"/>
          <w:lang w:val="en-US" w:eastAsia="zh-CN"/>
        </w:rPr>
        <w:t>93.5%、94%、94.5%、</w:t>
      </w:r>
      <w:r>
        <w:rPr>
          <w:rFonts w:hint="eastAsia" w:ascii="宋体" w:hAnsi="宋体" w:cs="宋体"/>
          <w:color w:val="000000"/>
          <w:kern w:val="0"/>
          <w:sz w:val="24"/>
          <w:highlight w:val="none"/>
        </w:rPr>
        <w:t>95%、</w:t>
      </w:r>
      <w:r>
        <w:rPr>
          <w:rFonts w:hint="eastAsia" w:ascii="宋体" w:hAnsi="宋体" w:cs="宋体"/>
          <w:color w:val="000000"/>
          <w:kern w:val="0"/>
          <w:sz w:val="24"/>
          <w:highlight w:val="none"/>
          <w:lang w:val="en-US" w:eastAsia="zh-CN"/>
        </w:rPr>
        <w:t>95.5%、96%、96.5%、</w:t>
      </w:r>
      <w:r>
        <w:rPr>
          <w:rFonts w:hint="eastAsia" w:ascii="宋体" w:hAnsi="宋体" w:cs="宋体"/>
          <w:color w:val="000000"/>
          <w:kern w:val="0"/>
          <w:sz w:val="24"/>
          <w:highlight w:val="none"/>
        </w:rPr>
        <w:t>97% ；</w:t>
      </w:r>
    </w:p>
    <w:p w14:paraId="7D7C13F3">
      <w:pPr>
        <w:spacing w:line="440" w:lineRule="exact"/>
        <w:ind w:right="78" w:rightChars="37" w:firstLine="480" w:firstLineChars="200"/>
        <w:rPr>
          <w:rFonts w:ascii="宋体" w:hAnsi="宋体" w:cs="宋体"/>
          <w:sz w:val="24"/>
        </w:rPr>
      </w:pPr>
      <w:r>
        <w:rPr>
          <w:rFonts w:hint="eastAsia" w:ascii="宋体" w:hAnsi="宋体" w:cs="宋体"/>
          <w:sz w:val="24"/>
        </w:rPr>
        <w:t>22.3、招标人代表在招标文件确定的比率区间内各抽取2个比率（X1、X2），算术平均后确定为满分比率X；投标人的投标比率与之相除，当投标比率等于满分比率时得满分</w:t>
      </w:r>
      <w:r>
        <w:rPr>
          <w:rFonts w:hint="eastAsia" w:ascii="宋体" w:hAnsi="宋体" w:cs="宋体"/>
          <w:sz w:val="24"/>
          <w:lang w:val="en-US" w:eastAsia="zh-CN"/>
        </w:rPr>
        <w:t>75</w:t>
      </w:r>
      <w:r>
        <w:rPr>
          <w:rFonts w:hint="eastAsia" w:ascii="宋体" w:hAnsi="宋体" w:cs="宋体"/>
          <w:sz w:val="24"/>
        </w:rPr>
        <w:t>分；每小于满分比率1个百分点扣0.6分；大于满分比率1个百分点扣1分；不足部分按比例扣除。</w:t>
      </w:r>
    </w:p>
    <w:p w14:paraId="762D0AB3">
      <w:pPr>
        <w:spacing w:line="440" w:lineRule="exact"/>
        <w:ind w:right="78" w:rightChars="37" w:firstLine="480" w:firstLineChars="200"/>
        <w:rPr>
          <w:rFonts w:ascii="宋体" w:hAnsi="宋体" w:cs="宋体"/>
          <w:sz w:val="24"/>
        </w:rPr>
      </w:pPr>
      <w:r>
        <w:rPr>
          <w:rFonts w:hint="eastAsia" w:ascii="宋体" w:hAnsi="宋体" w:cs="宋体"/>
          <w:sz w:val="24"/>
        </w:rPr>
        <w:t>22.4、 满分比率计算公式： X=(X1＋X2)/2</w:t>
      </w:r>
    </w:p>
    <w:p w14:paraId="45AAB746">
      <w:pPr>
        <w:spacing w:line="440" w:lineRule="exact"/>
        <w:ind w:right="78" w:rightChars="37" w:firstLine="480" w:firstLineChars="200"/>
        <w:rPr>
          <w:rFonts w:ascii="宋体" w:hAnsi="宋体" w:cs="宋体"/>
          <w:sz w:val="24"/>
        </w:rPr>
      </w:pPr>
      <w:r>
        <w:rPr>
          <w:rFonts w:hint="eastAsia" w:ascii="宋体" w:hAnsi="宋体" w:cs="宋体"/>
          <w:sz w:val="24"/>
        </w:rPr>
        <w:t>22.5、计算规则： Xi为</w:t>
      </w:r>
      <w:r>
        <w:rPr>
          <w:rFonts w:hint="eastAsia" w:ascii="宋体" w:hAnsi="宋体" w:cs="宋体"/>
          <w:sz w:val="24"/>
          <w:highlight w:val="none"/>
        </w:rPr>
        <w:t>各投标单位的投标比率（当Xi＞X时，得分＝</w:t>
      </w:r>
      <w:r>
        <w:rPr>
          <w:rFonts w:hint="eastAsia" w:ascii="宋体" w:hAnsi="宋体" w:cs="宋体"/>
          <w:sz w:val="24"/>
          <w:highlight w:val="none"/>
          <w:lang w:val="en-US" w:eastAsia="zh-CN"/>
        </w:rPr>
        <w:t>75</w:t>
      </w:r>
      <w:r>
        <w:rPr>
          <w:rFonts w:hint="eastAsia" w:ascii="宋体" w:hAnsi="宋体" w:cs="宋体"/>
          <w:sz w:val="24"/>
          <w:highlight w:val="none"/>
        </w:rPr>
        <w:t>―（Xi―X）/X×100×1；当Xi＜X时，得分＝</w:t>
      </w:r>
      <w:r>
        <w:rPr>
          <w:rFonts w:hint="eastAsia" w:ascii="宋体" w:hAnsi="宋体" w:cs="宋体"/>
          <w:sz w:val="24"/>
          <w:highlight w:val="none"/>
          <w:lang w:val="en-US" w:eastAsia="zh-CN"/>
        </w:rPr>
        <w:t>75</w:t>
      </w:r>
      <w:r>
        <w:rPr>
          <w:rFonts w:hint="eastAsia" w:ascii="宋体" w:hAnsi="宋体" w:cs="宋体"/>
          <w:sz w:val="24"/>
          <w:highlight w:val="none"/>
        </w:rPr>
        <w:t>―（X―Xi）/X×</w:t>
      </w:r>
      <w:r>
        <w:rPr>
          <w:rFonts w:hint="eastAsia" w:ascii="宋体" w:hAnsi="宋体" w:cs="宋体"/>
          <w:sz w:val="24"/>
        </w:rPr>
        <w:t>100×0.6。）</w:t>
      </w:r>
    </w:p>
    <w:p w14:paraId="7B52BCFE">
      <w:pPr>
        <w:pStyle w:val="58"/>
        <w:ind w:firstLine="480" w:firstLineChars="200"/>
      </w:pPr>
      <w:r>
        <w:rPr>
          <w:rFonts w:hint="eastAsia" w:ascii="宋体" w:hAnsi="宋体" w:cs="宋体"/>
          <w:sz w:val="24"/>
          <w:szCs w:val="24"/>
        </w:rPr>
        <w:t>22.6</w:t>
      </w:r>
      <w:r>
        <w:rPr>
          <w:rFonts w:hint="eastAsia" w:ascii="宋体" w:hAnsi="宋体" w:cs="宋体"/>
          <w:sz w:val="24"/>
        </w:rPr>
        <w:t>、</w:t>
      </w:r>
      <w:r>
        <w:rPr>
          <w:rFonts w:hint="eastAsia" w:ascii="宋体" w:hAnsi="宋体" w:cs="宋体"/>
          <w:sz w:val="24"/>
          <w:szCs w:val="24"/>
        </w:rPr>
        <w:t>如果用数字表示的数额与用文字表示的数额不一致时，以文字数额为准。</w:t>
      </w:r>
      <w:r>
        <w:rPr>
          <w:rFonts w:hint="eastAsia"/>
        </w:rPr>
        <w:t> </w:t>
      </w:r>
    </w:p>
    <w:p w14:paraId="4598D561">
      <w:pPr>
        <w:spacing w:line="440" w:lineRule="exact"/>
        <w:ind w:right="78" w:rightChars="37" w:firstLine="480" w:firstLineChars="200"/>
        <w:rPr>
          <w:rFonts w:ascii="宋体" w:hAnsi="宋体" w:cs="宋体"/>
          <w:sz w:val="24"/>
        </w:rPr>
      </w:pPr>
      <w:r>
        <w:rPr>
          <w:rFonts w:hint="eastAsia" w:ascii="宋体" w:hAnsi="宋体" w:cs="宋体"/>
          <w:sz w:val="24"/>
        </w:rPr>
        <w:t>22.7、按得分高低确定1名中标候选人；当得分出现并列时，由招标人当场抽签确定。</w:t>
      </w:r>
    </w:p>
    <w:p w14:paraId="5E6B721A">
      <w:pPr>
        <w:widowControl/>
        <w:spacing w:line="360" w:lineRule="auto"/>
        <w:ind w:firstLine="480" w:firstLineChars="200"/>
        <w:rPr>
          <w:rFonts w:ascii="仿宋" w:hAnsi="仿宋" w:eastAsia="仿宋" w:cs="仿宋_GB2312"/>
          <w:sz w:val="24"/>
        </w:rPr>
      </w:pPr>
    </w:p>
    <w:p w14:paraId="5C5D047D">
      <w:pPr>
        <w:widowControl/>
        <w:spacing w:line="360" w:lineRule="auto"/>
        <w:ind w:firstLine="480" w:firstLineChars="200"/>
        <w:jc w:val="center"/>
        <w:rPr>
          <w:rFonts w:ascii="仿宋" w:hAnsi="仿宋" w:eastAsia="仿宋" w:cs="仿宋_GB2312"/>
          <w:b/>
          <w:sz w:val="36"/>
          <w:szCs w:val="36"/>
        </w:rPr>
      </w:pPr>
      <w:r>
        <w:rPr>
          <w:rFonts w:hint="eastAsia" w:ascii="仿宋" w:hAnsi="仿宋" w:eastAsia="仿宋" w:cs="仿宋_GB2312"/>
          <w:sz w:val="24"/>
        </w:rPr>
        <w:br w:type="page"/>
      </w:r>
      <w:r>
        <w:rPr>
          <w:rFonts w:hint="eastAsia" w:ascii="仿宋" w:hAnsi="仿宋" w:eastAsia="仿宋" w:cs="仿宋_GB2312"/>
          <w:b/>
          <w:sz w:val="36"/>
          <w:szCs w:val="36"/>
        </w:rPr>
        <w:t>第五部分</w:t>
      </w:r>
      <w:bookmarkEnd w:id="61"/>
      <w:r>
        <w:rPr>
          <w:rFonts w:hint="eastAsia" w:ascii="仿宋" w:hAnsi="仿宋" w:eastAsia="仿宋" w:cs="仿宋_GB2312"/>
          <w:b/>
          <w:sz w:val="36"/>
          <w:szCs w:val="36"/>
        </w:rPr>
        <w:t xml:space="preserve"> 拟签订的合同文本</w:t>
      </w:r>
    </w:p>
    <w:p w14:paraId="1AC0BF58">
      <w:pPr>
        <w:widowControl/>
        <w:snapToGrid w:val="0"/>
        <w:spacing w:line="480" w:lineRule="exact"/>
        <w:rPr>
          <w:rFonts w:ascii="仿宋" w:eastAsia="仿宋"/>
          <w:b/>
          <w:bCs/>
          <w:kern w:val="0"/>
          <w:sz w:val="24"/>
          <w:u w:val="single"/>
        </w:rPr>
      </w:pPr>
      <w:bookmarkStart w:id="427" w:name="第五部分"/>
      <w:bookmarkStart w:id="428" w:name="_Toc86217003"/>
      <w:r>
        <w:rPr>
          <w:rFonts w:hint="eastAsia" w:ascii="仿宋" w:eastAsia="仿宋"/>
          <w:b/>
          <w:bCs/>
          <w:kern w:val="0"/>
          <w:sz w:val="24"/>
          <w:u w:val="single"/>
        </w:rPr>
        <w:t>（合同按采购文件及中标供应商投标文件的内容制定，以下仅为部分主要条款）</w:t>
      </w:r>
    </w:p>
    <w:p w14:paraId="3B14F514">
      <w:pPr>
        <w:pStyle w:val="23"/>
        <w:snapToGrid w:val="0"/>
        <w:spacing w:line="360" w:lineRule="auto"/>
        <w:ind w:firstLine="0" w:firstLineChars="0"/>
        <w:rPr>
          <w:rFonts w:ascii="仿宋" w:hAnsi="仿宋" w:eastAsia="仿宋" w:cs="仿宋_GB2312"/>
        </w:rPr>
      </w:pPr>
      <w:r>
        <w:rPr>
          <w:rFonts w:hint="eastAsia" w:ascii="仿宋" w:hAnsi="仿宋" w:eastAsia="仿宋" w:cs="仿宋_GB2312"/>
        </w:rPr>
        <w:t>（服务类样本）</w:t>
      </w:r>
    </w:p>
    <w:p w14:paraId="4D91400A">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                                     合同编号：</w:t>
      </w:r>
    </w:p>
    <w:p w14:paraId="63F4F442">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                                     确认书号：</w:t>
      </w:r>
    </w:p>
    <w:p w14:paraId="30E6D6C0">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甲方（采购人）： </w:t>
      </w:r>
    </w:p>
    <w:p w14:paraId="77B50D35">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乙方（供应商）： </w:t>
      </w:r>
    </w:p>
    <w:p w14:paraId="1614D387">
      <w:pPr>
        <w:widowControl/>
        <w:snapToGrid w:val="0"/>
        <w:spacing w:line="480" w:lineRule="exact"/>
        <w:ind w:firstLine="480" w:firstLineChars="200"/>
        <w:rPr>
          <w:rFonts w:ascii="仿宋" w:eastAsia="仿宋"/>
          <w:kern w:val="0"/>
          <w:sz w:val="24"/>
        </w:rPr>
      </w:pPr>
    </w:p>
    <w:p w14:paraId="4F88CE16">
      <w:pPr>
        <w:widowControl/>
        <w:snapToGrid w:val="0"/>
        <w:spacing w:line="480" w:lineRule="exact"/>
        <w:ind w:firstLine="480" w:firstLineChars="200"/>
        <w:rPr>
          <w:rFonts w:ascii="仿宋" w:eastAsia="仿宋"/>
          <w:kern w:val="0"/>
          <w:sz w:val="24"/>
        </w:rPr>
      </w:pPr>
      <w:r>
        <w:rPr>
          <w:rFonts w:hint="eastAsia" w:ascii="仿宋" w:eastAsia="仿宋"/>
          <w:kern w:val="0"/>
          <w:sz w:val="24"/>
        </w:rPr>
        <w:t>甲、乙双方根据</w:t>
      </w:r>
      <w:r>
        <w:rPr>
          <w:rFonts w:hint="eastAsia" w:ascii="仿宋" w:eastAsia="仿宋"/>
          <w:kern w:val="0"/>
          <w:sz w:val="24"/>
          <w:u w:val="single"/>
        </w:rPr>
        <w:t xml:space="preserve">    （填写采购代理机构名称）   </w:t>
      </w:r>
      <w:r>
        <w:rPr>
          <w:rFonts w:hint="eastAsia" w:ascii="仿宋" w:eastAsia="仿宋"/>
          <w:kern w:val="0"/>
          <w:sz w:val="24"/>
        </w:rPr>
        <w:t>项目编号为的</w:t>
      </w:r>
      <w:r>
        <w:rPr>
          <w:rFonts w:hint="eastAsia" w:ascii="仿宋" w:eastAsia="仿宋"/>
          <w:kern w:val="0"/>
          <w:sz w:val="24"/>
          <w:u w:val="single"/>
        </w:rPr>
        <w:t>（标项及名称）</w:t>
      </w:r>
      <w:r>
        <w:rPr>
          <w:rFonts w:hint="eastAsia" w:ascii="仿宋" w:eastAsia="仿宋"/>
          <w:kern w:val="0"/>
          <w:sz w:val="24"/>
        </w:rPr>
        <w:t>项目的国企采购交易结果，签署本合同。</w:t>
      </w:r>
    </w:p>
    <w:p w14:paraId="2640B8C5">
      <w:pPr>
        <w:widowControl/>
        <w:numPr>
          <w:ilvl w:val="0"/>
          <w:numId w:val="3"/>
        </w:numPr>
        <w:adjustRightInd/>
        <w:snapToGrid w:val="0"/>
        <w:spacing w:line="560" w:lineRule="exact"/>
        <w:rPr>
          <w:rFonts w:ascii="仿宋" w:hAnsi="仿宋" w:eastAsia="仿宋"/>
          <w:b/>
          <w:sz w:val="24"/>
          <w:szCs w:val="20"/>
        </w:rPr>
      </w:pPr>
      <w:r>
        <w:rPr>
          <w:rFonts w:hint="eastAsia" w:ascii="仿宋" w:hAnsi="仿宋" w:eastAsia="仿宋"/>
          <w:b/>
          <w:sz w:val="24"/>
          <w:szCs w:val="20"/>
        </w:rPr>
        <w:t>服务内容及要求</w:t>
      </w:r>
    </w:p>
    <w:p w14:paraId="27F9D3F0">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1、临空光电信息产业园区西区一期配套道路包括：</w:t>
      </w:r>
    </w:p>
    <w:p w14:paraId="06CD6950">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（1）兴业路：南起霓裳路，北至杭甬客运专线。道路长约389米，红线宽18米，城市支路，双向二车道，建安费约为770万元。</w:t>
      </w:r>
    </w:p>
    <w:p w14:paraId="54A5474B">
      <w:pPr>
        <w:spacing w:line="560" w:lineRule="exact"/>
        <w:ind w:firstLine="480" w:firstLineChars="200"/>
        <w:rPr>
          <w:rFonts w:hint="default"/>
          <w:lang w:val="en-US" w:eastAsia="zh-CN"/>
        </w:rPr>
      </w:pPr>
      <w:r>
        <w:rPr>
          <w:rFonts w:hint="eastAsia" w:ascii="仿宋" w:hAnsi="仿宋" w:eastAsia="仿宋"/>
          <w:sz w:val="24"/>
          <w:szCs w:val="28"/>
          <w:highlight w:val="none"/>
          <w:lang w:val="en-US" w:eastAsia="zh-CN"/>
        </w:rPr>
        <w:t>（2）霓裳路：西起万绣路，东至规划东沙路。道路长700米，红线宽28米，城市次干路，双向四车道包含一座1×16m桥梁，建安费约为3200万元。</w:t>
      </w:r>
    </w:p>
    <w:p w14:paraId="5C5D1CD2">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（3）园北路：西起QQ-02-03-46地块西北角，东至规划东沙路。道路长413米，红线宽18米，城市支路，双向二车道。建安费约为820万元。</w:t>
      </w:r>
    </w:p>
    <w:p w14:paraId="34FC0831">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（4）东沙路：南起群贤路，北至霓裳路。道路长492米，红线宽28米，城市次干路，双向四车道，包含一座1×13m桥梁，建安费约为2490万元。</w:t>
      </w:r>
    </w:p>
    <w:p w14:paraId="250558F6">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（5）群贤路（万绣路—东沙路段）：单侧往南拓宽约6.75米，总长约650米，主要补全南侧侧分带、非机动车道及人行道。建安费估算约615万元。</w:t>
      </w:r>
    </w:p>
    <w:p w14:paraId="3C949DDB">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（6）万绣路（群贤路—瓜渚路段）：往东拓宽，主要补全人行道，及桥下地块接入道路，总长约950m，建安费估算约1064万元。</w:t>
      </w:r>
    </w:p>
    <w:p w14:paraId="6A17A053">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2、临空智能制造产业园北区一期配套道路包括：</w:t>
      </w:r>
    </w:p>
    <w:p w14:paraId="2D2D51BE">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（1）中兴路：西起建吴路东侧现状河道，东至规划螺山路。道路长约980米，红线宽22米，城市次干路，双向二车道，包含3×10m桥梁一座，建安费约为4250万元。</w:t>
      </w:r>
    </w:p>
    <w:p w14:paraId="43C00AEB">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（2）滨江路：西起建吴路东侧现状河道，东至规划公园路。道路长547米，红线宽16米，城市支路，双向二车道，建安费约为1100万元。</w:t>
      </w:r>
    </w:p>
    <w:p w14:paraId="46B93696">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（3）螺山路：北起规划中兴路，南至杨江大道。道路长274米，红线宽20米，城市支路，双向二车道，建安费约为727万元。</w:t>
      </w:r>
    </w:p>
    <w:p w14:paraId="2B73A8D2">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（4）公园路：北起规划滨江路，南至杨江大道。道路长469米，红线宽22米，城市次干路，双线二车道，建安费约为1485万元。</w:t>
      </w:r>
    </w:p>
    <w:p w14:paraId="0B709A69">
      <w:pPr>
        <w:spacing w:line="560" w:lineRule="exact"/>
        <w:ind w:firstLine="480" w:firstLineChars="200"/>
        <w:rPr>
          <w:rFonts w:hint="eastAsia" w:ascii="仿宋" w:hAnsi="仿宋" w:eastAsia="仿宋"/>
          <w:sz w:val="24"/>
          <w:szCs w:val="28"/>
          <w:highlight w:val="none"/>
          <w:lang w:val="en-US" w:eastAsia="zh-CN"/>
        </w:rPr>
      </w:pPr>
      <w:r>
        <w:rPr>
          <w:rFonts w:hint="eastAsia" w:ascii="仿宋" w:hAnsi="仿宋" w:eastAsia="仿宋"/>
          <w:sz w:val="24"/>
          <w:szCs w:val="28"/>
          <w:highlight w:val="none"/>
          <w:lang w:val="en-US" w:eastAsia="zh-CN"/>
        </w:rPr>
        <w:t>（5）紫辰路：北起规划滨江路，南至杨江大道。道路长274米，红线宽18米，城市支路，双向二车道，建安费约为574万元。</w:t>
      </w:r>
    </w:p>
    <w:p w14:paraId="7B5CC9F7">
      <w:pPr>
        <w:spacing w:line="560" w:lineRule="exact"/>
        <w:ind w:firstLine="480" w:firstLineChars="200"/>
        <w:rPr>
          <w:rFonts w:ascii="仿宋" w:hAnsi="仿宋" w:eastAsia="仿宋"/>
          <w:sz w:val="24"/>
          <w:szCs w:val="28"/>
          <w:highlight w:val="none"/>
        </w:rPr>
      </w:pPr>
      <w:r>
        <w:rPr>
          <w:rFonts w:hint="eastAsia" w:ascii="仿宋" w:hAnsi="仿宋" w:eastAsia="仿宋"/>
          <w:sz w:val="24"/>
          <w:szCs w:val="28"/>
          <w:highlight w:val="none"/>
          <w:u w:val="none"/>
        </w:rPr>
        <w:t xml:space="preserve"> 服务内容包括以上项目施工、监理、材料设备采购等涉及的所有项目（已完成招标的项目除外）招标文件编制</w:t>
      </w:r>
      <w:r>
        <w:rPr>
          <w:rFonts w:hint="eastAsia" w:ascii="仿宋" w:hAnsi="仿宋" w:eastAsia="仿宋"/>
          <w:sz w:val="24"/>
          <w:szCs w:val="28"/>
          <w:highlight w:val="none"/>
          <w:u w:val="none"/>
          <w:lang w:val="en-US" w:eastAsia="zh-CN"/>
        </w:rPr>
        <w:t>及施工类标底审核服务</w:t>
      </w:r>
      <w:r>
        <w:rPr>
          <w:rFonts w:hint="eastAsia" w:ascii="仿宋" w:hAnsi="仿宋" w:eastAsia="仿宋"/>
          <w:sz w:val="24"/>
          <w:szCs w:val="28"/>
          <w:highlight w:val="none"/>
          <w:u w:val="none"/>
          <w:lang w:eastAsia="zh-CN"/>
        </w:rPr>
        <w:t>。</w:t>
      </w:r>
      <w:r>
        <w:rPr>
          <w:rFonts w:hint="eastAsia" w:ascii="仿宋" w:hAnsi="仿宋" w:eastAsia="仿宋"/>
          <w:sz w:val="24"/>
          <w:szCs w:val="28"/>
          <w:highlight w:val="none"/>
        </w:rPr>
        <w:t>估算建安工程</w:t>
      </w:r>
      <w:r>
        <w:rPr>
          <w:rFonts w:hint="eastAsia" w:ascii="仿宋" w:hAnsi="仿宋" w:eastAsia="仿宋"/>
          <w:sz w:val="24"/>
          <w:szCs w:val="28"/>
          <w:highlight w:val="none"/>
          <w:lang w:val="en-US" w:eastAsia="zh-CN"/>
        </w:rPr>
        <w:t>投资约</w:t>
      </w:r>
      <w:r>
        <w:rPr>
          <w:rFonts w:hint="eastAsia" w:ascii="仿宋" w:hAnsi="仿宋" w:eastAsia="仿宋"/>
          <w:sz w:val="24"/>
          <w:szCs w:val="28"/>
          <w:highlight w:val="none"/>
          <w:u w:val="single"/>
          <w:lang w:val="en-US" w:eastAsia="zh-CN"/>
        </w:rPr>
        <w:t>17095</w:t>
      </w:r>
      <w:r>
        <w:rPr>
          <w:rFonts w:hint="eastAsia" w:ascii="仿宋" w:hAnsi="仿宋" w:eastAsia="仿宋"/>
          <w:sz w:val="24"/>
          <w:szCs w:val="28"/>
          <w:highlight w:val="none"/>
          <w:lang w:eastAsia="zh-CN"/>
        </w:rPr>
        <w:t>万</w:t>
      </w:r>
      <w:r>
        <w:rPr>
          <w:rFonts w:hint="eastAsia" w:ascii="仿宋" w:hAnsi="仿宋" w:eastAsia="仿宋"/>
          <w:sz w:val="24"/>
          <w:szCs w:val="28"/>
          <w:highlight w:val="none"/>
        </w:rPr>
        <w:t>元。</w:t>
      </w:r>
      <w:r>
        <w:rPr>
          <w:rFonts w:hint="eastAsia" w:ascii="仿宋" w:hAnsi="仿宋" w:eastAsia="仿宋"/>
          <w:sz w:val="24"/>
          <w:szCs w:val="28"/>
          <w:highlight w:val="none"/>
          <w:u w:val="none"/>
        </w:rPr>
        <w:t>估算服务费约</w:t>
      </w:r>
      <w:r>
        <w:rPr>
          <w:rFonts w:hint="eastAsia" w:ascii="仿宋" w:hAnsi="仿宋" w:eastAsia="仿宋"/>
          <w:sz w:val="24"/>
          <w:szCs w:val="28"/>
          <w:highlight w:val="none"/>
          <w:u w:val="single"/>
          <w:lang w:val="en-US" w:eastAsia="zh-CN"/>
        </w:rPr>
        <w:t>40.9937万</w:t>
      </w:r>
      <w:r>
        <w:rPr>
          <w:rFonts w:hint="eastAsia" w:ascii="仿宋" w:hAnsi="仿宋" w:eastAsia="仿宋"/>
          <w:sz w:val="24"/>
          <w:szCs w:val="28"/>
          <w:highlight w:val="none"/>
          <w:u w:val="single"/>
        </w:rPr>
        <w:t>元</w:t>
      </w:r>
      <w:r>
        <w:rPr>
          <w:rFonts w:hint="eastAsia" w:ascii="仿宋" w:hAnsi="仿宋" w:eastAsia="仿宋"/>
          <w:sz w:val="24"/>
          <w:szCs w:val="28"/>
          <w:highlight w:val="none"/>
          <w:u w:val="none"/>
        </w:rPr>
        <w:t>。</w:t>
      </w:r>
    </w:p>
    <w:p w14:paraId="7523714E">
      <w:pPr>
        <w:spacing w:line="560" w:lineRule="exact"/>
        <w:ind w:firstLine="480" w:firstLineChars="200"/>
        <w:rPr>
          <w:rFonts w:hint="eastAsia" w:ascii="仿宋" w:hAnsi="仿宋" w:eastAsia="仿宋"/>
          <w:strike/>
          <w:dstrike w:val="0"/>
          <w:sz w:val="24"/>
          <w:szCs w:val="28"/>
          <w:highlight w:val="none"/>
          <w:lang w:eastAsia="zh-CN"/>
        </w:rPr>
      </w:pPr>
      <w:r>
        <w:rPr>
          <w:rFonts w:hint="eastAsia" w:ascii="仿宋" w:hAnsi="仿宋" w:eastAsia="仿宋"/>
          <w:sz w:val="24"/>
          <w:szCs w:val="28"/>
          <w:highlight w:val="none"/>
        </w:rPr>
        <w:t>备注：备注：</w:t>
      </w:r>
      <w:r>
        <w:rPr>
          <w:rFonts w:hint="eastAsia" w:ascii="仿宋" w:hAnsi="仿宋" w:eastAsia="仿宋"/>
          <w:strike w:val="0"/>
          <w:dstrike w:val="0"/>
          <w:sz w:val="24"/>
          <w:szCs w:val="28"/>
          <w:highlight w:val="none"/>
          <w:lang w:eastAsia="zh-CN"/>
        </w:rPr>
        <w:t>本项目如因招标人原因引起后续发包人或委托人名称（浙江绍兴杭绍临空示范区开发集团（区轨道交通集团）及下属各级子公司）与本次招标人不一致的，另行签订三方协议明确；本项目如因招标人立项方案变化引起项目规模缩减（建安减少）或项目取消，中标人须无条件服从，涉及项目取消的双方自动解除合同，互相不追究责任。</w:t>
      </w:r>
    </w:p>
    <w:p w14:paraId="6AB2F99C">
      <w:pPr>
        <w:pStyle w:val="31"/>
        <w:numPr>
          <w:ilvl w:val="0"/>
          <w:numId w:val="0"/>
        </w:numPr>
        <w:spacing w:line="560" w:lineRule="exact"/>
        <w:ind w:firstLine="482" w:firstLineChars="200"/>
        <w:rPr>
          <w:rFonts w:ascii="仿宋" w:hAnsi="仿宋" w:eastAsia="仿宋"/>
          <w:b/>
          <w:bCs/>
          <w:sz w:val="24"/>
        </w:rPr>
      </w:pPr>
      <w:r>
        <w:rPr>
          <w:rFonts w:hint="eastAsia" w:ascii="仿宋" w:hAnsi="仿宋" w:eastAsia="仿宋"/>
          <w:b/>
          <w:bCs/>
          <w:sz w:val="24"/>
          <w:lang w:val="en-US" w:eastAsia="zh-CN"/>
        </w:rPr>
        <w:t>二、</w:t>
      </w:r>
      <w:r>
        <w:rPr>
          <w:rFonts w:hint="eastAsia" w:ascii="仿宋" w:hAnsi="仿宋" w:eastAsia="仿宋"/>
          <w:b/>
          <w:bCs/>
          <w:sz w:val="24"/>
        </w:rPr>
        <w:t>服务要求、服务范围：</w:t>
      </w:r>
    </w:p>
    <w:p w14:paraId="7AEB53F0">
      <w:pPr>
        <w:pStyle w:val="31"/>
        <w:spacing w:line="560" w:lineRule="exact"/>
        <w:ind w:firstLine="482" w:firstLineChars="200"/>
        <w:rPr>
          <w:rFonts w:ascii="仿宋" w:hAnsi="仿宋" w:eastAsia="仿宋"/>
          <w:b/>
          <w:bCs/>
          <w:sz w:val="24"/>
        </w:rPr>
      </w:pPr>
      <w:r>
        <w:rPr>
          <w:rFonts w:hint="eastAsia" w:ascii="仿宋" w:hAnsi="仿宋" w:eastAsia="仿宋"/>
          <w:b/>
          <w:bCs/>
          <w:sz w:val="24"/>
          <w:lang w:val="en-US" w:eastAsia="zh-CN"/>
        </w:rPr>
        <w:t>1</w:t>
      </w:r>
      <w:r>
        <w:rPr>
          <w:rFonts w:hint="eastAsia" w:ascii="仿宋" w:hAnsi="仿宋" w:eastAsia="仿宋"/>
          <w:b/>
          <w:bCs/>
          <w:sz w:val="24"/>
        </w:rPr>
        <w:t>招标代理主要事项：</w:t>
      </w:r>
    </w:p>
    <w:p w14:paraId="253EC137">
      <w:pPr>
        <w:spacing w:line="560" w:lineRule="exact"/>
        <w:ind w:firstLine="480" w:firstLineChars="200"/>
        <w:rPr>
          <w:rFonts w:ascii="仿宋" w:hAnsi="仿宋" w:eastAsia="仿宋"/>
          <w:sz w:val="24"/>
          <w:szCs w:val="28"/>
        </w:rPr>
      </w:pPr>
      <w:r>
        <w:rPr>
          <w:rFonts w:hint="eastAsia" w:ascii="仿宋" w:hAnsi="仿宋" w:eastAsia="仿宋"/>
          <w:sz w:val="24"/>
          <w:szCs w:val="28"/>
          <w:highlight w:val="none"/>
        </w:rPr>
        <w:t>1.1</w:t>
      </w:r>
      <w:r>
        <w:rPr>
          <w:rFonts w:hint="eastAsia" w:ascii="仿宋" w:hAnsi="仿宋" w:eastAsia="仿宋"/>
          <w:sz w:val="24"/>
          <w:szCs w:val="28"/>
          <w:highlight w:val="none"/>
          <w:lang w:eastAsia="zh-CN"/>
        </w:rPr>
        <w:t>项目</w:t>
      </w:r>
      <w:r>
        <w:rPr>
          <w:rFonts w:hint="eastAsia" w:ascii="仿宋" w:hAnsi="仿宋" w:eastAsia="仿宋"/>
          <w:sz w:val="24"/>
          <w:szCs w:val="28"/>
          <w:highlight w:val="none"/>
        </w:rPr>
        <w:t>涉及的所有项目招标代理（已招标项目除外），</w:t>
      </w:r>
      <w:r>
        <w:rPr>
          <w:rFonts w:hint="eastAsia" w:ascii="仿宋" w:hAnsi="仿宋" w:eastAsia="仿宋"/>
          <w:sz w:val="24"/>
          <w:szCs w:val="28"/>
        </w:rPr>
        <w:t>包括但不限于施工、监理等内容；</w:t>
      </w:r>
    </w:p>
    <w:p w14:paraId="285BC3D2">
      <w:pPr>
        <w:widowControl/>
        <w:spacing w:line="560" w:lineRule="exact"/>
        <w:ind w:firstLine="480"/>
        <w:jc w:val="left"/>
        <w:rPr>
          <w:rFonts w:hint="default" w:ascii="仿宋" w:eastAsia="仿宋"/>
          <w:kern w:val="0"/>
          <w:sz w:val="24"/>
          <w:highlight w:val="none"/>
          <w:lang w:val="en-US" w:eastAsia="zh-CN"/>
        </w:rPr>
      </w:pPr>
      <w:r>
        <w:rPr>
          <w:rFonts w:hint="eastAsia" w:ascii="仿宋" w:eastAsia="仿宋"/>
          <w:kern w:val="0"/>
          <w:sz w:val="24"/>
        </w:rPr>
        <w:t>1.2协助业主向招投标监督管理部门提出招标（采购）申请；提供招标安排实施计划（供审查）；代拟招标方案；编制及修改招标文件并报批；编制招标的预算(限价),并报有关管理部门的审查；发布招标公告(包括网上发布)；组织接收投标申请人报名；组织审查潜在投标人资格；负责对全部招标有关文件的编制；负责全部招标文件的校对、印刷、装订和出版（份数根据业主要求提供）；组织现场考察和投标预备会；负责招标文件补遗书的编制、发送、回执接收等一切有关工作；组织开标、评标；草拟工程合同、协助合同谈判等有关活动；编制招投</w:t>
      </w:r>
      <w:r>
        <w:rPr>
          <w:rFonts w:hint="eastAsia" w:ascii="仿宋" w:eastAsia="仿宋"/>
          <w:kern w:val="0"/>
          <w:sz w:val="24"/>
          <w:highlight w:val="none"/>
        </w:rPr>
        <w:t>标情况书面报告；全过程负责对标文、预算（上限价）、合同的解释；负责招标代理其他事宜。</w:t>
      </w:r>
      <w:r>
        <w:rPr>
          <w:rFonts w:hint="eastAsia" w:ascii="仿宋" w:eastAsia="仿宋"/>
          <w:kern w:val="0"/>
          <w:sz w:val="24"/>
          <w:highlight w:val="none"/>
          <w:lang w:val="en-US" w:eastAsia="zh-CN"/>
        </w:rPr>
        <w:t>所有招标资料及标底均需完成电子版归档。</w:t>
      </w:r>
    </w:p>
    <w:p w14:paraId="1B805F35">
      <w:pPr>
        <w:pStyle w:val="31"/>
        <w:spacing w:line="560" w:lineRule="exact"/>
        <w:ind w:firstLine="480" w:firstLineChars="200"/>
        <w:rPr>
          <w:rFonts w:hint="eastAsia" w:ascii="仿宋" w:eastAsia="仿宋"/>
          <w:kern w:val="0"/>
          <w:sz w:val="24"/>
          <w:highlight w:val="none"/>
        </w:rPr>
      </w:pPr>
      <w:r>
        <w:rPr>
          <w:rFonts w:hint="eastAsia" w:ascii="仿宋" w:eastAsia="仿宋"/>
          <w:kern w:val="0"/>
          <w:sz w:val="24"/>
          <w:highlight w:val="none"/>
          <w:lang w:val="en-US" w:eastAsia="zh-CN"/>
        </w:rPr>
        <w:t>1</w:t>
      </w:r>
      <w:r>
        <w:rPr>
          <w:rFonts w:hint="eastAsia" w:ascii="仿宋" w:eastAsia="仿宋"/>
          <w:kern w:val="0"/>
          <w:sz w:val="24"/>
          <w:highlight w:val="none"/>
        </w:rPr>
        <w:t>.</w:t>
      </w:r>
      <w:r>
        <w:rPr>
          <w:rFonts w:hint="eastAsia" w:ascii="仿宋" w:eastAsia="仿宋"/>
          <w:kern w:val="0"/>
          <w:sz w:val="24"/>
          <w:highlight w:val="none"/>
          <w:lang w:val="en-US" w:eastAsia="zh-CN"/>
        </w:rPr>
        <w:t>3</w:t>
      </w:r>
      <w:r>
        <w:rPr>
          <w:rFonts w:hint="eastAsia" w:ascii="仿宋" w:eastAsia="仿宋"/>
          <w:kern w:val="0"/>
          <w:sz w:val="24"/>
          <w:highlight w:val="none"/>
        </w:rPr>
        <w:t>招标工作完成后整理</w:t>
      </w:r>
      <w:r>
        <w:rPr>
          <w:rFonts w:hint="eastAsia" w:ascii="仿宋" w:eastAsia="仿宋"/>
          <w:kern w:val="0"/>
          <w:sz w:val="24"/>
          <w:highlight w:val="none"/>
          <w:lang w:val="en-US" w:eastAsia="zh-CN"/>
        </w:rPr>
        <w:t>3</w:t>
      </w:r>
      <w:r>
        <w:rPr>
          <w:rFonts w:hint="eastAsia" w:ascii="仿宋" w:eastAsia="仿宋"/>
          <w:kern w:val="0"/>
          <w:sz w:val="24"/>
          <w:highlight w:val="none"/>
        </w:rPr>
        <w:t>套招投标资料（书式装订）及相关部门资料整理等。</w:t>
      </w:r>
    </w:p>
    <w:p w14:paraId="426640D4">
      <w:pPr>
        <w:pStyle w:val="31"/>
        <w:spacing w:line="560" w:lineRule="exact"/>
        <w:ind w:firstLine="472" w:firstLineChars="196"/>
        <w:rPr>
          <w:rFonts w:hint="eastAsia" w:ascii="仿宋" w:hAnsi="仿宋" w:eastAsia="仿宋" w:cs="Times New Roman"/>
          <w:b/>
          <w:bCs/>
          <w:snapToGrid/>
          <w:color w:val="000000"/>
          <w:sz w:val="24"/>
          <w:szCs w:val="24"/>
          <w:highlight w:val="none"/>
          <w:lang w:eastAsia="zh-CN"/>
        </w:rPr>
      </w:pPr>
      <w:r>
        <w:rPr>
          <w:rFonts w:hint="eastAsia" w:ascii="仿宋" w:hAnsi="仿宋" w:eastAsia="仿宋" w:cs="Times New Roman"/>
          <w:b/>
          <w:bCs/>
          <w:snapToGrid/>
          <w:color w:val="000000"/>
          <w:sz w:val="24"/>
          <w:szCs w:val="24"/>
          <w:highlight w:val="none"/>
          <w:lang w:val="en-US" w:eastAsia="zh-CN"/>
        </w:rPr>
        <w:t>2标底</w:t>
      </w:r>
      <w:r>
        <w:rPr>
          <w:rFonts w:hint="eastAsia" w:ascii="仿宋" w:hAnsi="仿宋" w:eastAsia="仿宋" w:cs="Times New Roman"/>
          <w:b/>
          <w:bCs/>
          <w:snapToGrid/>
          <w:color w:val="000000"/>
          <w:sz w:val="24"/>
          <w:szCs w:val="24"/>
          <w:highlight w:val="none"/>
        </w:rPr>
        <w:t>审核</w:t>
      </w:r>
      <w:r>
        <w:rPr>
          <w:rFonts w:hint="eastAsia" w:ascii="仿宋" w:hAnsi="仿宋" w:eastAsia="仿宋" w:cs="Times New Roman"/>
          <w:b/>
          <w:bCs/>
          <w:snapToGrid/>
          <w:color w:val="000000"/>
          <w:szCs w:val="24"/>
          <w:highlight w:val="none"/>
          <w:lang w:val="en-US"/>
        </w:rPr>
        <w:t>主要事项</w:t>
      </w:r>
      <w:r>
        <w:rPr>
          <w:rFonts w:hint="eastAsia" w:ascii="仿宋" w:hAnsi="仿宋" w:eastAsia="仿宋" w:cs="Times New Roman"/>
          <w:b/>
          <w:bCs/>
          <w:snapToGrid/>
          <w:color w:val="000000"/>
          <w:sz w:val="24"/>
          <w:szCs w:val="24"/>
          <w:highlight w:val="none"/>
          <w:lang w:eastAsia="zh-CN"/>
        </w:rPr>
        <w:t>：</w:t>
      </w:r>
    </w:p>
    <w:p w14:paraId="6478DE6C">
      <w:pPr>
        <w:widowControl/>
        <w:snapToGrid w:val="0"/>
        <w:spacing w:line="560" w:lineRule="exact"/>
        <w:ind w:firstLine="480" w:firstLineChars="200"/>
        <w:rPr>
          <w:rFonts w:hint="eastAsia" w:ascii="仿宋" w:eastAsia="仿宋" w:cs="Times New Roman"/>
          <w:kern w:val="0"/>
          <w:sz w:val="24"/>
          <w:highlight w:val="none"/>
          <w:lang w:eastAsia="zh-CN"/>
        </w:rPr>
      </w:pPr>
      <w:r>
        <w:rPr>
          <w:rFonts w:hint="eastAsia" w:ascii="仿宋" w:eastAsia="仿宋" w:cs="Times New Roman"/>
          <w:kern w:val="0"/>
          <w:sz w:val="24"/>
          <w:highlight w:val="none"/>
          <w:lang w:val="en-US" w:eastAsia="zh-CN"/>
        </w:rPr>
        <w:t>2.1</w:t>
      </w:r>
      <w:r>
        <w:rPr>
          <w:rFonts w:hint="eastAsia" w:ascii="仿宋" w:eastAsia="仿宋" w:cs="Times New Roman"/>
          <w:kern w:val="0"/>
          <w:sz w:val="24"/>
          <w:highlight w:val="none"/>
          <w:lang w:eastAsia="zh-CN"/>
        </w:rPr>
        <w:t>投标人须对</w:t>
      </w:r>
      <w:r>
        <w:rPr>
          <w:rFonts w:hint="eastAsia" w:ascii="仿宋" w:hAnsi="Times New Roman" w:eastAsia="仿宋" w:cs="Times New Roman"/>
          <w:kern w:val="0"/>
          <w:sz w:val="24"/>
          <w:highlight w:val="none"/>
        </w:rPr>
        <w:t>招标范围内的</w:t>
      </w:r>
      <w:r>
        <w:rPr>
          <w:rFonts w:hint="eastAsia" w:ascii="仿宋" w:eastAsia="仿宋" w:cs="Times New Roman"/>
          <w:kern w:val="0"/>
          <w:sz w:val="24"/>
          <w:highlight w:val="none"/>
          <w:lang w:val="en-US" w:eastAsia="zh-CN"/>
        </w:rPr>
        <w:t>30%以上的内容</w:t>
      </w:r>
      <w:r>
        <w:rPr>
          <w:rFonts w:hint="eastAsia" w:ascii="仿宋" w:hAnsi="Times New Roman" w:eastAsia="仿宋" w:cs="Times New Roman"/>
          <w:kern w:val="0"/>
          <w:sz w:val="24"/>
          <w:highlight w:val="none"/>
        </w:rPr>
        <w:t>进行背靠背审核，提供</w:t>
      </w:r>
      <w:r>
        <w:rPr>
          <w:rFonts w:hint="eastAsia" w:ascii="仿宋" w:eastAsia="仿宋" w:cs="Times New Roman"/>
          <w:kern w:val="0"/>
          <w:sz w:val="24"/>
          <w:highlight w:val="none"/>
          <w:lang w:eastAsia="zh-CN"/>
        </w:rPr>
        <w:t>完整</w:t>
      </w:r>
      <w:r>
        <w:rPr>
          <w:rFonts w:hint="eastAsia" w:ascii="仿宋" w:hAnsi="Times New Roman" w:eastAsia="仿宋" w:cs="Times New Roman"/>
          <w:kern w:val="0"/>
          <w:sz w:val="24"/>
          <w:highlight w:val="none"/>
        </w:rPr>
        <w:t>的工程量计算稿及清单预算，</w:t>
      </w:r>
      <w:r>
        <w:rPr>
          <w:rFonts w:hint="eastAsia" w:ascii="仿宋" w:eastAsia="仿宋" w:cs="Times New Roman"/>
          <w:kern w:val="0"/>
          <w:sz w:val="24"/>
          <w:highlight w:val="none"/>
          <w:lang w:val="en-US" w:eastAsia="zh-CN"/>
        </w:rPr>
        <w:t>并</w:t>
      </w:r>
      <w:r>
        <w:rPr>
          <w:rFonts w:hint="eastAsia" w:ascii="仿宋" w:hAnsi="Times New Roman" w:eastAsia="仿宋" w:cs="Times New Roman"/>
          <w:kern w:val="0"/>
          <w:sz w:val="24"/>
          <w:highlight w:val="none"/>
        </w:rPr>
        <w:t>按财政审核口径完成</w:t>
      </w:r>
      <w:r>
        <w:rPr>
          <w:rFonts w:hint="eastAsia" w:ascii="仿宋" w:eastAsia="仿宋" w:cs="Times New Roman"/>
          <w:kern w:val="0"/>
          <w:sz w:val="24"/>
          <w:highlight w:val="none"/>
          <w:lang w:val="en-US" w:eastAsia="zh-CN"/>
        </w:rPr>
        <w:t>全部</w:t>
      </w:r>
      <w:r>
        <w:rPr>
          <w:rFonts w:hint="eastAsia" w:ascii="仿宋" w:hAnsi="Times New Roman" w:eastAsia="仿宋" w:cs="Times New Roman"/>
          <w:kern w:val="0"/>
          <w:sz w:val="24"/>
          <w:highlight w:val="none"/>
        </w:rPr>
        <w:t>标底</w:t>
      </w:r>
      <w:r>
        <w:rPr>
          <w:rFonts w:hint="eastAsia" w:ascii="仿宋" w:eastAsia="仿宋" w:cs="Times New Roman"/>
          <w:kern w:val="0"/>
          <w:sz w:val="24"/>
          <w:highlight w:val="none"/>
          <w:lang w:val="en-US" w:eastAsia="zh-CN"/>
        </w:rPr>
        <w:t>内容</w:t>
      </w:r>
      <w:r>
        <w:rPr>
          <w:rFonts w:hint="eastAsia" w:ascii="仿宋" w:hAnsi="Times New Roman" w:eastAsia="仿宋" w:cs="Times New Roman"/>
          <w:kern w:val="0"/>
          <w:sz w:val="24"/>
          <w:highlight w:val="none"/>
        </w:rPr>
        <w:t>审核</w:t>
      </w:r>
      <w:r>
        <w:rPr>
          <w:rFonts w:hint="eastAsia" w:ascii="仿宋" w:eastAsia="仿宋" w:cs="Times New Roman"/>
          <w:kern w:val="0"/>
          <w:sz w:val="24"/>
          <w:highlight w:val="none"/>
          <w:lang w:eastAsia="zh-CN"/>
        </w:rPr>
        <w:t>。</w:t>
      </w:r>
    </w:p>
    <w:p w14:paraId="69591B2D">
      <w:pPr>
        <w:widowControl/>
        <w:snapToGrid w:val="0"/>
        <w:spacing w:line="560" w:lineRule="exact"/>
        <w:ind w:firstLine="480" w:firstLineChars="200"/>
        <w:rPr>
          <w:rFonts w:hint="eastAsia" w:ascii="仿宋" w:eastAsia="仿宋"/>
          <w:kern w:val="0"/>
          <w:sz w:val="24"/>
        </w:rPr>
      </w:pPr>
      <w:r>
        <w:rPr>
          <w:rFonts w:hint="eastAsia" w:ascii="仿宋" w:eastAsia="仿宋" w:cs="Times New Roman"/>
          <w:kern w:val="0"/>
          <w:sz w:val="24"/>
          <w:highlight w:val="none"/>
          <w:lang w:val="en-US" w:eastAsia="zh-CN"/>
        </w:rPr>
        <w:t>2.2</w:t>
      </w:r>
      <w:r>
        <w:rPr>
          <w:rFonts w:hint="eastAsia" w:ascii="仿宋" w:eastAsia="仿宋"/>
          <w:kern w:val="0"/>
          <w:sz w:val="24"/>
        </w:rPr>
        <w:t>若在施工过程中发现标底存在漏项或有疑问的，须</w:t>
      </w:r>
      <w:r>
        <w:rPr>
          <w:rFonts w:hint="eastAsia" w:ascii="仿宋" w:eastAsia="仿宋"/>
          <w:kern w:val="0"/>
          <w:sz w:val="24"/>
          <w:lang w:val="en-US" w:eastAsia="zh-CN"/>
        </w:rPr>
        <w:t>配合编标单位</w:t>
      </w:r>
      <w:r>
        <w:rPr>
          <w:rFonts w:hint="eastAsia" w:ascii="仿宋" w:eastAsia="仿宋"/>
          <w:kern w:val="0"/>
          <w:sz w:val="24"/>
        </w:rPr>
        <w:t>解释</w:t>
      </w:r>
      <w:r>
        <w:rPr>
          <w:rFonts w:hint="eastAsia" w:ascii="仿宋" w:eastAsia="仿宋"/>
          <w:kern w:val="0"/>
          <w:sz w:val="24"/>
          <w:lang w:val="en-US" w:eastAsia="zh-CN"/>
        </w:rPr>
        <w:t>并免费配合编标单位完成费用核算</w:t>
      </w:r>
      <w:r>
        <w:rPr>
          <w:rFonts w:hint="eastAsia" w:ascii="仿宋" w:eastAsia="仿宋"/>
          <w:kern w:val="0"/>
          <w:sz w:val="24"/>
        </w:rPr>
        <w:t>。</w:t>
      </w:r>
    </w:p>
    <w:p w14:paraId="0478FD4A">
      <w:pPr>
        <w:widowControl/>
        <w:snapToGrid w:val="0"/>
        <w:spacing w:line="560" w:lineRule="exact"/>
        <w:ind w:firstLine="480" w:firstLineChars="200"/>
        <w:rPr>
          <w:rFonts w:hint="default" w:ascii="仿宋" w:eastAsia="仿宋"/>
          <w:kern w:val="0"/>
          <w:sz w:val="24"/>
          <w:lang w:val="en-US" w:eastAsia="zh-CN"/>
        </w:rPr>
      </w:pPr>
      <w:r>
        <w:rPr>
          <w:rFonts w:hint="eastAsia" w:ascii="仿宋" w:eastAsia="仿宋"/>
          <w:kern w:val="0"/>
          <w:sz w:val="24"/>
          <w:lang w:val="en-US" w:eastAsia="zh-CN"/>
        </w:rPr>
        <w:t>2.3 配合招标人完成与标底审核有关的其他工作。</w:t>
      </w:r>
    </w:p>
    <w:p w14:paraId="31053584">
      <w:pPr>
        <w:pStyle w:val="31"/>
        <w:spacing w:line="560" w:lineRule="exact"/>
        <w:ind w:firstLine="480" w:firstLineChars="200"/>
        <w:rPr>
          <w:rFonts w:ascii="仿宋" w:hAnsi="仿宋" w:eastAsia="仿宋"/>
          <w:b/>
          <w:bCs/>
          <w:sz w:val="24"/>
        </w:rPr>
      </w:pPr>
      <w:r>
        <w:rPr>
          <w:rFonts w:hint="eastAsia" w:ascii="仿宋" w:eastAsia="仿宋"/>
          <w:kern w:val="0"/>
          <w:sz w:val="24"/>
          <w:highlight w:val="none"/>
          <w:lang w:val="en-US" w:eastAsia="zh-CN"/>
        </w:rPr>
        <w:t>3</w:t>
      </w:r>
      <w:r>
        <w:rPr>
          <w:rFonts w:hint="eastAsia" w:ascii="仿宋" w:hAnsi="仿宋" w:eastAsia="仿宋"/>
          <w:b/>
          <w:bCs/>
          <w:sz w:val="24"/>
        </w:rPr>
        <w:t>、人员要求：</w:t>
      </w:r>
    </w:p>
    <w:p w14:paraId="29C20BA6">
      <w:pPr>
        <w:widowControl/>
        <w:snapToGrid w:val="0"/>
        <w:spacing w:line="560" w:lineRule="exact"/>
        <w:ind w:firstLine="480" w:firstLineChars="200"/>
        <w:rPr>
          <w:rFonts w:hint="eastAsia" w:ascii="仿宋" w:eastAsia="仿宋"/>
          <w:kern w:val="0"/>
          <w:sz w:val="24"/>
          <w:highlight w:val="none"/>
        </w:rPr>
      </w:pPr>
      <w:r>
        <w:rPr>
          <w:rFonts w:hint="eastAsia" w:ascii="仿宋" w:eastAsia="仿宋"/>
          <w:kern w:val="0"/>
          <w:sz w:val="24"/>
          <w:highlight w:val="none"/>
        </w:rPr>
        <w:t>除项目负责人以外，招标代理的服务人员不得少于3人</w:t>
      </w:r>
      <w:r>
        <w:rPr>
          <w:rFonts w:hint="eastAsia" w:ascii="仿宋" w:eastAsia="仿宋"/>
          <w:kern w:val="0"/>
          <w:sz w:val="24"/>
          <w:highlight w:val="none"/>
          <w:lang w:eastAsia="zh-CN"/>
        </w:rPr>
        <w:t>。</w:t>
      </w:r>
      <w:r>
        <w:rPr>
          <w:rFonts w:hint="eastAsia" w:ascii="仿宋" w:eastAsia="仿宋"/>
          <w:kern w:val="0"/>
          <w:sz w:val="24"/>
          <w:highlight w:val="none"/>
        </w:rPr>
        <w:t>参与</w:t>
      </w:r>
      <w:r>
        <w:rPr>
          <w:rFonts w:hint="eastAsia" w:ascii="仿宋" w:eastAsia="仿宋"/>
          <w:kern w:val="0"/>
          <w:sz w:val="24"/>
          <w:highlight w:val="none"/>
          <w:lang w:val="en-US" w:eastAsia="zh-CN"/>
        </w:rPr>
        <w:t>标底审核</w:t>
      </w:r>
      <w:r>
        <w:rPr>
          <w:rFonts w:hint="eastAsia" w:ascii="仿宋" w:eastAsia="仿宋"/>
          <w:kern w:val="0"/>
          <w:sz w:val="24"/>
          <w:highlight w:val="none"/>
        </w:rPr>
        <w:t>服务人员不少于</w:t>
      </w:r>
      <w:r>
        <w:rPr>
          <w:rFonts w:hint="eastAsia" w:ascii="仿宋" w:eastAsia="仿宋"/>
          <w:kern w:val="0"/>
          <w:sz w:val="24"/>
          <w:highlight w:val="none"/>
          <w:lang w:val="en-US" w:eastAsia="zh-CN"/>
        </w:rPr>
        <w:t>8</w:t>
      </w:r>
      <w:r>
        <w:rPr>
          <w:rFonts w:hint="eastAsia" w:ascii="仿宋" w:eastAsia="仿宋"/>
          <w:kern w:val="0"/>
          <w:sz w:val="24"/>
          <w:highlight w:val="none"/>
        </w:rPr>
        <w:t>人，其中</w:t>
      </w:r>
      <w:r>
        <w:rPr>
          <w:rFonts w:hint="eastAsia" w:ascii="仿宋" w:eastAsia="仿宋"/>
          <w:kern w:val="0"/>
          <w:sz w:val="24"/>
          <w:highlight w:val="none"/>
          <w:lang w:val="en-US" w:eastAsia="zh-CN"/>
        </w:rPr>
        <w:t>市政</w:t>
      </w:r>
      <w:r>
        <w:rPr>
          <w:rFonts w:hint="eastAsia" w:ascii="仿宋" w:eastAsia="仿宋"/>
          <w:kern w:val="0"/>
          <w:sz w:val="24"/>
          <w:highlight w:val="none"/>
          <w:lang w:eastAsia="zh-CN"/>
        </w:rPr>
        <w:t>工程</w:t>
      </w:r>
      <w:r>
        <w:rPr>
          <w:rFonts w:hint="eastAsia" w:ascii="仿宋" w:eastAsia="仿宋"/>
          <w:kern w:val="0"/>
          <w:sz w:val="24"/>
          <w:highlight w:val="none"/>
          <w:lang w:val="en-US" w:eastAsia="zh-CN"/>
        </w:rPr>
        <w:t>4人，</w:t>
      </w:r>
      <w:r>
        <w:rPr>
          <w:rFonts w:hint="eastAsia" w:ascii="仿宋" w:eastAsia="仿宋"/>
          <w:kern w:val="0"/>
          <w:sz w:val="24"/>
          <w:highlight w:val="none"/>
        </w:rPr>
        <w:t xml:space="preserve">安装专业 </w:t>
      </w:r>
      <w:r>
        <w:rPr>
          <w:rFonts w:hint="eastAsia" w:ascii="仿宋" w:eastAsia="仿宋"/>
          <w:kern w:val="0"/>
          <w:sz w:val="24"/>
          <w:highlight w:val="none"/>
          <w:lang w:val="en-US" w:eastAsia="zh-CN"/>
        </w:rPr>
        <w:t>3</w:t>
      </w:r>
      <w:r>
        <w:rPr>
          <w:rFonts w:hint="eastAsia" w:ascii="仿宋" w:eastAsia="仿宋"/>
          <w:kern w:val="0"/>
          <w:sz w:val="24"/>
          <w:highlight w:val="none"/>
        </w:rPr>
        <w:t>人，园林专业</w:t>
      </w:r>
      <w:r>
        <w:rPr>
          <w:rFonts w:hint="eastAsia" w:ascii="仿宋" w:eastAsia="仿宋"/>
          <w:kern w:val="0"/>
          <w:sz w:val="24"/>
          <w:highlight w:val="none"/>
          <w:lang w:val="en-US" w:eastAsia="zh-CN"/>
        </w:rPr>
        <w:t>1</w:t>
      </w:r>
      <w:r>
        <w:rPr>
          <w:rFonts w:hint="eastAsia" w:ascii="仿宋" w:eastAsia="仿宋"/>
          <w:kern w:val="0"/>
          <w:sz w:val="24"/>
          <w:highlight w:val="none"/>
        </w:rPr>
        <w:t>人。</w:t>
      </w:r>
    </w:p>
    <w:p w14:paraId="141968F7">
      <w:pPr>
        <w:widowControl/>
        <w:snapToGrid w:val="0"/>
        <w:spacing w:line="560" w:lineRule="exact"/>
        <w:ind w:firstLine="482" w:firstLineChars="200"/>
        <w:rPr>
          <w:rFonts w:ascii="仿宋" w:eastAsia="仿宋"/>
          <w:kern w:val="0"/>
          <w:sz w:val="24"/>
        </w:rPr>
      </w:pPr>
      <w:r>
        <w:rPr>
          <w:rFonts w:hint="eastAsia" w:ascii="仿宋" w:eastAsia="仿宋"/>
          <w:b/>
          <w:bCs/>
          <w:kern w:val="0"/>
          <w:sz w:val="24"/>
        </w:rPr>
        <w:t>2.</w:t>
      </w:r>
      <w:r>
        <w:rPr>
          <w:rFonts w:hint="eastAsia" w:ascii="仿宋" w:eastAsia="仿宋"/>
          <w:b/>
          <w:bCs/>
          <w:kern w:val="0"/>
          <w:sz w:val="24"/>
          <w:lang w:val="en-US" w:eastAsia="zh-CN"/>
        </w:rPr>
        <w:t>3</w:t>
      </w:r>
      <w:r>
        <w:rPr>
          <w:rFonts w:hint="eastAsia" w:ascii="仿宋" w:eastAsia="仿宋"/>
          <w:b/>
          <w:bCs/>
          <w:kern w:val="0"/>
          <w:sz w:val="24"/>
        </w:rPr>
        <w:t>、时间要求：</w:t>
      </w:r>
    </w:p>
    <w:p w14:paraId="331CA700">
      <w:pPr>
        <w:pStyle w:val="22"/>
        <w:spacing w:line="560" w:lineRule="exact"/>
        <w:rPr>
          <w:rFonts w:eastAsia="仿宋"/>
          <w:lang w:val="en-US"/>
        </w:rPr>
      </w:pPr>
      <w:r>
        <w:rPr>
          <w:rFonts w:hint="eastAsia" w:ascii="仿宋" w:eastAsia="仿宋"/>
          <w:kern w:val="0"/>
          <w:lang w:val="en-US"/>
        </w:rPr>
        <w:t xml:space="preserve">   2.</w:t>
      </w:r>
      <w:r>
        <w:rPr>
          <w:rFonts w:hint="eastAsia" w:ascii="仿宋" w:eastAsia="仿宋"/>
          <w:kern w:val="0"/>
          <w:lang w:val="en-US" w:eastAsia="zh-CN"/>
        </w:rPr>
        <w:t>3</w:t>
      </w:r>
      <w:r>
        <w:rPr>
          <w:rFonts w:hint="eastAsia" w:ascii="仿宋" w:eastAsia="仿宋"/>
          <w:kern w:val="0"/>
          <w:lang w:val="en-US"/>
        </w:rPr>
        <w:t>.1招标文件编制时间：要求在收到指令之日起5个日历天内出具招标文件初稿交于采购人。</w:t>
      </w:r>
    </w:p>
    <w:p w14:paraId="79EBEBCE">
      <w:pPr>
        <w:widowControl/>
        <w:numPr>
          <w:ilvl w:val="0"/>
          <w:numId w:val="0"/>
        </w:numPr>
        <w:adjustRightInd/>
        <w:snapToGrid w:val="0"/>
        <w:spacing w:line="480" w:lineRule="exact"/>
        <w:ind w:left="480" w:leftChars="0"/>
        <w:rPr>
          <w:rFonts w:ascii="仿宋" w:eastAsia="仿宋"/>
          <w:b/>
          <w:bCs/>
          <w:kern w:val="0"/>
          <w:sz w:val="24"/>
        </w:rPr>
      </w:pPr>
      <w:r>
        <w:rPr>
          <w:rFonts w:hint="eastAsia" w:ascii="仿宋" w:eastAsia="仿宋"/>
          <w:b/>
          <w:bCs/>
          <w:kern w:val="0"/>
          <w:sz w:val="24"/>
          <w:lang w:val="en-US" w:eastAsia="zh-CN"/>
        </w:rPr>
        <w:t>三、</w:t>
      </w:r>
      <w:r>
        <w:rPr>
          <w:rFonts w:hint="eastAsia" w:ascii="仿宋" w:eastAsia="仿宋"/>
          <w:b/>
          <w:bCs/>
          <w:kern w:val="0"/>
          <w:sz w:val="24"/>
        </w:rPr>
        <w:t>服务价格</w:t>
      </w:r>
    </w:p>
    <w:p w14:paraId="74DF5240">
      <w:pPr>
        <w:widowControl/>
        <w:snapToGrid w:val="0"/>
        <w:spacing w:line="480" w:lineRule="exact"/>
        <w:ind w:left="480"/>
        <w:rPr>
          <w:rFonts w:ascii="仿宋" w:eastAsia="仿宋"/>
          <w:kern w:val="0"/>
          <w:sz w:val="24"/>
        </w:rPr>
      </w:pPr>
      <w:r>
        <w:rPr>
          <w:rFonts w:hint="eastAsia" w:ascii="仿宋" w:eastAsia="仿宋"/>
          <w:kern w:val="0"/>
          <w:sz w:val="24"/>
        </w:rPr>
        <w:t>（有服务分项的，需报分项价格和总价）</w:t>
      </w:r>
    </w:p>
    <w:p w14:paraId="245805A8">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lang w:val="en-US" w:eastAsia="zh-CN"/>
        </w:rPr>
        <w:t>四</w:t>
      </w:r>
      <w:r>
        <w:rPr>
          <w:rFonts w:hint="eastAsia" w:ascii="仿宋" w:eastAsia="仿宋"/>
          <w:b/>
          <w:bCs/>
          <w:kern w:val="0"/>
          <w:sz w:val="24"/>
        </w:rPr>
        <w:t>、技术资料</w:t>
      </w:r>
    </w:p>
    <w:p w14:paraId="26949B3E">
      <w:pPr>
        <w:widowControl/>
        <w:snapToGrid w:val="0"/>
        <w:spacing w:line="480" w:lineRule="exact"/>
        <w:ind w:firstLine="480" w:firstLineChars="200"/>
        <w:rPr>
          <w:rFonts w:ascii="仿宋" w:eastAsia="仿宋"/>
          <w:kern w:val="0"/>
          <w:sz w:val="24"/>
        </w:rPr>
      </w:pPr>
      <w:r>
        <w:rPr>
          <w:rFonts w:hint="eastAsia" w:ascii="仿宋" w:eastAsia="仿宋"/>
          <w:kern w:val="0"/>
          <w:sz w:val="24"/>
        </w:rPr>
        <w:t>1.乙方应按采购文件规定的时间向甲方提供与本项目有关的技术资料。</w:t>
      </w:r>
    </w:p>
    <w:p w14:paraId="0FB431C2">
      <w:pPr>
        <w:widowControl/>
        <w:snapToGrid w:val="0"/>
        <w:spacing w:line="480" w:lineRule="exact"/>
        <w:ind w:firstLine="480" w:firstLineChars="200"/>
        <w:rPr>
          <w:rFonts w:ascii="仿宋" w:eastAsia="仿宋"/>
          <w:kern w:val="0"/>
          <w:sz w:val="24"/>
        </w:rPr>
      </w:pPr>
      <w:r>
        <w:rPr>
          <w:rFonts w:hint="eastAsia" w:ascii="仿宋" w:eastAsia="仿宋"/>
          <w:kern w:val="0"/>
          <w:sz w:val="24"/>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6094265E">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lang w:val="en-US" w:eastAsia="zh-CN"/>
        </w:rPr>
        <w:t>五</w:t>
      </w:r>
      <w:r>
        <w:rPr>
          <w:rFonts w:hint="eastAsia" w:ascii="仿宋" w:eastAsia="仿宋"/>
          <w:b/>
          <w:bCs/>
          <w:kern w:val="0"/>
          <w:sz w:val="24"/>
        </w:rPr>
        <w:t>、知识产权</w:t>
      </w:r>
    </w:p>
    <w:p w14:paraId="1F6E2761">
      <w:pPr>
        <w:widowControl/>
        <w:snapToGrid w:val="0"/>
        <w:spacing w:line="480" w:lineRule="exact"/>
        <w:ind w:firstLine="480" w:firstLineChars="200"/>
        <w:rPr>
          <w:rFonts w:ascii="仿宋" w:eastAsia="仿宋"/>
          <w:kern w:val="0"/>
          <w:sz w:val="24"/>
        </w:rPr>
      </w:pPr>
      <w:r>
        <w:rPr>
          <w:rFonts w:hint="eastAsia" w:ascii="仿宋" w:eastAsia="仿宋"/>
          <w:kern w:val="0"/>
          <w:sz w:val="24"/>
        </w:rPr>
        <w:t>1、乙方应保证所提供的货物与服务均不会侵犯任何第三方的知识产权。</w:t>
      </w:r>
    </w:p>
    <w:p w14:paraId="4747E875">
      <w:pPr>
        <w:widowControl/>
        <w:snapToGrid w:val="0"/>
        <w:spacing w:line="480" w:lineRule="exact"/>
        <w:ind w:firstLine="480" w:firstLineChars="200"/>
        <w:rPr>
          <w:rFonts w:ascii="仿宋" w:eastAsia="仿宋"/>
          <w:kern w:val="0"/>
          <w:sz w:val="24"/>
        </w:rPr>
      </w:pPr>
      <w:r>
        <w:rPr>
          <w:rFonts w:hint="eastAsia" w:ascii="仿宋" w:eastAsia="仿宋"/>
          <w:kern w:val="0"/>
          <w:sz w:val="24"/>
        </w:rPr>
        <w:t>2、乙方保证所交付的服务的所有权完全属于乙方且无任何抵押、查封等产权瑕疵。</w:t>
      </w:r>
    </w:p>
    <w:p w14:paraId="4EA1CC51">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lang w:val="en-US" w:eastAsia="zh-CN"/>
        </w:rPr>
        <w:t>六</w:t>
      </w:r>
      <w:r>
        <w:rPr>
          <w:rFonts w:hint="eastAsia" w:ascii="仿宋" w:eastAsia="仿宋"/>
          <w:b/>
          <w:bCs/>
          <w:kern w:val="0"/>
          <w:sz w:val="24"/>
        </w:rPr>
        <w:t>、转包或分包</w:t>
      </w:r>
    </w:p>
    <w:p w14:paraId="73FDFDA6">
      <w:pPr>
        <w:widowControl/>
        <w:snapToGrid w:val="0"/>
        <w:spacing w:line="480" w:lineRule="exact"/>
        <w:ind w:firstLine="480" w:firstLineChars="200"/>
        <w:rPr>
          <w:rFonts w:ascii="仿宋" w:eastAsia="仿宋"/>
          <w:kern w:val="0"/>
          <w:sz w:val="24"/>
        </w:rPr>
      </w:pPr>
      <w:r>
        <w:rPr>
          <w:rFonts w:hint="eastAsia" w:ascii="仿宋" w:eastAsia="仿宋"/>
          <w:kern w:val="0"/>
          <w:sz w:val="24"/>
        </w:rPr>
        <w:t>不允许转包。</w:t>
      </w:r>
    </w:p>
    <w:p w14:paraId="4F61B68F">
      <w:pPr>
        <w:widowControl/>
        <w:snapToGrid w:val="0"/>
        <w:spacing w:line="480" w:lineRule="exact"/>
        <w:ind w:firstLine="480" w:firstLineChars="200"/>
        <w:rPr>
          <w:rFonts w:ascii="仿宋" w:eastAsia="仿宋"/>
          <w:kern w:val="0"/>
          <w:sz w:val="24"/>
        </w:rPr>
      </w:pPr>
      <w:r>
        <w:rPr>
          <w:rFonts w:hint="eastAsia" w:ascii="仿宋" w:eastAsia="仿宋"/>
          <w:kern w:val="0"/>
          <w:sz w:val="24"/>
        </w:rPr>
        <w:t>不允许分包。</w:t>
      </w:r>
    </w:p>
    <w:p w14:paraId="12307CFA">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lang w:val="en-US" w:eastAsia="zh-CN"/>
        </w:rPr>
        <w:t>七</w:t>
      </w:r>
      <w:r>
        <w:rPr>
          <w:rFonts w:hint="eastAsia" w:ascii="仿宋" w:eastAsia="仿宋"/>
          <w:b/>
          <w:bCs/>
          <w:kern w:val="0"/>
          <w:sz w:val="24"/>
        </w:rPr>
        <w:t>、履约保证金</w:t>
      </w:r>
    </w:p>
    <w:p w14:paraId="17AB34D5">
      <w:pPr>
        <w:widowControl/>
        <w:snapToGrid w:val="0"/>
        <w:spacing w:line="480" w:lineRule="exact"/>
        <w:ind w:firstLine="480" w:firstLineChars="200"/>
        <w:rPr>
          <w:rFonts w:ascii="仿宋" w:eastAsia="仿宋"/>
          <w:kern w:val="0"/>
          <w:sz w:val="24"/>
        </w:rPr>
      </w:pPr>
      <w:r>
        <w:rPr>
          <w:rFonts w:hint="eastAsia" w:ascii="仿宋" w:eastAsia="仿宋"/>
          <w:kern w:val="0"/>
          <w:sz w:val="24"/>
        </w:rPr>
        <w:t>1.履约保证金</w:t>
      </w:r>
      <w:r>
        <w:rPr>
          <w:rFonts w:hint="eastAsia" w:ascii="仿宋" w:eastAsia="仿宋"/>
          <w:kern w:val="0"/>
          <w:sz w:val="24"/>
          <w:u w:val="single"/>
        </w:rPr>
        <w:t xml:space="preserve"> / </w:t>
      </w:r>
      <w:r>
        <w:rPr>
          <w:rFonts w:hint="eastAsia" w:ascii="仿宋" w:eastAsia="仿宋"/>
          <w:kern w:val="0"/>
          <w:sz w:val="24"/>
        </w:rPr>
        <w:t>元。[履约保证金交至采购人处，服务完成后满（一）个月之日起5个工作日内无息退还]</w:t>
      </w:r>
    </w:p>
    <w:p w14:paraId="7E98E0C1">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lang w:val="en-US" w:eastAsia="zh-CN"/>
        </w:rPr>
        <w:t>八</w:t>
      </w:r>
      <w:r>
        <w:rPr>
          <w:rFonts w:hint="eastAsia" w:ascii="仿宋" w:eastAsia="仿宋"/>
          <w:b/>
          <w:bCs/>
          <w:kern w:val="0"/>
          <w:sz w:val="24"/>
        </w:rPr>
        <w:t>、项目服务期限及实施地点</w:t>
      </w:r>
    </w:p>
    <w:p w14:paraId="31B2C57B">
      <w:pPr>
        <w:widowControl/>
        <w:snapToGrid w:val="0"/>
        <w:spacing w:line="480" w:lineRule="exact"/>
        <w:ind w:firstLine="480" w:firstLineChars="200"/>
        <w:rPr>
          <w:rFonts w:ascii="仿宋" w:eastAsia="仿宋"/>
          <w:kern w:val="0"/>
          <w:sz w:val="24"/>
        </w:rPr>
      </w:pPr>
      <w:r>
        <w:rPr>
          <w:rFonts w:hint="eastAsia" w:ascii="仿宋" w:eastAsia="仿宋"/>
          <w:kern w:val="0"/>
          <w:sz w:val="24"/>
        </w:rPr>
        <w:t>1.服务期限：合同签订之日起计算至服务结束为止</w:t>
      </w:r>
    </w:p>
    <w:p w14:paraId="1E78FC70">
      <w:pPr>
        <w:widowControl/>
        <w:snapToGrid w:val="0"/>
        <w:spacing w:line="480" w:lineRule="exact"/>
        <w:ind w:firstLine="480" w:firstLineChars="200"/>
        <w:rPr>
          <w:rFonts w:ascii="仿宋" w:eastAsia="仿宋"/>
          <w:kern w:val="0"/>
          <w:sz w:val="24"/>
        </w:rPr>
      </w:pPr>
      <w:r>
        <w:rPr>
          <w:rFonts w:hint="eastAsia" w:ascii="仿宋" w:eastAsia="仿宋"/>
          <w:kern w:val="0"/>
          <w:sz w:val="24"/>
        </w:rPr>
        <w:t>2.实施地点：根据采购人要求</w:t>
      </w:r>
    </w:p>
    <w:p w14:paraId="0390B6B7">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lang w:val="en-US" w:eastAsia="zh-CN"/>
        </w:rPr>
        <w:t>九</w:t>
      </w:r>
      <w:r>
        <w:rPr>
          <w:rFonts w:hint="eastAsia" w:ascii="仿宋" w:eastAsia="仿宋"/>
          <w:b/>
          <w:bCs/>
          <w:kern w:val="0"/>
          <w:sz w:val="24"/>
        </w:rPr>
        <w:t>、付款</w:t>
      </w:r>
    </w:p>
    <w:p w14:paraId="3868382E">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 付款方式：按标项要求</w:t>
      </w:r>
    </w:p>
    <w:p w14:paraId="6248F173">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lang w:val="en-US" w:eastAsia="zh-CN"/>
        </w:rPr>
        <w:t>十</w:t>
      </w:r>
      <w:r>
        <w:rPr>
          <w:rFonts w:hint="eastAsia" w:ascii="仿宋" w:eastAsia="仿宋"/>
          <w:b/>
          <w:bCs/>
          <w:kern w:val="0"/>
          <w:sz w:val="24"/>
        </w:rPr>
        <w:t>、税费</w:t>
      </w:r>
    </w:p>
    <w:p w14:paraId="24F5A5CB">
      <w:pPr>
        <w:widowControl/>
        <w:snapToGrid w:val="0"/>
        <w:spacing w:line="480" w:lineRule="exact"/>
        <w:ind w:firstLine="480" w:firstLineChars="200"/>
        <w:rPr>
          <w:rFonts w:ascii="仿宋" w:eastAsia="仿宋"/>
          <w:kern w:val="0"/>
          <w:sz w:val="24"/>
        </w:rPr>
      </w:pPr>
      <w:r>
        <w:rPr>
          <w:rFonts w:hint="eastAsia" w:ascii="仿宋" w:eastAsia="仿宋"/>
          <w:kern w:val="0"/>
          <w:sz w:val="24"/>
        </w:rPr>
        <w:t>本合同执行中相关的一切税费均由乙方负担。</w:t>
      </w:r>
    </w:p>
    <w:p w14:paraId="319BBBBB">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十</w:t>
      </w:r>
      <w:r>
        <w:rPr>
          <w:rFonts w:hint="eastAsia" w:ascii="仿宋" w:eastAsia="仿宋"/>
          <w:b/>
          <w:bCs/>
          <w:kern w:val="0"/>
          <w:sz w:val="24"/>
          <w:lang w:val="en-US" w:eastAsia="zh-CN"/>
        </w:rPr>
        <w:t>一</w:t>
      </w:r>
      <w:r>
        <w:rPr>
          <w:rFonts w:hint="eastAsia" w:ascii="仿宋" w:eastAsia="仿宋"/>
          <w:b/>
          <w:bCs/>
          <w:kern w:val="0"/>
          <w:sz w:val="24"/>
        </w:rPr>
        <w:t>、违约责任</w:t>
      </w:r>
    </w:p>
    <w:p w14:paraId="7AD0E6DE">
      <w:pPr>
        <w:widowControl/>
        <w:snapToGrid w:val="0"/>
        <w:spacing w:line="480" w:lineRule="exact"/>
        <w:ind w:firstLine="480" w:firstLineChars="200"/>
        <w:rPr>
          <w:rFonts w:ascii="仿宋" w:hAnsi="仿宋" w:eastAsia="仿宋"/>
          <w:sz w:val="24"/>
        </w:rPr>
      </w:pPr>
      <w:r>
        <w:rPr>
          <w:rFonts w:hint="eastAsia" w:ascii="仿宋" w:hAnsi="仿宋" w:eastAsia="仿宋"/>
          <w:sz w:val="24"/>
          <w:lang w:val="en-US" w:eastAsia="zh-CN"/>
        </w:rPr>
        <w:t>1、</w:t>
      </w:r>
      <w:r>
        <w:rPr>
          <w:rFonts w:hint="eastAsia" w:ascii="仿宋" w:hAnsi="仿宋" w:eastAsia="仿宋"/>
          <w:sz w:val="24"/>
        </w:rPr>
        <w:t>因中标单位自身责任超过规定时间未能完成</w:t>
      </w:r>
      <w:r>
        <w:rPr>
          <w:rFonts w:hint="eastAsia" w:ascii="仿宋" w:hAnsi="仿宋" w:eastAsia="仿宋"/>
          <w:sz w:val="24"/>
          <w:lang w:eastAsia="zh-CN"/>
        </w:rPr>
        <w:t>招标文件编制</w:t>
      </w:r>
      <w:r>
        <w:rPr>
          <w:rFonts w:hint="eastAsia" w:ascii="仿宋" w:hAnsi="仿宋" w:eastAsia="仿宋"/>
          <w:sz w:val="24"/>
        </w:rPr>
        <w:t>工作的，每延迟一天扣1000元；超过规定时间未能完成招标工作的，每延迟一天扣1000元。超过规定时间未能完成</w:t>
      </w:r>
      <w:r>
        <w:rPr>
          <w:rFonts w:hint="eastAsia" w:ascii="仿宋" w:hAnsi="仿宋" w:eastAsia="仿宋"/>
          <w:sz w:val="24"/>
          <w:lang w:val="en-US" w:eastAsia="zh-CN"/>
        </w:rPr>
        <w:t>其他</w:t>
      </w:r>
      <w:r>
        <w:rPr>
          <w:rFonts w:hint="eastAsia" w:ascii="仿宋" w:hAnsi="仿宋" w:eastAsia="仿宋"/>
          <w:sz w:val="24"/>
        </w:rPr>
        <w:t>工作的，每延迟一天扣1000元。</w:t>
      </w:r>
    </w:p>
    <w:p w14:paraId="63140819">
      <w:pPr>
        <w:widowControl/>
        <w:spacing w:line="480" w:lineRule="exact"/>
        <w:ind w:firstLine="480" w:firstLineChars="200"/>
        <w:jc w:val="left"/>
        <w:rPr>
          <w:rFonts w:hint="eastAsia" w:ascii="仿宋" w:hAnsi="仿宋" w:eastAsia="仿宋" w:cs="Arial"/>
          <w:snapToGrid w:val="0"/>
          <w:sz w:val="24"/>
          <w:szCs w:val="21"/>
          <w:highlight w:val="none"/>
        </w:rPr>
      </w:pPr>
      <w:r>
        <w:rPr>
          <w:rFonts w:hint="eastAsia" w:ascii="仿宋" w:hAnsi="仿宋" w:eastAsia="仿宋" w:cs="Arial"/>
          <w:snapToGrid w:val="0"/>
          <w:sz w:val="24"/>
          <w:szCs w:val="21"/>
          <w:highlight w:val="none"/>
          <w:lang w:val="en-US" w:eastAsia="zh-CN"/>
        </w:rPr>
        <w:t>2、</w:t>
      </w:r>
      <w:r>
        <w:rPr>
          <w:rFonts w:hint="eastAsia" w:ascii="仿宋" w:hAnsi="仿宋" w:eastAsia="仿宋" w:cs="Arial"/>
          <w:snapToGrid w:val="0"/>
          <w:sz w:val="24"/>
          <w:szCs w:val="21"/>
          <w:highlight w:val="none"/>
        </w:rPr>
        <w:t>由于服务单位的过错</w:t>
      </w:r>
      <w:r>
        <w:rPr>
          <w:rFonts w:hint="eastAsia" w:ascii="仿宋" w:hAnsi="仿宋" w:eastAsia="仿宋" w:cs="Arial"/>
          <w:snapToGrid w:val="0"/>
          <w:sz w:val="24"/>
          <w:szCs w:val="21"/>
          <w:highlight w:val="none"/>
          <w:lang w:eastAsia="zh-CN"/>
        </w:rPr>
        <w:t>造成采购人</w:t>
      </w:r>
      <w:r>
        <w:rPr>
          <w:rFonts w:hint="eastAsia" w:ascii="仿宋" w:hAnsi="仿宋" w:eastAsia="仿宋" w:cs="Arial"/>
          <w:snapToGrid w:val="0"/>
          <w:sz w:val="24"/>
          <w:szCs w:val="21"/>
          <w:highlight w:val="none"/>
        </w:rPr>
        <w:t>被财政、审计、建设</w:t>
      </w:r>
      <w:r>
        <w:rPr>
          <w:rFonts w:hint="eastAsia" w:ascii="仿宋" w:hAnsi="仿宋" w:eastAsia="仿宋" w:cs="Arial"/>
          <w:snapToGrid w:val="0"/>
          <w:sz w:val="24"/>
          <w:szCs w:val="21"/>
          <w:highlight w:val="none"/>
          <w:lang w:eastAsia="zh-CN"/>
        </w:rPr>
        <w:t>、公管办</w:t>
      </w:r>
      <w:r>
        <w:rPr>
          <w:rFonts w:hint="eastAsia" w:ascii="仿宋" w:hAnsi="仿宋" w:eastAsia="仿宋" w:cs="Arial"/>
          <w:snapToGrid w:val="0"/>
          <w:sz w:val="24"/>
          <w:szCs w:val="21"/>
          <w:highlight w:val="none"/>
        </w:rPr>
        <w:t>等相关部门书面批评或扣分的，每发生一次扣10000元</w:t>
      </w:r>
      <w:r>
        <w:rPr>
          <w:rFonts w:hint="eastAsia" w:ascii="仿宋" w:hAnsi="仿宋" w:eastAsia="仿宋" w:cs="Arial"/>
          <w:snapToGrid w:val="0"/>
          <w:sz w:val="24"/>
          <w:szCs w:val="21"/>
          <w:highlight w:val="none"/>
          <w:lang w:eastAsia="zh-CN"/>
        </w:rPr>
        <w:t>。</w:t>
      </w:r>
      <w:r>
        <w:rPr>
          <w:rFonts w:hint="eastAsia" w:ascii="仿宋" w:hAnsi="仿宋" w:eastAsia="仿宋" w:cs="Arial"/>
          <w:snapToGrid w:val="0"/>
          <w:sz w:val="24"/>
          <w:szCs w:val="21"/>
          <w:highlight w:val="none"/>
        </w:rPr>
        <w:t>情节特别严重的，采购人有权直接</w:t>
      </w:r>
      <w:r>
        <w:rPr>
          <w:rFonts w:hint="eastAsia" w:ascii="仿宋" w:hAnsi="仿宋" w:eastAsia="仿宋" w:cs="Arial"/>
          <w:snapToGrid w:val="0"/>
          <w:sz w:val="24"/>
          <w:szCs w:val="21"/>
          <w:highlight w:val="none"/>
          <w:lang w:val="en-US" w:eastAsia="zh-CN"/>
        </w:rPr>
        <w:t>终止</w:t>
      </w:r>
      <w:r>
        <w:rPr>
          <w:rFonts w:hint="eastAsia" w:ascii="仿宋" w:hAnsi="仿宋" w:eastAsia="仿宋" w:cs="Arial"/>
          <w:snapToGrid w:val="0"/>
          <w:sz w:val="24"/>
          <w:szCs w:val="21"/>
          <w:highlight w:val="none"/>
        </w:rPr>
        <w:t>合同，取消其在浙江绍兴杭绍临空示范区开发集团有限公司（区轨道集团）及下属子公司各项目工程中1年的投标资格。</w:t>
      </w:r>
    </w:p>
    <w:p w14:paraId="58607796">
      <w:pPr>
        <w:widowControl/>
        <w:spacing w:line="480" w:lineRule="exact"/>
        <w:ind w:firstLine="480" w:firstLineChars="200"/>
        <w:jc w:val="left"/>
        <w:rPr>
          <w:highlight w:val="none"/>
        </w:rPr>
      </w:pPr>
      <w:r>
        <w:rPr>
          <w:rFonts w:hint="eastAsia" w:ascii="仿宋" w:hAnsi="仿宋" w:eastAsia="仿宋" w:cs="Arial"/>
          <w:snapToGrid w:val="0"/>
          <w:sz w:val="24"/>
          <w:szCs w:val="21"/>
          <w:highlight w:val="none"/>
          <w:lang w:val="en-US" w:eastAsia="zh-CN"/>
        </w:rPr>
        <w:t>3.</w:t>
      </w:r>
      <w:r>
        <w:rPr>
          <w:rFonts w:hint="eastAsia" w:ascii="仿宋" w:eastAsia="仿宋"/>
          <w:kern w:val="0"/>
          <w:sz w:val="24"/>
          <w:highlight w:val="none"/>
        </w:rPr>
        <w:t>工程决算审计后的工程量所发生的差错额与原标底相应误差不允许超过3%。若进行核对后发生差错额在3%-5%（含本数）以内的，扣除1万元违约金；发生差错额超过5%的，扣除3万元违约金</w:t>
      </w:r>
      <w:r>
        <w:rPr>
          <w:rFonts w:hint="eastAsia" w:ascii="仿宋" w:eastAsia="仿宋"/>
          <w:kern w:val="0"/>
          <w:sz w:val="24"/>
          <w:highlight w:val="none"/>
          <w:lang w:eastAsia="zh-CN"/>
        </w:rPr>
        <w:t>（</w:t>
      </w:r>
      <w:r>
        <w:rPr>
          <w:rFonts w:hint="eastAsia" w:ascii="仿宋" w:eastAsia="仿宋"/>
          <w:kern w:val="0"/>
          <w:sz w:val="24"/>
          <w:highlight w:val="none"/>
          <w:lang w:val="en-US" w:eastAsia="zh-CN"/>
        </w:rPr>
        <w:t>以上累计不超过标底审核部分总金额的20%</w:t>
      </w:r>
      <w:r>
        <w:rPr>
          <w:rFonts w:hint="eastAsia" w:ascii="仿宋" w:eastAsia="仿宋"/>
          <w:kern w:val="0"/>
          <w:sz w:val="24"/>
          <w:highlight w:val="none"/>
          <w:lang w:eastAsia="zh-CN"/>
        </w:rPr>
        <w:t>）</w:t>
      </w:r>
      <w:r>
        <w:rPr>
          <w:rFonts w:hint="eastAsia" w:ascii="仿宋" w:eastAsia="仿宋"/>
          <w:kern w:val="0"/>
          <w:sz w:val="24"/>
          <w:highlight w:val="none"/>
        </w:rPr>
        <w:t>。工程决算审计后的工程量为：除业主要求增减的工程量（工程签证变更）以及招标图和施工图变化部分。</w:t>
      </w:r>
    </w:p>
    <w:p w14:paraId="209E04EA">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十</w:t>
      </w:r>
      <w:r>
        <w:rPr>
          <w:rFonts w:hint="eastAsia" w:ascii="仿宋" w:eastAsia="仿宋"/>
          <w:b/>
          <w:bCs/>
          <w:kern w:val="0"/>
          <w:sz w:val="24"/>
          <w:lang w:val="en-US" w:eastAsia="zh-CN"/>
        </w:rPr>
        <w:t>二</w:t>
      </w:r>
      <w:r>
        <w:rPr>
          <w:rFonts w:hint="eastAsia" w:ascii="仿宋" w:eastAsia="仿宋"/>
          <w:b/>
          <w:bCs/>
          <w:kern w:val="0"/>
          <w:sz w:val="24"/>
        </w:rPr>
        <w:t>、不可抗力事件处理</w:t>
      </w:r>
    </w:p>
    <w:p w14:paraId="70BDF2FC">
      <w:pPr>
        <w:widowControl/>
        <w:snapToGrid w:val="0"/>
        <w:spacing w:line="480" w:lineRule="exact"/>
        <w:ind w:firstLine="480" w:firstLineChars="200"/>
        <w:rPr>
          <w:rFonts w:ascii="仿宋" w:eastAsia="仿宋"/>
          <w:kern w:val="0"/>
          <w:sz w:val="24"/>
        </w:rPr>
      </w:pPr>
      <w:r>
        <w:rPr>
          <w:rFonts w:hint="eastAsia" w:ascii="仿宋" w:eastAsia="仿宋"/>
          <w:kern w:val="0"/>
          <w:sz w:val="24"/>
        </w:rPr>
        <w:t>1.在合同有效期内，任何一方因不可抗力事件导致不能履行合同，则合同履行期可延长，其延长期与不可抗力影响期相同。</w:t>
      </w:r>
    </w:p>
    <w:p w14:paraId="3B7614CF">
      <w:pPr>
        <w:widowControl/>
        <w:snapToGrid w:val="0"/>
        <w:spacing w:line="480" w:lineRule="exact"/>
        <w:ind w:firstLine="480" w:firstLineChars="200"/>
        <w:rPr>
          <w:rFonts w:ascii="仿宋" w:eastAsia="仿宋"/>
          <w:kern w:val="0"/>
          <w:sz w:val="24"/>
        </w:rPr>
      </w:pPr>
      <w:r>
        <w:rPr>
          <w:rFonts w:hint="eastAsia" w:ascii="仿宋" w:eastAsia="仿宋"/>
          <w:kern w:val="0"/>
          <w:sz w:val="24"/>
        </w:rPr>
        <w:t>2.不可抗力事件发生后，应立即通知对方，并寄送有关权威机构出具的证明。</w:t>
      </w:r>
    </w:p>
    <w:p w14:paraId="672435C7">
      <w:pPr>
        <w:widowControl/>
        <w:snapToGrid w:val="0"/>
        <w:spacing w:line="480" w:lineRule="exact"/>
        <w:ind w:firstLine="480" w:firstLineChars="200"/>
        <w:rPr>
          <w:rFonts w:ascii="仿宋" w:eastAsia="仿宋"/>
          <w:kern w:val="0"/>
          <w:sz w:val="24"/>
        </w:rPr>
      </w:pPr>
      <w:r>
        <w:rPr>
          <w:rFonts w:hint="eastAsia" w:ascii="仿宋" w:eastAsia="仿宋"/>
          <w:kern w:val="0"/>
          <w:sz w:val="24"/>
        </w:rPr>
        <w:t>3.不可抗力事件延续120天以上，双方应通过友好协商，确定是否继续履行合同。</w:t>
      </w:r>
    </w:p>
    <w:p w14:paraId="1BEC62DD">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十</w:t>
      </w:r>
      <w:r>
        <w:rPr>
          <w:rFonts w:hint="eastAsia" w:ascii="仿宋" w:eastAsia="仿宋"/>
          <w:b/>
          <w:bCs/>
          <w:kern w:val="0"/>
          <w:sz w:val="24"/>
          <w:lang w:val="en-US" w:eastAsia="zh-CN"/>
        </w:rPr>
        <w:t>三</w:t>
      </w:r>
      <w:r>
        <w:rPr>
          <w:rFonts w:hint="eastAsia" w:ascii="仿宋" w:eastAsia="仿宋"/>
          <w:b/>
          <w:bCs/>
          <w:kern w:val="0"/>
          <w:sz w:val="24"/>
        </w:rPr>
        <w:t>、诉讼</w:t>
      </w:r>
    </w:p>
    <w:p w14:paraId="30711B01">
      <w:pPr>
        <w:widowControl/>
        <w:snapToGrid w:val="0"/>
        <w:spacing w:line="480" w:lineRule="exact"/>
        <w:ind w:firstLine="480" w:firstLineChars="200"/>
        <w:rPr>
          <w:rFonts w:ascii="仿宋" w:eastAsia="仿宋"/>
          <w:kern w:val="0"/>
          <w:sz w:val="24"/>
        </w:rPr>
      </w:pPr>
      <w:r>
        <w:rPr>
          <w:rFonts w:hint="eastAsia" w:ascii="仿宋" w:eastAsia="仿宋"/>
          <w:kern w:val="0"/>
          <w:sz w:val="24"/>
        </w:rPr>
        <w:t>双方在执行合同中所发生的一切争议，应通过协商解决。如协商不成，可向甲方所在地法院起诉。</w:t>
      </w:r>
    </w:p>
    <w:p w14:paraId="0349CF09">
      <w:pPr>
        <w:widowControl/>
        <w:snapToGrid w:val="0"/>
        <w:spacing w:line="480" w:lineRule="exact"/>
        <w:ind w:firstLine="482" w:firstLineChars="200"/>
        <w:rPr>
          <w:rFonts w:ascii="仿宋" w:eastAsia="仿宋"/>
          <w:b/>
          <w:bCs/>
          <w:kern w:val="0"/>
          <w:sz w:val="24"/>
        </w:rPr>
      </w:pPr>
      <w:r>
        <w:rPr>
          <w:rFonts w:hint="eastAsia" w:ascii="仿宋" w:eastAsia="仿宋"/>
          <w:b/>
          <w:bCs/>
          <w:kern w:val="0"/>
          <w:sz w:val="24"/>
        </w:rPr>
        <w:t>十</w:t>
      </w:r>
      <w:r>
        <w:rPr>
          <w:rFonts w:hint="eastAsia" w:ascii="仿宋" w:eastAsia="仿宋"/>
          <w:b/>
          <w:bCs/>
          <w:kern w:val="0"/>
          <w:sz w:val="24"/>
          <w:lang w:val="en-US" w:eastAsia="zh-CN"/>
        </w:rPr>
        <w:t>四</w:t>
      </w:r>
      <w:r>
        <w:rPr>
          <w:rFonts w:hint="eastAsia" w:ascii="仿宋" w:eastAsia="仿宋"/>
          <w:b/>
          <w:bCs/>
          <w:kern w:val="0"/>
          <w:sz w:val="24"/>
        </w:rPr>
        <w:t>、合同生效及其他</w:t>
      </w:r>
    </w:p>
    <w:p w14:paraId="26627BEC">
      <w:pPr>
        <w:widowControl/>
        <w:snapToGrid w:val="0"/>
        <w:spacing w:line="480" w:lineRule="exact"/>
        <w:ind w:firstLine="480" w:firstLineChars="200"/>
        <w:rPr>
          <w:rFonts w:ascii="仿宋" w:eastAsia="仿宋"/>
          <w:kern w:val="0"/>
          <w:sz w:val="24"/>
        </w:rPr>
      </w:pPr>
      <w:r>
        <w:rPr>
          <w:rFonts w:hint="eastAsia" w:ascii="仿宋" w:eastAsia="仿宋"/>
          <w:kern w:val="0"/>
          <w:sz w:val="24"/>
        </w:rPr>
        <w:t>1.合同经甲、乙双方签名并加盖单位公章后生效。</w:t>
      </w:r>
    </w:p>
    <w:p w14:paraId="197E90B3">
      <w:pPr>
        <w:widowControl/>
        <w:snapToGrid w:val="0"/>
        <w:spacing w:line="480" w:lineRule="exact"/>
        <w:ind w:firstLine="480" w:firstLineChars="200"/>
        <w:rPr>
          <w:rFonts w:ascii="仿宋" w:eastAsia="仿宋"/>
          <w:kern w:val="0"/>
          <w:sz w:val="24"/>
        </w:rPr>
      </w:pPr>
      <w:r>
        <w:rPr>
          <w:rFonts w:hint="eastAsia" w:ascii="仿宋" w:eastAsia="仿宋"/>
          <w:kern w:val="0"/>
          <w:sz w:val="24"/>
        </w:rPr>
        <w:t>2.采购文件、投标文件与本合同具有同等法律效力。</w:t>
      </w:r>
    </w:p>
    <w:p w14:paraId="3D50BEED">
      <w:pPr>
        <w:widowControl/>
        <w:snapToGrid w:val="0"/>
        <w:spacing w:line="480" w:lineRule="exact"/>
        <w:ind w:firstLine="480" w:firstLineChars="200"/>
        <w:rPr>
          <w:rFonts w:ascii="仿宋" w:eastAsia="仿宋"/>
          <w:kern w:val="0"/>
          <w:sz w:val="24"/>
        </w:rPr>
      </w:pPr>
      <w:r>
        <w:rPr>
          <w:rFonts w:hint="eastAsia" w:ascii="仿宋" w:eastAsia="仿宋"/>
          <w:kern w:val="0"/>
          <w:sz w:val="24"/>
        </w:rPr>
        <w:t>3.本合同未尽事宜，遵照《合同法》有关条文执行。</w:t>
      </w:r>
    </w:p>
    <w:p w14:paraId="2AAE1334">
      <w:pPr>
        <w:widowControl/>
        <w:snapToGrid w:val="0"/>
        <w:spacing w:line="480" w:lineRule="exact"/>
        <w:ind w:firstLine="480" w:firstLineChars="200"/>
        <w:rPr>
          <w:rFonts w:ascii="仿宋" w:eastAsia="仿宋"/>
          <w:kern w:val="0"/>
          <w:sz w:val="24"/>
        </w:rPr>
      </w:pPr>
      <w:r>
        <w:rPr>
          <w:rFonts w:hint="eastAsia" w:ascii="仿宋" w:eastAsia="仿宋"/>
          <w:kern w:val="0"/>
          <w:sz w:val="24"/>
        </w:rPr>
        <w:t>4.本合同一式</w:t>
      </w:r>
      <w:r>
        <w:rPr>
          <w:rFonts w:hint="eastAsia" w:ascii="仿宋" w:eastAsia="仿宋"/>
          <w:kern w:val="0"/>
          <w:sz w:val="24"/>
          <w:lang w:eastAsia="zh-CN"/>
        </w:rPr>
        <w:t>四</w:t>
      </w:r>
      <w:r>
        <w:rPr>
          <w:rFonts w:hint="eastAsia" w:ascii="仿宋" w:eastAsia="仿宋"/>
          <w:kern w:val="0"/>
          <w:sz w:val="24"/>
        </w:rPr>
        <w:t>份，具有同等法律效力，甲、乙双方各执二份。</w:t>
      </w:r>
    </w:p>
    <w:p w14:paraId="79F24FFA">
      <w:pPr>
        <w:widowControl/>
        <w:snapToGrid w:val="0"/>
        <w:spacing w:line="480" w:lineRule="exact"/>
        <w:ind w:firstLine="480" w:firstLineChars="200"/>
        <w:rPr>
          <w:rFonts w:ascii="仿宋" w:eastAsia="仿宋"/>
          <w:kern w:val="0"/>
          <w:sz w:val="24"/>
        </w:rPr>
      </w:pPr>
    </w:p>
    <w:p w14:paraId="6B7892E2">
      <w:pPr>
        <w:widowControl/>
        <w:snapToGrid w:val="0"/>
        <w:spacing w:line="480" w:lineRule="exact"/>
        <w:ind w:firstLine="480" w:firstLineChars="200"/>
        <w:rPr>
          <w:rFonts w:ascii="仿宋" w:eastAsia="仿宋"/>
          <w:kern w:val="0"/>
          <w:sz w:val="24"/>
        </w:rPr>
      </w:pPr>
    </w:p>
    <w:p w14:paraId="6C478EAC">
      <w:pPr>
        <w:widowControl/>
        <w:snapToGrid w:val="0"/>
        <w:spacing w:line="480" w:lineRule="exact"/>
        <w:ind w:firstLine="480" w:firstLineChars="200"/>
        <w:rPr>
          <w:rFonts w:ascii="仿宋" w:eastAsia="仿宋"/>
          <w:kern w:val="0"/>
          <w:sz w:val="24"/>
        </w:rPr>
      </w:pPr>
    </w:p>
    <w:p w14:paraId="2C52A624">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甲方（盖章）：                                   </w:t>
      </w:r>
    </w:p>
    <w:p w14:paraId="5484480A">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地址：                                   </w:t>
      </w:r>
    </w:p>
    <w:p w14:paraId="07E6DB70">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法定（授权）代表人：                   </w:t>
      </w:r>
    </w:p>
    <w:p w14:paraId="64906728">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签名日期：     年   月   日           </w:t>
      </w:r>
    </w:p>
    <w:p w14:paraId="7AAE90A5">
      <w:pPr>
        <w:widowControl/>
        <w:snapToGrid w:val="0"/>
        <w:spacing w:line="480" w:lineRule="exact"/>
        <w:ind w:firstLine="480" w:firstLineChars="200"/>
        <w:rPr>
          <w:rFonts w:ascii="仿宋" w:eastAsia="仿宋"/>
          <w:kern w:val="0"/>
          <w:sz w:val="24"/>
        </w:rPr>
      </w:pPr>
    </w:p>
    <w:p w14:paraId="4AFB14BB">
      <w:pPr>
        <w:widowControl/>
        <w:snapToGrid w:val="0"/>
        <w:spacing w:line="480" w:lineRule="exact"/>
        <w:ind w:firstLine="480" w:firstLineChars="200"/>
        <w:rPr>
          <w:rFonts w:ascii="仿宋" w:eastAsia="仿宋"/>
          <w:kern w:val="0"/>
          <w:sz w:val="24"/>
        </w:rPr>
      </w:pPr>
      <w:r>
        <w:rPr>
          <w:rFonts w:hint="eastAsia" w:ascii="仿宋" w:eastAsia="仿宋"/>
          <w:kern w:val="0"/>
          <w:sz w:val="24"/>
        </w:rPr>
        <w:t>乙方（盖章）：</w:t>
      </w:r>
    </w:p>
    <w:p w14:paraId="182C565F">
      <w:pPr>
        <w:widowControl/>
        <w:snapToGrid w:val="0"/>
        <w:spacing w:line="480" w:lineRule="exact"/>
        <w:ind w:firstLine="480" w:firstLineChars="200"/>
        <w:rPr>
          <w:rFonts w:ascii="仿宋" w:eastAsia="仿宋"/>
          <w:kern w:val="0"/>
          <w:sz w:val="24"/>
        </w:rPr>
      </w:pPr>
      <w:r>
        <w:rPr>
          <w:rFonts w:hint="eastAsia" w:ascii="仿宋" w:eastAsia="仿宋"/>
          <w:kern w:val="0"/>
          <w:sz w:val="24"/>
        </w:rPr>
        <w:t xml:space="preserve">地址： </w:t>
      </w:r>
    </w:p>
    <w:p w14:paraId="43D48A1D">
      <w:pPr>
        <w:widowControl/>
        <w:snapToGrid w:val="0"/>
        <w:spacing w:line="480" w:lineRule="exact"/>
        <w:ind w:firstLine="480" w:firstLineChars="200"/>
        <w:rPr>
          <w:rFonts w:ascii="仿宋" w:eastAsia="仿宋"/>
          <w:kern w:val="0"/>
          <w:sz w:val="24"/>
        </w:rPr>
      </w:pPr>
      <w:r>
        <w:rPr>
          <w:rFonts w:hint="eastAsia" w:ascii="仿宋" w:eastAsia="仿宋"/>
          <w:kern w:val="0"/>
          <w:sz w:val="24"/>
        </w:rPr>
        <w:t>开户行：</w:t>
      </w:r>
    </w:p>
    <w:p w14:paraId="036FA793">
      <w:pPr>
        <w:widowControl/>
        <w:snapToGrid w:val="0"/>
        <w:spacing w:line="480" w:lineRule="exact"/>
        <w:ind w:firstLine="480" w:firstLineChars="200"/>
        <w:rPr>
          <w:rFonts w:ascii="仿宋" w:eastAsia="仿宋"/>
          <w:kern w:val="0"/>
          <w:sz w:val="24"/>
        </w:rPr>
      </w:pPr>
      <w:r>
        <w:rPr>
          <w:rFonts w:hint="eastAsia" w:ascii="仿宋" w:eastAsia="仿宋"/>
          <w:kern w:val="0"/>
          <w:sz w:val="24"/>
        </w:rPr>
        <w:t>开户账号：</w:t>
      </w:r>
    </w:p>
    <w:p w14:paraId="0BCA17BE">
      <w:pPr>
        <w:widowControl/>
        <w:snapToGrid w:val="0"/>
        <w:spacing w:line="480" w:lineRule="exact"/>
        <w:ind w:firstLine="480" w:firstLineChars="200"/>
        <w:rPr>
          <w:rFonts w:ascii="仿宋" w:eastAsia="仿宋"/>
          <w:kern w:val="0"/>
          <w:sz w:val="24"/>
        </w:rPr>
      </w:pPr>
      <w:r>
        <w:rPr>
          <w:rFonts w:hint="eastAsia" w:ascii="仿宋" w:eastAsia="仿宋"/>
          <w:kern w:val="0"/>
          <w:sz w:val="24"/>
        </w:rPr>
        <w:t>法定（授权）代表人：</w:t>
      </w:r>
    </w:p>
    <w:p w14:paraId="46C1BF61">
      <w:pPr>
        <w:widowControl/>
        <w:snapToGrid w:val="0"/>
        <w:spacing w:line="480" w:lineRule="exact"/>
        <w:ind w:firstLine="480" w:firstLineChars="200"/>
        <w:rPr>
          <w:rFonts w:ascii="仿宋" w:eastAsia="仿宋"/>
          <w:kern w:val="0"/>
          <w:sz w:val="24"/>
        </w:rPr>
      </w:pPr>
      <w:r>
        <w:rPr>
          <w:rFonts w:hint="eastAsia" w:ascii="仿宋" w:eastAsia="仿宋"/>
          <w:kern w:val="0"/>
          <w:sz w:val="24"/>
        </w:rPr>
        <w:t>签名日期：      年   月   日</w:t>
      </w:r>
    </w:p>
    <w:p w14:paraId="79941497">
      <w:pPr>
        <w:widowControl/>
        <w:snapToGrid w:val="0"/>
        <w:spacing w:line="480" w:lineRule="exact"/>
        <w:ind w:firstLine="480" w:firstLineChars="200"/>
        <w:rPr>
          <w:rFonts w:ascii="仿宋" w:eastAsia="仿宋"/>
          <w:kern w:val="0"/>
          <w:sz w:val="24"/>
        </w:rPr>
      </w:pPr>
    </w:p>
    <w:p w14:paraId="2AFDC158">
      <w:pPr>
        <w:snapToGrid w:val="0"/>
        <w:spacing w:line="360" w:lineRule="auto"/>
        <w:jc w:val="center"/>
        <w:rPr>
          <w:rFonts w:ascii="仿宋" w:hAnsi="仿宋" w:eastAsia="仿宋" w:cs="仿宋_GB2312"/>
          <w:b/>
          <w:sz w:val="36"/>
          <w:szCs w:val="20"/>
        </w:rPr>
      </w:pPr>
      <w:r>
        <w:rPr>
          <w:rFonts w:ascii="仿宋" w:hAnsi="仿宋" w:eastAsia="仿宋" w:cs="仿宋_GB2312"/>
          <w:b/>
          <w:sz w:val="36"/>
          <w:szCs w:val="20"/>
        </w:rPr>
        <w:br w:type="page"/>
      </w:r>
      <w:r>
        <w:rPr>
          <w:rFonts w:hint="eastAsia" w:ascii="仿宋" w:hAnsi="仿宋" w:eastAsia="仿宋" w:cs="仿宋_GB2312"/>
          <w:b/>
          <w:sz w:val="36"/>
          <w:szCs w:val="20"/>
        </w:rPr>
        <w:t>第六部分</w:t>
      </w:r>
      <w:bookmarkEnd w:id="427"/>
      <w:r>
        <w:rPr>
          <w:rFonts w:hint="eastAsia" w:ascii="仿宋" w:hAnsi="仿宋" w:eastAsia="仿宋" w:cs="仿宋_GB2312"/>
          <w:b/>
          <w:sz w:val="36"/>
          <w:szCs w:val="20"/>
        </w:rPr>
        <w:t xml:space="preserve"> </w:t>
      </w:r>
      <w:bookmarkEnd w:id="428"/>
      <w:r>
        <w:rPr>
          <w:rFonts w:hint="eastAsia" w:ascii="仿宋" w:hAnsi="仿宋" w:eastAsia="仿宋" w:cs="仿宋_GB2312"/>
          <w:b/>
          <w:sz w:val="36"/>
          <w:szCs w:val="20"/>
        </w:rPr>
        <w:t>应提交的有关格式范例</w:t>
      </w:r>
    </w:p>
    <w:p w14:paraId="5C6F199F">
      <w:pPr>
        <w:spacing w:line="360" w:lineRule="auto"/>
        <w:jc w:val="center"/>
        <w:outlineLvl w:val="0"/>
        <w:rPr>
          <w:rFonts w:ascii="仿宋" w:hAnsi="仿宋" w:eastAsia="仿宋" w:cs="仿宋_GB2312"/>
          <w:sz w:val="36"/>
          <w:szCs w:val="36"/>
          <w:lang w:val="zh-CN"/>
        </w:rPr>
      </w:pPr>
    </w:p>
    <w:p w14:paraId="15B763F0">
      <w:pPr>
        <w:spacing w:line="360" w:lineRule="auto"/>
        <w:jc w:val="center"/>
        <w:outlineLvl w:val="0"/>
        <w:rPr>
          <w:rFonts w:ascii="仿宋" w:hAnsi="仿宋" w:eastAsia="仿宋" w:cs="仿宋_GB2312"/>
          <w:b/>
          <w:kern w:val="0"/>
          <w:sz w:val="36"/>
          <w:szCs w:val="36"/>
        </w:rPr>
      </w:pPr>
      <w:r>
        <w:rPr>
          <w:rFonts w:hint="eastAsia" w:ascii="仿宋" w:hAnsi="仿宋" w:eastAsia="仿宋" w:cs="仿宋_GB2312"/>
          <w:b/>
          <w:kern w:val="0"/>
          <w:sz w:val="36"/>
          <w:szCs w:val="36"/>
        </w:rPr>
        <w:t>资格文件部分</w:t>
      </w:r>
    </w:p>
    <w:p w14:paraId="3FA60369">
      <w:pPr>
        <w:spacing w:line="360" w:lineRule="auto"/>
        <w:jc w:val="center"/>
        <w:outlineLvl w:val="0"/>
        <w:rPr>
          <w:rFonts w:ascii="仿宋" w:hAnsi="仿宋" w:eastAsia="仿宋" w:cs="仿宋_GB2312"/>
          <w:b/>
          <w:kern w:val="0"/>
          <w:sz w:val="36"/>
          <w:szCs w:val="36"/>
        </w:rPr>
      </w:pPr>
      <w:r>
        <w:rPr>
          <w:rFonts w:hint="eastAsia" w:ascii="仿宋" w:hAnsi="仿宋" w:eastAsia="仿宋" w:cs="仿宋_GB2312"/>
          <w:b/>
          <w:kern w:val="0"/>
          <w:sz w:val="36"/>
          <w:szCs w:val="36"/>
        </w:rPr>
        <w:t>目录</w:t>
      </w:r>
    </w:p>
    <w:p w14:paraId="32766F1E">
      <w:pPr>
        <w:spacing w:line="360" w:lineRule="auto"/>
        <w:jc w:val="center"/>
        <w:outlineLvl w:val="0"/>
        <w:rPr>
          <w:rFonts w:ascii="仿宋" w:hAnsi="仿宋" w:eastAsia="仿宋" w:cs="仿宋_GB2312"/>
          <w:b/>
          <w:kern w:val="0"/>
          <w:sz w:val="36"/>
          <w:szCs w:val="36"/>
        </w:rPr>
      </w:pPr>
    </w:p>
    <w:p w14:paraId="49BAF859">
      <w:pPr>
        <w:spacing w:line="360" w:lineRule="auto"/>
        <w:jc w:val="left"/>
        <w:rPr>
          <w:rFonts w:hint="eastAsia" w:ascii="仿宋" w:hAnsi="仿宋" w:eastAsia="仿宋" w:cs="仿宋_GB2312"/>
          <w:kern w:val="0"/>
          <w:sz w:val="24"/>
        </w:rPr>
      </w:pPr>
      <w:r>
        <w:rPr>
          <w:rFonts w:ascii="仿宋" w:hAnsi="仿宋" w:eastAsia="仿宋" w:cs="仿宋_GB2312"/>
          <w:kern w:val="0"/>
          <w:sz w:val="24"/>
        </w:rPr>
        <w:t>(</w:t>
      </w:r>
      <w:r>
        <w:rPr>
          <w:rFonts w:hint="eastAsia" w:ascii="仿宋" w:hAnsi="仿宋" w:eastAsia="仿宋" w:cs="仿宋_GB2312"/>
          <w:kern w:val="0"/>
          <w:sz w:val="24"/>
        </w:rPr>
        <w:t>1）营业执照(或事业法人登记证或其他工商等登记证明材料)复印件（投标人为自然人的，须提供自然人的身份证明） …………………………（页码）</w:t>
      </w:r>
    </w:p>
    <w:p w14:paraId="04529021">
      <w:pPr>
        <w:spacing w:line="360" w:lineRule="auto"/>
        <w:jc w:val="left"/>
        <w:rPr>
          <w:rFonts w:hint="eastAsia" w:ascii="仿宋" w:hAnsi="仿宋" w:eastAsia="仿宋" w:cs="仿宋_GB2312"/>
          <w:kern w:val="0"/>
          <w:sz w:val="24"/>
        </w:rPr>
      </w:pPr>
      <w:r>
        <w:rPr>
          <w:rFonts w:hint="eastAsia" w:ascii="仿宋" w:hAnsi="仿宋" w:eastAsia="仿宋" w:cs="仿宋_GB2312"/>
          <w:kern w:val="0"/>
          <w:sz w:val="24"/>
        </w:rPr>
        <w:t>（2）投标声明函 ………………………………………………………………（页码）</w:t>
      </w:r>
    </w:p>
    <w:p w14:paraId="7363B477">
      <w:pPr>
        <w:spacing w:line="360" w:lineRule="auto"/>
        <w:jc w:val="left"/>
        <w:rPr>
          <w:rFonts w:hint="eastAsia" w:ascii="仿宋" w:hAnsi="仿宋" w:eastAsia="仿宋" w:cs="仿宋_GB2312"/>
          <w:kern w:val="0"/>
          <w:sz w:val="24"/>
        </w:rPr>
      </w:pPr>
      <w:r>
        <w:rPr>
          <w:rFonts w:hint="eastAsia" w:ascii="仿宋" w:hAnsi="仿宋" w:eastAsia="仿宋" w:cs="仿宋_GB2312"/>
          <w:kern w:val="0"/>
          <w:sz w:val="24"/>
        </w:rPr>
        <w:t>（3）联合体协议书（如有） …………………………………………………（页码）</w:t>
      </w:r>
    </w:p>
    <w:p w14:paraId="680AAFDB">
      <w:pPr>
        <w:spacing w:line="360" w:lineRule="auto"/>
        <w:jc w:val="left"/>
        <w:rPr>
          <w:rFonts w:hint="eastAsia" w:ascii="仿宋" w:hAnsi="仿宋" w:eastAsia="仿宋" w:cs="仿宋_GB2312"/>
          <w:kern w:val="0"/>
          <w:sz w:val="24"/>
        </w:rPr>
      </w:pPr>
      <w:r>
        <w:rPr>
          <w:rFonts w:hint="eastAsia" w:ascii="仿宋" w:hAnsi="仿宋" w:eastAsia="仿宋" w:cs="仿宋_GB2312"/>
          <w:kern w:val="0"/>
          <w:sz w:val="24"/>
        </w:rPr>
        <w:t>（4）法定代表人授权委托书 …………………………………………………（页码）</w:t>
      </w:r>
    </w:p>
    <w:p w14:paraId="76AC6F11">
      <w:pPr>
        <w:spacing w:line="360" w:lineRule="auto"/>
        <w:jc w:val="left"/>
        <w:rPr>
          <w:rFonts w:hint="eastAsia" w:ascii="仿宋" w:hAnsi="仿宋" w:eastAsia="仿宋" w:cs="仿宋_GB2312"/>
          <w:kern w:val="0"/>
          <w:sz w:val="24"/>
        </w:rPr>
      </w:pPr>
      <w:r>
        <w:rPr>
          <w:rFonts w:hint="eastAsia" w:ascii="仿宋" w:hAnsi="仿宋" w:eastAsia="仿宋" w:cs="仿宋_GB2312"/>
          <w:kern w:val="0"/>
          <w:sz w:val="24"/>
        </w:rPr>
        <w:t>（5）法定代表人及其授权代表的身份证（复印件） ………………………（页码）</w:t>
      </w:r>
    </w:p>
    <w:p w14:paraId="7E0DF490">
      <w:pPr>
        <w:snapToGrid w:val="0"/>
        <w:spacing w:line="360" w:lineRule="auto"/>
        <w:rPr>
          <w:rFonts w:ascii="仿宋" w:hAnsi="仿宋" w:eastAsia="仿宋" w:cs="仿宋_GB2312"/>
          <w:sz w:val="24"/>
        </w:rPr>
      </w:pPr>
    </w:p>
    <w:p w14:paraId="2509A948">
      <w:pPr>
        <w:snapToGrid w:val="0"/>
        <w:spacing w:line="360" w:lineRule="auto"/>
        <w:ind w:firstLine="3240" w:firstLineChars="900"/>
        <w:rPr>
          <w:rFonts w:ascii="仿宋" w:hAnsi="仿宋" w:eastAsia="仿宋" w:cs="仿宋_GB2312"/>
          <w:sz w:val="36"/>
          <w:szCs w:val="36"/>
        </w:rPr>
      </w:pPr>
    </w:p>
    <w:p w14:paraId="6284866B">
      <w:pPr>
        <w:snapToGrid w:val="0"/>
        <w:spacing w:line="360" w:lineRule="auto"/>
        <w:rPr>
          <w:rFonts w:ascii="仿宋" w:hAnsi="仿宋" w:eastAsia="仿宋" w:cs="仿宋_GB2312"/>
          <w:sz w:val="36"/>
          <w:szCs w:val="36"/>
        </w:rPr>
      </w:pPr>
    </w:p>
    <w:p w14:paraId="7C8F0E0B">
      <w:pPr>
        <w:snapToGrid w:val="0"/>
        <w:spacing w:line="360" w:lineRule="auto"/>
        <w:jc w:val="center"/>
        <w:outlineLvl w:val="0"/>
        <w:rPr>
          <w:rFonts w:hint="eastAsia" w:ascii="仿宋" w:hAnsi="仿宋" w:eastAsia="仿宋" w:cs="仿宋_GB2312"/>
          <w:b/>
          <w:sz w:val="30"/>
          <w:szCs w:val="30"/>
        </w:rPr>
      </w:pPr>
      <w:r>
        <w:rPr>
          <w:rFonts w:ascii="仿宋" w:hAnsi="仿宋" w:eastAsia="仿宋" w:cs="仿宋_GB2312"/>
          <w:b/>
          <w:kern w:val="0"/>
          <w:sz w:val="32"/>
          <w:szCs w:val="32"/>
          <w:lang w:val="zh-CN"/>
        </w:rPr>
        <w:br w:type="page"/>
      </w:r>
      <w:r>
        <w:rPr>
          <w:rFonts w:hint="eastAsia" w:ascii="仿宋" w:hAnsi="仿宋" w:eastAsia="仿宋" w:cs="仿宋_GB2312"/>
          <w:b/>
          <w:kern w:val="0"/>
          <w:sz w:val="32"/>
          <w:szCs w:val="32"/>
        </w:rPr>
        <w:t>一、营业执照(或事业法人登记证或其他工商等登记证明材料)复印件（投标人为自然人的，须提供自然人的身份证明）复印件</w:t>
      </w:r>
    </w:p>
    <w:p w14:paraId="57CA67F7">
      <w:pPr>
        <w:snapToGrid w:val="0"/>
        <w:spacing w:line="360" w:lineRule="auto"/>
        <w:jc w:val="center"/>
        <w:outlineLvl w:val="0"/>
        <w:rPr>
          <w:rFonts w:ascii="仿宋" w:hAnsi="仿宋" w:eastAsia="仿宋" w:cs="仿宋_GB2312"/>
          <w:b/>
          <w:sz w:val="30"/>
          <w:szCs w:val="30"/>
        </w:rPr>
      </w:pPr>
    </w:p>
    <w:p w14:paraId="7E3D65D1">
      <w:pPr>
        <w:spacing w:line="360" w:lineRule="auto"/>
        <w:rPr>
          <w:rFonts w:ascii="仿宋" w:hAnsi="仿宋" w:eastAsia="仿宋" w:cs="仿宋_GB2312"/>
          <w:b/>
          <w:sz w:val="30"/>
          <w:szCs w:val="30"/>
        </w:rPr>
      </w:pPr>
    </w:p>
    <w:p w14:paraId="53ECF342">
      <w:pPr>
        <w:spacing w:line="360" w:lineRule="auto"/>
        <w:rPr>
          <w:rFonts w:ascii="仿宋" w:hAnsi="仿宋" w:eastAsia="仿宋" w:cs="仿宋_GB2312"/>
          <w:b/>
          <w:sz w:val="30"/>
          <w:szCs w:val="30"/>
        </w:rPr>
      </w:pPr>
    </w:p>
    <w:p w14:paraId="3526769E">
      <w:pPr>
        <w:spacing w:line="360" w:lineRule="auto"/>
        <w:rPr>
          <w:rFonts w:ascii="仿宋" w:hAnsi="仿宋" w:eastAsia="仿宋" w:cs="仿宋_GB2312"/>
          <w:b/>
          <w:sz w:val="30"/>
          <w:szCs w:val="30"/>
        </w:rPr>
      </w:pPr>
    </w:p>
    <w:p w14:paraId="0C91DAB5">
      <w:pPr>
        <w:spacing w:line="360" w:lineRule="auto"/>
        <w:rPr>
          <w:rFonts w:ascii="仿宋" w:hAnsi="仿宋" w:eastAsia="仿宋" w:cs="仿宋_GB2312"/>
          <w:b/>
          <w:sz w:val="30"/>
          <w:szCs w:val="30"/>
        </w:rPr>
      </w:pPr>
    </w:p>
    <w:p w14:paraId="2C32843B">
      <w:pPr>
        <w:spacing w:line="360" w:lineRule="auto"/>
        <w:rPr>
          <w:rFonts w:ascii="仿宋" w:hAnsi="仿宋" w:eastAsia="仿宋" w:cs="仿宋_GB2312"/>
          <w:b/>
          <w:sz w:val="30"/>
          <w:szCs w:val="30"/>
        </w:rPr>
      </w:pPr>
    </w:p>
    <w:p w14:paraId="59B79DEB">
      <w:pPr>
        <w:spacing w:line="360" w:lineRule="auto"/>
        <w:rPr>
          <w:rFonts w:ascii="仿宋" w:hAnsi="仿宋" w:eastAsia="仿宋" w:cs="仿宋_GB2312"/>
          <w:b/>
          <w:sz w:val="30"/>
          <w:szCs w:val="30"/>
        </w:rPr>
      </w:pPr>
    </w:p>
    <w:p w14:paraId="21ED7DAC">
      <w:pPr>
        <w:spacing w:line="360" w:lineRule="auto"/>
        <w:rPr>
          <w:rFonts w:ascii="仿宋" w:hAnsi="仿宋" w:eastAsia="仿宋" w:cs="仿宋_GB2312"/>
          <w:b/>
          <w:sz w:val="30"/>
          <w:szCs w:val="30"/>
        </w:rPr>
      </w:pPr>
    </w:p>
    <w:p w14:paraId="5812A5DF">
      <w:pPr>
        <w:spacing w:line="360" w:lineRule="auto"/>
        <w:rPr>
          <w:rFonts w:ascii="仿宋" w:hAnsi="仿宋" w:eastAsia="仿宋" w:cs="仿宋_GB2312"/>
          <w:b/>
          <w:sz w:val="30"/>
          <w:szCs w:val="30"/>
        </w:rPr>
      </w:pPr>
    </w:p>
    <w:p w14:paraId="6EBC091F">
      <w:pPr>
        <w:spacing w:line="360" w:lineRule="auto"/>
        <w:rPr>
          <w:rFonts w:ascii="仿宋" w:hAnsi="仿宋" w:eastAsia="仿宋" w:cs="仿宋_GB2312"/>
          <w:b/>
          <w:sz w:val="30"/>
          <w:szCs w:val="30"/>
        </w:rPr>
      </w:pPr>
    </w:p>
    <w:p w14:paraId="6B51246D">
      <w:pPr>
        <w:spacing w:line="360" w:lineRule="auto"/>
        <w:rPr>
          <w:rFonts w:ascii="仿宋" w:hAnsi="仿宋" w:eastAsia="仿宋" w:cs="仿宋_GB2312"/>
          <w:b/>
          <w:sz w:val="30"/>
          <w:szCs w:val="30"/>
        </w:rPr>
      </w:pPr>
    </w:p>
    <w:p w14:paraId="54447BE3">
      <w:pPr>
        <w:spacing w:line="360" w:lineRule="auto"/>
        <w:rPr>
          <w:rFonts w:ascii="仿宋" w:hAnsi="仿宋" w:eastAsia="仿宋" w:cs="仿宋_GB2312"/>
          <w:b/>
          <w:sz w:val="30"/>
          <w:szCs w:val="30"/>
        </w:rPr>
      </w:pPr>
    </w:p>
    <w:p w14:paraId="169C126F">
      <w:pPr>
        <w:spacing w:line="360" w:lineRule="auto"/>
        <w:rPr>
          <w:rFonts w:ascii="仿宋" w:hAnsi="仿宋" w:eastAsia="仿宋" w:cs="仿宋_GB2312"/>
          <w:b/>
          <w:sz w:val="30"/>
          <w:szCs w:val="30"/>
        </w:rPr>
      </w:pPr>
    </w:p>
    <w:p w14:paraId="7C12D507">
      <w:pPr>
        <w:spacing w:line="360" w:lineRule="auto"/>
        <w:rPr>
          <w:rFonts w:ascii="仿宋" w:hAnsi="仿宋" w:eastAsia="仿宋" w:cs="仿宋_GB2312"/>
          <w:b/>
          <w:sz w:val="30"/>
          <w:szCs w:val="30"/>
        </w:rPr>
      </w:pPr>
    </w:p>
    <w:p w14:paraId="0BC286E8">
      <w:pPr>
        <w:spacing w:line="360" w:lineRule="auto"/>
        <w:rPr>
          <w:rFonts w:ascii="仿宋" w:hAnsi="仿宋" w:eastAsia="仿宋" w:cs="仿宋_GB2312"/>
          <w:b/>
          <w:sz w:val="30"/>
          <w:szCs w:val="30"/>
        </w:rPr>
      </w:pPr>
    </w:p>
    <w:p w14:paraId="24F67F2A">
      <w:pPr>
        <w:spacing w:line="360" w:lineRule="auto"/>
        <w:rPr>
          <w:rFonts w:ascii="仿宋" w:hAnsi="仿宋" w:eastAsia="仿宋" w:cs="仿宋_GB2312"/>
          <w:b/>
          <w:sz w:val="30"/>
          <w:szCs w:val="30"/>
        </w:rPr>
      </w:pPr>
    </w:p>
    <w:p w14:paraId="01E4FAFB">
      <w:pPr>
        <w:spacing w:line="360" w:lineRule="auto"/>
        <w:rPr>
          <w:rFonts w:ascii="仿宋" w:hAnsi="仿宋" w:eastAsia="仿宋" w:cs="仿宋_GB2312"/>
          <w:b/>
          <w:sz w:val="30"/>
          <w:szCs w:val="30"/>
        </w:rPr>
      </w:pPr>
    </w:p>
    <w:p w14:paraId="7D29E5DF">
      <w:pPr>
        <w:spacing w:line="360" w:lineRule="auto"/>
        <w:rPr>
          <w:rFonts w:ascii="仿宋" w:hAnsi="仿宋" w:eastAsia="仿宋" w:cs="仿宋_GB2312"/>
          <w:b/>
          <w:sz w:val="30"/>
          <w:szCs w:val="30"/>
        </w:rPr>
      </w:pPr>
    </w:p>
    <w:p w14:paraId="41085E74">
      <w:pPr>
        <w:spacing w:line="360" w:lineRule="auto"/>
        <w:rPr>
          <w:rFonts w:ascii="仿宋" w:hAnsi="仿宋" w:eastAsia="仿宋" w:cs="仿宋_GB2312"/>
          <w:b/>
          <w:sz w:val="30"/>
          <w:szCs w:val="30"/>
        </w:rPr>
      </w:pPr>
    </w:p>
    <w:p w14:paraId="1520DE92">
      <w:pPr>
        <w:snapToGrid w:val="0"/>
        <w:spacing w:line="360" w:lineRule="auto"/>
        <w:jc w:val="center"/>
        <w:outlineLvl w:val="0"/>
        <w:rPr>
          <w:rFonts w:ascii="仿宋" w:hAnsi="仿宋" w:eastAsia="仿宋" w:cs="仿宋_GB2312"/>
          <w:b/>
          <w:sz w:val="32"/>
          <w:szCs w:val="32"/>
        </w:rPr>
      </w:pPr>
      <w:r>
        <w:rPr>
          <w:rFonts w:hint="eastAsia" w:ascii="仿宋" w:hAnsi="仿宋" w:eastAsia="仿宋" w:cs="仿宋_GB2312"/>
          <w:b/>
          <w:sz w:val="30"/>
          <w:szCs w:val="30"/>
        </w:rPr>
        <w:br w:type="page"/>
      </w:r>
      <w:r>
        <w:rPr>
          <w:rFonts w:hint="eastAsia" w:ascii="仿宋" w:hAnsi="仿宋" w:eastAsia="仿宋" w:cs="仿宋_GB2312"/>
          <w:b/>
          <w:kern w:val="0"/>
          <w:sz w:val="32"/>
          <w:szCs w:val="32"/>
        </w:rPr>
        <w:t>二、投标声明</w:t>
      </w:r>
      <w:r>
        <w:rPr>
          <w:rFonts w:hint="eastAsia" w:ascii="仿宋" w:hAnsi="仿宋" w:eastAsia="仿宋" w:cs="仿宋_GB2312"/>
          <w:b/>
          <w:sz w:val="32"/>
          <w:szCs w:val="32"/>
        </w:rPr>
        <w:t>函</w:t>
      </w:r>
    </w:p>
    <w:p w14:paraId="0E9C8339">
      <w:pPr>
        <w:snapToGrid w:val="0"/>
        <w:spacing w:line="360" w:lineRule="auto"/>
        <w:rPr>
          <w:rFonts w:ascii="仿宋" w:hAnsi="仿宋" w:eastAsia="仿宋" w:cs="仿宋_GB2312"/>
          <w:sz w:val="24"/>
        </w:rPr>
      </w:pPr>
      <w:r>
        <w:rPr>
          <w:rFonts w:hint="eastAsia" w:ascii="仿宋" w:hAnsi="仿宋" w:eastAsia="仿宋"/>
          <w:sz w:val="24"/>
        </w:rPr>
        <w:t>致：</w:t>
      </w:r>
      <w:r>
        <w:rPr>
          <w:rFonts w:hint="eastAsia" w:ascii="仿宋" w:hAnsi="仿宋" w:eastAsia="仿宋"/>
          <w:sz w:val="24"/>
          <w:u w:val="single"/>
        </w:rPr>
        <w:t>（采购单位或采购代理机构名称</w:t>
      </w:r>
      <w:r>
        <w:rPr>
          <w:rFonts w:ascii="仿宋" w:hAnsi="仿宋" w:eastAsia="仿宋"/>
          <w:sz w:val="24"/>
          <w:u w:val="single"/>
        </w:rPr>
        <w:t>）</w:t>
      </w:r>
      <w:r>
        <w:rPr>
          <w:rFonts w:hint="eastAsia" w:ascii="仿宋" w:hAnsi="仿宋" w:eastAsia="仿宋" w:cs="仿宋_GB2312"/>
          <w:sz w:val="24"/>
        </w:rPr>
        <w:t>：</w:t>
      </w:r>
    </w:p>
    <w:p w14:paraId="4BF7DFA4">
      <w:pPr>
        <w:snapToGrid w:val="0"/>
        <w:spacing w:line="360" w:lineRule="auto"/>
        <w:ind w:firstLine="480" w:firstLineChars="200"/>
        <w:rPr>
          <w:rFonts w:ascii="仿宋" w:hAnsi="仿宋" w:eastAsia="仿宋" w:cs="仿宋_GB2312"/>
          <w:sz w:val="24"/>
        </w:rPr>
      </w:pPr>
      <w:r>
        <w:rPr>
          <w:rFonts w:hint="eastAsia" w:ascii="仿宋" w:hAnsi="仿宋" w:eastAsia="仿宋" w:cs="仿宋_GB2312"/>
          <w:sz w:val="24"/>
        </w:rPr>
        <w:t>我方</w:t>
      </w:r>
      <w:r>
        <w:rPr>
          <w:rFonts w:hint="eastAsia" w:ascii="仿宋" w:eastAsia="仿宋"/>
          <w:sz w:val="24"/>
          <w:u w:val="single"/>
        </w:rPr>
        <w:t>（投标人或联合体牵头人全称）</w:t>
      </w:r>
      <w:r>
        <w:rPr>
          <w:rFonts w:hint="eastAsia" w:ascii="仿宋" w:hAnsi="仿宋" w:eastAsia="仿宋" w:cs="仿宋_GB2312"/>
          <w:sz w:val="24"/>
        </w:rPr>
        <w:t>愿意参加贵方组织的</w:t>
      </w:r>
      <w:r>
        <w:rPr>
          <w:rFonts w:hint="eastAsia" w:ascii="仿宋" w:hAnsi="仿宋" w:eastAsia="仿宋"/>
          <w:sz w:val="24"/>
          <w:u w:val="single"/>
        </w:rPr>
        <w:t>（招标项目名称及编号</w:t>
      </w:r>
      <w:r>
        <w:rPr>
          <w:rFonts w:ascii="仿宋" w:hAnsi="仿宋" w:eastAsia="仿宋"/>
          <w:sz w:val="24"/>
          <w:u w:val="single"/>
        </w:rPr>
        <w:t>）</w:t>
      </w:r>
      <w:r>
        <w:rPr>
          <w:rFonts w:hint="eastAsia" w:ascii="仿宋" w:hAnsi="仿宋" w:eastAsia="仿宋" w:cs="仿宋_GB2312"/>
          <w:sz w:val="24"/>
        </w:rPr>
        <w:t>的投标，为此，我方就本次投标有关事项郑重申明如下：</w:t>
      </w:r>
    </w:p>
    <w:p w14:paraId="20FDF28D">
      <w:pPr>
        <w:snapToGrid w:val="0"/>
        <w:spacing w:line="360" w:lineRule="auto"/>
        <w:ind w:firstLine="480" w:firstLineChars="200"/>
        <w:rPr>
          <w:rFonts w:ascii="仿宋" w:hAnsi="仿宋" w:eastAsia="仿宋" w:cs="仿宋_GB2312"/>
          <w:sz w:val="24"/>
        </w:rPr>
      </w:pPr>
      <w:r>
        <w:rPr>
          <w:rFonts w:hint="eastAsia" w:ascii="仿宋" w:hAnsi="仿宋" w:eastAsia="仿宋" w:cs="仿宋_GB2312"/>
          <w:sz w:val="24"/>
        </w:rPr>
        <w:t>1、我方已详细审查全部招标文件，同意招标文件的各项要求。</w:t>
      </w:r>
    </w:p>
    <w:p w14:paraId="382895F9">
      <w:pPr>
        <w:snapToGrid w:val="0"/>
        <w:spacing w:line="360" w:lineRule="auto"/>
        <w:ind w:firstLine="480" w:firstLineChars="200"/>
        <w:rPr>
          <w:rFonts w:ascii="仿宋" w:hAnsi="仿宋" w:eastAsia="仿宋" w:cs="仿宋_GB2312"/>
          <w:sz w:val="24"/>
        </w:rPr>
      </w:pPr>
      <w:r>
        <w:rPr>
          <w:rFonts w:hint="eastAsia" w:ascii="仿宋" w:hAnsi="仿宋" w:eastAsia="仿宋" w:cs="仿宋_GB2312"/>
          <w:sz w:val="24"/>
        </w:rPr>
        <w:t>2、我方承诺已经具备《中华人民共和国政府采购法》第二十二条规定的条件。</w:t>
      </w:r>
    </w:p>
    <w:p w14:paraId="5677570D">
      <w:pPr>
        <w:snapToGrid w:val="0"/>
        <w:spacing w:line="360" w:lineRule="auto"/>
        <w:ind w:firstLine="480" w:firstLineChars="200"/>
        <w:rPr>
          <w:rFonts w:ascii="仿宋" w:hAnsi="仿宋" w:eastAsia="仿宋" w:cs="仿宋_GB2312"/>
          <w:sz w:val="24"/>
        </w:rPr>
      </w:pPr>
      <w:r>
        <w:rPr>
          <w:rFonts w:hint="eastAsia" w:ascii="仿宋" w:hAnsi="仿宋" w:eastAsia="仿宋" w:cs="仿宋_GB2312"/>
          <w:sz w:val="24"/>
        </w:rPr>
        <w:t>3、我方参加本次国企采购活动前三年内，在经营活动中没有重大违法记录；也没有因违反《浙江省政府采购供应商注册及诚信管理暂行办法》被列入“黑名单”和正在处罚有效期的情况。我方通过“信用中国”网站（www.creditchina.gov.cn）、中国政府采购网（www.ccgp.gov.cn）查询，未被列入失信被执行人、重大税收违法案件当事人名单、政府采购严重违法失信行为记录名单。</w:t>
      </w:r>
    </w:p>
    <w:p w14:paraId="77478868">
      <w:pPr>
        <w:snapToGrid w:val="0"/>
        <w:spacing w:line="360" w:lineRule="auto"/>
        <w:ind w:firstLine="480" w:firstLineChars="200"/>
        <w:rPr>
          <w:rFonts w:ascii="仿宋" w:hAnsi="仿宋" w:eastAsia="仿宋" w:cs="仿宋_GB2312"/>
          <w:sz w:val="24"/>
        </w:rPr>
      </w:pPr>
      <w:r>
        <w:rPr>
          <w:rFonts w:hint="eastAsia" w:ascii="仿宋" w:hAnsi="仿宋" w:eastAsia="仿宋" w:cs="仿宋_GB2312"/>
          <w:sz w:val="24"/>
        </w:rPr>
        <w:t>4、我方向贵方提交的所有投标文件、资料都是准确、真实的。若贵方需要，我方愿意向贵方提供任何与该项投标有关且合法的数据、情况和技术资料。</w:t>
      </w:r>
    </w:p>
    <w:p w14:paraId="4D203F87">
      <w:pPr>
        <w:snapToGrid w:val="0"/>
        <w:spacing w:line="360" w:lineRule="auto"/>
        <w:ind w:firstLine="480" w:firstLineChars="200"/>
        <w:rPr>
          <w:rFonts w:ascii="仿宋" w:hAnsi="仿宋" w:eastAsia="仿宋" w:cs="仿宋_GB2312"/>
          <w:sz w:val="24"/>
        </w:rPr>
      </w:pPr>
      <w:r>
        <w:rPr>
          <w:rFonts w:hint="eastAsia" w:ascii="仿宋" w:hAnsi="仿宋" w:eastAsia="仿宋" w:cs="仿宋_GB2312"/>
          <w:sz w:val="24"/>
        </w:rPr>
        <w:t>5、我方保证所供货物质量符合国家强制性规范和标准，达到采购文件规定的要求。</w:t>
      </w:r>
    </w:p>
    <w:p w14:paraId="54EB318F">
      <w:pPr>
        <w:snapToGrid w:val="0"/>
        <w:spacing w:line="360" w:lineRule="auto"/>
        <w:ind w:firstLine="480" w:firstLineChars="200"/>
        <w:rPr>
          <w:rFonts w:ascii="仿宋" w:hAnsi="仿宋" w:eastAsia="仿宋" w:cs="仿宋_GB2312"/>
          <w:sz w:val="24"/>
        </w:rPr>
      </w:pPr>
      <w:r>
        <w:rPr>
          <w:rFonts w:hint="eastAsia" w:ascii="仿宋" w:hAnsi="仿宋" w:eastAsia="仿宋" w:cs="仿宋_GB2312"/>
          <w:sz w:val="24"/>
        </w:rPr>
        <w:t>6、投标文件自开标日起有效期为90天。</w:t>
      </w:r>
    </w:p>
    <w:p w14:paraId="6BB0CDC2">
      <w:pPr>
        <w:snapToGrid w:val="0"/>
        <w:spacing w:line="360" w:lineRule="auto"/>
        <w:ind w:firstLine="480" w:firstLineChars="200"/>
        <w:rPr>
          <w:rFonts w:ascii="仿宋" w:hAnsi="仿宋" w:eastAsia="仿宋" w:cs="仿宋_GB2312"/>
          <w:sz w:val="24"/>
        </w:rPr>
      </w:pPr>
      <w:r>
        <w:rPr>
          <w:rFonts w:hint="eastAsia" w:ascii="仿宋" w:hAnsi="仿宋" w:eastAsia="仿宋" w:cs="仿宋_GB2312"/>
          <w:sz w:val="24"/>
        </w:rPr>
        <w:t>7、我方具有履行本项目合同所必需的设备和专业技术能力。如中标，我方将保证合同顺利履行。</w:t>
      </w:r>
    </w:p>
    <w:p w14:paraId="0D63081A">
      <w:pPr>
        <w:snapToGrid w:val="0"/>
        <w:spacing w:line="360" w:lineRule="auto"/>
        <w:ind w:firstLine="480" w:firstLineChars="200"/>
        <w:rPr>
          <w:rFonts w:ascii="仿宋" w:hAnsi="仿宋" w:eastAsia="仿宋" w:cs="仿宋_GB2312"/>
          <w:sz w:val="24"/>
        </w:rPr>
      </w:pPr>
      <w:r>
        <w:rPr>
          <w:rFonts w:hint="eastAsia" w:ascii="仿宋" w:hAnsi="仿宋" w:eastAsia="仿宋" w:cs="仿宋_GB2312"/>
          <w:sz w:val="24"/>
        </w:rPr>
        <w:t>8、我方中标后拟在中标后将</w:t>
      </w:r>
      <w:r>
        <w:rPr>
          <w:rFonts w:hint="eastAsia" w:ascii="仿宋" w:hAnsi="仿宋" w:eastAsia="仿宋" w:cs="仿宋_GB2312"/>
          <w:sz w:val="24"/>
          <w:u w:val="single"/>
        </w:rPr>
        <w:t xml:space="preserve">           </w:t>
      </w:r>
      <w:r>
        <w:rPr>
          <w:rFonts w:hint="eastAsia" w:ascii="仿宋" w:hAnsi="仿宋" w:eastAsia="仿宋" w:cs="仿宋_GB2312"/>
          <w:sz w:val="24"/>
        </w:rPr>
        <w:t>工作分包，分包承担主体是</w:t>
      </w:r>
      <w:r>
        <w:rPr>
          <w:rFonts w:hint="eastAsia" w:ascii="仿宋" w:hAnsi="仿宋" w:eastAsia="仿宋" w:cs="仿宋_GB2312"/>
          <w:sz w:val="24"/>
          <w:u w:val="single"/>
        </w:rPr>
        <w:t xml:space="preserve">                 </w:t>
      </w:r>
      <w:r>
        <w:rPr>
          <w:rFonts w:hint="eastAsia" w:ascii="仿宋" w:hAnsi="仿宋" w:eastAsia="仿宋" w:cs="仿宋_GB2312"/>
          <w:sz w:val="24"/>
        </w:rPr>
        <w:t>，我方承诺分包承担主体具备相应资质条件</w:t>
      </w:r>
      <w:r>
        <w:rPr>
          <w:rFonts w:hint="eastAsia" w:ascii="仿宋" w:hAnsi="仿宋" w:eastAsia="仿宋" w:cs="仿宋_GB2312"/>
          <w:sz w:val="24"/>
          <w:u w:val="single"/>
        </w:rPr>
        <w:t xml:space="preserve">           </w:t>
      </w:r>
      <w:r>
        <w:rPr>
          <w:rFonts w:hint="eastAsia" w:ascii="仿宋" w:hAnsi="仿宋" w:eastAsia="仿宋" w:cs="仿宋_GB2312"/>
          <w:sz w:val="24"/>
        </w:rPr>
        <w:t>，且不再次分包。（不再将工作进行分包或本项目不允许分包的，下划线处填写“/”。）</w:t>
      </w:r>
    </w:p>
    <w:p w14:paraId="171E0712">
      <w:pPr>
        <w:snapToGrid w:val="0"/>
        <w:spacing w:line="360" w:lineRule="auto"/>
        <w:ind w:firstLine="480" w:firstLineChars="200"/>
        <w:rPr>
          <w:rFonts w:ascii="仿宋" w:eastAsia="仿宋" w:cs="仿宋_GB2312"/>
          <w:sz w:val="24"/>
        </w:rPr>
      </w:pPr>
      <w:r>
        <w:rPr>
          <w:rFonts w:hint="eastAsia" w:ascii="仿宋" w:eastAsia="仿宋" w:cs="仿宋_GB2312"/>
          <w:sz w:val="24"/>
        </w:rPr>
        <w:t>9、我方承诺若违反法律、法规规定，愿接受依法处理。</w:t>
      </w:r>
    </w:p>
    <w:p w14:paraId="7023068C">
      <w:pPr>
        <w:snapToGrid w:val="0"/>
        <w:spacing w:line="360" w:lineRule="auto"/>
        <w:ind w:firstLine="480" w:firstLineChars="200"/>
        <w:rPr>
          <w:rFonts w:ascii="仿宋" w:eastAsia="仿宋" w:cs="仿宋_GB2312"/>
          <w:sz w:val="24"/>
        </w:rPr>
      </w:pPr>
      <w:r>
        <w:rPr>
          <w:rFonts w:hint="eastAsia" w:ascii="仿宋" w:eastAsia="仿宋" w:cs="仿宋_GB2312"/>
          <w:sz w:val="24"/>
        </w:rPr>
        <w:t>10</w:t>
      </w:r>
      <w:r>
        <w:rPr>
          <w:rFonts w:ascii="仿宋" w:eastAsia="仿宋" w:cs="仿宋_GB2312"/>
          <w:sz w:val="24"/>
        </w:rPr>
        <w:t>、与招标人存在利害关系可能影响招标公正性的法人、其他组织或个人，不得参加投标。单位负责人为同一人或者存在控股、管理关系的不同单位，不得同时参加本标段投标。</w:t>
      </w:r>
    </w:p>
    <w:p w14:paraId="513EF56D">
      <w:pPr>
        <w:snapToGrid w:val="0"/>
        <w:spacing w:line="360" w:lineRule="auto"/>
        <w:ind w:firstLine="480" w:firstLineChars="200"/>
        <w:rPr>
          <w:rFonts w:ascii="仿宋" w:eastAsia="仿宋" w:cs="仿宋_GB2312"/>
          <w:sz w:val="24"/>
        </w:rPr>
      </w:pPr>
      <w:r>
        <w:rPr>
          <w:rFonts w:hint="eastAsia" w:ascii="仿宋" w:eastAsia="仿宋" w:cs="仿宋_GB2312"/>
          <w:sz w:val="24"/>
        </w:rPr>
        <w:t xml:space="preserve">    11</w:t>
      </w:r>
      <w:r>
        <w:rPr>
          <w:rFonts w:ascii="仿宋" w:eastAsia="仿宋" w:cs="仿宋_GB2312"/>
          <w:sz w:val="24"/>
        </w:rPr>
        <w:t>、承诺不存在《政府采购法实施条例》中明确的须回避和禁止参加同一合同项下的政府采购活动的情况。</w:t>
      </w:r>
    </w:p>
    <w:p w14:paraId="1F2333DD">
      <w:pPr>
        <w:snapToGrid w:val="0"/>
        <w:spacing w:line="360" w:lineRule="auto"/>
        <w:ind w:left="420" w:leftChars="200"/>
        <w:rPr>
          <w:rFonts w:ascii="仿宋" w:hAnsi="仿宋" w:eastAsia="仿宋" w:cs="仿宋_GB2312"/>
          <w:kern w:val="0"/>
          <w:sz w:val="24"/>
        </w:rPr>
      </w:pPr>
      <w:r>
        <w:rPr>
          <w:rFonts w:hint="eastAsia" w:ascii="仿宋" w:hAnsi="仿宋" w:eastAsia="仿宋" w:cs="仿宋_GB2312"/>
          <w:kern w:val="0"/>
          <w:sz w:val="24"/>
          <w:lang w:val="zh-CN"/>
        </w:rPr>
        <w:t>联系人：</w:t>
      </w:r>
      <w:r>
        <w:rPr>
          <w:rFonts w:hint="eastAsia" w:ascii="仿宋" w:hAnsi="仿宋" w:eastAsia="仿宋" w:cs="仿宋_GB2312"/>
          <w:kern w:val="0"/>
          <w:sz w:val="24"/>
          <w:u w:val="single"/>
          <w:lang w:val="zh-CN"/>
        </w:rPr>
        <w:t xml:space="preserve">            </w:t>
      </w:r>
      <w:r>
        <w:rPr>
          <w:rFonts w:hint="eastAsia" w:ascii="仿宋" w:hAnsi="仿宋" w:eastAsia="仿宋" w:cs="仿宋_GB2312"/>
          <w:kern w:val="0"/>
          <w:sz w:val="24"/>
          <w:lang w:val="zh-CN"/>
        </w:rPr>
        <w:t>联系电话：</w:t>
      </w:r>
      <w:r>
        <w:rPr>
          <w:rFonts w:hint="eastAsia" w:ascii="仿宋" w:hAnsi="仿宋" w:eastAsia="仿宋" w:cs="仿宋_GB2312"/>
          <w:kern w:val="0"/>
          <w:sz w:val="24"/>
          <w:u w:val="single"/>
          <w:lang w:val="zh-CN"/>
        </w:rPr>
        <w:t xml:space="preserve">            </w:t>
      </w:r>
      <w:r>
        <w:rPr>
          <w:rFonts w:hint="eastAsia" w:ascii="仿宋" w:hAnsi="仿宋" w:eastAsia="仿宋" w:cs="仿宋_GB2312"/>
          <w:kern w:val="0"/>
          <w:sz w:val="24"/>
          <w:lang w:val="zh-CN"/>
        </w:rPr>
        <w:t>传真号码：</w:t>
      </w:r>
      <w:r>
        <w:rPr>
          <w:rFonts w:hint="eastAsia" w:ascii="仿宋" w:hAnsi="仿宋" w:eastAsia="仿宋" w:cs="仿宋_GB2312"/>
          <w:kern w:val="0"/>
          <w:sz w:val="24"/>
          <w:u w:val="single"/>
          <w:lang w:val="zh-CN"/>
        </w:rPr>
        <w:t xml:space="preserve">            </w:t>
      </w:r>
    </w:p>
    <w:p w14:paraId="28A68720">
      <w:pPr>
        <w:snapToGrid w:val="0"/>
        <w:spacing w:line="360" w:lineRule="auto"/>
        <w:ind w:left="420" w:leftChars="200"/>
        <w:rPr>
          <w:rFonts w:ascii="仿宋" w:hAnsi="仿宋" w:eastAsia="仿宋" w:cs="仿宋_GB2312"/>
          <w:kern w:val="0"/>
          <w:sz w:val="24"/>
        </w:rPr>
      </w:pPr>
      <w:r>
        <w:rPr>
          <w:rFonts w:hint="eastAsia" w:ascii="仿宋" w:hAnsi="仿宋" w:eastAsia="仿宋" w:cs="仿宋_GB2312"/>
          <w:kern w:val="0"/>
          <w:sz w:val="24"/>
          <w:lang w:val="zh-CN"/>
        </w:rPr>
        <w:t>联系地址：</w:t>
      </w:r>
      <w:r>
        <w:rPr>
          <w:rFonts w:hint="eastAsia" w:ascii="仿宋" w:hAnsi="仿宋" w:eastAsia="仿宋" w:cs="仿宋_GB2312"/>
          <w:kern w:val="0"/>
          <w:sz w:val="24"/>
          <w:u w:val="single"/>
          <w:lang w:val="zh-CN"/>
        </w:rPr>
        <w:t xml:space="preserve">                                </w:t>
      </w:r>
      <w:r>
        <w:rPr>
          <w:rFonts w:hint="eastAsia" w:ascii="仿宋" w:hAnsi="仿宋" w:eastAsia="仿宋" w:cs="仿宋_GB2312"/>
          <w:kern w:val="0"/>
          <w:sz w:val="24"/>
          <w:lang w:val="zh-CN"/>
        </w:rPr>
        <w:t>邮政编码：</w:t>
      </w:r>
      <w:r>
        <w:rPr>
          <w:rFonts w:hint="eastAsia" w:ascii="仿宋" w:hAnsi="仿宋" w:eastAsia="仿宋" w:cs="仿宋_GB2312"/>
          <w:kern w:val="0"/>
          <w:sz w:val="24"/>
          <w:u w:val="single"/>
          <w:lang w:val="zh-CN"/>
        </w:rPr>
        <w:t xml:space="preserve">                     </w:t>
      </w:r>
    </w:p>
    <w:p w14:paraId="130D1D5A">
      <w:pPr>
        <w:snapToGrid w:val="0"/>
        <w:spacing w:line="360" w:lineRule="auto"/>
        <w:ind w:firstLine="5040" w:firstLineChars="2100"/>
        <w:rPr>
          <w:rFonts w:ascii="仿宋" w:hAnsi="仿宋" w:eastAsia="仿宋" w:cs="仿宋_GB2312"/>
          <w:kern w:val="0"/>
          <w:sz w:val="24"/>
          <w:lang w:val="zh-CN"/>
        </w:rPr>
      </w:pPr>
    </w:p>
    <w:p w14:paraId="0721F296">
      <w:pPr>
        <w:snapToGrid w:val="0"/>
        <w:spacing w:line="360" w:lineRule="auto"/>
        <w:ind w:firstLine="5040" w:firstLineChars="2100"/>
        <w:rPr>
          <w:rFonts w:ascii="仿宋" w:hAnsi="仿宋" w:eastAsia="仿宋" w:cs="仿宋_GB2312"/>
          <w:kern w:val="0"/>
          <w:sz w:val="24"/>
        </w:rPr>
      </w:pPr>
      <w:r>
        <w:rPr>
          <w:rFonts w:hint="eastAsia" w:ascii="仿宋" w:hAnsi="仿宋" w:eastAsia="仿宋" w:cs="仿宋_GB2312"/>
          <w:kern w:val="0"/>
          <w:sz w:val="24"/>
          <w:lang w:val="zh-CN"/>
        </w:rPr>
        <w:t>投标人名称(电子签名)：</w:t>
      </w:r>
    </w:p>
    <w:p w14:paraId="4139BF29">
      <w:pPr>
        <w:snapToGrid w:val="0"/>
        <w:spacing w:line="360" w:lineRule="auto"/>
        <w:ind w:firstLine="5160" w:firstLineChars="2150"/>
        <w:rPr>
          <w:rFonts w:ascii="仿宋" w:hAnsi="仿宋" w:eastAsia="仿宋" w:cs="仿宋_GB2312"/>
          <w:kern w:val="0"/>
          <w:sz w:val="24"/>
          <w:lang w:val="zh-CN"/>
        </w:rPr>
      </w:pPr>
      <w:r>
        <w:rPr>
          <w:rFonts w:hint="eastAsia" w:ascii="仿宋" w:hAnsi="仿宋" w:eastAsia="仿宋" w:cs="仿宋_GB2312"/>
          <w:kern w:val="0"/>
          <w:sz w:val="24"/>
          <w:lang w:val="zh-CN"/>
        </w:rPr>
        <w:t>日期</w:t>
      </w:r>
      <w:r>
        <w:rPr>
          <w:rFonts w:hint="eastAsia" w:ascii="仿宋" w:hAnsi="仿宋" w:eastAsia="仿宋" w:cs="仿宋_GB2312"/>
          <w:kern w:val="0"/>
          <w:sz w:val="24"/>
        </w:rPr>
        <w:t xml:space="preserve">：  年  </w:t>
      </w:r>
      <w:r>
        <w:rPr>
          <w:rFonts w:hint="eastAsia" w:ascii="仿宋" w:hAnsi="仿宋" w:eastAsia="仿宋" w:cs="仿宋_GB2312"/>
          <w:kern w:val="0"/>
          <w:sz w:val="24"/>
          <w:lang w:val="zh-CN"/>
        </w:rPr>
        <w:t>月</w:t>
      </w:r>
      <w:r>
        <w:rPr>
          <w:rFonts w:hint="eastAsia" w:ascii="仿宋" w:hAnsi="仿宋" w:eastAsia="仿宋" w:cs="仿宋_GB2312"/>
          <w:kern w:val="0"/>
          <w:sz w:val="24"/>
        </w:rPr>
        <w:t xml:space="preserve">   </w:t>
      </w:r>
      <w:r>
        <w:rPr>
          <w:rFonts w:hint="eastAsia" w:ascii="仿宋" w:hAnsi="仿宋" w:eastAsia="仿宋" w:cs="仿宋_GB2312"/>
          <w:kern w:val="0"/>
          <w:sz w:val="24"/>
          <w:lang w:val="zh-CN"/>
        </w:rPr>
        <w:t>日</w:t>
      </w:r>
    </w:p>
    <w:p w14:paraId="54C5BBFF">
      <w:pPr>
        <w:snapToGrid w:val="0"/>
        <w:spacing w:line="360" w:lineRule="auto"/>
        <w:jc w:val="center"/>
        <w:outlineLvl w:val="0"/>
        <w:rPr>
          <w:rFonts w:ascii="仿宋" w:hAnsi="仿宋" w:eastAsia="仿宋" w:cs="仿宋_GB2312"/>
          <w:b/>
          <w:kern w:val="0"/>
          <w:sz w:val="24"/>
          <w:lang w:val="zh-CN"/>
        </w:rPr>
      </w:pPr>
    </w:p>
    <w:p w14:paraId="20514F86">
      <w:pPr>
        <w:snapToGrid w:val="0"/>
        <w:spacing w:line="360" w:lineRule="auto"/>
        <w:jc w:val="center"/>
        <w:outlineLvl w:val="0"/>
        <w:rPr>
          <w:rFonts w:ascii="仿宋" w:hAnsi="仿宋" w:eastAsia="仿宋" w:cs="仿宋_GB2312"/>
          <w:b/>
          <w:kern w:val="0"/>
          <w:sz w:val="32"/>
          <w:szCs w:val="32"/>
        </w:rPr>
      </w:pPr>
      <w:r>
        <w:rPr>
          <w:rFonts w:hint="eastAsia" w:ascii="仿宋" w:hAnsi="仿宋" w:eastAsia="仿宋" w:cs="仿宋_GB2312"/>
          <w:b/>
          <w:kern w:val="0"/>
          <w:sz w:val="24"/>
          <w:lang w:val="zh-CN"/>
        </w:rPr>
        <w:br w:type="page"/>
      </w:r>
    </w:p>
    <w:p w14:paraId="01A1D435">
      <w:pPr>
        <w:snapToGrid w:val="0"/>
        <w:spacing w:line="360" w:lineRule="auto"/>
        <w:jc w:val="center"/>
        <w:outlineLvl w:val="0"/>
        <w:rPr>
          <w:rFonts w:ascii="仿宋" w:hAnsi="仿宋" w:eastAsia="仿宋" w:cs="仿宋_GB2312"/>
          <w:b/>
          <w:strike/>
          <w:kern w:val="0"/>
          <w:sz w:val="32"/>
          <w:szCs w:val="32"/>
        </w:rPr>
      </w:pPr>
      <w:r>
        <w:rPr>
          <w:rFonts w:hint="eastAsia" w:ascii="仿宋" w:hAnsi="仿宋" w:eastAsia="仿宋" w:cs="仿宋_GB2312"/>
          <w:b/>
          <w:strike/>
          <w:kern w:val="0"/>
          <w:sz w:val="32"/>
          <w:szCs w:val="32"/>
        </w:rPr>
        <w:t>三、联合体协议书（如有）</w:t>
      </w:r>
    </w:p>
    <w:p w14:paraId="74B99D28">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甲方：</w:t>
      </w:r>
    </w:p>
    <w:p w14:paraId="76CE32DC">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乙方：</w:t>
      </w:r>
    </w:p>
    <w:p w14:paraId="1D83262C">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（如果有的话，可按甲、乙、丙、丁…序列增加）</w:t>
      </w:r>
    </w:p>
    <w:p w14:paraId="569A9835">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各方经协商，就响应</w:t>
      </w:r>
      <w:r>
        <w:rPr>
          <w:rFonts w:hint="eastAsia" w:ascii="仿宋" w:hAnsi="仿宋" w:eastAsia="仿宋" w:cs="仿宋_GB2312"/>
          <w:strike/>
          <w:kern w:val="0"/>
          <w:sz w:val="24"/>
          <w:u w:val="single"/>
          <w:lang w:val="zh-CN"/>
        </w:rPr>
        <w:t>（采购单位或采购代理机构名称）</w:t>
      </w:r>
      <w:r>
        <w:rPr>
          <w:rFonts w:hint="eastAsia" w:ascii="仿宋" w:hAnsi="仿宋" w:eastAsia="仿宋" w:cs="仿宋_GB2312"/>
          <w:strike/>
          <w:kern w:val="0"/>
          <w:sz w:val="24"/>
          <w:lang w:val="zh-CN"/>
        </w:rPr>
        <w:t>组织实施的</w:t>
      </w:r>
      <w:r>
        <w:rPr>
          <w:rFonts w:hint="eastAsia" w:ascii="仿宋" w:hAnsi="仿宋" w:eastAsia="仿宋" w:cs="仿宋_GB2312"/>
          <w:strike/>
          <w:kern w:val="0"/>
          <w:sz w:val="24"/>
          <w:u w:val="single"/>
          <w:lang w:val="zh-CN"/>
        </w:rPr>
        <w:t xml:space="preserve"> （招标项目名称及编号）</w:t>
      </w:r>
      <w:r>
        <w:rPr>
          <w:rFonts w:hint="eastAsia" w:ascii="仿宋" w:hAnsi="仿宋" w:eastAsia="仿宋" w:cs="仿宋_GB2312"/>
          <w:strike/>
          <w:kern w:val="0"/>
          <w:sz w:val="24"/>
          <w:lang w:val="zh-CN"/>
        </w:rPr>
        <w:t>的招标活动联合进行投标之事宜，达成如下协议：</w:t>
      </w:r>
    </w:p>
    <w:p w14:paraId="3D5A6471">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一、各方一致决定组成一个联合体，以一个供应商的身份共同参加本项目国企采购。</w:t>
      </w:r>
    </w:p>
    <w:p w14:paraId="72DE1DF0">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二、以</w:t>
      </w:r>
      <w:r>
        <w:rPr>
          <w:rFonts w:hint="eastAsia" w:ascii="仿宋" w:hAnsi="仿宋" w:eastAsia="仿宋" w:cs="仿宋_GB2312"/>
          <w:strike/>
          <w:kern w:val="0"/>
          <w:sz w:val="24"/>
          <w:u w:val="single"/>
          <w:lang w:val="zh-CN"/>
        </w:rPr>
        <w:t xml:space="preserve">   （联合体牵头人名称）   </w:t>
      </w:r>
      <w:r>
        <w:rPr>
          <w:rFonts w:hint="eastAsia" w:ascii="仿宋" w:hAnsi="仿宋" w:eastAsia="仿宋" w:cs="仿宋_GB2312"/>
          <w:strike/>
          <w:kern w:val="0"/>
          <w:sz w:val="24"/>
          <w:lang w:val="zh-CN"/>
        </w:rPr>
        <w:t>为联合体牵头人，负责包括但不仅限于投标、配合处理质疑投诉等一切和采购活动相关的事宜。</w:t>
      </w:r>
    </w:p>
    <w:p w14:paraId="7293DC48">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三、联合体各方对投标响应文件及开标过程中的各种书面承诺、澄清等均予以认可，对联合投标各方均产生约束力。</w:t>
      </w:r>
    </w:p>
    <w:p w14:paraId="77D47071">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四、如果中标，联合投标各方共同与采购人签订采购合同，共同履行对采购人所负有的全部义务并就采购合同约定的事项对采购人承担连带责任。</w:t>
      </w:r>
    </w:p>
    <w:p w14:paraId="4C35F4FA">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五、联合体各方不再单独参加或与其他供应商另外组成联合体参加同一标项（项目）的国企采购活动，否则均被视为无效投标。</w:t>
      </w:r>
    </w:p>
    <w:p w14:paraId="55ABA018">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六、如果中标，联合体各方在项目实施过程中承担的工作和义务为：</w:t>
      </w:r>
    </w:p>
    <w:p w14:paraId="28C71702">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甲方：…            乙方：…</w:t>
      </w:r>
    </w:p>
    <w:p w14:paraId="3CF3C7C0">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w:t>
      </w:r>
    </w:p>
    <w:p w14:paraId="1394CA67">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七、联合体各方在本项目实施过程中承担的合同金额和比例分别为：</w:t>
      </w:r>
    </w:p>
    <w:p w14:paraId="2837331C">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甲方：…            乙方：…</w:t>
      </w:r>
    </w:p>
    <w:p w14:paraId="3CE74B43">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w:t>
      </w:r>
    </w:p>
    <w:p w14:paraId="00D81826">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八、本协议签约各方各持一份，并作为投标文件的一部分。</w:t>
      </w:r>
    </w:p>
    <w:p w14:paraId="09E00719">
      <w:pPr>
        <w:snapToGrid w:val="0"/>
        <w:spacing w:line="360" w:lineRule="auto"/>
        <w:ind w:firstLine="576"/>
        <w:rPr>
          <w:rFonts w:ascii="仿宋" w:hAnsi="仿宋" w:eastAsia="仿宋" w:cs="仿宋_GB2312"/>
          <w:strike/>
          <w:kern w:val="0"/>
          <w:sz w:val="24"/>
          <w:lang w:val="zh-CN"/>
        </w:rPr>
      </w:pPr>
    </w:p>
    <w:p w14:paraId="49B5915E">
      <w:pPr>
        <w:snapToGrid w:val="0"/>
        <w:spacing w:line="360" w:lineRule="auto"/>
        <w:ind w:firstLine="576"/>
        <w:rPr>
          <w:rFonts w:ascii="仿宋" w:hAnsi="仿宋" w:eastAsia="仿宋" w:cs="仿宋_GB2312"/>
          <w:strike/>
          <w:kern w:val="0"/>
          <w:sz w:val="24"/>
          <w:lang w:val="zh-CN"/>
        </w:rPr>
      </w:pPr>
    </w:p>
    <w:tbl>
      <w:tblPr>
        <w:tblStyle w:val="60"/>
        <w:tblW w:w="0" w:type="auto"/>
        <w:jc w:val="center"/>
        <w:tblLayout w:type="fixed"/>
        <w:tblCellMar>
          <w:top w:w="0" w:type="dxa"/>
          <w:left w:w="108" w:type="dxa"/>
          <w:bottom w:w="0" w:type="dxa"/>
          <w:right w:w="108" w:type="dxa"/>
        </w:tblCellMar>
      </w:tblPr>
      <w:tblGrid>
        <w:gridCol w:w="4264"/>
        <w:gridCol w:w="4264"/>
      </w:tblGrid>
      <w:tr w14:paraId="4A14B542">
        <w:tblPrEx>
          <w:tblCellMar>
            <w:top w:w="0" w:type="dxa"/>
            <w:left w:w="108" w:type="dxa"/>
            <w:bottom w:w="0" w:type="dxa"/>
            <w:right w:w="108" w:type="dxa"/>
          </w:tblCellMar>
        </w:tblPrEx>
        <w:trPr>
          <w:jc w:val="center"/>
        </w:trPr>
        <w:tc>
          <w:tcPr>
            <w:tcW w:w="4264" w:type="dxa"/>
          </w:tcPr>
          <w:p w14:paraId="2F69E2E9">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甲方单位：       （公章）</w:t>
            </w:r>
          </w:p>
          <w:p w14:paraId="54DFB705">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法定代表人：     （签章）</w:t>
            </w:r>
          </w:p>
          <w:p w14:paraId="651FFBD6">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日  期：  年  月   日</w:t>
            </w:r>
          </w:p>
        </w:tc>
        <w:tc>
          <w:tcPr>
            <w:tcW w:w="4264" w:type="dxa"/>
          </w:tcPr>
          <w:p w14:paraId="6B70D3E2">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乙方单位：       （公章）</w:t>
            </w:r>
          </w:p>
          <w:p w14:paraId="4DE9B858">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法定代表人：     （签章）</w:t>
            </w:r>
          </w:p>
          <w:p w14:paraId="110B4E74">
            <w:pPr>
              <w:snapToGrid w:val="0"/>
              <w:spacing w:line="360" w:lineRule="auto"/>
              <w:ind w:firstLine="576"/>
              <w:rPr>
                <w:rFonts w:ascii="仿宋" w:hAnsi="仿宋" w:eastAsia="仿宋" w:cs="仿宋_GB2312"/>
                <w:strike/>
                <w:kern w:val="0"/>
                <w:sz w:val="24"/>
                <w:lang w:val="zh-CN"/>
              </w:rPr>
            </w:pPr>
            <w:r>
              <w:rPr>
                <w:rFonts w:hint="eastAsia" w:ascii="仿宋" w:hAnsi="仿宋" w:eastAsia="仿宋" w:cs="仿宋_GB2312"/>
                <w:strike/>
                <w:kern w:val="0"/>
                <w:sz w:val="24"/>
                <w:lang w:val="zh-CN"/>
              </w:rPr>
              <w:t>日  期：  年  月   日</w:t>
            </w:r>
          </w:p>
        </w:tc>
      </w:tr>
    </w:tbl>
    <w:p w14:paraId="0F73DA81">
      <w:pPr>
        <w:spacing w:line="360" w:lineRule="auto"/>
        <w:jc w:val="center"/>
        <w:rPr>
          <w:rFonts w:hint="eastAsia" w:ascii="仿宋" w:hAnsi="仿宋" w:eastAsia="仿宋" w:cs="仿宋_GB2312"/>
          <w:b/>
          <w:sz w:val="32"/>
          <w:szCs w:val="32"/>
        </w:rPr>
      </w:pPr>
      <w:r>
        <w:rPr>
          <w:rFonts w:hint="eastAsia" w:ascii="仿宋" w:hAnsi="仿宋" w:eastAsia="仿宋" w:cs="仿宋_GB2312"/>
          <w:b/>
          <w:strike/>
          <w:sz w:val="32"/>
          <w:szCs w:val="32"/>
        </w:rPr>
        <w:br w:type="page"/>
      </w:r>
    </w:p>
    <w:p w14:paraId="74C56D00">
      <w:pPr>
        <w:spacing w:line="360" w:lineRule="auto"/>
        <w:jc w:val="center"/>
        <w:rPr>
          <w:rFonts w:hint="eastAsia" w:ascii="仿宋" w:hAnsi="仿宋" w:eastAsia="仿宋" w:cs="仿宋_GB2312"/>
          <w:b/>
          <w:kern w:val="0"/>
          <w:sz w:val="32"/>
          <w:szCs w:val="32"/>
        </w:rPr>
      </w:pPr>
    </w:p>
    <w:p w14:paraId="3AE5BF70">
      <w:pPr>
        <w:spacing w:line="360" w:lineRule="auto"/>
        <w:jc w:val="center"/>
        <w:rPr>
          <w:rFonts w:ascii="仿宋" w:hAnsi="仿宋" w:eastAsia="仿宋" w:cs="仿宋_GB2312"/>
          <w:b/>
          <w:kern w:val="0"/>
          <w:sz w:val="32"/>
          <w:szCs w:val="32"/>
        </w:rPr>
      </w:pPr>
      <w:r>
        <w:rPr>
          <w:rFonts w:hint="eastAsia" w:ascii="仿宋" w:hAnsi="仿宋" w:eastAsia="仿宋" w:cs="仿宋_GB2312"/>
          <w:b/>
          <w:kern w:val="0"/>
          <w:sz w:val="32"/>
          <w:szCs w:val="32"/>
        </w:rPr>
        <w:t>四、法定代表人授权委托书</w:t>
      </w:r>
    </w:p>
    <w:p w14:paraId="12F371F6">
      <w:pPr>
        <w:snapToGrid w:val="0"/>
        <w:spacing w:line="360" w:lineRule="auto"/>
        <w:rPr>
          <w:rFonts w:ascii="仿宋" w:hAnsi="仿宋" w:eastAsia="仿宋" w:cs="仿宋_GB2312"/>
          <w:sz w:val="24"/>
        </w:rPr>
      </w:pPr>
      <w:r>
        <w:rPr>
          <w:rFonts w:hint="eastAsia" w:ascii="仿宋" w:hAnsi="仿宋" w:eastAsia="仿宋"/>
          <w:sz w:val="24"/>
          <w:u w:val="single"/>
        </w:rPr>
        <w:t>（采购单位或采购代理机构名称</w:t>
      </w:r>
      <w:r>
        <w:rPr>
          <w:rFonts w:ascii="仿宋" w:hAnsi="仿宋" w:eastAsia="仿宋"/>
          <w:sz w:val="24"/>
          <w:u w:val="single"/>
        </w:rPr>
        <w:t>）</w:t>
      </w:r>
      <w:r>
        <w:rPr>
          <w:rFonts w:hint="eastAsia" w:ascii="仿宋" w:hAnsi="仿宋" w:eastAsia="仿宋" w:cs="仿宋_GB2312"/>
          <w:sz w:val="24"/>
        </w:rPr>
        <w:t>：</w:t>
      </w:r>
    </w:p>
    <w:p w14:paraId="4A722B57">
      <w:pPr>
        <w:snapToGrid w:val="0"/>
        <w:spacing w:line="360" w:lineRule="auto"/>
        <w:ind w:firstLine="576"/>
        <w:rPr>
          <w:rFonts w:ascii="仿宋" w:hAnsi="仿宋" w:eastAsia="仿宋"/>
          <w:sz w:val="24"/>
          <w:u w:val="single"/>
        </w:rPr>
      </w:pPr>
      <w:r>
        <w:rPr>
          <w:rFonts w:hint="eastAsia" w:ascii="仿宋" w:eastAsia="仿宋"/>
          <w:sz w:val="24"/>
        </w:rPr>
        <w:t>我</w:t>
      </w:r>
      <w:r>
        <w:rPr>
          <w:rFonts w:hint="eastAsia" w:ascii="仿宋" w:eastAsia="仿宋"/>
          <w:sz w:val="24"/>
          <w:u w:val="single"/>
        </w:rPr>
        <w:t xml:space="preserve">（姓名及身份证号码） </w:t>
      </w:r>
      <w:r>
        <w:rPr>
          <w:rFonts w:hint="eastAsia" w:ascii="仿宋" w:eastAsia="仿宋"/>
          <w:sz w:val="24"/>
        </w:rPr>
        <w:t>系</w:t>
      </w:r>
      <w:r>
        <w:rPr>
          <w:rFonts w:hint="eastAsia" w:ascii="仿宋" w:eastAsia="仿宋"/>
          <w:sz w:val="24"/>
          <w:u w:val="single"/>
        </w:rPr>
        <w:t xml:space="preserve">  （投标人或联合体牵头人全称） </w:t>
      </w:r>
      <w:r>
        <w:rPr>
          <w:rFonts w:hint="eastAsia" w:ascii="仿宋" w:eastAsia="仿宋"/>
          <w:sz w:val="24"/>
        </w:rPr>
        <w:t>的法定代表人，现授权委托本单位在职职工</w:t>
      </w:r>
      <w:r>
        <w:rPr>
          <w:rFonts w:hint="eastAsia" w:ascii="仿宋" w:hAnsi="仿宋" w:eastAsia="仿宋" w:cs="仿宋_GB2312"/>
          <w:kern w:val="0"/>
          <w:sz w:val="24"/>
          <w:u w:val="single"/>
          <w:lang w:val="zh-CN"/>
        </w:rPr>
        <w:t xml:space="preserve"> </w:t>
      </w:r>
      <w:r>
        <w:rPr>
          <w:rFonts w:hint="eastAsia" w:ascii="仿宋" w:eastAsia="仿宋"/>
          <w:sz w:val="24"/>
          <w:u w:val="single"/>
        </w:rPr>
        <w:t>（姓名）</w:t>
      </w:r>
      <w:r>
        <w:rPr>
          <w:rFonts w:hint="eastAsia" w:ascii="仿宋" w:hAnsi="仿宋" w:eastAsia="仿宋" w:cs="仿宋_GB2312"/>
          <w:kern w:val="0"/>
          <w:sz w:val="24"/>
          <w:lang w:val="zh-CN"/>
        </w:rPr>
        <w:t>(其身份证号码：</w:t>
      </w:r>
      <w:r>
        <w:rPr>
          <w:rFonts w:hint="eastAsia" w:ascii="仿宋" w:hAnsi="仿宋" w:eastAsia="仿宋" w:cs="仿宋_GB2312"/>
          <w:kern w:val="0"/>
          <w:sz w:val="24"/>
          <w:u w:val="single"/>
          <w:lang w:val="zh-CN"/>
        </w:rPr>
        <w:t xml:space="preserve">                     </w:t>
      </w:r>
      <w:r>
        <w:rPr>
          <w:rFonts w:hint="eastAsia" w:ascii="仿宋" w:hAnsi="仿宋" w:eastAsia="仿宋" w:cs="仿宋_GB2312"/>
          <w:kern w:val="0"/>
          <w:sz w:val="24"/>
          <w:lang w:val="zh-CN"/>
        </w:rPr>
        <w:t>联系电话：</w:t>
      </w:r>
      <w:r>
        <w:rPr>
          <w:rFonts w:hint="eastAsia" w:ascii="仿宋" w:eastAsia="仿宋"/>
          <w:sz w:val="24"/>
          <w:u w:val="single"/>
        </w:rPr>
        <w:t xml:space="preserve">       </w:t>
      </w:r>
      <w:r>
        <w:rPr>
          <w:rFonts w:hint="eastAsia" w:ascii="仿宋" w:hAnsi="仿宋" w:eastAsia="仿宋" w:cs="仿宋_GB2312"/>
          <w:kern w:val="0"/>
          <w:sz w:val="24"/>
          <w:lang w:val="zh-CN"/>
        </w:rPr>
        <w:t>手机：</w:t>
      </w:r>
      <w:r>
        <w:rPr>
          <w:rFonts w:hint="eastAsia" w:ascii="仿宋" w:hAnsi="仿宋" w:eastAsia="仿宋" w:cs="仿宋_GB2312"/>
          <w:kern w:val="0"/>
          <w:sz w:val="24"/>
          <w:u w:val="single"/>
          <w:lang w:val="zh-CN"/>
        </w:rPr>
        <w:t xml:space="preserve">        </w:t>
      </w:r>
      <w:r>
        <w:rPr>
          <w:rFonts w:hint="eastAsia" w:ascii="仿宋" w:hAnsi="仿宋" w:eastAsia="仿宋" w:cs="仿宋_GB2312"/>
          <w:kern w:val="0"/>
          <w:sz w:val="24"/>
          <w:lang w:val="zh-CN"/>
        </w:rPr>
        <w:t>传真：</w:t>
      </w:r>
      <w:r>
        <w:rPr>
          <w:rFonts w:hint="eastAsia" w:ascii="仿宋" w:hAnsi="仿宋" w:eastAsia="仿宋" w:cs="仿宋_GB2312"/>
          <w:kern w:val="0"/>
          <w:sz w:val="24"/>
          <w:u w:val="single"/>
          <w:lang w:val="zh-CN"/>
        </w:rPr>
        <w:t xml:space="preserve">         </w:t>
      </w:r>
      <w:r>
        <w:rPr>
          <w:rFonts w:hint="eastAsia" w:ascii="仿宋" w:hAnsi="仿宋" w:eastAsia="仿宋" w:cs="仿宋_GB2312"/>
          <w:kern w:val="0"/>
          <w:sz w:val="24"/>
          <w:lang w:val="zh-CN"/>
        </w:rPr>
        <w:t>)，以我方的名义参加</w:t>
      </w:r>
      <w:r>
        <w:rPr>
          <w:rFonts w:hint="eastAsia" w:ascii="仿宋" w:hAnsi="仿宋" w:eastAsia="仿宋"/>
          <w:sz w:val="24"/>
          <w:u w:val="single"/>
        </w:rPr>
        <w:t>（招标项目名称及编号</w:t>
      </w:r>
      <w:r>
        <w:rPr>
          <w:rFonts w:ascii="仿宋" w:hAnsi="仿宋" w:eastAsia="仿宋"/>
          <w:sz w:val="24"/>
          <w:u w:val="single"/>
        </w:rPr>
        <w:t>）</w:t>
      </w:r>
      <w:r>
        <w:rPr>
          <w:rFonts w:hint="eastAsia" w:ascii="仿宋" w:hAnsi="仿宋" w:eastAsia="仿宋" w:cs="仿宋_GB2312"/>
          <w:kern w:val="0"/>
          <w:sz w:val="24"/>
          <w:lang w:val="zh-CN"/>
        </w:rPr>
        <w:t>的投标活动，并代表我方全权办理针对上述项目投标、开标、评标、签约等具体事务和签署相关文件。我方对授权代表的签名事项负全部责任。</w:t>
      </w:r>
    </w:p>
    <w:p w14:paraId="0B668F20">
      <w:pPr>
        <w:snapToGrid w:val="0"/>
        <w:spacing w:line="360" w:lineRule="auto"/>
        <w:rPr>
          <w:rFonts w:ascii="仿宋" w:hAnsi="仿宋" w:eastAsia="仿宋" w:cs="仿宋_GB2312"/>
          <w:kern w:val="0"/>
          <w:sz w:val="24"/>
          <w:lang w:val="zh-CN"/>
        </w:rPr>
      </w:pPr>
      <w:r>
        <w:rPr>
          <w:rFonts w:hint="eastAsia" w:ascii="仿宋" w:hAnsi="仿宋" w:eastAsia="仿宋" w:cs="仿宋_GB2312"/>
          <w:kern w:val="0"/>
          <w:sz w:val="24"/>
          <w:lang w:val="zh-CN"/>
        </w:rPr>
        <w:t xml:space="preserve">    在撤销授权的书面通知以前，本授权书一直有效。全权代表在授权书有效期内签署的所有文件不因授权的撤销而失效。</w:t>
      </w:r>
    </w:p>
    <w:p w14:paraId="76613DF4">
      <w:pPr>
        <w:snapToGrid w:val="0"/>
        <w:spacing w:line="360" w:lineRule="auto"/>
        <w:rPr>
          <w:rFonts w:ascii="仿宋" w:hAnsi="仿宋" w:eastAsia="仿宋" w:cs="仿宋_GB2312"/>
          <w:kern w:val="0"/>
          <w:sz w:val="24"/>
        </w:rPr>
      </w:pPr>
      <w:r>
        <w:rPr>
          <w:rFonts w:hint="eastAsia" w:ascii="仿宋" w:hAnsi="仿宋" w:eastAsia="仿宋" w:cs="仿宋_GB2312"/>
          <w:kern w:val="0"/>
          <w:sz w:val="24"/>
          <w:lang w:val="zh-CN"/>
        </w:rPr>
        <w:t xml:space="preserve">    授权代表无转委托权。特此委托</w:t>
      </w:r>
    </w:p>
    <w:p w14:paraId="7E447A1A">
      <w:pPr>
        <w:snapToGrid w:val="0"/>
        <w:spacing w:line="360" w:lineRule="auto"/>
        <w:ind w:firstLine="5040" w:firstLineChars="2100"/>
        <w:rPr>
          <w:rFonts w:ascii="仿宋" w:hAnsi="仿宋" w:eastAsia="仿宋" w:cs="仿宋_GB2312"/>
          <w:kern w:val="0"/>
          <w:sz w:val="24"/>
        </w:rPr>
      </w:pPr>
      <w:r>
        <w:rPr>
          <w:rFonts w:hint="eastAsia" w:ascii="仿宋" w:hAnsi="仿宋" w:eastAsia="仿宋" w:cs="仿宋_GB2312"/>
          <w:kern w:val="0"/>
          <w:sz w:val="24"/>
          <w:lang w:val="zh-CN"/>
        </w:rPr>
        <w:t>投标人名称(电子签名)：</w:t>
      </w:r>
    </w:p>
    <w:p w14:paraId="2EB63CB6">
      <w:pPr>
        <w:snapToGrid w:val="0"/>
        <w:spacing w:line="360" w:lineRule="auto"/>
        <w:ind w:firstLine="5160" w:firstLineChars="2150"/>
        <w:rPr>
          <w:rFonts w:ascii="仿宋" w:hAnsi="仿宋" w:eastAsia="仿宋" w:cs="仿宋_GB2312"/>
          <w:kern w:val="0"/>
          <w:sz w:val="24"/>
          <w:lang w:val="zh-CN"/>
        </w:rPr>
      </w:pPr>
      <w:r>
        <w:rPr>
          <w:rFonts w:hint="eastAsia" w:ascii="仿宋" w:hAnsi="仿宋" w:eastAsia="仿宋" w:cs="仿宋_GB2312"/>
          <w:kern w:val="0"/>
          <w:sz w:val="24"/>
          <w:lang w:val="zh-CN"/>
        </w:rPr>
        <w:t>日期</w:t>
      </w:r>
      <w:r>
        <w:rPr>
          <w:rFonts w:hint="eastAsia" w:ascii="仿宋" w:hAnsi="仿宋" w:eastAsia="仿宋" w:cs="仿宋_GB2312"/>
          <w:kern w:val="0"/>
          <w:sz w:val="24"/>
        </w:rPr>
        <w:t xml:space="preserve">：  年  </w:t>
      </w:r>
      <w:r>
        <w:rPr>
          <w:rFonts w:hint="eastAsia" w:ascii="仿宋" w:hAnsi="仿宋" w:eastAsia="仿宋" w:cs="仿宋_GB2312"/>
          <w:kern w:val="0"/>
          <w:sz w:val="24"/>
          <w:lang w:val="zh-CN"/>
        </w:rPr>
        <w:t>月</w:t>
      </w:r>
      <w:r>
        <w:rPr>
          <w:rFonts w:hint="eastAsia" w:ascii="仿宋" w:hAnsi="仿宋" w:eastAsia="仿宋" w:cs="仿宋_GB2312"/>
          <w:kern w:val="0"/>
          <w:sz w:val="24"/>
        </w:rPr>
        <w:t xml:space="preserve">   </w:t>
      </w:r>
      <w:r>
        <w:rPr>
          <w:rFonts w:hint="eastAsia" w:ascii="仿宋" w:hAnsi="仿宋" w:eastAsia="仿宋" w:cs="仿宋_GB2312"/>
          <w:kern w:val="0"/>
          <w:sz w:val="24"/>
          <w:lang w:val="zh-CN"/>
        </w:rPr>
        <w:t>日</w:t>
      </w:r>
    </w:p>
    <w:p w14:paraId="00D8936F">
      <w:pPr>
        <w:snapToGrid w:val="0"/>
        <w:spacing w:line="360" w:lineRule="auto"/>
        <w:ind w:firstLine="5160" w:firstLineChars="2150"/>
        <w:rPr>
          <w:rFonts w:ascii="仿宋" w:hAnsi="仿宋" w:eastAsia="仿宋" w:cs="仿宋_GB2312"/>
          <w:kern w:val="0"/>
          <w:sz w:val="24"/>
          <w:lang w:val="zh-CN"/>
        </w:rPr>
      </w:pPr>
    </w:p>
    <w:p w14:paraId="4DC320F3">
      <w:pPr>
        <w:spacing w:line="360" w:lineRule="auto"/>
        <w:jc w:val="center"/>
        <w:rPr>
          <w:rFonts w:ascii="仿宋" w:hAnsi="仿宋" w:eastAsia="仿宋" w:cs="仿宋_GB2312"/>
          <w:b/>
          <w:sz w:val="32"/>
          <w:szCs w:val="32"/>
        </w:rPr>
      </w:pPr>
    </w:p>
    <w:p w14:paraId="05AE91AD">
      <w:pPr>
        <w:spacing w:line="360" w:lineRule="auto"/>
        <w:jc w:val="center"/>
        <w:rPr>
          <w:rFonts w:ascii="仿宋" w:hAnsi="仿宋" w:eastAsia="仿宋" w:cs="仿宋_GB2312"/>
          <w:b/>
          <w:sz w:val="32"/>
          <w:szCs w:val="32"/>
        </w:rPr>
      </w:pPr>
    </w:p>
    <w:p w14:paraId="5262C366">
      <w:pPr>
        <w:spacing w:line="360" w:lineRule="auto"/>
        <w:jc w:val="center"/>
        <w:rPr>
          <w:rFonts w:ascii="仿宋" w:hAnsi="仿宋" w:eastAsia="仿宋" w:cs="仿宋_GB2312"/>
          <w:b/>
          <w:sz w:val="32"/>
          <w:szCs w:val="32"/>
        </w:rPr>
      </w:pPr>
    </w:p>
    <w:p w14:paraId="7DB4B51A">
      <w:pPr>
        <w:spacing w:line="360" w:lineRule="auto"/>
        <w:jc w:val="center"/>
        <w:rPr>
          <w:rFonts w:ascii="仿宋" w:hAnsi="仿宋" w:eastAsia="仿宋" w:cs="仿宋_GB2312"/>
          <w:b/>
          <w:sz w:val="32"/>
          <w:szCs w:val="32"/>
        </w:rPr>
      </w:pPr>
    </w:p>
    <w:p w14:paraId="09686AE7">
      <w:pPr>
        <w:spacing w:line="360" w:lineRule="auto"/>
        <w:jc w:val="center"/>
        <w:rPr>
          <w:rFonts w:ascii="仿宋" w:hAnsi="仿宋" w:eastAsia="仿宋" w:cs="仿宋_GB2312"/>
          <w:b/>
          <w:sz w:val="32"/>
          <w:szCs w:val="32"/>
        </w:rPr>
      </w:pPr>
    </w:p>
    <w:p w14:paraId="1BDC5ED8">
      <w:pPr>
        <w:spacing w:line="360" w:lineRule="auto"/>
        <w:jc w:val="center"/>
        <w:rPr>
          <w:rFonts w:ascii="仿宋" w:hAnsi="仿宋" w:eastAsia="仿宋" w:cs="仿宋_GB2312"/>
          <w:b/>
          <w:sz w:val="32"/>
          <w:szCs w:val="32"/>
        </w:rPr>
      </w:pPr>
    </w:p>
    <w:p w14:paraId="056BF1EE">
      <w:pPr>
        <w:spacing w:line="360" w:lineRule="auto"/>
        <w:jc w:val="center"/>
        <w:rPr>
          <w:rFonts w:ascii="仿宋" w:hAnsi="仿宋" w:eastAsia="仿宋" w:cs="仿宋_GB2312"/>
          <w:b/>
          <w:sz w:val="32"/>
          <w:szCs w:val="32"/>
        </w:rPr>
      </w:pPr>
    </w:p>
    <w:p w14:paraId="35FF6F1B">
      <w:pPr>
        <w:spacing w:line="360" w:lineRule="auto"/>
        <w:jc w:val="center"/>
        <w:rPr>
          <w:rFonts w:ascii="仿宋" w:hAnsi="仿宋" w:eastAsia="仿宋" w:cs="仿宋_GB2312"/>
          <w:b/>
          <w:sz w:val="32"/>
          <w:szCs w:val="32"/>
        </w:rPr>
      </w:pPr>
    </w:p>
    <w:p w14:paraId="31DFC81E">
      <w:pPr>
        <w:spacing w:line="360" w:lineRule="auto"/>
        <w:jc w:val="center"/>
        <w:rPr>
          <w:rFonts w:ascii="仿宋" w:hAnsi="仿宋" w:eastAsia="仿宋" w:cs="仿宋_GB2312"/>
          <w:b/>
          <w:sz w:val="32"/>
          <w:szCs w:val="32"/>
        </w:rPr>
      </w:pPr>
    </w:p>
    <w:p w14:paraId="5C3D8343">
      <w:pPr>
        <w:spacing w:line="360" w:lineRule="auto"/>
        <w:jc w:val="center"/>
        <w:rPr>
          <w:rFonts w:ascii="仿宋" w:hAnsi="仿宋" w:eastAsia="仿宋" w:cs="仿宋_GB2312"/>
          <w:b/>
          <w:sz w:val="32"/>
          <w:szCs w:val="32"/>
        </w:rPr>
      </w:pPr>
    </w:p>
    <w:p w14:paraId="19BCB83A">
      <w:pPr>
        <w:spacing w:line="360" w:lineRule="auto"/>
        <w:jc w:val="center"/>
        <w:rPr>
          <w:rFonts w:ascii="仿宋" w:hAnsi="仿宋" w:eastAsia="仿宋" w:cs="仿宋_GB2312"/>
          <w:b/>
          <w:sz w:val="32"/>
          <w:szCs w:val="32"/>
        </w:rPr>
      </w:pPr>
    </w:p>
    <w:p w14:paraId="149CC9D1">
      <w:pPr>
        <w:spacing w:line="360" w:lineRule="auto"/>
        <w:jc w:val="center"/>
        <w:rPr>
          <w:rFonts w:ascii="仿宋" w:hAnsi="仿宋" w:eastAsia="仿宋" w:cs="仿宋_GB2312"/>
          <w:b/>
          <w:sz w:val="32"/>
          <w:szCs w:val="32"/>
        </w:rPr>
      </w:pPr>
      <w:r>
        <w:rPr>
          <w:rFonts w:hint="eastAsia" w:ascii="仿宋" w:hAnsi="仿宋" w:eastAsia="仿宋" w:cs="仿宋_GB2312"/>
          <w:b/>
          <w:sz w:val="32"/>
          <w:szCs w:val="32"/>
        </w:rPr>
        <w:br w:type="page"/>
      </w:r>
      <w:r>
        <w:rPr>
          <w:rFonts w:hint="eastAsia" w:ascii="仿宋" w:hAnsi="仿宋" w:eastAsia="仿宋" w:cs="仿宋_GB2312"/>
          <w:b/>
          <w:kern w:val="0"/>
          <w:sz w:val="32"/>
          <w:szCs w:val="32"/>
        </w:rPr>
        <w:t>五、法定代表人及其授权代表的身份证（复印件）</w:t>
      </w:r>
      <w:r>
        <w:rPr>
          <w:rFonts w:hint="eastAsia" w:ascii="仿宋" w:hAnsi="仿宋" w:eastAsia="仿宋" w:cs="仿宋_GB2312"/>
          <w:sz w:val="24"/>
        </w:rPr>
        <w:t>；</w:t>
      </w:r>
    </w:p>
    <w:p w14:paraId="1A761C7C">
      <w:pPr>
        <w:snapToGrid w:val="0"/>
        <w:spacing w:line="360" w:lineRule="auto"/>
        <w:ind w:firstLine="576"/>
        <w:jc w:val="right"/>
        <w:rPr>
          <w:rFonts w:ascii="仿宋" w:hAnsi="仿宋" w:eastAsia="仿宋" w:cs="仿宋_GB2312"/>
          <w:kern w:val="0"/>
          <w:sz w:val="24"/>
        </w:rPr>
      </w:pPr>
    </w:p>
    <w:p w14:paraId="75085BBC">
      <w:pPr>
        <w:snapToGrid w:val="0"/>
        <w:spacing w:line="360" w:lineRule="auto"/>
        <w:ind w:firstLine="576"/>
        <w:jc w:val="center"/>
        <w:rPr>
          <w:rFonts w:ascii="仿宋" w:hAnsi="仿宋" w:eastAsia="仿宋" w:cs="仿宋_GB2312"/>
          <w:kern w:val="0"/>
          <w:sz w:val="24"/>
          <w:lang w:val="zh-CN"/>
        </w:rPr>
      </w:pPr>
      <w:r>
        <w:rPr>
          <w:rFonts w:hint="eastAsia" w:ascii="仿宋" w:hAnsi="仿宋" w:eastAsia="仿宋" w:cs="仿宋_GB2312"/>
          <w:kern w:val="0"/>
          <w:sz w:val="24"/>
          <w:lang w:val="zh-CN"/>
        </w:rPr>
        <w:t xml:space="preserve">               </w:t>
      </w:r>
    </w:p>
    <w:p w14:paraId="28809290">
      <w:pPr>
        <w:spacing w:line="360" w:lineRule="auto"/>
        <w:jc w:val="center"/>
        <w:rPr>
          <w:rFonts w:ascii="仿宋" w:hAnsi="仿宋" w:eastAsia="仿宋" w:cs="仿宋_GB2312"/>
          <w:b/>
          <w:sz w:val="32"/>
          <w:szCs w:val="32"/>
        </w:rPr>
      </w:pPr>
    </w:p>
    <w:p w14:paraId="6523D241">
      <w:pPr>
        <w:spacing w:line="360" w:lineRule="auto"/>
        <w:jc w:val="center"/>
        <w:outlineLvl w:val="0"/>
        <w:rPr>
          <w:rFonts w:hint="eastAsia" w:ascii="仿宋" w:hAnsi="仿宋" w:eastAsia="仿宋" w:cs="仿宋_GB2312"/>
          <w:b/>
          <w:kern w:val="0"/>
          <w:sz w:val="36"/>
          <w:szCs w:val="36"/>
        </w:rPr>
      </w:pPr>
    </w:p>
    <w:p w14:paraId="619A149C">
      <w:pPr>
        <w:spacing w:line="360" w:lineRule="auto"/>
        <w:jc w:val="center"/>
        <w:outlineLvl w:val="0"/>
        <w:rPr>
          <w:rFonts w:hint="eastAsia" w:ascii="仿宋" w:hAnsi="仿宋" w:eastAsia="仿宋" w:cs="仿宋_GB2312"/>
          <w:b/>
          <w:kern w:val="0"/>
          <w:sz w:val="36"/>
          <w:szCs w:val="36"/>
        </w:rPr>
      </w:pPr>
    </w:p>
    <w:p w14:paraId="5BB7BC42">
      <w:pPr>
        <w:spacing w:line="360" w:lineRule="auto"/>
        <w:jc w:val="center"/>
        <w:outlineLvl w:val="0"/>
        <w:rPr>
          <w:rFonts w:hint="eastAsia" w:ascii="仿宋" w:hAnsi="仿宋" w:eastAsia="仿宋" w:cs="仿宋_GB2312"/>
          <w:b/>
          <w:kern w:val="0"/>
          <w:sz w:val="36"/>
          <w:szCs w:val="36"/>
        </w:rPr>
      </w:pPr>
    </w:p>
    <w:p w14:paraId="59FED0BC">
      <w:pPr>
        <w:spacing w:line="360" w:lineRule="auto"/>
        <w:jc w:val="center"/>
        <w:outlineLvl w:val="0"/>
        <w:rPr>
          <w:rFonts w:hint="eastAsia" w:ascii="仿宋" w:hAnsi="仿宋" w:eastAsia="仿宋" w:cs="仿宋_GB2312"/>
          <w:b/>
          <w:kern w:val="0"/>
          <w:sz w:val="36"/>
          <w:szCs w:val="36"/>
        </w:rPr>
      </w:pPr>
    </w:p>
    <w:p w14:paraId="19FEDE45">
      <w:pPr>
        <w:spacing w:line="360" w:lineRule="auto"/>
        <w:jc w:val="center"/>
        <w:outlineLvl w:val="0"/>
        <w:rPr>
          <w:rFonts w:hint="eastAsia" w:ascii="仿宋" w:hAnsi="仿宋" w:eastAsia="仿宋" w:cs="仿宋_GB2312"/>
          <w:b/>
          <w:kern w:val="0"/>
          <w:sz w:val="36"/>
          <w:szCs w:val="36"/>
        </w:rPr>
      </w:pPr>
    </w:p>
    <w:p w14:paraId="3D49A77E">
      <w:pPr>
        <w:spacing w:line="360" w:lineRule="auto"/>
        <w:jc w:val="center"/>
        <w:outlineLvl w:val="0"/>
        <w:rPr>
          <w:rFonts w:hint="eastAsia" w:ascii="仿宋" w:hAnsi="仿宋" w:eastAsia="仿宋" w:cs="仿宋_GB2312"/>
          <w:b/>
          <w:kern w:val="0"/>
          <w:sz w:val="36"/>
          <w:szCs w:val="36"/>
        </w:rPr>
      </w:pPr>
    </w:p>
    <w:p w14:paraId="5EBB55C8">
      <w:pPr>
        <w:spacing w:line="360" w:lineRule="auto"/>
        <w:jc w:val="center"/>
        <w:outlineLvl w:val="0"/>
        <w:rPr>
          <w:rFonts w:hint="eastAsia" w:ascii="仿宋" w:hAnsi="仿宋" w:eastAsia="仿宋" w:cs="仿宋_GB2312"/>
          <w:b/>
          <w:kern w:val="0"/>
          <w:sz w:val="36"/>
          <w:szCs w:val="36"/>
        </w:rPr>
      </w:pPr>
    </w:p>
    <w:p w14:paraId="6D0F9677">
      <w:pPr>
        <w:spacing w:line="360" w:lineRule="auto"/>
        <w:jc w:val="center"/>
        <w:outlineLvl w:val="0"/>
        <w:rPr>
          <w:rFonts w:hint="eastAsia" w:ascii="仿宋" w:hAnsi="仿宋" w:eastAsia="仿宋" w:cs="仿宋_GB2312"/>
          <w:b/>
          <w:kern w:val="0"/>
          <w:sz w:val="36"/>
          <w:szCs w:val="36"/>
        </w:rPr>
      </w:pPr>
    </w:p>
    <w:p w14:paraId="3CD6B6FC">
      <w:pPr>
        <w:spacing w:line="360" w:lineRule="auto"/>
        <w:jc w:val="center"/>
        <w:outlineLvl w:val="0"/>
        <w:rPr>
          <w:rFonts w:hint="eastAsia" w:ascii="仿宋" w:hAnsi="仿宋" w:eastAsia="仿宋" w:cs="仿宋_GB2312"/>
          <w:b/>
          <w:kern w:val="0"/>
          <w:sz w:val="36"/>
          <w:szCs w:val="36"/>
        </w:rPr>
      </w:pPr>
    </w:p>
    <w:p w14:paraId="44759C87">
      <w:pPr>
        <w:spacing w:line="360" w:lineRule="auto"/>
        <w:jc w:val="center"/>
        <w:outlineLvl w:val="0"/>
        <w:rPr>
          <w:rFonts w:hint="eastAsia" w:ascii="仿宋" w:hAnsi="仿宋" w:eastAsia="仿宋" w:cs="仿宋_GB2312"/>
          <w:b/>
          <w:kern w:val="0"/>
          <w:sz w:val="36"/>
          <w:szCs w:val="36"/>
        </w:rPr>
      </w:pPr>
    </w:p>
    <w:p w14:paraId="68DD13EF">
      <w:pPr>
        <w:spacing w:line="360" w:lineRule="auto"/>
        <w:jc w:val="center"/>
        <w:outlineLvl w:val="0"/>
        <w:rPr>
          <w:rFonts w:hint="eastAsia" w:ascii="仿宋" w:hAnsi="仿宋" w:eastAsia="仿宋" w:cs="仿宋_GB2312"/>
          <w:b/>
          <w:kern w:val="0"/>
          <w:sz w:val="36"/>
          <w:szCs w:val="36"/>
        </w:rPr>
      </w:pPr>
    </w:p>
    <w:p w14:paraId="4570403F">
      <w:pPr>
        <w:spacing w:line="360" w:lineRule="auto"/>
        <w:jc w:val="center"/>
        <w:outlineLvl w:val="0"/>
        <w:rPr>
          <w:rFonts w:hint="eastAsia" w:ascii="仿宋" w:hAnsi="仿宋" w:eastAsia="仿宋" w:cs="仿宋_GB2312"/>
          <w:b/>
          <w:kern w:val="0"/>
          <w:sz w:val="36"/>
          <w:szCs w:val="36"/>
        </w:rPr>
      </w:pPr>
    </w:p>
    <w:p w14:paraId="029513AF">
      <w:pPr>
        <w:spacing w:line="360" w:lineRule="auto"/>
        <w:jc w:val="center"/>
        <w:outlineLvl w:val="0"/>
        <w:rPr>
          <w:rFonts w:hint="eastAsia" w:ascii="仿宋" w:hAnsi="仿宋" w:eastAsia="仿宋" w:cs="仿宋_GB2312"/>
          <w:b/>
          <w:kern w:val="0"/>
          <w:sz w:val="36"/>
          <w:szCs w:val="36"/>
        </w:rPr>
      </w:pPr>
    </w:p>
    <w:p w14:paraId="4FC2D0A9">
      <w:pPr>
        <w:spacing w:line="360" w:lineRule="auto"/>
        <w:jc w:val="center"/>
        <w:outlineLvl w:val="0"/>
        <w:rPr>
          <w:rFonts w:hint="eastAsia" w:ascii="仿宋" w:hAnsi="仿宋" w:eastAsia="仿宋" w:cs="仿宋_GB2312"/>
          <w:b/>
          <w:kern w:val="0"/>
          <w:sz w:val="36"/>
          <w:szCs w:val="36"/>
        </w:rPr>
      </w:pPr>
    </w:p>
    <w:p w14:paraId="78DD42B1">
      <w:pPr>
        <w:spacing w:line="360" w:lineRule="auto"/>
        <w:jc w:val="center"/>
        <w:outlineLvl w:val="0"/>
        <w:rPr>
          <w:rFonts w:hint="eastAsia" w:ascii="仿宋" w:hAnsi="仿宋" w:eastAsia="仿宋" w:cs="仿宋_GB2312"/>
          <w:b/>
          <w:kern w:val="0"/>
          <w:sz w:val="36"/>
          <w:szCs w:val="36"/>
        </w:rPr>
      </w:pPr>
    </w:p>
    <w:p w14:paraId="64B508F5">
      <w:pPr>
        <w:spacing w:line="360" w:lineRule="auto"/>
        <w:jc w:val="both"/>
        <w:outlineLvl w:val="0"/>
        <w:rPr>
          <w:rFonts w:hint="eastAsia" w:ascii="仿宋" w:hAnsi="仿宋" w:eastAsia="仿宋" w:cs="仿宋_GB2312"/>
          <w:b/>
          <w:kern w:val="0"/>
          <w:sz w:val="36"/>
          <w:szCs w:val="36"/>
        </w:rPr>
      </w:pPr>
    </w:p>
    <w:p w14:paraId="18331925">
      <w:pPr>
        <w:spacing w:line="360" w:lineRule="auto"/>
        <w:jc w:val="center"/>
        <w:outlineLvl w:val="0"/>
        <w:rPr>
          <w:rFonts w:ascii="仿宋" w:hAnsi="仿宋" w:eastAsia="仿宋" w:cs="仿宋_GB2312"/>
          <w:b/>
          <w:kern w:val="0"/>
          <w:sz w:val="36"/>
          <w:szCs w:val="36"/>
        </w:rPr>
      </w:pPr>
      <w:r>
        <w:rPr>
          <w:rFonts w:hint="eastAsia" w:ascii="仿宋" w:hAnsi="仿宋" w:eastAsia="仿宋" w:cs="仿宋_GB2312"/>
          <w:b/>
          <w:kern w:val="0"/>
          <w:sz w:val="36"/>
          <w:szCs w:val="36"/>
        </w:rPr>
        <w:t>商务技术文件部分</w:t>
      </w:r>
    </w:p>
    <w:p w14:paraId="69161F88">
      <w:pPr>
        <w:spacing w:line="360" w:lineRule="auto"/>
        <w:jc w:val="center"/>
        <w:outlineLvl w:val="0"/>
        <w:rPr>
          <w:rFonts w:ascii="仿宋" w:hAnsi="仿宋" w:eastAsia="仿宋" w:cs="仿宋_GB2312"/>
          <w:b/>
          <w:kern w:val="0"/>
          <w:sz w:val="24"/>
        </w:rPr>
      </w:pPr>
    </w:p>
    <w:p w14:paraId="02615E4B">
      <w:pPr>
        <w:spacing w:line="360" w:lineRule="auto"/>
        <w:jc w:val="center"/>
        <w:outlineLvl w:val="0"/>
        <w:rPr>
          <w:rFonts w:ascii="仿宋" w:hAnsi="仿宋" w:eastAsia="仿宋" w:cs="仿宋_GB2312"/>
          <w:b/>
          <w:kern w:val="0"/>
          <w:sz w:val="28"/>
          <w:szCs w:val="28"/>
        </w:rPr>
      </w:pPr>
      <w:r>
        <w:rPr>
          <w:rFonts w:hint="eastAsia" w:ascii="仿宋" w:hAnsi="仿宋" w:eastAsia="仿宋" w:cs="仿宋_GB2312"/>
          <w:b/>
          <w:kern w:val="0"/>
          <w:sz w:val="28"/>
          <w:szCs w:val="28"/>
        </w:rPr>
        <w:t>目录</w:t>
      </w:r>
    </w:p>
    <w:p w14:paraId="6CB6E7E2">
      <w:pPr>
        <w:pStyle w:val="570"/>
        <w:spacing w:line="360" w:lineRule="auto"/>
        <w:rPr>
          <w:rFonts w:ascii="仿宋" w:eastAsia="仿宋" w:cs="仿宋_GB2312"/>
        </w:rPr>
      </w:pPr>
      <w:bookmarkStart w:id="429" w:name="OLE_LINK6"/>
      <w:bookmarkStart w:id="430" w:name="OLE_LINK7"/>
      <w:bookmarkStart w:id="431" w:name="OLE_LINK5"/>
      <w:r>
        <w:rPr>
          <w:rFonts w:hint="eastAsia" w:ascii="仿宋" w:eastAsia="仿宋" w:cs="仿宋_GB2312"/>
        </w:rPr>
        <w:t>（</w:t>
      </w:r>
      <w:r>
        <w:rPr>
          <w:rFonts w:ascii="仿宋" w:eastAsia="仿宋" w:cs="仿宋_GB2312"/>
        </w:rPr>
        <w:t>1</w:t>
      </w:r>
      <w:r>
        <w:rPr>
          <w:rFonts w:hint="eastAsia" w:ascii="仿宋" w:eastAsia="仿宋" w:cs="仿宋_GB2312"/>
        </w:rPr>
        <w:t>）评分对应表</w:t>
      </w:r>
      <w:r>
        <w:rPr>
          <w:rFonts w:hint="eastAsia" w:ascii="仿宋" w:eastAsia="仿宋" w:cs="仿宋_GB2312"/>
          <w:lang w:val="zh-CN"/>
        </w:rPr>
        <w:t>………………………………………………………</w:t>
      </w:r>
      <w:r>
        <w:rPr>
          <w:rFonts w:hint="eastAsia" w:ascii="仿宋" w:eastAsia="仿宋" w:cs="仿宋_GB2312"/>
        </w:rPr>
        <w:t>（页码）</w:t>
      </w:r>
    </w:p>
    <w:bookmarkEnd w:id="429"/>
    <w:bookmarkEnd w:id="430"/>
    <w:bookmarkEnd w:id="431"/>
    <w:p w14:paraId="3A1DFEB0">
      <w:pPr>
        <w:pStyle w:val="570"/>
        <w:spacing w:line="360" w:lineRule="auto"/>
        <w:rPr>
          <w:rFonts w:ascii="仿宋" w:eastAsia="仿宋" w:cs="仿宋_GB2312"/>
        </w:rPr>
      </w:pPr>
      <w:r>
        <w:rPr>
          <w:rFonts w:hint="eastAsia" w:ascii="仿宋" w:eastAsia="仿宋" w:cs="仿宋_GB2312"/>
        </w:rPr>
        <w:t>（2）商务响应表</w:t>
      </w:r>
      <w:r>
        <w:rPr>
          <w:rFonts w:hint="eastAsia" w:ascii="仿宋" w:eastAsia="仿宋" w:cs="仿宋_GB2312"/>
          <w:lang w:val="zh-CN"/>
        </w:rPr>
        <w:t>………………………………………………………</w:t>
      </w:r>
      <w:r>
        <w:rPr>
          <w:rFonts w:hint="eastAsia" w:ascii="仿宋" w:eastAsia="仿宋" w:cs="仿宋_GB2312"/>
        </w:rPr>
        <w:t>（页码）</w:t>
      </w:r>
    </w:p>
    <w:p w14:paraId="77691B8B">
      <w:pPr>
        <w:spacing w:line="360" w:lineRule="auto"/>
        <w:ind w:firstLine="480" w:firstLineChars="200"/>
        <w:outlineLvl w:val="0"/>
        <w:rPr>
          <w:rFonts w:ascii="仿宋" w:hAnsi="仿宋" w:eastAsia="仿宋" w:cs="仿宋_GB2312"/>
          <w:kern w:val="0"/>
          <w:sz w:val="24"/>
        </w:rPr>
      </w:pPr>
      <w:r>
        <w:rPr>
          <w:rFonts w:hint="eastAsia" w:ascii="仿宋" w:hAnsi="仿宋" w:eastAsia="仿宋" w:cs="仿宋_GB2312"/>
          <w:kern w:val="0"/>
          <w:sz w:val="24"/>
        </w:rPr>
        <w:t>（3</w:t>
      </w:r>
      <w:r>
        <w:rPr>
          <w:rFonts w:ascii="仿宋" w:hAnsi="仿宋" w:eastAsia="仿宋" w:cs="仿宋_GB2312"/>
          <w:kern w:val="0"/>
          <w:sz w:val="24"/>
        </w:rPr>
        <w:t>）</w:t>
      </w:r>
      <w:r>
        <w:rPr>
          <w:rFonts w:hint="eastAsia" w:ascii="仿宋" w:hAnsi="仿宋" w:eastAsia="仿宋" w:cs="仿宋_GB2312"/>
          <w:kern w:val="0"/>
          <w:sz w:val="24"/>
        </w:rPr>
        <w:t>项目组织实施方案……………………………………………</w:t>
      </w:r>
      <w:r>
        <w:rPr>
          <w:rFonts w:hint="eastAsia" w:ascii="仿宋" w:eastAsia="仿宋" w:cs="仿宋_GB2312"/>
          <w:lang w:val="zh-CN"/>
        </w:rPr>
        <w:t>…</w:t>
      </w:r>
      <w:r>
        <w:rPr>
          <w:rFonts w:hint="eastAsia" w:ascii="仿宋" w:hAnsi="仿宋" w:eastAsia="仿宋" w:cs="仿宋_GB2312"/>
          <w:kern w:val="0"/>
          <w:sz w:val="24"/>
        </w:rPr>
        <w:t>（页码）</w:t>
      </w:r>
    </w:p>
    <w:p w14:paraId="47325414">
      <w:pPr>
        <w:spacing w:line="360" w:lineRule="auto"/>
        <w:ind w:firstLine="480" w:firstLineChars="200"/>
        <w:outlineLvl w:val="0"/>
        <w:rPr>
          <w:rFonts w:ascii="仿宋" w:hAnsi="仿宋" w:eastAsia="仿宋" w:cs="仿宋_GB2312"/>
          <w:kern w:val="0"/>
          <w:sz w:val="24"/>
        </w:rPr>
      </w:pPr>
      <w:r>
        <w:rPr>
          <w:rFonts w:hint="eastAsia" w:ascii="仿宋" w:hAnsi="仿宋" w:eastAsia="仿宋" w:cs="仿宋_GB2312"/>
          <w:kern w:val="0"/>
          <w:sz w:val="24"/>
        </w:rPr>
        <w:t>（4）项目负责人情况表………………………………………………（页码）</w:t>
      </w:r>
    </w:p>
    <w:p w14:paraId="30485ADB">
      <w:pPr>
        <w:spacing w:line="360" w:lineRule="auto"/>
        <w:ind w:firstLine="480" w:firstLineChars="200"/>
        <w:rPr>
          <w:rFonts w:ascii="仿宋" w:hAnsi="仿宋" w:eastAsia="仿宋" w:cs="仿宋_GB2312"/>
          <w:kern w:val="0"/>
          <w:sz w:val="24"/>
        </w:rPr>
      </w:pPr>
      <w:r>
        <w:rPr>
          <w:rFonts w:hint="eastAsia" w:ascii="仿宋" w:hAnsi="仿宋" w:eastAsia="仿宋" w:cs="仿宋_GB2312"/>
          <w:kern w:val="0"/>
          <w:sz w:val="24"/>
        </w:rPr>
        <w:t>（5）项目组人员名单…………………………………………………（页码）</w:t>
      </w:r>
    </w:p>
    <w:p w14:paraId="18F325FD">
      <w:pPr>
        <w:spacing w:line="360" w:lineRule="auto"/>
        <w:ind w:firstLine="480" w:firstLineChars="200"/>
        <w:rPr>
          <w:rFonts w:ascii="仿宋" w:hAnsi="仿宋" w:eastAsia="仿宋" w:cs="仿宋_GB2312"/>
          <w:kern w:val="0"/>
          <w:sz w:val="24"/>
        </w:rPr>
      </w:pPr>
      <w:r>
        <w:rPr>
          <w:rFonts w:hint="eastAsia" w:ascii="仿宋" w:hAnsi="仿宋" w:eastAsia="仿宋" w:cs="仿宋_GB2312"/>
          <w:kern w:val="0"/>
          <w:sz w:val="24"/>
        </w:rPr>
        <w:t>（6）售后服务方案（如有）…………………………………………（页码）</w:t>
      </w:r>
    </w:p>
    <w:p w14:paraId="70455C45">
      <w:pPr>
        <w:spacing w:line="360" w:lineRule="auto"/>
        <w:ind w:firstLine="480" w:firstLineChars="200"/>
        <w:rPr>
          <w:rFonts w:ascii="仿宋" w:hAnsi="仿宋" w:eastAsia="仿宋" w:cs="仿宋_GB2312"/>
          <w:kern w:val="0"/>
          <w:sz w:val="24"/>
        </w:rPr>
      </w:pPr>
      <w:r>
        <w:rPr>
          <w:rFonts w:hint="eastAsia" w:ascii="仿宋" w:hAnsi="仿宋" w:eastAsia="仿宋" w:cs="仿宋_GB2312"/>
          <w:kern w:val="0"/>
          <w:sz w:val="24"/>
        </w:rPr>
        <w:t>（7）</w:t>
      </w:r>
      <w:r>
        <w:rPr>
          <w:rFonts w:hint="eastAsia" w:ascii="仿宋" w:hAnsi="仿宋" w:eastAsia="仿宋" w:cs="仿宋_GB2312"/>
          <w:kern w:val="0"/>
          <w:sz w:val="24"/>
          <w:lang w:val="zh-CN"/>
        </w:rPr>
        <w:t>优惠条件及特殊承诺（如有）</w:t>
      </w:r>
      <w:r>
        <w:rPr>
          <w:rFonts w:hint="eastAsia" w:ascii="仿宋" w:hAnsi="仿宋" w:eastAsia="仿宋" w:cs="仿宋_GB2312"/>
          <w:kern w:val="0"/>
          <w:sz w:val="24"/>
        </w:rPr>
        <w:t>…………………………………（页码）</w:t>
      </w:r>
    </w:p>
    <w:p w14:paraId="49ECC7AD">
      <w:pPr>
        <w:spacing w:line="360" w:lineRule="auto"/>
        <w:ind w:firstLine="480" w:firstLineChars="200"/>
        <w:rPr>
          <w:rFonts w:ascii="仿宋" w:hAnsi="仿宋" w:eastAsia="仿宋" w:cs="仿宋_GB2312"/>
          <w:kern w:val="0"/>
          <w:sz w:val="24"/>
        </w:rPr>
      </w:pPr>
      <w:r>
        <w:rPr>
          <w:rFonts w:hint="eastAsia" w:ascii="仿宋" w:hAnsi="仿宋" w:eastAsia="仿宋" w:cs="仿宋_GB2312"/>
          <w:kern w:val="0"/>
          <w:sz w:val="24"/>
        </w:rPr>
        <w:t>（8）</w:t>
      </w:r>
      <w:r>
        <w:rPr>
          <w:rFonts w:hint="eastAsia" w:ascii="仿宋" w:hAnsi="仿宋" w:eastAsia="仿宋" w:cs="仿宋_GB2312"/>
          <w:kern w:val="0"/>
          <w:sz w:val="24"/>
          <w:lang w:val="zh-CN"/>
        </w:rPr>
        <w:t>投标人认为需要的其它商务技术文件或说明…………………</w:t>
      </w:r>
      <w:r>
        <w:rPr>
          <w:rFonts w:hint="eastAsia" w:ascii="仿宋" w:hAnsi="仿宋" w:eastAsia="仿宋" w:cs="仿宋_GB2312"/>
          <w:kern w:val="0"/>
          <w:sz w:val="24"/>
        </w:rPr>
        <w:t>（页码）</w:t>
      </w:r>
    </w:p>
    <w:p w14:paraId="4D0FDB13">
      <w:pPr>
        <w:spacing w:line="360" w:lineRule="auto"/>
        <w:rPr>
          <w:rFonts w:ascii="仿宋" w:hAnsi="仿宋" w:eastAsia="仿宋" w:cs="仿宋_GB2312"/>
          <w:b/>
          <w:bCs/>
          <w:sz w:val="24"/>
        </w:rPr>
      </w:pPr>
      <w:r>
        <w:rPr>
          <w:rFonts w:hint="eastAsia" w:ascii="仿宋" w:hAnsi="仿宋" w:eastAsia="仿宋" w:cs="仿宋_GB2312"/>
          <w:b/>
          <w:bCs/>
          <w:sz w:val="24"/>
        </w:rPr>
        <w:t>注：以上目录是基本格式要求，各投标人可根据自身情况进一步细化。</w:t>
      </w:r>
    </w:p>
    <w:p w14:paraId="5DB0AAB1">
      <w:pPr>
        <w:snapToGrid w:val="0"/>
        <w:spacing w:line="360" w:lineRule="auto"/>
        <w:jc w:val="center"/>
        <w:rPr>
          <w:rFonts w:ascii="仿宋" w:hAnsi="仿宋" w:eastAsia="仿宋" w:cs="仿宋_GB2312"/>
          <w:b/>
          <w:kern w:val="0"/>
          <w:sz w:val="32"/>
          <w:szCs w:val="32"/>
          <w:lang w:val="zh-CN"/>
        </w:rPr>
      </w:pPr>
    </w:p>
    <w:p w14:paraId="0DF1783E">
      <w:pPr>
        <w:pStyle w:val="58"/>
        <w:rPr>
          <w:rFonts w:ascii="仿宋" w:hAnsi="仿宋" w:eastAsia="仿宋" w:cs="仿宋_GB2312"/>
          <w:b/>
          <w:kern w:val="0"/>
          <w:sz w:val="32"/>
          <w:szCs w:val="32"/>
          <w:lang w:val="zh-CN"/>
        </w:rPr>
      </w:pPr>
    </w:p>
    <w:p w14:paraId="0D979B59">
      <w:pPr>
        <w:pStyle w:val="58"/>
        <w:rPr>
          <w:rFonts w:ascii="仿宋" w:hAnsi="仿宋" w:eastAsia="仿宋" w:cs="仿宋_GB2312"/>
          <w:b/>
          <w:kern w:val="0"/>
          <w:sz w:val="32"/>
          <w:szCs w:val="32"/>
          <w:lang w:val="zh-CN"/>
        </w:rPr>
      </w:pPr>
    </w:p>
    <w:p w14:paraId="581B61E6">
      <w:pPr>
        <w:pStyle w:val="58"/>
        <w:rPr>
          <w:rFonts w:ascii="仿宋" w:hAnsi="仿宋" w:eastAsia="仿宋" w:cs="仿宋_GB2312"/>
          <w:b/>
          <w:kern w:val="0"/>
          <w:sz w:val="32"/>
          <w:szCs w:val="32"/>
          <w:lang w:val="zh-CN"/>
        </w:rPr>
      </w:pPr>
    </w:p>
    <w:p w14:paraId="6BE96E5E">
      <w:pPr>
        <w:pStyle w:val="58"/>
        <w:rPr>
          <w:rFonts w:ascii="仿宋" w:hAnsi="仿宋" w:eastAsia="仿宋" w:cs="仿宋_GB2312"/>
          <w:b/>
          <w:kern w:val="0"/>
          <w:sz w:val="32"/>
          <w:szCs w:val="32"/>
          <w:lang w:val="zh-CN"/>
        </w:rPr>
      </w:pPr>
    </w:p>
    <w:p w14:paraId="13AA8E21">
      <w:pPr>
        <w:pStyle w:val="58"/>
        <w:rPr>
          <w:rFonts w:ascii="仿宋" w:hAnsi="仿宋" w:eastAsia="仿宋" w:cs="仿宋_GB2312"/>
          <w:b/>
          <w:kern w:val="0"/>
          <w:sz w:val="32"/>
          <w:szCs w:val="32"/>
          <w:lang w:val="zh-CN"/>
        </w:rPr>
      </w:pPr>
    </w:p>
    <w:p w14:paraId="58E8B4DC">
      <w:pPr>
        <w:pStyle w:val="58"/>
        <w:rPr>
          <w:rFonts w:ascii="仿宋" w:hAnsi="仿宋" w:eastAsia="仿宋" w:cs="仿宋_GB2312"/>
          <w:b/>
          <w:kern w:val="0"/>
          <w:sz w:val="32"/>
          <w:szCs w:val="32"/>
          <w:lang w:val="zh-CN"/>
        </w:rPr>
      </w:pPr>
    </w:p>
    <w:p w14:paraId="11B13521">
      <w:pPr>
        <w:pStyle w:val="58"/>
        <w:rPr>
          <w:rFonts w:ascii="仿宋" w:hAnsi="仿宋" w:eastAsia="仿宋" w:cs="仿宋_GB2312"/>
          <w:b/>
          <w:kern w:val="0"/>
          <w:sz w:val="32"/>
          <w:szCs w:val="32"/>
          <w:lang w:val="zh-CN"/>
        </w:rPr>
      </w:pPr>
    </w:p>
    <w:p w14:paraId="2200C51B">
      <w:pPr>
        <w:pStyle w:val="58"/>
        <w:rPr>
          <w:rFonts w:ascii="仿宋" w:hAnsi="仿宋" w:eastAsia="仿宋" w:cs="仿宋_GB2312"/>
          <w:b/>
          <w:kern w:val="0"/>
          <w:sz w:val="32"/>
          <w:szCs w:val="32"/>
          <w:lang w:val="zh-CN"/>
        </w:rPr>
      </w:pPr>
    </w:p>
    <w:p w14:paraId="26BA0039">
      <w:pPr>
        <w:pStyle w:val="58"/>
        <w:rPr>
          <w:rFonts w:ascii="仿宋" w:hAnsi="仿宋" w:eastAsia="仿宋" w:cs="仿宋_GB2312"/>
          <w:b/>
          <w:kern w:val="0"/>
          <w:sz w:val="32"/>
          <w:szCs w:val="32"/>
          <w:lang w:val="zh-CN"/>
        </w:rPr>
      </w:pPr>
    </w:p>
    <w:p w14:paraId="68907AA6">
      <w:pPr>
        <w:pStyle w:val="58"/>
        <w:rPr>
          <w:rFonts w:ascii="仿宋" w:hAnsi="仿宋" w:eastAsia="仿宋" w:cs="仿宋_GB2312"/>
          <w:b/>
          <w:kern w:val="0"/>
          <w:sz w:val="32"/>
          <w:szCs w:val="32"/>
          <w:lang w:val="zh-CN"/>
        </w:rPr>
      </w:pPr>
    </w:p>
    <w:p w14:paraId="6ECA9ADF">
      <w:pPr>
        <w:pStyle w:val="58"/>
        <w:rPr>
          <w:rFonts w:ascii="仿宋" w:hAnsi="仿宋" w:eastAsia="仿宋" w:cs="仿宋_GB2312"/>
          <w:b/>
          <w:kern w:val="0"/>
          <w:sz w:val="32"/>
          <w:szCs w:val="32"/>
          <w:lang w:val="zh-CN"/>
        </w:rPr>
      </w:pPr>
    </w:p>
    <w:p w14:paraId="222F7D5B">
      <w:pPr>
        <w:pStyle w:val="58"/>
        <w:rPr>
          <w:rFonts w:ascii="仿宋" w:hAnsi="仿宋" w:eastAsia="仿宋" w:cs="仿宋_GB2312"/>
          <w:b/>
          <w:kern w:val="0"/>
          <w:sz w:val="32"/>
          <w:szCs w:val="32"/>
          <w:lang w:val="zh-CN"/>
        </w:rPr>
      </w:pPr>
    </w:p>
    <w:p w14:paraId="34710EBB">
      <w:pPr>
        <w:pStyle w:val="58"/>
        <w:rPr>
          <w:rFonts w:ascii="仿宋" w:hAnsi="仿宋" w:eastAsia="仿宋" w:cs="仿宋_GB2312"/>
          <w:b/>
          <w:kern w:val="0"/>
          <w:sz w:val="32"/>
          <w:szCs w:val="32"/>
          <w:lang w:val="zh-CN"/>
        </w:rPr>
      </w:pPr>
    </w:p>
    <w:p w14:paraId="0F5F972B">
      <w:pPr>
        <w:pStyle w:val="58"/>
        <w:rPr>
          <w:rFonts w:ascii="仿宋" w:hAnsi="仿宋" w:eastAsia="仿宋" w:cs="仿宋_GB2312"/>
          <w:b/>
          <w:kern w:val="0"/>
          <w:sz w:val="32"/>
          <w:szCs w:val="32"/>
          <w:lang w:val="zh-CN"/>
        </w:rPr>
      </w:pPr>
    </w:p>
    <w:p w14:paraId="22E0A071">
      <w:pPr>
        <w:pStyle w:val="58"/>
        <w:rPr>
          <w:rFonts w:ascii="仿宋" w:hAnsi="仿宋" w:eastAsia="仿宋" w:cs="仿宋_GB2312"/>
          <w:b/>
          <w:kern w:val="0"/>
          <w:sz w:val="32"/>
          <w:szCs w:val="32"/>
          <w:lang w:val="zh-CN"/>
        </w:rPr>
      </w:pPr>
    </w:p>
    <w:p w14:paraId="27E4E4A4">
      <w:pPr>
        <w:pStyle w:val="58"/>
        <w:rPr>
          <w:rFonts w:ascii="仿宋" w:hAnsi="仿宋" w:eastAsia="仿宋" w:cs="仿宋_GB2312"/>
          <w:b/>
          <w:kern w:val="0"/>
          <w:sz w:val="32"/>
          <w:szCs w:val="32"/>
          <w:lang w:val="zh-CN"/>
        </w:rPr>
      </w:pPr>
    </w:p>
    <w:p w14:paraId="03A76EB9">
      <w:pPr>
        <w:pStyle w:val="58"/>
        <w:rPr>
          <w:lang w:val="zh-CN"/>
        </w:rPr>
      </w:pPr>
    </w:p>
    <w:p w14:paraId="1A02F045">
      <w:pPr>
        <w:pStyle w:val="58"/>
        <w:rPr>
          <w:lang w:val="zh-CN"/>
        </w:rPr>
      </w:pPr>
    </w:p>
    <w:p w14:paraId="47879EBF">
      <w:pPr>
        <w:numPr>
          <w:ilvl w:val="0"/>
          <w:numId w:val="4"/>
        </w:numPr>
        <w:spacing w:line="360" w:lineRule="auto"/>
        <w:jc w:val="center"/>
        <w:rPr>
          <w:rFonts w:ascii="仿宋" w:hAnsi="仿宋" w:eastAsia="仿宋"/>
          <w:b/>
          <w:bCs/>
          <w:spacing w:val="6"/>
          <w:sz w:val="32"/>
          <w:szCs w:val="32"/>
        </w:rPr>
      </w:pPr>
      <w:r>
        <w:rPr>
          <w:rFonts w:hint="eastAsia" w:ascii="仿宋" w:hAnsi="仿宋" w:eastAsia="仿宋"/>
          <w:b/>
          <w:bCs/>
          <w:spacing w:val="6"/>
          <w:sz w:val="32"/>
          <w:szCs w:val="32"/>
        </w:rPr>
        <w:t>评分对应表</w:t>
      </w:r>
    </w:p>
    <w:tbl>
      <w:tblPr>
        <w:tblStyle w:val="60"/>
        <w:tblW w:w="94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4"/>
        <w:gridCol w:w="1056"/>
        <w:gridCol w:w="6821"/>
        <w:gridCol w:w="744"/>
      </w:tblGrid>
      <w:tr w14:paraId="12176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trPr>
        <w:tc>
          <w:tcPr>
            <w:tcW w:w="864" w:type="dxa"/>
            <w:vAlign w:val="center"/>
          </w:tcPr>
          <w:p w14:paraId="5585A1E6">
            <w:pPr>
              <w:widowControl/>
              <w:jc w:val="center"/>
              <w:rPr>
                <w:rFonts w:ascii="仿宋" w:hAnsi="仿宋" w:eastAsia="仿宋" w:cs="仿宋_GB2312"/>
                <w:sz w:val="24"/>
              </w:rPr>
            </w:pPr>
            <w:r>
              <w:rPr>
                <w:rFonts w:hint="eastAsia" w:ascii="仿宋" w:hAnsi="仿宋" w:eastAsia="仿宋" w:cs="仿宋_GB2312"/>
                <w:sz w:val="24"/>
              </w:rPr>
              <w:t>类别</w:t>
            </w:r>
          </w:p>
        </w:tc>
        <w:tc>
          <w:tcPr>
            <w:tcW w:w="1056" w:type="dxa"/>
            <w:vAlign w:val="center"/>
          </w:tcPr>
          <w:p w14:paraId="6B32A767">
            <w:pPr>
              <w:jc w:val="center"/>
              <w:rPr>
                <w:rFonts w:ascii="仿宋" w:hAnsi="仿宋" w:eastAsia="仿宋" w:cs="仿宋_GB2312"/>
                <w:sz w:val="24"/>
              </w:rPr>
            </w:pPr>
            <w:r>
              <w:rPr>
                <w:rFonts w:hint="eastAsia" w:ascii="仿宋" w:hAnsi="仿宋" w:eastAsia="仿宋" w:cs="仿宋_GB2312"/>
                <w:sz w:val="24"/>
              </w:rPr>
              <w:t>项目</w:t>
            </w:r>
          </w:p>
        </w:tc>
        <w:tc>
          <w:tcPr>
            <w:tcW w:w="6821" w:type="dxa"/>
            <w:vAlign w:val="center"/>
          </w:tcPr>
          <w:p w14:paraId="26E8B086">
            <w:pPr>
              <w:ind w:firstLine="480" w:firstLineChars="200"/>
              <w:jc w:val="center"/>
              <w:rPr>
                <w:rFonts w:ascii="仿宋" w:hAnsi="仿宋" w:eastAsia="仿宋" w:cs="仿宋_GB2312"/>
                <w:sz w:val="24"/>
              </w:rPr>
            </w:pPr>
            <w:r>
              <w:rPr>
                <w:rFonts w:hint="eastAsia" w:ascii="仿宋" w:hAnsi="仿宋" w:eastAsia="仿宋" w:cs="仿宋_GB2312"/>
                <w:sz w:val="24"/>
              </w:rPr>
              <w:t>评分细则</w:t>
            </w:r>
          </w:p>
        </w:tc>
        <w:tc>
          <w:tcPr>
            <w:tcW w:w="744" w:type="dxa"/>
            <w:vAlign w:val="center"/>
          </w:tcPr>
          <w:p w14:paraId="3328D80F">
            <w:pPr>
              <w:widowControl/>
              <w:jc w:val="center"/>
              <w:rPr>
                <w:rFonts w:ascii="仿宋" w:hAnsi="仿宋" w:eastAsia="仿宋" w:cs="仿宋_GB2312"/>
                <w:sz w:val="24"/>
              </w:rPr>
            </w:pPr>
            <w:r>
              <w:rPr>
                <w:rFonts w:hint="eastAsia" w:ascii="仿宋" w:hAnsi="仿宋" w:eastAsia="仿宋" w:cs="仿宋_GB2312"/>
                <w:sz w:val="24"/>
              </w:rPr>
              <w:t>分值</w:t>
            </w:r>
          </w:p>
        </w:tc>
      </w:tr>
      <w:tr w14:paraId="1172A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trPr>
        <w:tc>
          <w:tcPr>
            <w:tcW w:w="864" w:type="dxa"/>
            <w:vMerge w:val="restart"/>
            <w:vAlign w:val="center"/>
          </w:tcPr>
          <w:p w14:paraId="7E454DF6">
            <w:pPr>
              <w:widowControl/>
              <w:jc w:val="center"/>
              <w:rPr>
                <w:rFonts w:ascii="仿宋" w:hAnsi="仿宋" w:eastAsia="仿宋" w:cs="仿宋_GB2312"/>
                <w:sz w:val="24"/>
              </w:rPr>
            </w:pPr>
            <w:r>
              <w:rPr>
                <w:rFonts w:hint="eastAsia" w:ascii="仿宋" w:hAnsi="仿宋" w:eastAsia="仿宋" w:cs="仿宋_GB2312"/>
                <w:sz w:val="24"/>
              </w:rPr>
              <w:t>商务技术</w:t>
            </w:r>
          </w:p>
        </w:tc>
        <w:tc>
          <w:tcPr>
            <w:tcW w:w="1056" w:type="dxa"/>
            <w:vAlign w:val="center"/>
          </w:tcPr>
          <w:p w14:paraId="43A4BCEF">
            <w:pPr>
              <w:widowControl/>
              <w:jc w:val="left"/>
              <w:rPr>
                <w:rFonts w:hint="eastAsia" w:ascii="仿宋" w:hAnsi="仿宋" w:eastAsia="仿宋" w:cs="仿宋_GB2312"/>
                <w:sz w:val="24"/>
                <w:highlight w:val="none"/>
                <w:lang w:val="en-US" w:eastAsia="zh-CN"/>
              </w:rPr>
            </w:pPr>
            <w:r>
              <w:rPr>
                <w:rFonts w:hint="eastAsia" w:ascii="仿宋" w:hAnsi="仿宋" w:eastAsia="仿宋" w:cs="仿宋_GB2312"/>
                <w:sz w:val="24"/>
                <w:highlight w:val="none"/>
              </w:rPr>
              <w:t xml:space="preserve">企业  </w:t>
            </w:r>
            <w:r>
              <w:rPr>
                <w:rFonts w:hint="eastAsia" w:ascii="仿宋" w:hAnsi="仿宋" w:eastAsia="仿宋" w:cs="仿宋_GB2312"/>
                <w:sz w:val="24"/>
                <w:highlight w:val="none"/>
                <w:lang w:eastAsia="zh-CN"/>
              </w:rPr>
              <w:t>信用</w:t>
            </w:r>
          </w:p>
        </w:tc>
        <w:tc>
          <w:tcPr>
            <w:tcW w:w="6821" w:type="dxa"/>
            <w:vAlign w:val="center"/>
          </w:tcPr>
          <w:p w14:paraId="7BBBC407">
            <w:pPr>
              <w:widowControl/>
              <w:numPr>
                <w:ilvl w:val="0"/>
                <w:numId w:val="0"/>
              </w:numPr>
              <w:spacing w:line="360" w:lineRule="auto"/>
              <w:rPr>
                <w:rFonts w:hint="eastAsia" w:ascii="仿宋" w:hAnsi="仿宋" w:eastAsia="仿宋" w:cs="仿宋_GB2312"/>
                <w:sz w:val="24"/>
                <w:highlight w:val="none"/>
              </w:rPr>
            </w:pPr>
            <w:r>
              <w:rPr>
                <w:rFonts w:hint="eastAsia" w:ascii="仿宋" w:hAnsi="仿宋" w:eastAsia="仿宋" w:cs="仿宋_GB2312"/>
                <w:sz w:val="24"/>
                <w:highlight w:val="none"/>
              </w:rPr>
              <w:t>202</w:t>
            </w:r>
            <w:r>
              <w:rPr>
                <w:rFonts w:hint="eastAsia" w:ascii="仿宋" w:hAnsi="仿宋" w:eastAsia="仿宋" w:cs="仿宋_GB2312"/>
                <w:sz w:val="24"/>
                <w:highlight w:val="none"/>
                <w:lang w:val="en-US" w:eastAsia="zh-CN"/>
              </w:rPr>
              <w:t>4</w:t>
            </w:r>
            <w:r>
              <w:rPr>
                <w:rFonts w:hint="eastAsia" w:ascii="仿宋" w:hAnsi="仿宋" w:eastAsia="仿宋" w:cs="仿宋_GB2312"/>
                <w:sz w:val="24"/>
                <w:highlight w:val="none"/>
              </w:rPr>
              <w:t>年1月1日以来（以获奖证书或文件落款日期为准）获得过省级及以上造价管理部门评定的造价咨询企业动态信用等级AAAA级及以上的得2分，AAA的得1分，其余不得分；（提供信用等级证书或文件扫描件并加盖投标人公章）</w:t>
            </w:r>
          </w:p>
          <w:p w14:paraId="06AB5605">
            <w:pPr>
              <w:widowControl/>
              <w:jc w:val="left"/>
              <w:rPr>
                <w:rFonts w:hint="eastAsia" w:ascii="仿宋" w:hAnsi="仿宋" w:eastAsia="仿宋" w:cs="仿宋_GB2312"/>
                <w:sz w:val="24"/>
                <w:highlight w:val="none"/>
              </w:rPr>
            </w:pPr>
            <w:r>
              <w:rPr>
                <w:rFonts w:hint="eastAsia" w:ascii="仿宋" w:hAnsi="仿宋" w:eastAsia="仿宋" w:cs="仿宋_GB2312"/>
                <w:sz w:val="24"/>
                <w:highlight w:val="none"/>
              </w:rPr>
              <w:t>注：若造价咨询企业动态信用等级为A、B、C、D，其中信用A为最高级的，B为次高级，A、B对应本次招投标活动中的AAAA级及以上，C对应本次招投标活动中的AAA，依次类推。如投标单位所在地动态信用评价等级以其他形式表示的，各等级从高到低依次对应。（如投标人为浙江省内单位，须提供投标截止日当月的浙江省造价咨询企业动态信用等级，否则不予认可；如投标人为浙江省外单位，提供的造价咨询企业动态信用等级若与浙江省内评定等级不一致的，需提供相关评定等级划分的证明材料并加盖公章，否则不予认可）</w:t>
            </w:r>
          </w:p>
        </w:tc>
        <w:tc>
          <w:tcPr>
            <w:tcW w:w="744" w:type="dxa"/>
            <w:vAlign w:val="center"/>
          </w:tcPr>
          <w:p w14:paraId="41B71632">
            <w:pPr>
              <w:widowControl/>
              <w:jc w:val="center"/>
              <w:rPr>
                <w:rFonts w:ascii="仿宋" w:hAnsi="仿宋" w:eastAsia="仿宋" w:cs="仿宋_GB2312"/>
                <w:sz w:val="24"/>
              </w:rPr>
            </w:pPr>
            <w:r>
              <w:rPr>
                <w:rFonts w:hint="eastAsia" w:ascii="仿宋" w:hAnsi="仿宋" w:eastAsia="仿宋" w:cs="仿宋_GB2312"/>
                <w:sz w:val="24"/>
              </w:rPr>
              <w:t>2</w:t>
            </w:r>
          </w:p>
        </w:tc>
      </w:tr>
      <w:tr w14:paraId="423A7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864" w:type="dxa"/>
            <w:vMerge w:val="continue"/>
            <w:vAlign w:val="center"/>
          </w:tcPr>
          <w:p w14:paraId="0635458A">
            <w:pPr>
              <w:widowControl/>
              <w:ind w:firstLine="480" w:firstLineChars="200"/>
              <w:rPr>
                <w:rFonts w:ascii="仿宋" w:hAnsi="仿宋" w:eastAsia="仿宋" w:cs="仿宋_GB2312"/>
                <w:sz w:val="24"/>
              </w:rPr>
            </w:pPr>
          </w:p>
        </w:tc>
        <w:tc>
          <w:tcPr>
            <w:tcW w:w="1056" w:type="dxa"/>
            <w:vAlign w:val="center"/>
          </w:tcPr>
          <w:p w14:paraId="64E142B0">
            <w:pPr>
              <w:widowControl/>
              <w:jc w:val="center"/>
              <w:rPr>
                <w:rFonts w:ascii="仿宋" w:hAnsi="仿宋" w:eastAsia="仿宋" w:cs="仿宋_GB2312"/>
                <w:sz w:val="24"/>
              </w:rPr>
            </w:pPr>
            <w:r>
              <w:rPr>
                <w:rFonts w:hint="eastAsia" w:ascii="仿宋" w:hAnsi="仿宋" w:eastAsia="仿宋" w:cs="仿宋_GB2312"/>
                <w:sz w:val="24"/>
              </w:rPr>
              <w:t>项目负责人</w:t>
            </w:r>
          </w:p>
        </w:tc>
        <w:tc>
          <w:tcPr>
            <w:tcW w:w="6821" w:type="dxa"/>
            <w:vAlign w:val="center"/>
          </w:tcPr>
          <w:p w14:paraId="12308DB2">
            <w:pPr>
              <w:widowControl/>
              <w:numPr>
                <w:ilvl w:val="0"/>
                <w:numId w:val="0"/>
              </w:numPr>
              <w:jc w:val="left"/>
              <w:rPr>
                <w:rFonts w:ascii="仿宋" w:hAnsi="仿宋" w:eastAsia="仿宋" w:cs="仿宋_GB2312"/>
                <w:b w:val="0"/>
                <w:bCs w:val="0"/>
                <w:sz w:val="24"/>
                <w:highlight w:val="none"/>
              </w:rPr>
            </w:pPr>
            <w:r>
              <w:rPr>
                <w:rFonts w:hint="eastAsia" w:ascii="仿宋" w:hAnsi="仿宋" w:eastAsia="仿宋" w:cs="仿宋_GB2312"/>
                <w:b w:val="0"/>
                <w:bCs w:val="0"/>
                <w:sz w:val="24"/>
                <w:highlight w:val="none"/>
              </w:rPr>
              <w:t>本项目负责人具有高级职称的，得2分；（提供相关证书复印件加盖单位公章。）</w:t>
            </w:r>
          </w:p>
        </w:tc>
        <w:tc>
          <w:tcPr>
            <w:tcW w:w="744" w:type="dxa"/>
            <w:vAlign w:val="center"/>
          </w:tcPr>
          <w:p w14:paraId="51F29266">
            <w:pPr>
              <w:widowControl/>
              <w:jc w:val="center"/>
              <w:rPr>
                <w:rFonts w:hint="eastAsia" w:ascii="仿宋" w:hAnsi="仿宋" w:eastAsia="仿宋" w:cs="仿宋_GB2312"/>
                <w:sz w:val="24"/>
                <w:lang w:eastAsia="zh-CN"/>
              </w:rPr>
            </w:pPr>
            <w:r>
              <w:rPr>
                <w:rFonts w:hint="eastAsia" w:ascii="仿宋" w:hAnsi="仿宋" w:eastAsia="仿宋" w:cs="仿宋_GB2312"/>
                <w:sz w:val="24"/>
                <w:lang w:val="en-US" w:eastAsia="zh-CN"/>
              </w:rPr>
              <w:t>2</w:t>
            </w:r>
          </w:p>
        </w:tc>
      </w:tr>
      <w:tr w14:paraId="6DFDE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864" w:type="dxa"/>
            <w:vMerge w:val="continue"/>
            <w:vAlign w:val="center"/>
          </w:tcPr>
          <w:p w14:paraId="124A18D2">
            <w:pPr>
              <w:widowControl/>
              <w:ind w:firstLine="480" w:firstLineChars="200"/>
              <w:rPr>
                <w:rFonts w:ascii="仿宋" w:hAnsi="仿宋" w:eastAsia="仿宋" w:cs="仿宋_GB2312"/>
                <w:sz w:val="24"/>
              </w:rPr>
            </w:pPr>
          </w:p>
        </w:tc>
        <w:tc>
          <w:tcPr>
            <w:tcW w:w="1056" w:type="dxa"/>
            <w:vAlign w:val="center"/>
          </w:tcPr>
          <w:p w14:paraId="6B5ADDAF">
            <w:pPr>
              <w:widowControl/>
              <w:jc w:val="center"/>
              <w:rPr>
                <w:rFonts w:ascii="仿宋" w:hAnsi="仿宋" w:eastAsia="仿宋" w:cs="仿宋_GB2312"/>
                <w:sz w:val="24"/>
                <w:lang w:val="zh-CN"/>
              </w:rPr>
            </w:pPr>
            <w:r>
              <w:rPr>
                <w:rFonts w:hint="eastAsia" w:ascii="仿宋" w:hAnsi="仿宋" w:eastAsia="仿宋" w:cs="仿宋_GB2312"/>
                <w:sz w:val="24"/>
              </w:rPr>
              <w:t>企业业绩实力</w:t>
            </w:r>
          </w:p>
        </w:tc>
        <w:tc>
          <w:tcPr>
            <w:tcW w:w="6821" w:type="dxa"/>
            <w:vAlign w:val="center"/>
          </w:tcPr>
          <w:p w14:paraId="0079A294">
            <w:pPr>
              <w:widowControl/>
              <w:jc w:val="left"/>
              <w:rPr>
                <w:rFonts w:ascii="仿宋" w:hAnsi="仿宋" w:eastAsia="仿宋" w:cs="仿宋_GB2312"/>
                <w:b w:val="0"/>
                <w:bCs w:val="0"/>
                <w:sz w:val="24"/>
                <w:highlight w:val="none"/>
              </w:rPr>
            </w:pPr>
            <w:r>
              <w:rPr>
                <w:rFonts w:hint="eastAsia" w:ascii="仿宋" w:hAnsi="仿宋" w:eastAsia="仿宋" w:cs="仿宋_GB2312"/>
                <w:b w:val="0"/>
                <w:bCs w:val="0"/>
                <w:sz w:val="24"/>
                <w:highlight w:val="none"/>
                <w:lang w:val="en-US" w:eastAsia="zh-CN"/>
              </w:rPr>
              <w:t>1、</w:t>
            </w:r>
            <w:r>
              <w:rPr>
                <w:rFonts w:hint="eastAsia" w:ascii="仿宋" w:hAnsi="仿宋" w:eastAsia="仿宋" w:cs="仿宋_GB2312"/>
                <w:b w:val="0"/>
                <w:bCs w:val="0"/>
                <w:sz w:val="24"/>
                <w:highlight w:val="none"/>
              </w:rPr>
              <w:t>投标人自20</w:t>
            </w:r>
            <w:r>
              <w:rPr>
                <w:rFonts w:hint="eastAsia" w:ascii="仿宋" w:hAnsi="仿宋" w:eastAsia="仿宋" w:cs="仿宋_GB2312"/>
                <w:b w:val="0"/>
                <w:bCs w:val="0"/>
                <w:sz w:val="24"/>
                <w:highlight w:val="none"/>
                <w:lang w:val="en-US" w:eastAsia="zh-CN"/>
              </w:rPr>
              <w:t>20</w:t>
            </w:r>
            <w:r>
              <w:rPr>
                <w:rFonts w:hint="eastAsia" w:ascii="仿宋" w:hAnsi="仿宋" w:eastAsia="仿宋" w:cs="仿宋_GB2312"/>
                <w:b w:val="0"/>
                <w:bCs w:val="0"/>
                <w:sz w:val="24"/>
                <w:highlight w:val="none"/>
              </w:rPr>
              <w:t>年1月1日以来（时间</w:t>
            </w:r>
            <w:r>
              <w:rPr>
                <w:rFonts w:hint="eastAsia" w:ascii="仿宋" w:hAnsi="仿宋" w:eastAsia="仿宋" w:cs="仿宋_GB2312"/>
                <w:b w:val="0"/>
                <w:bCs w:val="0"/>
                <w:sz w:val="24"/>
                <w:highlight w:val="none"/>
                <w:lang w:eastAsia="zh-CN"/>
              </w:rPr>
              <w:t>、金额</w:t>
            </w:r>
            <w:r>
              <w:rPr>
                <w:rFonts w:hint="eastAsia" w:ascii="仿宋" w:hAnsi="仿宋" w:eastAsia="仿宋" w:cs="仿宋_GB2312"/>
                <w:b w:val="0"/>
                <w:bCs w:val="0"/>
                <w:sz w:val="24"/>
                <w:highlight w:val="none"/>
              </w:rPr>
              <w:t>以</w:t>
            </w:r>
            <w:r>
              <w:rPr>
                <w:rFonts w:hint="eastAsia" w:ascii="仿宋" w:hAnsi="仿宋" w:eastAsia="仿宋" w:cs="仿宋_GB2312"/>
                <w:b w:val="0"/>
                <w:bCs w:val="0"/>
                <w:sz w:val="24"/>
                <w:highlight w:val="none"/>
                <w:lang w:eastAsia="zh-CN"/>
              </w:rPr>
              <w:t>中标通知书</w:t>
            </w:r>
            <w:r>
              <w:rPr>
                <w:rFonts w:hint="eastAsia" w:ascii="仿宋" w:hAnsi="仿宋" w:eastAsia="仿宋" w:cs="仿宋_GB2312"/>
                <w:b w:val="0"/>
                <w:bCs w:val="0"/>
                <w:sz w:val="24"/>
                <w:highlight w:val="none"/>
              </w:rPr>
              <w:t>为准）完成</w:t>
            </w:r>
            <w:r>
              <w:rPr>
                <w:rFonts w:hint="eastAsia" w:ascii="仿宋" w:hAnsi="仿宋" w:eastAsia="仿宋" w:cs="仿宋_GB2312"/>
                <w:b w:val="0"/>
                <w:bCs w:val="0"/>
                <w:sz w:val="24"/>
                <w:highlight w:val="none"/>
                <w:lang w:eastAsia="zh-CN"/>
              </w:rPr>
              <w:t>过</w:t>
            </w:r>
            <w:r>
              <w:rPr>
                <w:rFonts w:hint="eastAsia" w:ascii="仿宋" w:hAnsi="仿宋" w:eastAsia="仿宋" w:cs="仿宋_GB2312"/>
                <w:sz w:val="24"/>
                <w:highlight w:val="none"/>
              </w:rPr>
              <w:t>新建或改建市政道路工程单项工程造价</w:t>
            </w:r>
            <w:r>
              <w:rPr>
                <w:rFonts w:hint="eastAsia" w:ascii="仿宋" w:hAnsi="仿宋" w:eastAsia="仿宋" w:cs="仿宋_GB2312"/>
                <w:sz w:val="24"/>
                <w:highlight w:val="none"/>
                <w:lang w:val="en-US" w:eastAsia="zh-CN"/>
              </w:rPr>
              <w:t>4</w:t>
            </w:r>
            <w:r>
              <w:rPr>
                <w:rFonts w:hint="eastAsia" w:ascii="仿宋" w:hAnsi="仿宋" w:eastAsia="仿宋" w:cs="仿宋_GB2312"/>
                <w:sz w:val="24"/>
                <w:highlight w:val="none"/>
              </w:rPr>
              <w:t>000万及以上项目</w:t>
            </w:r>
            <w:r>
              <w:rPr>
                <w:rFonts w:hint="eastAsia" w:ascii="仿宋" w:hAnsi="仿宋" w:eastAsia="仿宋" w:cs="仿宋_GB2312"/>
                <w:b w:val="0"/>
                <w:bCs w:val="0"/>
                <w:sz w:val="24"/>
                <w:highlight w:val="none"/>
                <w:lang w:eastAsia="zh-CN"/>
              </w:rPr>
              <w:t>招标代理</w:t>
            </w:r>
            <w:r>
              <w:rPr>
                <w:rFonts w:hint="eastAsia" w:ascii="仿宋" w:hAnsi="仿宋" w:eastAsia="仿宋" w:cs="仿宋_GB2312"/>
                <w:b w:val="0"/>
                <w:bCs w:val="0"/>
                <w:sz w:val="24"/>
                <w:highlight w:val="none"/>
              </w:rPr>
              <w:t>业绩的，</w:t>
            </w:r>
            <w:r>
              <w:rPr>
                <w:rFonts w:hint="eastAsia" w:ascii="仿宋" w:hAnsi="仿宋" w:eastAsia="仿宋" w:cs="仿宋_GB2312"/>
                <w:b w:val="0"/>
                <w:bCs w:val="0"/>
                <w:sz w:val="24"/>
                <w:highlight w:val="none"/>
                <w:lang w:val="en-US" w:eastAsia="zh-CN"/>
              </w:rPr>
              <w:t>每一项得1.5分，最高</w:t>
            </w:r>
            <w:r>
              <w:rPr>
                <w:rFonts w:hint="eastAsia" w:ascii="仿宋" w:hAnsi="仿宋" w:eastAsia="仿宋" w:cs="仿宋_GB2312"/>
                <w:b w:val="0"/>
                <w:bCs w:val="0"/>
                <w:sz w:val="24"/>
                <w:highlight w:val="none"/>
              </w:rPr>
              <w:t>得</w:t>
            </w:r>
            <w:r>
              <w:rPr>
                <w:rFonts w:hint="eastAsia" w:ascii="仿宋" w:hAnsi="仿宋" w:eastAsia="仿宋" w:cs="仿宋_GB2312"/>
                <w:b w:val="0"/>
                <w:bCs w:val="0"/>
                <w:sz w:val="24"/>
                <w:highlight w:val="none"/>
                <w:lang w:val="en-US" w:eastAsia="zh-CN"/>
              </w:rPr>
              <w:t>3</w:t>
            </w:r>
            <w:r>
              <w:rPr>
                <w:rFonts w:hint="eastAsia" w:ascii="仿宋" w:hAnsi="仿宋" w:eastAsia="仿宋" w:cs="仿宋_GB2312"/>
                <w:b w:val="0"/>
                <w:bCs w:val="0"/>
                <w:sz w:val="24"/>
                <w:highlight w:val="none"/>
              </w:rPr>
              <w:t>分。</w:t>
            </w:r>
          </w:p>
          <w:p w14:paraId="36229C72">
            <w:pPr>
              <w:widowControl/>
              <w:jc w:val="left"/>
              <w:rPr>
                <w:rFonts w:hint="eastAsia" w:ascii="仿宋" w:hAnsi="仿宋" w:eastAsia="仿宋" w:cs="仿宋_GB2312"/>
                <w:b w:val="0"/>
                <w:bCs w:val="0"/>
                <w:sz w:val="24"/>
                <w:highlight w:val="none"/>
                <w:lang w:eastAsia="zh-CN"/>
              </w:rPr>
            </w:pPr>
            <w:r>
              <w:rPr>
                <w:rFonts w:hint="eastAsia" w:ascii="仿宋" w:hAnsi="仿宋" w:eastAsia="仿宋" w:cs="仿宋_GB2312"/>
                <w:b w:val="0"/>
                <w:bCs w:val="0"/>
                <w:sz w:val="24"/>
                <w:highlight w:val="none"/>
              </w:rPr>
              <w:t>（提供（1）体现上述业绩要求的</w:t>
            </w:r>
            <w:r>
              <w:rPr>
                <w:rFonts w:hint="eastAsia" w:ascii="仿宋" w:hAnsi="仿宋" w:eastAsia="仿宋" w:cs="仿宋_GB2312"/>
                <w:b w:val="0"/>
                <w:bCs w:val="0"/>
                <w:sz w:val="24"/>
                <w:highlight w:val="none"/>
                <w:lang w:eastAsia="zh-CN"/>
              </w:rPr>
              <w:t>施工中标通知书</w:t>
            </w:r>
            <w:r>
              <w:rPr>
                <w:rFonts w:hint="eastAsia" w:ascii="仿宋" w:hAnsi="仿宋" w:eastAsia="仿宋" w:cs="仿宋_GB2312"/>
                <w:b w:val="0"/>
                <w:bCs w:val="0"/>
                <w:sz w:val="24"/>
                <w:highlight w:val="none"/>
              </w:rPr>
              <w:t>，时间</w:t>
            </w:r>
            <w:r>
              <w:rPr>
                <w:rFonts w:hint="eastAsia" w:ascii="仿宋" w:hAnsi="仿宋" w:eastAsia="仿宋" w:cs="仿宋_GB2312"/>
                <w:b w:val="0"/>
                <w:bCs w:val="0"/>
                <w:sz w:val="24"/>
                <w:highlight w:val="none"/>
                <w:lang w:eastAsia="zh-CN"/>
              </w:rPr>
              <w:t>、</w:t>
            </w:r>
            <w:r>
              <w:rPr>
                <w:rFonts w:hint="eastAsia" w:ascii="仿宋" w:hAnsi="仿宋" w:eastAsia="仿宋" w:cs="仿宋_GB2312"/>
                <w:b w:val="0"/>
                <w:bCs w:val="0"/>
                <w:sz w:val="24"/>
                <w:highlight w:val="none"/>
                <w:lang w:val="en-US" w:eastAsia="zh-CN"/>
              </w:rPr>
              <w:t>金额</w:t>
            </w:r>
            <w:r>
              <w:rPr>
                <w:rFonts w:hint="eastAsia" w:ascii="仿宋" w:hAnsi="仿宋" w:eastAsia="仿宋" w:cs="仿宋_GB2312"/>
                <w:b w:val="0"/>
                <w:bCs w:val="0"/>
                <w:sz w:val="24"/>
                <w:highlight w:val="none"/>
              </w:rPr>
              <w:t>以</w:t>
            </w:r>
            <w:r>
              <w:rPr>
                <w:rFonts w:hint="eastAsia" w:ascii="仿宋" w:hAnsi="仿宋" w:eastAsia="仿宋" w:cs="仿宋_GB2312"/>
                <w:b w:val="0"/>
                <w:bCs w:val="0"/>
                <w:sz w:val="24"/>
                <w:highlight w:val="none"/>
                <w:lang w:eastAsia="zh-CN"/>
              </w:rPr>
              <w:t>中标通知书上</w:t>
            </w:r>
            <w:r>
              <w:rPr>
                <w:rFonts w:hint="eastAsia" w:ascii="仿宋" w:hAnsi="仿宋" w:eastAsia="仿宋" w:cs="仿宋_GB2312"/>
                <w:b w:val="0"/>
                <w:bCs w:val="0"/>
                <w:sz w:val="24"/>
                <w:highlight w:val="none"/>
              </w:rPr>
              <w:t>时间</w:t>
            </w:r>
            <w:r>
              <w:rPr>
                <w:rFonts w:hint="eastAsia" w:ascii="仿宋" w:hAnsi="仿宋" w:eastAsia="仿宋" w:cs="仿宋_GB2312"/>
                <w:b w:val="0"/>
                <w:bCs w:val="0"/>
                <w:sz w:val="24"/>
                <w:highlight w:val="none"/>
                <w:lang w:eastAsia="zh-CN"/>
              </w:rPr>
              <w:t>、</w:t>
            </w:r>
            <w:r>
              <w:rPr>
                <w:rFonts w:hint="eastAsia" w:ascii="仿宋" w:hAnsi="仿宋" w:eastAsia="仿宋" w:cs="仿宋_GB2312"/>
                <w:b w:val="0"/>
                <w:bCs w:val="0"/>
                <w:sz w:val="24"/>
                <w:highlight w:val="none"/>
                <w:lang w:val="en-US" w:eastAsia="zh-CN"/>
              </w:rPr>
              <w:t>金额</w:t>
            </w:r>
            <w:r>
              <w:rPr>
                <w:rFonts w:hint="eastAsia" w:ascii="仿宋" w:hAnsi="仿宋" w:eastAsia="仿宋" w:cs="仿宋_GB2312"/>
                <w:b w:val="0"/>
                <w:bCs w:val="0"/>
                <w:sz w:val="24"/>
                <w:highlight w:val="none"/>
              </w:rPr>
              <w:t>为准</w:t>
            </w:r>
            <w:r>
              <w:rPr>
                <w:rFonts w:hint="eastAsia" w:ascii="仿宋" w:hAnsi="仿宋" w:eastAsia="仿宋" w:cs="仿宋_GB2312"/>
                <w:b w:val="0"/>
                <w:bCs w:val="0"/>
                <w:sz w:val="24"/>
                <w:highlight w:val="none"/>
                <w:lang w:eastAsia="zh-CN"/>
              </w:rPr>
              <w:t>。（</w:t>
            </w:r>
            <w:r>
              <w:rPr>
                <w:rFonts w:hint="eastAsia" w:ascii="仿宋" w:hAnsi="仿宋" w:eastAsia="仿宋" w:cs="仿宋_GB2312"/>
                <w:b w:val="0"/>
                <w:bCs w:val="0"/>
                <w:sz w:val="24"/>
                <w:highlight w:val="none"/>
                <w:lang w:val="en-US" w:eastAsia="zh-CN"/>
              </w:rPr>
              <w:t>2</w:t>
            </w:r>
            <w:r>
              <w:rPr>
                <w:rFonts w:hint="eastAsia" w:ascii="仿宋" w:hAnsi="仿宋" w:eastAsia="仿宋" w:cs="仿宋_GB2312"/>
                <w:b w:val="0"/>
                <w:bCs w:val="0"/>
                <w:sz w:val="24"/>
                <w:highlight w:val="none"/>
                <w:lang w:eastAsia="zh-CN"/>
              </w:rPr>
              <w:t>）</w:t>
            </w:r>
            <w:r>
              <w:rPr>
                <w:rFonts w:hint="eastAsia" w:ascii="仿宋" w:hAnsi="仿宋" w:eastAsia="仿宋" w:cs="仿宋_GB2312"/>
                <w:b w:val="0"/>
                <w:bCs w:val="0"/>
                <w:sz w:val="24"/>
                <w:highlight w:val="none"/>
              </w:rPr>
              <w:t>体现上述业绩要求的</w:t>
            </w:r>
            <w:r>
              <w:rPr>
                <w:rFonts w:hint="eastAsia" w:ascii="仿宋" w:hAnsi="仿宋" w:eastAsia="仿宋" w:cs="仿宋_GB2312"/>
                <w:b w:val="0"/>
                <w:bCs w:val="0"/>
                <w:sz w:val="24"/>
                <w:highlight w:val="none"/>
                <w:lang w:eastAsia="zh-CN"/>
              </w:rPr>
              <w:t>招标代理</w:t>
            </w:r>
            <w:r>
              <w:rPr>
                <w:rFonts w:hint="eastAsia" w:ascii="仿宋" w:hAnsi="仿宋" w:eastAsia="仿宋" w:cs="仿宋_GB2312"/>
                <w:b w:val="0"/>
                <w:bCs w:val="0"/>
                <w:sz w:val="24"/>
                <w:highlight w:val="none"/>
              </w:rPr>
              <w:t>合同。（</w:t>
            </w:r>
            <w:r>
              <w:rPr>
                <w:rFonts w:hint="eastAsia" w:ascii="仿宋" w:hAnsi="仿宋" w:eastAsia="仿宋" w:cs="仿宋_GB2312"/>
                <w:b w:val="0"/>
                <w:bCs w:val="0"/>
                <w:sz w:val="24"/>
                <w:highlight w:val="none"/>
                <w:lang w:val="en-US" w:eastAsia="zh-CN"/>
              </w:rPr>
              <w:t>3</w:t>
            </w:r>
            <w:r>
              <w:rPr>
                <w:rFonts w:hint="eastAsia" w:ascii="仿宋" w:hAnsi="仿宋" w:eastAsia="仿宋" w:cs="仿宋_GB2312"/>
                <w:b w:val="0"/>
                <w:bCs w:val="0"/>
                <w:sz w:val="24"/>
                <w:highlight w:val="none"/>
              </w:rPr>
              <w:t>）上述体现业绩的相关材料须提供复印件并加盖单位公章</w:t>
            </w:r>
            <w:r>
              <w:rPr>
                <w:rFonts w:hint="eastAsia" w:ascii="仿宋" w:hAnsi="仿宋" w:eastAsia="仿宋" w:cs="仿宋_GB2312"/>
                <w:b w:val="0"/>
                <w:bCs w:val="0"/>
                <w:sz w:val="24"/>
                <w:highlight w:val="none"/>
                <w:lang w:eastAsia="zh-CN"/>
              </w:rPr>
              <w:t>。（</w:t>
            </w:r>
            <w:r>
              <w:rPr>
                <w:rFonts w:hint="eastAsia" w:ascii="仿宋" w:hAnsi="仿宋" w:eastAsia="仿宋" w:cs="仿宋_GB2312"/>
                <w:b w:val="0"/>
                <w:bCs w:val="0"/>
                <w:sz w:val="24"/>
                <w:highlight w:val="none"/>
                <w:lang w:val="en-US" w:eastAsia="zh-CN"/>
              </w:rPr>
              <w:t>4</w:t>
            </w:r>
            <w:r>
              <w:rPr>
                <w:rFonts w:hint="eastAsia" w:ascii="仿宋" w:hAnsi="仿宋" w:eastAsia="仿宋" w:cs="仿宋_GB2312"/>
                <w:b w:val="0"/>
                <w:bCs w:val="0"/>
                <w:sz w:val="24"/>
                <w:highlight w:val="none"/>
                <w:lang w:eastAsia="zh-CN"/>
              </w:rPr>
              <w:t>）施工单位委托的</w:t>
            </w:r>
            <w:r>
              <w:rPr>
                <w:rFonts w:hint="eastAsia" w:ascii="仿宋" w:hAnsi="仿宋" w:eastAsia="仿宋" w:cs="仿宋_GB2312"/>
                <w:b w:val="0"/>
                <w:bCs w:val="0"/>
                <w:sz w:val="24"/>
                <w:highlight w:val="none"/>
                <w:lang w:val="en-US" w:eastAsia="zh-CN"/>
              </w:rPr>
              <w:t>招标代理</w:t>
            </w:r>
            <w:r>
              <w:rPr>
                <w:rFonts w:hint="eastAsia" w:ascii="仿宋" w:hAnsi="仿宋" w:eastAsia="仿宋" w:cs="仿宋_GB2312"/>
                <w:b w:val="0"/>
                <w:bCs w:val="0"/>
                <w:sz w:val="24"/>
                <w:highlight w:val="none"/>
                <w:lang w:eastAsia="zh-CN"/>
              </w:rPr>
              <w:t>业绩无效。</w:t>
            </w:r>
          </w:p>
          <w:p w14:paraId="2A462833">
            <w:pPr>
              <w:widowControl/>
              <w:jc w:val="left"/>
              <w:rPr>
                <w:rFonts w:ascii="仿宋" w:hAnsi="仿宋" w:eastAsia="仿宋" w:cs="仿宋_GB2312"/>
                <w:sz w:val="24"/>
                <w:highlight w:val="none"/>
              </w:rPr>
            </w:pPr>
            <w:r>
              <w:rPr>
                <w:rFonts w:hint="eastAsia" w:ascii="仿宋" w:hAnsi="仿宋" w:eastAsia="仿宋" w:cs="仿宋_GB2312"/>
                <w:b w:val="0"/>
                <w:bCs w:val="0"/>
                <w:sz w:val="24"/>
                <w:highlight w:val="none"/>
                <w:lang w:val="en-US" w:eastAsia="zh-CN"/>
              </w:rPr>
              <w:t>2、</w:t>
            </w:r>
            <w:r>
              <w:rPr>
                <w:rFonts w:hint="eastAsia" w:ascii="仿宋" w:hAnsi="仿宋" w:eastAsia="仿宋" w:cs="仿宋_GB2312"/>
                <w:sz w:val="24"/>
                <w:highlight w:val="none"/>
              </w:rPr>
              <w:t>投标人自20</w:t>
            </w:r>
            <w:r>
              <w:rPr>
                <w:rFonts w:hint="eastAsia" w:ascii="仿宋" w:hAnsi="仿宋" w:eastAsia="仿宋" w:cs="仿宋_GB2312"/>
                <w:sz w:val="24"/>
                <w:highlight w:val="none"/>
                <w:lang w:val="en-US" w:eastAsia="zh-CN"/>
              </w:rPr>
              <w:t>20</w:t>
            </w:r>
            <w:r>
              <w:rPr>
                <w:rFonts w:hint="eastAsia" w:ascii="仿宋" w:hAnsi="仿宋" w:eastAsia="仿宋" w:cs="仿宋_GB2312"/>
                <w:sz w:val="24"/>
                <w:highlight w:val="none"/>
              </w:rPr>
              <w:t>年1月1日以来（时间</w:t>
            </w:r>
            <w:r>
              <w:rPr>
                <w:rFonts w:hint="eastAsia" w:ascii="仿宋" w:hAnsi="仿宋" w:eastAsia="仿宋" w:cs="仿宋_GB2312"/>
                <w:sz w:val="24"/>
                <w:highlight w:val="none"/>
                <w:lang w:eastAsia="zh-CN"/>
              </w:rPr>
              <w:t>、金额</w:t>
            </w:r>
            <w:r>
              <w:rPr>
                <w:rFonts w:hint="eastAsia" w:ascii="仿宋" w:hAnsi="仿宋" w:eastAsia="仿宋" w:cs="仿宋_GB2312"/>
                <w:sz w:val="24"/>
                <w:highlight w:val="none"/>
              </w:rPr>
              <w:t>以造价咨询报告为准）完成</w:t>
            </w:r>
            <w:r>
              <w:rPr>
                <w:rFonts w:hint="eastAsia" w:ascii="仿宋" w:hAnsi="仿宋" w:eastAsia="仿宋" w:cs="仿宋_GB2312"/>
                <w:sz w:val="24"/>
                <w:highlight w:val="none"/>
                <w:lang w:eastAsia="zh-CN"/>
              </w:rPr>
              <w:t>过</w:t>
            </w:r>
            <w:r>
              <w:rPr>
                <w:rFonts w:hint="eastAsia" w:ascii="仿宋" w:hAnsi="仿宋" w:eastAsia="仿宋" w:cs="仿宋_GB2312"/>
                <w:sz w:val="24"/>
                <w:highlight w:val="none"/>
              </w:rPr>
              <w:t>新建或改建市政道路工程单项工程造价</w:t>
            </w:r>
            <w:r>
              <w:rPr>
                <w:rFonts w:hint="eastAsia" w:ascii="仿宋" w:hAnsi="仿宋" w:eastAsia="仿宋" w:cs="仿宋_GB2312"/>
                <w:sz w:val="24"/>
                <w:highlight w:val="none"/>
                <w:lang w:val="en-US" w:eastAsia="zh-CN"/>
              </w:rPr>
              <w:t>4</w:t>
            </w:r>
            <w:r>
              <w:rPr>
                <w:rFonts w:hint="eastAsia" w:ascii="仿宋" w:hAnsi="仿宋" w:eastAsia="仿宋" w:cs="仿宋_GB2312"/>
                <w:sz w:val="24"/>
                <w:highlight w:val="none"/>
              </w:rPr>
              <w:t>000万</w:t>
            </w:r>
            <w:r>
              <w:rPr>
                <w:rFonts w:hint="eastAsia" w:ascii="仿宋" w:hAnsi="仿宋" w:eastAsia="仿宋" w:cs="仿宋_GB2312"/>
                <w:sz w:val="24"/>
                <w:highlight w:val="none"/>
                <w:lang w:val="en-US" w:eastAsia="zh-CN"/>
              </w:rPr>
              <w:t>元</w:t>
            </w:r>
            <w:r>
              <w:rPr>
                <w:rFonts w:hint="eastAsia" w:ascii="仿宋" w:hAnsi="仿宋" w:eastAsia="仿宋" w:cs="仿宋_GB2312"/>
                <w:sz w:val="24"/>
                <w:highlight w:val="none"/>
              </w:rPr>
              <w:t>及以上项目</w:t>
            </w:r>
            <w:r>
              <w:rPr>
                <w:rFonts w:hint="eastAsia" w:ascii="仿宋" w:hAnsi="仿宋" w:eastAsia="仿宋" w:cs="仿宋_GB2312"/>
                <w:sz w:val="24"/>
                <w:highlight w:val="none"/>
                <w:lang w:eastAsia="zh-CN"/>
              </w:rPr>
              <w:t>施工</w:t>
            </w:r>
            <w:r>
              <w:rPr>
                <w:rFonts w:hint="eastAsia" w:ascii="仿宋" w:hAnsi="仿宋" w:eastAsia="仿宋" w:cs="仿宋_GB2312"/>
                <w:sz w:val="24"/>
                <w:highlight w:val="none"/>
              </w:rPr>
              <w:t>标底编制</w:t>
            </w:r>
            <w:r>
              <w:rPr>
                <w:rFonts w:hint="eastAsia" w:ascii="仿宋" w:hAnsi="仿宋" w:eastAsia="仿宋" w:cs="仿宋_GB2312"/>
                <w:sz w:val="24"/>
                <w:highlight w:val="none"/>
                <w:lang w:eastAsia="zh-CN"/>
              </w:rPr>
              <w:t>或标底审核</w:t>
            </w:r>
            <w:r>
              <w:rPr>
                <w:rFonts w:hint="eastAsia" w:ascii="仿宋" w:hAnsi="仿宋" w:eastAsia="仿宋" w:cs="仿宋_GB2312"/>
                <w:sz w:val="24"/>
                <w:highlight w:val="none"/>
              </w:rPr>
              <w:t>或</w:t>
            </w:r>
            <w:r>
              <w:rPr>
                <w:rFonts w:hint="eastAsia" w:ascii="仿宋" w:hAnsi="仿宋" w:eastAsia="仿宋" w:cs="仿宋_GB2312"/>
                <w:sz w:val="24"/>
                <w:highlight w:val="none"/>
                <w:lang w:eastAsia="zh-CN"/>
              </w:rPr>
              <w:t>结算审核</w:t>
            </w:r>
            <w:r>
              <w:rPr>
                <w:rFonts w:hint="eastAsia" w:ascii="仿宋" w:hAnsi="仿宋" w:eastAsia="仿宋" w:cs="仿宋_GB2312"/>
                <w:sz w:val="24"/>
                <w:highlight w:val="none"/>
              </w:rPr>
              <w:t>业绩的，</w:t>
            </w:r>
            <w:r>
              <w:rPr>
                <w:rFonts w:hint="eastAsia" w:ascii="仿宋" w:hAnsi="仿宋" w:eastAsia="仿宋" w:cs="仿宋_GB2312"/>
                <w:sz w:val="24"/>
                <w:highlight w:val="none"/>
                <w:lang w:val="en-US" w:eastAsia="zh-CN"/>
              </w:rPr>
              <w:t>每一项得2分，最高</w:t>
            </w:r>
            <w:r>
              <w:rPr>
                <w:rFonts w:hint="eastAsia" w:ascii="仿宋" w:hAnsi="仿宋" w:eastAsia="仿宋" w:cs="仿宋_GB2312"/>
                <w:sz w:val="24"/>
                <w:highlight w:val="none"/>
              </w:rPr>
              <w:t>得</w:t>
            </w:r>
            <w:r>
              <w:rPr>
                <w:rFonts w:hint="eastAsia" w:ascii="仿宋" w:hAnsi="仿宋" w:eastAsia="仿宋" w:cs="仿宋_GB2312"/>
                <w:sz w:val="24"/>
                <w:highlight w:val="none"/>
                <w:lang w:val="en-US" w:eastAsia="zh-CN"/>
              </w:rPr>
              <w:t>4</w:t>
            </w:r>
            <w:r>
              <w:rPr>
                <w:rFonts w:hint="eastAsia" w:ascii="仿宋" w:hAnsi="仿宋" w:eastAsia="仿宋" w:cs="仿宋_GB2312"/>
                <w:sz w:val="24"/>
                <w:highlight w:val="none"/>
              </w:rPr>
              <w:t>分。</w:t>
            </w:r>
          </w:p>
          <w:p w14:paraId="3650E883">
            <w:pPr>
              <w:widowControl/>
              <w:jc w:val="left"/>
              <w:rPr>
                <w:rFonts w:hint="default" w:ascii="仿宋" w:hAnsi="仿宋" w:eastAsia="仿宋" w:cs="仿宋_GB2312"/>
                <w:b w:val="0"/>
                <w:bCs w:val="0"/>
                <w:sz w:val="24"/>
                <w:highlight w:val="none"/>
                <w:lang w:val="en-US"/>
              </w:rPr>
            </w:pPr>
            <w:r>
              <w:rPr>
                <w:rFonts w:hint="eastAsia" w:ascii="仿宋" w:hAnsi="仿宋" w:eastAsia="仿宋" w:cs="仿宋_GB2312"/>
                <w:b/>
                <w:bCs/>
                <w:sz w:val="24"/>
                <w:highlight w:val="none"/>
              </w:rPr>
              <w:t>（提供（1）体现上述业绩要求的工程造价咨询报告书（加盖</w:t>
            </w:r>
            <w:r>
              <w:rPr>
                <w:rFonts w:hint="eastAsia" w:ascii="仿宋" w:hAnsi="仿宋" w:eastAsia="仿宋" w:cs="仿宋_GB2312"/>
                <w:b/>
                <w:bCs/>
                <w:sz w:val="24"/>
                <w:highlight w:val="none"/>
                <w:lang w:eastAsia="zh-CN"/>
              </w:rPr>
              <w:t>标底编制</w:t>
            </w:r>
            <w:r>
              <w:rPr>
                <w:rFonts w:hint="eastAsia" w:ascii="仿宋" w:hAnsi="仿宋" w:eastAsia="仿宋" w:cs="仿宋_GB2312"/>
                <w:b/>
                <w:bCs/>
                <w:sz w:val="24"/>
                <w:highlight w:val="none"/>
              </w:rPr>
              <w:t>单位</w:t>
            </w:r>
            <w:r>
              <w:rPr>
                <w:rFonts w:hint="eastAsia" w:ascii="仿宋" w:hAnsi="仿宋" w:eastAsia="仿宋" w:cs="仿宋_GB2312"/>
                <w:b/>
                <w:bCs/>
                <w:sz w:val="24"/>
                <w:highlight w:val="none"/>
                <w:lang w:eastAsia="zh-CN"/>
              </w:rPr>
              <w:t>或标底审核或结算审核单位公章、业主单位</w:t>
            </w:r>
            <w:r>
              <w:rPr>
                <w:rFonts w:hint="eastAsia" w:ascii="仿宋" w:hAnsi="仿宋" w:eastAsia="仿宋" w:cs="仿宋_GB2312"/>
                <w:b/>
                <w:bCs/>
                <w:sz w:val="24"/>
                <w:highlight w:val="none"/>
              </w:rPr>
              <w:t>公章及人员资格章，时间以</w:t>
            </w:r>
            <w:r>
              <w:rPr>
                <w:rFonts w:hint="eastAsia" w:ascii="仿宋" w:hAnsi="仿宋" w:eastAsia="仿宋" w:cs="仿宋_GB2312"/>
                <w:b/>
                <w:bCs/>
                <w:sz w:val="24"/>
                <w:highlight w:val="none"/>
                <w:lang w:eastAsia="zh-CN"/>
              </w:rPr>
              <w:t>造价咨询</w:t>
            </w:r>
            <w:r>
              <w:rPr>
                <w:rFonts w:hint="eastAsia" w:ascii="仿宋" w:hAnsi="仿宋" w:eastAsia="仿宋" w:cs="仿宋_GB2312"/>
                <w:b/>
                <w:bCs/>
                <w:sz w:val="24"/>
                <w:highlight w:val="none"/>
              </w:rPr>
              <w:t>报告书出具时间为准</w:t>
            </w:r>
            <w:r>
              <w:rPr>
                <w:rFonts w:hint="eastAsia" w:ascii="仿宋" w:hAnsi="仿宋" w:eastAsia="仿宋" w:cs="仿宋_GB2312"/>
                <w:b/>
                <w:bCs/>
                <w:sz w:val="24"/>
                <w:highlight w:val="none"/>
                <w:lang w:eastAsia="zh-CN"/>
              </w:rPr>
              <w:t>。（</w:t>
            </w:r>
            <w:r>
              <w:rPr>
                <w:rFonts w:hint="eastAsia" w:ascii="仿宋" w:hAnsi="仿宋" w:eastAsia="仿宋" w:cs="仿宋_GB2312"/>
                <w:b/>
                <w:bCs/>
                <w:sz w:val="24"/>
                <w:highlight w:val="none"/>
                <w:lang w:val="en-US" w:eastAsia="zh-CN"/>
              </w:rPr>
              <w:t>2</w:t>
            </w:r>
            <w:r>
              <w:rPr>
                <w:rFonts w:hint="eastAsia" w:ascii="仿宋" w:hAnsi="仿宋" w:eastAsia="仿宋" w:cs="仿宋_GB2312"/>
                <w:b/>
                <w:bCs/>
                <w:sz w:val="24"/>
                <w:highlight w:val="none"/>
                <w:lang w:eastAsia="zh-CN"/>
              </w:rPr>
              <w:t>）</w:t>
            </w:r>
            <w:r>
              <w:rPr>
                <w:rFonts w:hint="eastAsia" w:ascii="仿宋" w:hAnsi="仿宋" w:eastAsia="仿宋" w:cs="仿宋_GB2312"/>
                <w:b/>
                <w:bCs/>
                <w:sz w:val="24"/>
                <w:highlight w:val="none"/>
              </w:rPr>
              <w:t>体现上述业绩要求的造价咨询合同。（</w:t>
            </w:r>
            <w:r>
              <w:rPr>
                <w:rFonts w:hint="eastAsia" w:ascii="仿宋" w:hAnsi="仿宋" w:eastAsia="仿宋" w:cs="仿宋_GB2312"/>
                <w:b/>
                <w:bCs/>
                <w:sz w:val="24"/>
                <w:highlight w:val="none"/>
                <w:lang w:val="en-US" w:eastAsia="zh-CN"/>
              </w:rPr>
              <w:t>3</w:t>
            </w:r>
            <w:r>
              <w:rPr>
                <w:rFonts w:hint="eastAsia" w:ascii="仿宋" w:hAnsi="仿宋" w:eastAsia="仿宋" w:cs="仿宋_GB2312"/>
                <w:b/>
                <w:bCs/>
                <w:sz w:val="24"/>
                <w:highlight w:val="none"/>
              </w:rPr>
              <w:t>）上述体现业绩的相关材料须提供复印件并加盖单位公章</w:t>
            </w:r>
            <w:r>
              <w:rPr>
                <w:rFonts w:hint="eastAsia" w:ascii="仿宋" w:hAnsi="仿宋" w:eastAsia="仿宋" w:cs="仿宋_GB2312"/>
                <w:b/>
                <w:bCs/>
                <w:sz w:val="24"/>
                <w:highlight w:val="none"/>
                <w:lang w:eastAsia="zh-CN"/>
              </w:rPr>
              <w:t>。（</w:t>
            </w:r>
            <w:r>
              <w:rPr>
                <w:rFonts w:hint="eastAsia" w:ascii="仿宋" w:hAnsi="仿宋" w:eastAsia="仿宋" w:cs="仿宋_GB2312"/>
                <w:b/>
                <w:bCs/>
                <w:sz w:val="24"/>
                <w:highlight w:val="none"/>
                <w:lang w:val="en-US" w:eastAsia="zh-CN"/>
              </w:rPr>
              <w:t>4</w:t>
            </w:r>
            <w:r>
              <w:rPr>
                <w:rFonts w:hint="eastAsia" w:ascii="仿宋" w:hAnsi="仿宋" w:eastAsia="仿宋" w:cs="仿宋_GB2312"/>
                <w:b/>
                <w:bCs/>
                <w:sz w:val="24"/>
                <w:highlight w:val="none"/>
                <w:lang w:eastAsia="zh-CN"/>
              </w:rPr>
              <w:t>）施工单位委托的造价咨询业绩无效</w:t>
            </w:r>
            <w:bookmarkStart w:id="442" w:name="_GoBack"/>
            <w:bookmarkEnd w:id="442"/>
          </w:p>
        </w:tc>
        <w:tc>
          <w:tcPr>
            <w:tcW w:w="744" w:type="dxa"/>
            <w:vAlign w:val="center"/>
          </w:tcPr>
          <w:p w14:paraId="4D2E9D57">
            <w:pPr>
              <w:widowControl/>
              <w:jc w:val="center"/>
              <w:rPr>
                <w:rFonts w:hint="default" w:ascii="仿宋" w:hAnsi="仿宋" w:eastAsia="仿宋" w:cs="仿宋_GB2312"/>
                <w:sz w:val="24"/>
                <w:lang w:val="en-US" w:eastAsia="zh-CN"/>
              </w:rPr>
            </w:pPr>
            <w:r>
              <w:rPr>
                <w:rFonts w:hint="eastAsia" w:ascii="仿宋" w:hAnsi="仿宋" w:eastAsia="仿宋" w:cs="仿宋_GB2312"/>
                <w:sz w:val="24"/>
                <w:lang w:val="en-US" w:eastAsia="zh-CN"/>
              </w:rPr>
              <w:t>7</w:t>
            </w:r>
          </w:p>
        </w:tc>
      </w:tr>
      <w:tr w14:paraId="3616B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864" w:type="dxa"/>
            <w:vMerge w:val="continue"/>
            <w:vAlign w:val="center"/>
          </w:tcPr>
          <w:p w14:paraId="7884BB11">
            <w:pPr>
              <w:widowControl/>
              <w:jc w:val="center"/>
              <w:rPr>
                <w:rFonts w:ascii="仿宋" w:hAnsi="仿宋" w:eastAsia="仿宋" w:cs="仿宋_GB2312"/>
                <w:sz w:val="24"/>
              </w:rPr>
            </w:pPr>
          </w:p>
        </w:tc>
        <w:tc>
          <w:tcPr>
            <w:tcW w:w="1056" w:type="dxa"/>
            <w:vAlign w:val="center"/>
          </w:tcPr>
          <w:p w14:paraId="45031B63">
            <w:pPr>
              <w:widowControl/>
              <w:jc w:val="center"/>
              <w:rPr>
                <w:rFonts w:ascii="仿宋" w:hAnsi="仿宋" w:eastAsia="仿宋" w:cs="仿宋_GB2312"/>
                <w:sz w:val="24"/>
              </w:rPr>
            </w:pPr>
            <w:r>
              <w:rPr>
                <w:rFonts w:hint="eastAsia" w:ascii="仿宋" w:hAnsi="仿宋" w:eastAsia="仿宋" w:cs="仿宋_GB2312"/>
                <w:sz w:val="24"/>
              </w:rPr>
              <w:t>技术</w:t>
            </w:r>
          </w:p>
        </w:tc>
        <w:tc>
          <w:tcPr>
            <w:tcW w:w="6821" w:type="dxa"/>
            <w:vAlign w:val="center"/>
          </w:tcPr>
          <w:p w14:paraId="28092907">
            <w:pPr>
              <w:widowControl/>
              <w:jc w:val="left"/>
              <w:rPr>
                <w:rFonts w:ascii="仿宋" w:hAnsi="仿宋" w:eastAsia="仿宋" w:cs="仿宋_GB2312"/>
                <w:sz w:val="24"/>
                <w:highlight w:val="none"/>
              </w:rPr>
            </w:pPr>
            <w:r>
              <w:rPr>
                <w:rFonts w:hint="eastAsia" w:ascii="仿宋" w:hAnsi="仿宋" w:eastAsia="仿宋" w:cs="仿宋_GB2312"/>
                <w:sz w:val="24"/>
                <w:highlight w:val="none"/>
              </w:rPr>
              <w:t>1、服务方案：对工作内容、工作方案及工作思路把握准确，思路清晰；</w:t>
            </w:r>
          </w:p>
          <w:p w14:paraId="1CF2FDAB">
            <w:pPr>
              <w:pStyle w:val="22"/>
              <w:spacing w:line="240" w:lineRule="auto"/>
              <w:rPr>
                <w:rFonts w:eastAsia="仿宋"/>
                <w:b/>
                <w:bCs/>
                <w:highlight w:val="none"/>
              </w:rPr>
            </w:pPr>
            <w:r>
              <w:rPr>
                <w:rFonts w:hint="eastAsia" w:ascii="仿宋" w:hAnsi="仿宋" w:eastAsia="仿宋" w:cs="仿宋_GB2312"/>
                <w:b/>
                <w:bCs/>
                <w:highlight w:val="none"/>
              </w:rPr>
              <w:t>（</w:t>
            </w:r>
            <w:r>
              <w:rPr>
                <w:rFonts w:hint="eastAsia" w:ascii="仿宋" w:hAnsi="仿宋" w:eastAsia="仿宋" w:cs="仿宋_GB2312"/>
                <w:b/>
                <w:bCs/>
                <w:highlight w:val="none"/>
                <w:lang w:eastAsia="zh-CN"/>
              </w:rPr>
              <w:t>针</w:t>
            </w:r>
            <w:r>
              <w:rPr>
                <w:rFonts w:hint="eastAsia" w:ascii="仿宋" w:hAnsi="仿宋" w:eastAsia="仿宋" w:cs="仿宋_GB2312"/>
                <w:sz w:val="24"/>
                <w:highlight w:val="none"/>
              </w:rPr>
              <w:t>对工作内容、工作方案及工作思路把握准确，思路清晰</w:t>
            </w:r>
            <w:r>
              <w:rPr>
                <w:rFonts w:hint="eastAsia" w:ascii="仿宋" w:hAnsi="仿宋" w:eastAsia="仿宋" w:cs="仿宋_GB2312"/>
                <w:b/>
                <w:bCs/>
                <w:highlight w:val="none"/>
                <w:lang w:val="en-US"/>
              </w:rPr>
              <w:t>好的得</w:t>
            </w:r>
            <w:r>
              <w:rPr>
                <w:rFonts w:hint="eastAsia" w:ascii="仿宋" w:hAnsi="仿宋" w:eastAsia="仿宋" w:cs="仿宋_GB2312"/>
                <w:b/>
                <w:bCs/>
                <w:highlight w:val="none"/>
                <w:lang w:val="en-US" w:eastAsia="zh-CN"/>
              </w:rPr>
              <w:t>3.1</w:t>
            </w:r>
            <w:r>
              <w:rPr>
                <w:rFonts w:hint="eastAsia" w:ascii="仿宋" w:hAnsi="仿宋" w:eastAsia="仿宋" w:cs="仿宋_GB2312"/>
                <w:b/>
                <w:bCs/>
                <w:highlight w:val="none"/>
                <w:lang w:val="en-US"/>
              </w:rPr>
              <w:t>-</w:t>
            </w:r>
            <w:r>
              <w:rPr>
                <w:rFonts w:hint="eastAsia" w:ascii="仿宋" w:hAnsi="仿宋" w:eastAsia="仿宋" w:cs="仿宋_GB2312"/>
                <w:b/>
                <w:bCs/>
                <w:highlight w:val="none"/>
                <w:lang w:val="en-US" w:eastAsia="zh-CN"/>
              </w:rPr>
              <w:t>4</w:t>
            </w:r>
            <w:r>
              <w:rPr>
                <w:rFonts w:hint="eastAsia" w:ascii="仿宋" w:hAnsi="仿宋" w:eastAsia="仿宋" w:cs="仿宋_GB2312"/>
                <w:b/>
                <w:bCs/>
                <w:highlight w:val="none"/>
                <w:lang w:val="en-US"/>
              </w:rPr>
              <w:t>分，</w:t>
            </w:r>
            <w:r>
              <w:rPr>
                <w:rFonts w:hint="eastAsia" w:ascii="仿宋" w:hAnsi="仿宋" w:eastAsia="仿宋" w:cs="仿宋_GB2312"/>
                <w:b/>
                <w:bCs/>
                <w:highlight w:val="none"/>
                <w:lang w:eastAsia="zh-CN"/>
              </w:rPr>
              <w:t>针</w:t>
            </w:r>
            <w:r>
              <w:rPr>
                <w:rFonts w:hint="eastAsia" w:ascii="仿宋" w:hAnsi="仿宋" w:eastAsia="仿宋" w:cs="仿宋_GB2312"/>
                <w:sz w:val="24"/>
                <w:highlight w:val="none"/>
              </w:rPr>
              <w:t>对工作内容、工作方案及工作思路把握准确，思路清晰</w:t>
            </w:r>
            <w:r>
              <w:rPr>
                <w:rFonts w:hint="eastAsia" w:ascii="仿宋" w:hAnsi="仿宋" w:eastAsia="仿宋" w:cs="仿宋_GB2312"/>
                <w:b/>
                <w:bCs/>
                <w:highlight w:val="none"/>
                <w:lang w:val="en-US"/>
              </w:rPr>
              <w:t>一般得</w:t>
            </w:r>
            <w:r>
              <w:rPr>
                <w:rFonts w:hint="eastAsia" w:ascii="仿宋" w:hAnsi="仿宋" w:eastAsia="仿宋" w:cs="仿宋_GB2312"/>
                <w:b/>
                <w:bCs/>
                <w:highlight w:val="none"/>
                <w:lang w:val="en-US" w:eastAsia="zh-CN"/>
              </w:rPr>
              <w:t>2.1</w:t>
            </w:r>
            <w:r>
              <w:rPr>
                <w:rFonts w:hint="eastAsia" w:ascii="仿宋" w:hAnsi="仿宋" w:eastAsia="仿宋" w:cs="仿宋_GB2312"/>
                <w:b/>
                <w:bCs/>
                <w:highlight w:val="none"/>
                <w:lang w:val="en-US"/>
              </w:rPr>
              <w:t>-</w:t>
            </w:r>
            <w:r>
              <w:rPr>
                <w:rFonts w:hint="eastAsia" w:ascii="仿宋" w:hAnsi="仿宋" w:eastAsia="仿宋" w:cs="仿宋_GB2312"/>
                <w:b/>
                <w:bCs/>
                <w:highlight w:val="none"/>
                <w:lang w:val="en-US" w:eastAsia="zh-CN"/>
              </w:rPr>
              <w:t>3.0</w:t>
            </w:r>
            <w:r>
              <w:rPr>
                <w:rFonts w:hint="eastAsia" w:ascii="仿宋" w:hAnsi="仿宋" w:eastAsia="仿宋" w:cs="仿宋_GB2312"/>
                <w:b/>
                <w:bCs/>
                <w:highlight w:val="none"/>
                <w:lang w:val="en-US"/>
              </w:rPr>
              <w:t>分，</w:t>
            </w:r>
            <w:r>
              <w:rPr>
                <w:rFonts w:hint="eastAsia" w:ascii="仿宋" w:hAnsi="仿宋" w:eastAsia="仿宋" w:cs="仿宋_GB2312"/>
                <w:b/>
                <w:bCs/>
                <w:highlight w:val="none"/>
                <w:lang w:eastAsia="zh-CN"/>
              </w:rPr>
              <w:t>针</w:t>
            </w:r>
            <w:r>
              <w:rPr>
                <w:rFonts w:hint="eastAsia" w:ascii="仿宋" w:hAnsi="仿宋" w:eastAsia="仿宋" w:cs="仿宋_GB2312"/>
                <w:sz w:val="24"/>
                <w:highlight w:val="none"/>
              </w:rPr>
              <w:t>对工作内容、工作方案及工作思路把握准确，思路清晰</w:t>
            </w:r>
            <w:r>
              <w:rPr>
                <w:rFonts w:hint="eastAsia" w:ascii="仿宋" w:hAnsi="仿宋" w:eastAsia="仿宋" w:cs="仿宋_GB2312"/>
                <w:b/>
                <w:bCs/>
                <w:highlight w:val="none"/>
                <w:lang w:val="en-US"/>
              </w:rPr>
              <w:t>差的得</w:t>
            </w:r>
            <w:r>
              <w:rPr>
                <w:rFonts w:hint="eastAsia" w:ascii="仿宋" w:hAnsi="仿宋" w:eastAsia="仿宋" w:cs="仿宋_GB2312"/>
                <w:b/>
                <w:bCs/>
                <w:highlight w:val="none"/>
                <w:lang w:val="en-US" w:eastAsia="zh-CN"/>
              </w:rPr>
              <w:t>0.1</w:t>
            </w:r>
            <w:r>
              <w:rPr>
                <w:rFonts w:hint="eastAsia" w:ascii="仿宋" w:hAnsi="仿宋" w:eastAsia="仿宋" w:cs="仿宋_GB2312"/>
                <w:b/>
                <w:bCs/>
                <w:highlight w:val="none"/>
                <w:lang w:val="en-US"/>
              </w:rPr>
              <w:t>-</w:t>
            </w:r>
            <w:r>
              <w:rPr>
                <w:rFonts w:hint="eastAsia" w:ascii="仿宋" w:hAnsi="仿宋" w:eastAsia="仿宋" w:cs="仿宋_GB2312"/>
                <w:b/>
                <w:bCs/>
                <w:highlight w:val="none"/>
                <w:lang w:val="en-US" w:eastAsia="zh-CN"/>
              </w:rPr>
              <w:t>2.0</w:t>
            </w:r>
            <w:r>
              <w:rPr>
                <w:rFonts w:hint="eastAsia" w:ascii="仿宋" w:hAnsi="仿宋" w:eastAsia="仿宋" w:cs="仿宋_GB2312"/>
                <w:b/>
                <w:bCs/>
                <w:highlight w:val="none"/>
                <w:lang w:val="en-US"/>
              </w:rPr>
              <w:t>分，不提供不得分）</w:t>
            </w:r>
          </w:p>
          <w:p w14:paraId="07F85F1B">
            <w:pPr>
              <w:widowControl/>
              <w:jc w:val="left"/>
              <w:rPr>
                <w:rFonts w:ascii="仿宋" w:hAnsi="仿宋" w:eastAsia="仿宋" w:cs="仿宋_GB2312"/>
                <w:sz w:val="24"/>
                <w:highlight w:val="none"/>
              </w:rPr>
            </w:pPr>
            <w:r>
              <w:rPr>
                <w:rFonts w:hint="eastAsia" w:ascii="仿宋" w:hAnsi="仿宋" w:eastAsia="仿宋" w:cs="仿宋_GB2312"/>
                <w:sz w:val="24"/>
                <w:highlight w:val="none"/>
              </w:rPr>
              <w:t>2、针对</w:t>
            </w:r>
            <w:r>
              <w:rPr>
                <w:rFonts w:hint="eastAsia" w:ascii="仿宋" w:hAnsi="仿宋" w:eastAsia="仿宋" w:cs="仿宋_GB2312"/>
                <w:sz w:val="24"/>
                <w:highlight w:val="none"/>
                <w:lang w:val="en-US" w:eastAsia="zh-CN"/>
              </w:rPr>
              <w:t>本项目招标代理及标底审核</w:t>
            </w:r>
            <w:r>
              <w:rPr>
                <w:rFonts w:hint="eastAsia" w:ascii="仿宋" w:hAnsi="仿宋" w:eastAsia="仿宋" w:cs="仿宋_GB2312"/>
                <w:sz w:val="24"/>
                <w:highlight w:val="none"/>
              </w:rPr>
              <w:t>质量保证措施：重难点质量保证制度、人员配备、服务和配合工作措施、时间和进度安排等相关内容；</w:t>
            </w:r>
          </w:p>
          <w:p w14:paraId="26842735">
            <w:pPr>
              <w:pStyle w:val="22"/>
              <w:spacing w:line="240" w:lineRule="auto"/>
              <w:rPr>
                <w:rFonts w:eastAsia="仿宋"/>
                <w:b/>
                <w:bCs/>
                <w:highlight w:val="none"/>
              </w:rPr>
            </w:pPr>
            <w:r>
              <w:rPr>
                <w:rFonts w:hint="eastAsia" w:ascii="仿宋" w:hAnsi="仿宋" w:eastAsia="仿宋" w:cs="仿宋_GB2312"/>
                <w:b/>
                <w:bCs/>
                <w:highlight w:val="none"/>
              </w:rPr>
              <w:t>（</w:t>
            </w:r>
            <w:r>
              <w:rPr>
                <w:rFonts w:hint="eastAsia" w:ascii="仿宋" w:hAnsi="仿宋" w:eastAsia="仿宋" w:cs="仿宋_GB2312"/>
                <w:b/>
                <w:bCs/>
                <w:highlight w:val="none"/>
                <w:lang w:eastAsia="zh-CN"/>
              </w:rPr>
              <w:t>针对</w:t>
            </w:r>
            <w:r>
              <w:rPr>
                <w:rFonts w:hint="eastAsia" w:ascii="仿宋" w:hAnsi="仿宋" w:eastAsia="仿宋" w:cs="仿宋_GB2312"/>
                <w:sz w:val="24"/>
                <w:highlight w:val="none"/>
              </w:rPr>
              <w:t>重难点质量保证制度、人员配备、服务和配合工作措施、时间和进度安排等相关内容</w:t>
            </w:r>
            <w:r>
              <w:rPr>
                <w:rFonts w:hint="eastAsia" w:ascii="仿宋" w:hAnsi="仿宋" w:eastAsia="仿宋" w:cs="仿宋_GB2312"/>
                <w:b/>
                <w:bCs/>
                <w:highlight w:val="none"/>
                <w:lang w:val="en-US"/>
              </w:rPr>
              <w:t>好的得</w:t>
            </w:r>
            <w:r>
              <w:rPr>
                <w:rFonts w:hint="eastAsia" w:ascii="仿宋" w:hAnsi="仿宋" w:eastAsia="仿宋" w:cs="仿宋_GB2312"/>
                <w:b/>
                <w:bCs/>
                <w:highlight w:val="none"/>
                <w:lang w:val="en-US" w:eastAsia="zh-CN"/>
              </w:rPr>
              <w:t>3.1-4</w:t>
            </w:r>
            <w:r>
              <w:rPr>
                <w:rFonts w:hint="eastAsia" w:ascii="仿宋" w:hAnsi="仿宋" w:eastAsia="仿宋" w:cs="仿宋_GB2312"/>
                <w:b/>
                <w:bCs/>
                <w:highlight w:val="none"/>
                <w:lang w:val="en-US"/>
              </w:rPr>
              <w:t>分，</w:t>
            </w:r>
            <w:r>
              <w:rPr>
                <w:rFonts w:hint="eastAsia" w:ascii="仿宋" w:hAnsi="仿宋" w:eastAsia="仿宋" w:cs="仿宋_GB2312"/>
                <w:b/>
                <w:bCs/>
                <w:highlight w:val="none"/>
                <w:lang w:eastAsia="zh-CN"/>
              </w:rPr>
              <w:t>针对</w:t>
            </w:r>
            <w:r>
              <w:rPr>
                <w:rFonts w:hint="eastAsia" w:ascii="仿宋" w:hAnsi="仿宋" w:eastAsia="仿宋" w:cs="仿宋_GB2312"/>
                <w:sz w:val="24"/>
                <w:highlight w:val="none"/>
              </w:rPr>
              <w:t>重难点质量保证制度、人员配备、服务和配合工作措施、时间和进度安排等相关内容</w:t>
            </w:r>
            <w:r>
              <w:rPr>
                <w:rFonts w:hint="eastAsia" w:ascii="仿宋" w:hAnsi="仿宋" w:eastAsia="仿宋" w:cs="仿宋_GB2312"/>
                <w:b/>
                <w:bCs/>
                <w:highlight w:val="none"/>
                <w:lang w:val="en-US"/>
              </w:rPr>
              <w:t>一般得</w:t>
            </w:r>
            <w:r>
              <w:rPr>
                <w:rFonts w:hint="eastAsia" w:ascii="仿宋" w:hAnsi="仿宋" w:eastAsia="仿宋" w:cs="仿宋_GB2312"/>
                <w:b/>
                <w:bCs/>
                <w:highlight w:val="none"/>
                <w:lang w:val="en-US" w:eastAsia="zh-CN"/>
              </w:rPr>
              <w:t>2.1-3.0</w:t>
            </w:r>
            <w:r>
              <w:rPr>
                <w:rFonts w:hint="eastAsia" w:ascii="仿宋" w:hAnsi="仿宋" w:eastAsia="仿宋" w:cs="仿宋_GB2312"/>
                <w:b/>
                <w:bCs/>
                <w:highlight w:val="none"/>
                <w:lang w:val="en-US"/>
              </w:rPr>
              <w:t>分，</w:t>
            </w:r>
            <w:r>
              <w:rPr>
                <w:rFonts w:hint="eastAsia" w:ascii="仿宋" w:hAnsi="仿宋" w:eastAsia="仿宋" w:cs="仿宋_GB2312"/>
                <w:b/>
                <w:bCs/>
                <w:highlight w:val="none"/>
                <w:lang w:eastAsia="zh-CN"/>
              </w:rPr>
              <w:t>针对</w:t>
            </w:r>
            <w:r>
              <w:rPr>
                <w:rFonts w:hint="eastAsia" w:ascii="仿宋" w:hAnsi="仿宋" w:eastAsia="仿宋" w:cs="仿宋_GB2312"/>
                <w:sz w:val="24"/>
                <w:highlight w:val="none"/>
              </w:rPr>
              <w:t>重难点质量保证制度、人员配备、服务和配合工作措施、时间和进度安排等相关内容</w:t>
            </w:r>
            <w:r>
              <w:rPr>
                <w:rFonts w:hint="eastAsia" w:ascii="仿宋" w:hAnsi="仿宋" w:eastAsia="仿宋" w:cs="仿宋_GB2312"/>
                <w:b/>
                <w:bCs/>
                <w:highlight w:val="none"/>
                <w:lang w:val="en-US"/>
              </w:rPr>
              <w:t>差的得</w:t>
            </w:r>
            <w:r>
              <w:rPr>
                <w:rFonts w:hint="eastAsia" w:ascii="仿宋" w:hAnsi="仿宋" w:eastAsia="仿宋" w:cs="仿宋_GB2312"/>
                <w:b/>
                <w:bCs/>
                <w:highlight w:val="none"/>
                <w:lang w:val="en-US" w:eastAsia="zh-CN"/>
              </w:rPr>
              <w:t>0.1-2</w:t>
            </w:r>
            <w:r>
              <w:rPr>
                <w:rFonts w:hint="eastAsia" w:ascii="仿宋" w:hAnsi="仿宋" w:eastAsia="仿宋" w:cs="仿宋_GB2312"/>
                <w:b/>
                <w:bCs/>
                <w:highlight w:val="none"/>
                <w:lang w:val="en-US"/>
              </w:rPr>
              <w:t>分，不提供不得分）</w:t>
            </w:r>
          </w:p>
          <w:p w14:paraId="6C59EEE2">
            <w:pPr>
              <w:widowControl/>
              <w:jc w:val="left"/>
              <w:rPr>
                <w:rFonts w:ascii="仿宋" w:hAnsi="仿宋" w:eastAsia="仿宋" w:cs="仿宋_GB2312"/>
                <w:sz w:val="24"/>
                <w:highlight w:val="none"/>
              </w:rPr>
            </w:pPr>
            <w:r>
              <w:rPr>
                <w:rFonts w:hint="eastAsia" w:ascii="仿宋" w:hAnsi="仿宋" w:eastAsia="仿宋" w:cs="仿宋_GB2312"/>
                <w:sz w:val="24"/>
                <w:highlight w:val="none"/>
              </w:rPr>
              <w:t>3、合理化建议：根据投标单位为做好本项目工程</w:t>
            </w:r>
            <w:r>
              <w:rPr>
                <w:rFonts w:hint="eastAsia" w:ascii="仿宋" w:hAnsi="仿宋" w:eastAsia="仿宋" w:cs="仿宋_GB2312"/>
                <w:sz w:val="24"/>
                <w:highlight w:val="none"/>
                <w:lang w:val="en-US" w:eastAsia="zh-CN"/>
              </w:rPr>
              <w:t>标底审核</w:t>
            </w:r>
            <w:r>
              <w:rPr>
                <w:rFonts w:hint="eastAsia" w:ascii="仿宋" w:hAnsi="仿宋" w:eastAsia="仿宋" w:cs="仿宋_GB2312"/>
                <w:sz w:val="24"/>
                <w:highlight w:val="none"/>
              </w:rPr>
              <w:t>、招标代理服务项目提出的合理化建议；</w:t>
            </w:r>
          </w:p>
          <w:p w14:paraId="112BB6BF">
            <w:pPr>
              <w:pStyle w:val="22"/>
              <w:spacing w:line="240" w:lineRule="auto"/>
              <w:rPr>
                <w:rFonts w:ascii="仿宋" w:hAnsi="仿宋" w:eastAsia="仿宋" w:cs="仿宋_GB2312"/>
              </w:rPr>
            </w:pPr>
            <w:r>
              <w:rPr>
                <w:rFonts w:hint="eastAsia" w:ascii="仿宋" w:hAnsi="仿宋" w:eastAsia="仿宋" w:cs="仿宋_GB2312"/>
                <w:b/>
                <w:bCs/>
                <w:lang w:val="en-US"/>
              </w:rPr>
              <w:t>好的得</w:t>
            </w:r>
            <w:r>
              <w:rPr>
                <w:rFonts w:hint="eastAsia" w:ascii="仿宋" w:hAnsi="仿宋" w:eastAsia="仿宋" w:cs="仿宋_GB2312"/>
                <w:b/>
                <w:bCs/>
                <w:lang w:val="en-US" w:eastAsia="zh-CN"/>
              </w:rPr>
              <w:t>2.1</w:t>
            </w:r>
            <w:r>
              <w:rPr>
                <w:rFonts w:hint="eastAsia" w:ascii="仿宋" w:hAnsi="仿宋" w:eastAsia="仿宋" w:cs="仿宋_GB2312"/>
                <w:b/>
                <w:bCs/>
                <w:lang w:val="en-US"/>
              </w:rPr>
              <w:t>-</w:t>
            </w:r>
            <w:r>
              <w:rPr>
                <w:rFonts w:hint="eastAsia" w:ascii="仿宋" w:hAnsi="仿宋" w:eastAsia="仿宋" w:cs="仿宋_GB2312"/>
                <w:b/>
                <w:bCs/>
                <w:lang w:val="en-US" w:eastAsia="zh-CN"/>
              </w:rPr>
              <w:t>3</w:t>
            </w:r>
            <w:r>
              <w:rPr>
                <w:rFonts w:hint="eastAsia" w:ascii="仿宋" w:hAnsi="仿宋" w:eastAsia="仿宋" w:cs="仿宋_GB2312"/>
                <w:b/>
                <w:bCs/>
                <w:lang w:val="en-US"/>
              </w:rPr>
              <w:t>分，一般得</w:t>
            </w:r>
            <w:r>
              <w:rPr>
                <w:rFonts w:hint="eastAsia" w:ascii="仿宋" w:hAnsi="仿宋" w:eastAsia="仿宋" w:cs="仿宋_GB2312"/>
                <w:b/>
                <w:bCs/>
                <w:lang w:val="en-US" w:eastAsia="zh-CN"/>
              </w:rPr>
              <w:t>1.1</w:t>
            </w:r>
            <w:r>
              <w:rPr>
                <w:rFonts w:hint="eastAsia" w:ascii="仿宋" w:hAnsi="仿宋" w:eastAsia="仿宋" w:cs="仿宋_GB2312"/>
                <w:b/>
                <w:bCs/>
                <w:lang w:val="en-US"/>
              </w:rPr>
              <w:t>-</w:t>
            </w:r>
            <w:r>
              <w:rPr>
                <w:rFonts w:hint="eastAsia" w:ascii="仿宋" w:hAnsi="仿宋" w:eastAsia="仿宋" w:cs="仿宋_GB2312"/>
                <w:b/>
                <w:bCs/>
                <w:lang w:val="en-US" w:eastAsia="zh-CN"/>
              </w:rPr>
              <w:t>2.0</w:t>
            </w:r>
            <w:r>
              <w:rPr>
                <w:rFonts w:hint="eastAsia" w:ascii="仿宋" w:hAnsi="仿宋" w:eastAsia="仿宋" w:cs="仿宋_GB2312"/>
                <w:b/>
                <w:bCs/>
                <w:lang w:val="en-US"/>
              </w:rPr>
              <w:t>分，差的得</w:t>
            </w:r>
            <w:r>
              <w:rPr>
                <w:rFonts w:hint="eastAsia" w:ascii="仿宋" w:hAnsi="仿宋" w:eastAsia="仿宋" w:cs="仿宋_GB2312"/>
                <w:b/>
                <w:bCs/>
                <w:lang w:val="en-US" w:eastAsia="zh-CN"/>
              </w:rPr>
              <w:t>0.1</w:t>
            </w:r>
            <w:r>
              <w:rPr>
                <w:rFonts w:hint="eastAsia" w:ascii="仿宋" w:hAnsi="仿宋" w:eastAsia="仿宋" w:cs="仿宋_GB2312"/>
                <w:b/>
                <w:bCs/>
                <w:lang w:val="en-US"/>
              </w:rPr>
              <w:t>-</w:t>
            </w:r>
            <w:r>
              <w:rPr>
                <w:rFonts w:hint="eastAsia" w:ascii="仿宋" w:hAnsi="仿宋" w:eastAsia="仿宋" w:cs="仿宋_GB2312"/>
                <w:b/>
                <w:bCs/>
                <w:lang w:val="en-US" w:eastAsia="zh-CN"/>
              </w:rPr>
              <w:t>1.0</w:t>
            </w:r>
            <w:r>
              <w:rPr>
                <w:rFonts w:hint="eastAsia" w:ascii="仿宋" w:hAnsi="仿宋" w:eastAsia="仿宋" w:cs="仿宋_GB2312"/>
                <w:b/>
                <w:bCs/>
                <w:lang w:val="en-US"/>
              </w:rPr>
              <w:t>分，不提供不得分）</w:t>
            </w:r>
          </w:p>
        </w:tc>
        <w:tc>
          <w:tcPr>
            <w:tcW w:w="744" w:type="dxa"/>
            <w:vAlign w:val="center"/>
          </w:tcPr>
          <w:p w14:paraId="3539C0A8">
            <w:pPr>
              <w:widowControl/>
              <w:jc w:val="center"/>
              <w:rPr>
                <w:rFonts w:hint="default" w:ascii="仿宋" w:hAnsi="仿宋" w:eastAsia="仿宋" w:cs="仿宋_GB2312"/>
                <w:sz w:val="24"/>
                <w:lang w:val="en-US" w:eastAsia="zh-CN"/>
              </w:rPr>
            </w:pPr>
            <w:r>
              <w:rPr>
                <w:rFonts w:hint="eastAsia" w:ascii="仿宋" w:hAnsi="仿宋" w:eastAsia="仿宋" w:cs="仿宋_GB2312"/>
                <w:sz w:val="24"/>
                <w:highlight w:val="none"/>
                <w:lang w:val="en-US" w:eastAsia="zh-CN"/>
              </w:rPr>
              <w:t>11</w:t>
            </w:r>
          </w:p>
        </w:tc>
      </w:tr>
      <w:tr w14:paraId="4C9F8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864" w:type="dxa"/>
            <w:vAlign w:val="center"/>
          </w:tcPr>
          <w:p w14:paraId="3A47CDEC">
            <w:pPr>
              <w:widowControl/>
              <w:jc w:val="center"/>
              <w:rPr>
                <w:rFonts w:ascii="仿宋" w:hAnsi="仿宋" w:eastAsia="仿宋" w:cs="仿宋_GB2312"/>
                <w:sz w:val="24"/>
              </w:rPr>
            </w:pPr>
          </w:p>
        </w:tc>
        <w:tc>
          <w:tcPr>
            <w:tcW w:w="1056" w:type="dxa"/>
            <w:vAlign w:val="center"/>
          </w:tcPr>
          <w:p w14:paraId="5E620C1E">
            <w:pPr>
              <w:widowControl/>
              <w:kinsoku w:val="0"/>
              <w:autoSpaceDE w:val="0"/>
              <w:autoSpaceDN w:val="0"/>
              <w:adjustRightInd/>
              <w:snapToGrid w:val="0"/>
              <w:spacing w:line="340" w:lineRule="exact"/>
              <w:jc w:val="center"/>
              <w:textAlignment w:val="baseline"/>
              <w:rPr>
                <w:rFonts w:hint="eastAsia" w:ascii="仿宋" w:hAnsi="仿宋" w:eastAsia="仿宋" w:cs="仿宋_GB2312"/>
                <w:sz w:val="24"/>
              </w:rPr>
            </w:pPr>
            <w:r>
              <w:rPr>
                <w:rFonts w:hint="eastAsia" w:ascii="仿宋" w:hAnsi="仿宋" w:eastAsia="仿宋" w:cs="宋体"/>
                <w:sz w:val="24"/>
                <w:lang w:val="zh-CN"/>
              </w:rPr>
              <w:t>业务能力</w:t>
            </w:r>
          </w:p>
        </w:tc>
        <w:tc>
          <w:tcPr>
            <w:tcW w:w="6821" w:type="dxa"/>
            <w:vAlign w:val="center"/>
          </w:tcPr>
          <w:p w14:paraId="5F74679F">
            <w:pPr>
              <w:widowControl/>
              <w:kinsoku w:val="0"/>
              <w:autoSpaceDE w:val="0"/>
              <w:autoSpaceDN w:val="0"/>
              <w:adjustRightInd/>
              <w:snapToGrid w:val="0"/>
              <w:spacing w:line="340" w:lineRule="exact"/>
              <w:textAlignment w:val="baseline"/>
              <w:rPr>
                <w:rFonts w:hint="eastAsia" w:ascii="仿宋" w:hAnsi="仿宋" w:eastAsia="仿宋" w:cs="仿宋_GB2312"/>
                <w:b/>
                <w:bCs/>
                <w:highlight w:val="yellow"/>
              </w:rPr>
            </w:pPr>
            <w:r>
              <w:rPr>
                <w:rFonts w:hint="eastAsia" w:ascii="仿宋" w:hAnsi="仿宋" w:eastAsia="仿宋" w:cs="宋体"/>
                <w:sz w:val="24"/>
              </w:rPr>
              <w:t>根据投标人提供的业务能力优势，如招标代理操作人员对项目所在地交易平台的培训及熟练掌握程度、对项目所在地财政部门标底</w:t>
            </w:r>
            <w:r>
              <w:rPr>
                <w:rFonts w:hint="eastAsia" w:ascii="仿宋" w:hAnsi="仿宋" w:eastAsia="仿宋" w:cs="宋体"/>
                <w:sz w:val="24"/>
                <w:highlight w:val="none"/>
                <w:lang w:eastAsia="zh-CN"/>
              </w:rPr>
              <w:t>审核</w:t>
            </w:r>
            <w:r>
              <w:rPr>
                <w:rFonts w:hint="eastAsia" w:ascii="仿宋" w:hAnsi="仿宋" w:eastAsia="仿宋" w:cs="宋体"/>
                <w:sz w:val="24"/>
              </w:rPr>
              <w:t>口径的熟悉程度及类似项目经验，由评委进行评审</w:t>
            </w:r>
            <w:r>
              <w:rPr>
                <w:rFonts w:hint="eastAsia" w:ascii="仿宋" w:hAnsi="仿宋" w:eastAsia="仿宋" w:cs="仿宋_GB2312"/>
                <w:sz w:val="24"/>
                <w:highlight w:val="none"/>
                <w:lang w:val="en-US" w:eastAsia="zh-CN"/>
              </w:rPr>
              <w:t>。能熟练开展交易平台业务的、审标经验丰富得2.1-3.0分，比较能熟练开展交易平台业务的、审标较丰富的得1.1-2.0分，基本能开展交易平台业务的、审标欠丰富的得0.1-1.0分，不提供不得分</w:t>
            </w:r>
            <w:r>
              <w:rPr>
                <w:rFonts w:hint="eastAsia" w:ascii="仿宋" w:hAnsi="仿宋" w:eastAsia="仿宋" w:cs="宋体"/>
                <w:sz w:val="24"/>
              </w:rPr>
              <w:t>。</w:t>
            </w:r>
          </w:p>
        </w:tc>
        <w:tc>
          <w:tcPr>
            <w:tcW w:w="744" w:type="dxa"/>
            <w:vAlign w:val="center"/>
          </w:tcPr>
          <w:p w14:paraId="61D1BE0F">
            <w:pPr>
              <w:widowControl/>
              <w:jc w:val="center"/>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3</w:t>
            </w:r>
          </w:p>
        </w:tc>
      </w:tr>
    </w:tbl>
    <w:p w14:paraId="72A874B3">
      <w:pPr>
        <w:snapToGrid w:val="0"/>
        <w:spacing w:before="50" w:afterLines="50"/>
        <w:rPr>
          <w:rFonts w:ascii="仿宋" w:hAnsi="仿宋" w:eastAsia="仿宋"/>
          <w:b/>
          <w:bCs/>
          <w:spacing w:val="6"/>
          <w:sz w:val="32"/>
          <w:szCs w:val="32"/>
        </w:rPr>
      </w:pPr>
      <w:r>
        <w:rPr>
          <w:rFonts w:ascii="仿宋" w:hAnsi="仿宋" w:eastAsia="仿宋" w:cs="仿宋_GB2312"/>
          <w:b/>
          <w:bCs/>
          <w:sz w:val="32"/>
          <w:szCs w:val="32"/>
        </w:rPr>
        <w:br w:type="page"/>
      </w:r>
      <w:r>
        <w:rPr>
          <w:rFonts w:hint="eastAsia" w:ascii="仿宋" w:hAnsi="仿宋" w:eastAsia="仿宋"/>
          <w:b/>
          <w:bCs/>
          <w:spacing w:val="6"/>
          <w:sz w:val="32"/>
          <w:szCs w:val="32"/>
        </w:rPr>
        <w:t>二、商务响应表</w:t>
      </w:r>
    </w:p>
    <w:p w14:paraId="43FC2218">
      <w:pPr>
        <w:rPr>
          <w:rFonts w:ascii="Arial" w:hAnsi="Arial" w:eastAsia="黑体" w:cs="Arial"/>
          <w:snapToGrid w:val="0"/>
          <w:kern w:val="0"/>
          <w:szCs w:val="21"/>
        </w:rPr>
      </w:pPr>
    </w:p>
    <w:tbl>
      <w:tblPr>
        <w:tblStyle w:val="60"/>
        <w:tblW w:w="907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37"/>
        <w:gridCol w:w="3299"/>
        <w:gridCol w:w="3261"/>
        <w:gridCol w:w="1275"/>
      </w:tblGrid>
      <w:tr w14:paraId="3044DE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237" w:type="dxa"/>
            <w:tcBorders>
              <w:top w:val="single" w:color="auto" w:sz="4" w:space="0"/>
              <w:left w:val="single" w:color="auto" w:sz="4" w:space="0"/>
              <w:bottom w:val="single" w:color="auto" w:sz="4" w:space="0"/>
              <w:right w:val="single" w:color="auto" w:sz="4" w:space="0"/>
            </w:tcBorders>
            <w:vAlign w:val="center"/>
          </w:tcPr>
          <w:p w14:paraId="778991A4">
            <w:pPr>
              <w:snapToGrid w:val="0"/>
              <w:spacing w:before="50" w:after="50"/>
              <w:jc w:val="center"/>
              <w:rPr>
                <w:rFonts w:ascii="仿宋" w:hAnsi="仿宋" w:eastAsia="仿宋"/>
                <w:sz w:val="24"/>
              </w:rPr>
            </w:pPr>
            <w:bookmarkStart w:id="432" w:name="_Toc64369815"/>
            <w:r>
              <w:rPr>
                <w:rFonts w:hint="eastAsia" w:ascii="仿宋" w:hAnsi="仿宋" w:eastAsia="仿宋"/>
                <w:sz w:val="24"/>
              </w:rPr>
              <w:t>类别</w:t>
            </w:r>
            <w:bookmarkEnd w:id="432"/>
          </w:p>
        </w:tc>
        <w:tc>
          <w:tcPr>
            <w:tcW w:w="3299" w:type="dxa"/>
            <w:tcBorders>
              <w:top w:val="single" w:color="auto" w:sz="4" w:space="0"/>
              <w:left w:val="single" w:color="auto" w:sz="4" w:space="0"/>
              <w:bottom w:val="single" w:color="auto" w:sz="4" w:space="0"/>
              <w:right w:val="single" w:color="auto" w:sz="4" w:space="0"/>
            </w:tcBorders>
            <w:vAlign w:val="center"/>
          </w:tcPr>
          <w:p w14:paraId="61253B0C">
            <w:pPr>
              <w:snapToGrid w:val="0"/>
              <w:spacing w:beforeLines="50" w:after="50"/>
              <w:jc w:val="center"/>
              <w:rPr>
                <w:rFonts w:ascii="仿宋" w:hAnsi="仿宋" w:eastAsia="仿宋"/>
                <w:sz w:val="24"/>
              </w:rPr>
            </w:pPr>
            <w:bookmarkStart w:id="433" w:name="_Toc64369816"/>
            <w:r>
              <w:rPr>
                <w:rFonts w:hint="eastAsia" w:ascii="仿宋" w:hAnsi="仿宋" w:eastAsia="仿宋"/>
                <w:sz w:val="24"/>
              </w:rPr>
              <w:t>采购文件要求</w:t>
            </w:r>
            <w:bookmarkEnd w:id="433"/>
          </w:p>
        </w:tc>
        <w:tc>
          <w:tcPr>
            <w:tcW w:w="3261" w:type="dxa"/>
            <w:tcBorders>
              <w:top w:val="single" w:color="auto" w:sz="4" w:space="0"/>
              <w:left w:val="single" w:color="auto" w:sz="4" w:space="0"/>
              <w:bottom w:val="single" w:color="auto" w:sz="4" w:space="0"/>
              <w:right w:val="single" w:color="auto" w:sz="4" w:space="0"/>
            </w:tcBorders>
            <w:vAlign w:val="center"/>
          </w:tcPr>
          <w:p w14:paraId="5FB81718">
            <w:pPr>
              <w:snapToGrid w:val="0"/>
              <w:spacing w:beforeLines="50" w:after="50"/>
              <w:jc w:val="center"/>
              <w:rPr>
                <w:rFonts w:ascii="仿宋" w:hAnsi="仿宋" w:eastAsia="仿宋"/>
                <w:sz w:val="24"/>
              </w:rPr>
            </w:pPr>
            <w:bookmarkStart w:id="434" w:name="_Toc64369817"/>
            <w:r>
              <w:rPr>
                <w:rFonts w:hint="eastAsia" w:ascii="仿宋" w:hAnsi="仿宋" w:eastAsia="仿宋"/>
                <w:sz w:val="24"/>
              </w:rPr>
              <w:t>投标文件响应</w:t>
            </w:r>
            <w:bookmarkEnd w:id="434"/>
          </w:p>
        </w:tc>
        <w:tc>
          <w:tcPr>
            <w:tcW w:w="1275" w:type="dxa"/>
            <w:tcBorders>
              <w:top w:val="single" w:color="auto" w:sz="4" w:space="0"/>
              <w:left w:val="single" w:color="auto" w:sz="4" w:space="0"/>
              <w:bottom w:val="single" w:color="auto" w:sz="4" w:space="0"/>
              <w:right w:val="single" w:color="auto" w:sz="4" w:space="0"/>
            </w:tcBorders>
            <w:vAlign w:val="center"/>
          </w:tcPr>
          <w:p w14:paraId="08A0EA01">
            <w:pPr>
              <w:snapToGrid w:val="0"/>
              <w:spacing w:beforeLines="50" w:after="50"/>
              <w:jc w:val="center"/>
              <w:rPr>
                <w:rFonts w:ascii="仿宋" w:hAnsi="仿宋" w:eastAsia="仿宋"/>
                <w:sz w:val="24"/>
              </w:rPr>
            </w:pPr>
            <w:bookmarkStart w:id="435" w:name="_Toc64369818"/>
            <w:r>
              <w:rPr>
                <w:rFonts w:hint="eastAsia" w:ascii="仿宋" w:hAnsi="仿宋" w:eastAsia="仿宋"/>
                <w:sz w:val="24"/>
              </w:rPr>
              <w:t>偏离情况</w:t>
            </w:r>
            <w:bookmarkEnd w:id="435"/>
          </w:p>
        </w:tc>
      </w:tr>
      <w:tr w14:paraId="7B3953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237" w:type="dxa"/>
            <w:tcBorders>
              <w:top w:val="single" w:color="auto" w:sz="4" w:space="0"/>
              <w:left w:val="single" w:color="auto" w:sz="4" w:space="0"/>
              <w:bottom w:val="single" w:color="auto" w:sz="4" w:space="0"/>
              <w:right w:val="single" w:color="auto" w:sz="4" w:space="0"/>
            </w:tcBorders>
            <w:vAlign w:val="center"/>
          </w:tcPr>
          <w:p w14:paraId="65C3675F">
            <w:pPr>
              <w:pStyle w:val="31"/>
              <w:snapToGrid w:val="0"/>
              <w:spacing w:before="120" w:after="120"/>
              <w:jc w:val="center"/>
              <w:outlineLvl w:val="0"/>
              <w:rPr>
                <w:rFonts w:ascii="仿宋" w:hAnsi="仿宋" w:eastAsia="仿宋" w:cs="Times New Roman"/>
                <w:snapToGrid/>
                <w:sz w:val="24"/>
                <w:szCs w:val="24"/>
              </w:rPr>
            </w:pPr>
          </w:p>
        </w:tc>
        <w:tc>
          <w:tcPr>
            <w:tcW w:w="3299" w:type="dxa"/>
            <w:tcBorders>
              <w:top w:val="single" w:color="auto" w:sz="4" w:space="0"/>
              <w:left w:val="single" w:color="auto" w:sz="4" w:space="0"/>
              <w:bottom w:val="single" w:color="auto" w:sz="4" w:space="0"/>
              <w:right w:val="single" w:color="auto" w:sz="4" w:space="0"/>
            </w:tcBorders>
            <w:vAlign w:val="center"/>
          </w:tcPr>
          <w:p w14:paraId="2D89C7DA">
            <w:pPr>
              <w:pStyle w:val="31"/>
              <w:snapToGrid w:val="0"/>
              <w:spacing w:before="120" w:after="120"/>
              <w:jc w:val="center"/>
              <w:outlineLvl w:val="0"/>
              <w:rPr>
                <w:rFonts w:ascii="仿宋" w:hAnsi="仿宋" w:eastAsia="仿宋" w:cs="Times New Roman"/>
                <w:snapToGrid/>
                <w:sz w:val="24"/>
                <w:szCs w:val="24"/>
              </w:rPr>
            </w:pPr>
          </w:p>
        </w:tc>
        <w:tc>
          <w:tcPr>
            <w:tcW w:w="3261" w:type="dxa"/>
            <w:tcBorders>
              <w:top w:val="single" w:color="auto" w:sz="4" w:space="0"/>
              <w:left w:val="single" w:color="auto" w:sz="4" w:space="0"/>
              <w:bottom w:val="single" w:color="auto" w:sz="4" w:space="0"/>
              <w:right w:val="single" w:color="auto" w:sz="4" w:space="0"/>
            </w:tcBorders>
          </w:tcPr>
          <w:p w14:paraId="628419A1">
            <w:pPr>
              <w:pStyle w:val="31"/>
              <w:snapToGrid w:val="0"/>
              <w:spacing w:before="120" w:after="120"/>
              <w:jc w:val="center"/>
              <w:outlineLvl w:val="0"/>
              <w:rPr>
                <w:rFonts w:ascii="仿宋" w:hAnsi="仿宋" w:eastAsia="仿宋" w:cs="Times New Roman"/>
                <w:snapToGrid/>
                <w:sz w:val="24"/>
                <w:szCs w:val="24"/>
              </w:rPr>
            </w:pPr>
          </w:p>
        </w:tc>
        <w:tc>
          <w:tcPr>
            <w:tcW w:w="1275" w:type="dxa"/>
            <w:tcBorders>
              <w:top w:val="single" w:color="auto" w:sz="4" w:space="0"/>
              <w:left w:val="single" w:color="auto" w:sz="4" w:space="0"/>
              <w:bottom w:val="single" w:color="auto" w:sz="4" w:space="0"/>
              <w:right w:val="single" w:color="auto" w:sz="4" w:space="0"/>
            </w:tcBorders>
          </w:tcPr>
          <w:p w14:paraId="72122ECC">
            <w:pPr>
              <w:pStyle w:val="31"/>
              <w:snapToGrid w:val="0"/>
              <w:spacing w:before="120" w:after="120"/>
              <w:jc w:val="center"/>
              <w:outlineLvl w:val="0"/>
              <w:rPr>
                <w:rFonts w:ascii="仿宋" w:hAnsi="仿宋" w:eastAsia="仿宋" w:cs="Times New Roman"/>
                <w:snapToGrid/>
                <w:sz w:val="24"/>
                <w:szCs w:val="24"/>
              </w:rPr>
            </w:pPr>
          </w:p>
        </w:tc>
      </w:tr>
      <w:tr w14:paraId="548CCB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237" w:type="dxa"/>
            <w:tcBorders>
              <w:top w:val="single" w:color="auto" w:sz="4" w:space="0"/>
              <w:left w:val="single" w:color="auto" w:sz="4" w:space="0"/>
              <w:bottom w:val="single" w:color="auto" w:sz="4" w:space="0"/>
              <w:right w:val="single" w:color="auto" w:sz="4" w:space="0"/>
            </w:tcBorders>
            <w:vAlign w:val="center"/>
          </w:tcPr>
          <w:p w14:paraId="6C77213C">
            <w:pPr>
              <w:pStyle w:val="31"/>
              <w:snapToGrid w:val="0"/>
              <w:spacing w:before="120" w:after="120"/>
              <w:jc w:val="center"/>
              <w:outlineLvl w:val="0"/>
              <w:rPr>
                <w:rFonts w:ascii="仿宋" w:hAnsi="仿宋" w:eastAsia="仿宋" w:cs="Times New Roman"/>
                <w:snapToGrid/>
                <w:sz w:val="24"/>
                <w:szCs w:val="24"/>
              </w:rPr>
            </w:pPr>
          </w:p>
        </w:tc>
        <w:tc>
          <w:tcPr>
            <w:tcW w:w="3299" w:type="dxa"/>
            <w:tcBorders>
              <w:top w:val="single" w:color="auto" w:sz="4" w:space="0"/>
              <w:left w:val="single" w:color="auto" w:sz="4" w:space="0"/>
              <w:bottom w:val="single" w:color="auto" w:sz="4" w:space="0"/>
              <w:right w:val="single" w:color="auto" w:sz="4" w:space="0"/>
            </w:tcBorders>
            <w:vAlign w:val="center"/>
          </w:tcPr>
          <w:p w14:paraId="5B7CCBB4">
            <w:pPr>
              <w:pStyle w:val="31"/>
              <w:snapToGrid w:val="0"/>
              <w:spacing w:before="120" w:after="120"/>
              <w:jc w:val="center"/>
              <w:outlineLvl w:val="0"/>
              <w:rPr>
                <w:rFonts w:ascii="仿宋" w:hAnsi="仿宋" w:eastAsia="仿宋" w:cs="Times New Roman"/>
                <w:snapToGrid/>
                <w:sz w:val="24"/>
                <w:szCs w:val="24"/>
              </w:rPr>
            </w:pPr>
          </w:p>
        </w:tc>
        <w:tc>
          <w:tcPr>
            <w:tcW w:w="3261" w:type="dxa"/>
            <w:tcBorders>
              <w:top w:val="single" w:color="auto" w:sz="4" w:space="0"/>
              <w:left w:val="single" w:color="auto" w:sz="4" w:space="0"/>
              <w:bottom w:val="single" w:color="auto" w:sz="4" w:space="0"/>
              <w:right w:val="single" w:color="auto" w:sz="4" w:space="0"/>
            </w:tcBorders>
          </w:tcPr>
          <w:p w14:paraId="147172EE">
            <w:pPr>
              <w:pStyle w:val="31"/>
              <w:snapToGrid w:val="0"/>
              <w:spacing w:before="120" w:after="120"/>
              <w:jc w:val="center"/>
              <w:outlineLvl w:val="0"/>
              <w:rPr>
                <w:rFonts w:ascii="仿宋" w:hAnsi="仿宋" w:eastAsia="仿宋" w:cs="Times New Roman"/>
                <w:snapToGrid/>
                <w:sz w:val="24"/>
                <w:szCs w:val="24"/>
              </w:rPr>
            </w:pPr>
          </w:p>
        </w:tc>
        <w:tc>
          <w:tcPr>
            <w:tcW w:w="1275" w:type="dxa"/>
            <w:tcBorders>
              <w:top w:val="single" w:color="auto" w:sz="4" w:space="0"/>
              <w:left w:val="single" w:color="auto" w:sz="4" w:space="0"/>
              <w:bottom w:val="single" w:color="auto" w:sz="4" w:space="0"/>
              <w:right w:val="single" w:color="auto" w:sz="4" w:space="0"/>
            </w:tcBorders>
          </w:tcPr>
          <w:p w14:paraId="1526A42F">
            <w:pPr>
              <w:pStyle w:val="31"/>
              <w:snapToGrid w:val="0"/>
              <w:spacing w:before="120" w:after="120"/>
              <w:jc w:val="center"/>
              <w:outlineLvl w:val="0"/>
              <w:rPr>
                <w:rFonts w:ascii="仿宋" w:hAnsi="仿宋" w:eastAsia="仿宋" w:cs="Times New Roman"/>
                <w:snapToGrid/>
                <w:sz w:val="24"/>
                <w:szCs w:val="24"/>
              </w:rPr>
            </w:pPr>
          </w:p>
        </w:tc>
      </w:tr>
      <w:tr w14:paraId="69F93C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237" w:type="dxa"/>
            <w:tcBorders>
              <w:top w:val="single" w:color="auto" w:sz="4" w:space="0"/>
              <w:left w:val="single" w:color="auto" w:sz="4" w:space="0"/>
              <w:bottom w:val="single" w:color="auto" w:sz="4" w:space="0"/>
              <w:right w:val="single" w:color="auto" w:sz="4" w:space="0"/>
            </w:tcBorders>
            <w:vAlign w:val="center"/>
          </w:tcPr>
          <w:p w14:paraId="1935B4DD">
            <w:pPr>
              <w:pStyle w:val="31"/>
              <w:snapToGrid w:val="0"/>
              <w:spacing w:before="120" w:after="120"/>
              <w:jc w:val="center"/>
              <w:outlineLvl w:val="0"/>
              <w:rPr>
                <w:rFonts w:ascii="仿宋" w:hAnsi="仿宋" w:eastAsia="仿宋" w:cs="Times New Roman"/>
                <w:snapToGrid/>
                <w:sz w:val="24"/>
                <w:szCs w:val="24"/>
              </w:rPr>
            </w:pPr>
          </w:p>
        </w:tc>
        <w:tc>
          <w:tcPr>
            <w:tcW w:w="3299" w:type="dxa"/>
            <w:tcBorders>
              <w:top w:val="single" w:color="auto" w:sz="4" w:space="0"/>
              <w:left w:val="single" w:color="auto" w:sz="4" w:space="0"/>
              <w:bottom w:val="single" w:color="auto" w:sz="4" w:space="0"/>
              <w:right w:val="single" w:color="auto" w:sz="4" w:space="0"/>
            </w:tcBorders>
            <w:vAlign w:val="center"/>
          </w:tcPr>
          <w:p w14:paraId="39799254">
            <w:pPr>
              <w:pStyle w:val="31"/>
              <w:snapToGrid w:val="0"/>
              <w:spacing w:before="120" w:after="120"/>
              <w:jc w:val="center"/>
              <w:outlineLvl w:val="0"/>
              <w:rPr>
                <w:rFonts w:ascii="仿宋" w:hAnsi="仿宋" w:eastAsia="仿宋" w:cs="Times New Roman"/>
                <w:snapToGrid/>
                <w:sz w:val="24"/>
                <w:szCs w:val="24"/>
              </w:rPr>
            </w:pPr>
          </w:p>
        </w:tc>
        <w:tc>
          <w:tcPr>
            <w:tcW w:w="3261" w:type="dxa"/>
            <w:tcBorders>
              <w:top w:val="single" w:color="auto" w:sz="4" w:space="0"/>
              <w:left w:val="single" w:color="auto" w:sz="4" w:space="0"/>
              <w:bottom w:val="single" w:color="auto" w:sz="4" w:space="0"/>
              <w:right w:val="single" w:color="auto" w:sz="4" w:space="0"/>
            </w:tcBorders>
          </w:tcPr>
          <w:p w14:paraId="3466BF2F">
            <w:pPr>
              <w:pStyle w:val="31"/>
              <w:snapToGrid w:val="0"/>
              <w:spacing w:before="120" w:after="120"/>
              <w:jc w:val="center"/>
              <w:outlineLvl w:val="0"/>
              <w:rPr>
                <w:rFonts w:ascii="仿宋" w:hAnsi="仿宋" w:eastAsia="仿宋" w:cs="Times New Roman"/>
                <w:snapToGrid/>
                <w:sz w:val="24"/>
                <w:szCs w:val="24"/>
              </w:rPr>
            </w:pPr>
          </w:p>
        </w:tc>
        <w:tc>
          <w:tcPr>
            <w:tcW w:w="1275" w:type="dxa"/>
            <w:tcBorders>
              <w:top w:val="single" w:color="auto" w:sz="4" w:space="0"/>
              <w:left w:val="single" w:color="auto" w:sz="4" w:space="0"/>
              <w:bottom w:val="nil"/>
              <w:right w:val="single" w:color="auto" w:sz="4" w:space="0"/>
            </w:tcBorders>
          </w:tcPr>
          <w:p w14:paraId="2ECD6BC1">
            <w:pPr>
              <w:pStyle w:val="31"/>
              <w:snapToGrid w:val="0"/>
              <w:spacing w:before="120" w:after="120"/>
              <w:jc w:val="center"/>
              <w:outlineLvl w:val="0"/>
              <w:rPr>
                <w:rFonts w:ascii="仿宋" w:hAnsi="仿宋" w:eastAsia="仿宋" w:cs="Times New Roman"/>
                <w:snapToGrid/>
                <w:sz w:val="24"/>
                <w:szCs w:val="24"/>
              </w:rPr>
            </w:pPr>
          </w:p>
        </w:tc>
      </w:tr>
      <w:tr w14:paraId="7EF93E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237" w:type="dxa"/>
            <w:tcBorders>
              <w:top w:val="single" w:color="auto" w:sz="4" w:space="0"/>
              <w:left w:val="single" w:color="auto" w:sz="4" w:space="0"/>
              <w:bottom w:val="single" w:color="auto" w:sz="4" w:space="0"/>
              <w:right w:val="single" w:color="auto" w:sz="4" w:space="0"/>
            </w:tcBorders>
            <w:vAlign w:val="center"/>
          </w:tcPr>
          <w:p w14:paraId="1D5E125D">
            <w:pPr>
              <w:pStyle w:val="31"/>
              <w:snapToGrid w:val="0"/>
              <w:spacing w:before="120" w:after="120"/>
              <w:jc w:val="center"/>
              <w:outlineLvl w:val="0"/>
              <w:rPr>
                <w:rFonts w:ascii="仿宋" w:hAnsi="仿宋" w:eastAsia="仿宋" w:cs="Times New Roman"/>
                <w:snapToGrid/>
                <w:sz w:val="24"/>
                <w:szCs w:val="24"/>
              </w:rPr>
            </w:pPr>
          </w:p>
        </w:tc>
        <w:tc>
          <w:tcPr>
            <w:tcW w:w="3299" w:type="dxa"/>
            <w:tcBorders>
              <w:top w:val="single" w:color="auto" w:sz="4" w:space="0"/>
              <w:left w:val="single" w:color="auto" w:sz="4" w:space="0"/>
              <w:bottom w:val="single" w:color="auto" w:sz="4" w:space="0"/>
              <w:right w:val="single" w:color="auto" w:sz="4" w:space="0"/>
            </w:tcBorders>
            <w:vAlign w:val="center"/>
          </w:tcPr>
          <w:p w14:paraId="2CC9F884">
            <w:pPr>
              <w:pStyle w:val="31"/>
              <w:snapToGrid w:val="0"/>
              <w:spacing w:before="120" w:after="120"/>
              <w:jc w:val="center"/>
              <w:outlineLvl w:val="0"/>
              <w:rPr>
                <w:rFonts w:ascii="仿宋" w:hAnsi="仿宋" w:eastAsia="仿宋" w:cs="Times New Roman"/>
                <w:snapToGrid/>
                <w:sz w:val="24"/>
                <w:szCs w:val="24"/>
              </w:rPr>
            </w:pPr>
          </w:p>
        </w:tc>
        <w:tc>
          <w:tcPr>
            <w:tcW w:w="3261" w:type="dxa"/>
            <w:tcBorders>
              <w:top w:val="single" w:color="auto" w:sz="4" w:space="0"/>
              <w:left w:val="single" w:color="auto" w:sz="4" w:space="0"/>
              <w:bottom w:val="single" w:color="auto" w:sz="4" w:space="0"/>
              <w:right w:val="single" w:color="auto" w:sz="4" w:space="0"/>
            </w:tcBorders>
          </w:tcPr>
          <w:p w14:paraId="4658C2FE">
            <w:pPr>
              <w:pStyle w:val="31"/>
              <w:snapToGrid w:val="0"/>
              <w:spacing w:before="120" w:after="120"/>
              <w:jc w:val="center"/>
              <w:outlineLvl w:val="0"/>
              <w:rPr>
                <w:rFonts w:ascii="仿宋" w:hAnsi="仿宋" w:eastAsia="仿宋" w:cs="Times New Roman"/>
                <w:snapToGrid/>
                <w:sz w:val="24"/>
                <w:szCs w:val="24"/>
              </w:rPr>
            </w:pPr>
          </w:p>
        </w:tc>
        <w:tc>
          <w:tcPr>
            <w:tcW w:w="1275" w:type="dxa"/>
            <w:tcBorders>
              <w:top w:val="single" w:color="auto" w:sz="4" w:space="0"/>
              <w:left w:val="single" w:color="auto" w:sz="4" w:space="0"/>
              <w:bottom w:val="single" w:color="auto" w:sz="4" w:space="0"/>
              <w:right w:val="single" w:color="auto" w:sz="4" w:space="0"/>
            </w:tcBorders>
          </w:tcPr>
          <w:p w14:paraId="2ECA5A1A">
            <w:pPr>
              <w:pStyle w:val="31"/>
              <w:snapToGrid w:val="0"/>
              <w:spacing w:before="120" w:after="120"/>
              <w:jc w:val="center"/>
              <w:outlineLvl w:val="0"/>
              <w:rPr>
                <w:rFonts w:ascii="仿宋" w:hAnsi="仿宋" w:eastAsia="仿宋" w:cs="Times New Roman"/>
                <w:snapToGrid/>
                <w:sz w:val="24"/>
                <w:szCs w:val="24"/>
              </w:rPr>
            </w:pPr>
          </w:p>
        </w:tc>
      </w:tr>
      <w:tr w14:paraId="44348C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237" w:type="dxa"/>
            <w:tcBorders>
              <w:top w:val="single" w:color="auto" w:sz="4" w:space="0"/>
              <w:left w:val="single" w:color="auto" w:sz="4" w:space="0"/>
              <w:bottom w:val="single" w:color="auto" w:sz="4" w:space="0"/>
              <w:right w:val="single" w:color="auto" w:sz="4" w:space="0"/>
            </w:tcBorders>
            <w:vAlign w:val="center"/>
          </w:tcPr>
          <w:p w14:paraId="38B77EA8">
            <w:pPr>
              <w:pStyle w:val="31"/>
              <w:snapToGrid w:val="0"/>
              <w:spacing w:before="120" w:after="120"/>
              <w:jc w:val="center"/>
              <w:outlineLvl w:val="0"/>
              <w:rPr>
                <w:rFonts w:ascii="仿宋" w:hAnsi="仿宋" w:eastAsia="仿宋" w:cs="Times New Roman"/>
                <w:snapToGrid/>
                <w:sz w:val="24"/>
                <w:szCs w:val="24"/>
              </w:rPr>
            </w:pPr>
          </w:p>
        </w:tc>
        <w:tc>
          <w:tcPr>
            <w:tcW w:w="3299" w:type="dxa"/>
            <w:tcBorders>
              <w:top w:val="single" w:color="auto" w:sz="4" w:space="0"/>
              <w:left w:val="single" w:color="auto" w:sz="4" w:space="0"/>
              <w:bottom w:val="single" w:color="auto" w:sz="4" w:space="0"/>
              <w:right w:val="single" w:color="auto" w:sz="4" w:space="0"/>
            </w:tcBorders>
            <w:vAlign w:val="center"/>
          </w:tcPr>
          <w:p w14:paraId="1EDB488D">
            <w:pPr>
              <w:pStyle w:val="31"/>
              <w:snapToGrid w:val="0"/>
              <w:spacing w:before="120" w:after="120"/>
              <w:jc w:val="center"/>
              <w:outlineLvl w:val="0"/>
              <w:rPr>
                <w:rFonts w:ascii="仿宋" w:hAnsi="仿宋" w:eastAsia="仿宋" w:cs="Times New Roman"/>
                <w:snapToGrid/>
                <w:sz w:val="24"/>
                <w:szCs w:val="24"/>
              </w:rPr>
            </w:pPr>
          </w:p>
        </w:tc>
        <w:tc>
          <w:tcPr>
            <w:tcW w:w="3261" w:type="dxa"/>
            <w:tcBorders>
              <w:top w:val="single" w:color="auto" w:sz="4" w:space="0"/>
              <w:left w:val="single" w:color="auto" w:sz="4" w:space="0"/>
              <w:bottom w:val="single" w:color="auto" w:sz="4" w:space="0"/>
              <w:right w:val="single" w:color="auto" w:sz="4" w:space="0"/>
            </w:tcBorders>
          </w:tcPr>
          <w:p w14:paraId="6F8EB142">
            <w:pPr>
              <w:pStyle w:val="31"/>
              <w:snapToGrid w:val="0"/>
              <w:spacing w:before="120" w:after="120"/>
              <w:jc w:val="center"/>
              <w:outlineLvl w:val="0"/>
              <w:rPr>
                <w:rFonts w:ascii="仿宋" w:hAnsi="仿宋" w:eastAsia="仿宋" w:cs="Times New Roman"/>
                <w:snapToGrid/>
                <w:sz w:val="24"/>
                <w:szCs w:val="24"/>
              </w:rPr>
            </w:pPr>
          </w:p>
        </w:tc>
        <w:tc>
          <w:tcPr>
            <w:tcW w:w="1275" w:type="dxa"/>
            <w:tcBorders>
              <w:top w:val="single" w:color="auto" w:sz="4" w:space="0"/>
              <w:left w:val="single" w:color="auto" w:sz="4" w:space="0"/>
              <w:bottom w:val="single" w:color="auto" w:sz="4" w:space="0"/>
              <w:right w:val="single" w:color="auto" w:sz="4" w:space="0"/>
            </w:tcBorders>
          </w:tcPr>
          <w:p w14:paraId="24D92127">
            <w:pPr>
              <w:pStyle w:val="31"/>
              <w:snapToGrid w:val="0"/>
              <w:spacing w:before="120" w:after="120"/>
              <w:jc w:val="center"/>
              <w:outlineLvl w:val="0"/>
              <w:rPr>
                <w:rFonts w:ascii="仿宋" w:hAnsi="仿宋" w:eastAsia="仿宋" w:cs="Times New Roman"/>
                <w:snapToGrid/>
                <w:sz w:val="24"/>
                <w:szCs w:val="24"/>
              </w:rPr>
            </w:pPr>
          </w:p>
        </w:tc>
      </w:tr>
      <w:tr w14:paraId="36C0BC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237" w:type="dxa"/>
            <w:tcBorders>
              <w:top w:val="single" w:color="auto" w:sz="4" w:space="0"/>
              <w:left w:val="single" w:color="auto" w:sz="4" w:space="0"/>
              <w:bottom w:val="single" w:color="auto" w:sz="4" w:space="0"/>
              <w:right w:val="single" w:color="auto" w:sz="4" w:space="0"/>
            </w:tcBorders>
            <w:vAlign w:val="center"/>
          </w:tcPr>
          <w:p w14:paraId="5FAAB871">
            <w:pPr>
              <w:pStyle w:val="31"/>
              <w:snapToGrid w:val="0"/>
              <w:spacing w:before="120" w:after="120"/>
              <w:jc w:val="center"/>
              <w:outlineLvl w:val="0"/>
              <w:rPr>
                <w:rFonts w:ascii="仿宋" w:hAnsi="仿宋" w:eastAsia="仿宋" w:cs="Times New Roman"/>
                <w:snapToGrid/>
                <w:sz w:val="24"/>
                <w:szCs w:val="24"/>
              </w:rPr>
            </w:pPr>
          </w:p>
        </w:tc>
        <w:tc>
          <w:tcPr>
            <w:tcW w:w="3299" w:type="dxa"/>
            <w:tcBorders>
              <w:top w:val="single" w:color="auto" w:sz="4" w:space="0"/>
              <w:left w:val="single" w:color="auto" w:sz="4" w:space="0"/>
              <w:bottom w:val="single" w:color="auto" w:sz="4" w:space="0"/>
              <w:right w:val="single" w:color="auto" w:sz="4" w:space="0"/>
            </w:tcBorders>
            <w:vAlign w:val="center"/>
          </w:tcPr>
          <w:p w14:paraId="48CA349D">
            <w:pPr>
              <w:pStyle w:val="31"/>
              <w:snapToGrid w:val="0"/>
              <w:spacing w:before="120" w:after="120"/>
              <w:jc w:val="center"/>
              <w:outlineLvl w:val="0"/>
              <w:rPr>
                <w:rFonts w:ascii="仿宋" w:hAnsi="仿宋" w:eastAsia="仿宋" w:cs="Times New Roman"/>
                <w:snapToGrid/>
                <w:sz w:val="24"/>
                <w:szCs w:val="24"/>
              </w:rPr>
            </w:pPr>
          </w:p>
        </w:tc>
        <w:tc>
          <w:tcPr>
            <w:tcW w:w="3261" w:type="dxa"/>
            <w:tcBorders>
              <w:top w:val="single" w:color="auto" w:sz="4" w:space="0"/>
              <w:left w:val="single" w:color="auto" w:sz="4" w:space="0"/>
              <w:bottom w:val="single" w:color="auto" w:sz="4" w:space="0"/>
              <w:right w:val="single" w:color="auto" w:sz="4" w:space="0"/>
            </w:tcBorders>
          </w:tcPr>
          <w:p w14:paraId="6B3D84D8">
            <w:pPr>
              <w:pStyle w:val="31"/>
              <w:snapToGrid w:val="0"/>
              <w:spacing w:before="120" w:after="120"/>
              <w:jc w:val="center"/>
              <w:outlineLvl w:val="0"/>
              <w:rPr>
                <w:rFonts w:ascii="仿宋" w:hAnsi="仿宋" w:eastAsia="仿宋" w:cs="Times New Roman"/>
                <w:snapToGrid/>
                <w:sz w:val="24"/>
                <w:szCs w:val="24"/>
              </w:rPr>
            </w:pPr>
          </w:p>
        </w:tc>
        <w:tc>
          <w:tcPr>
            <w:tcW w:w="1275" w:type="dxa"/>
            <w:tcBorders>
              <w:top w:val="single" w:color="auto" w:sz="4" w:space="0"/>
              <w:left w:val="single" w:color="auto" w:sz="4" w:space="0"/>
              <w:bottom w:val="single" w:color="auto" w:sz="4" w:space="0"/>
              <w:right w:val="single" w:color="auto" w:sz="4" w:space="0"/>
            </w:tcBorders>
          </w:tcPr>
          <w:p w14:paraId="7CB08136">
            <w:pPr>
              <w:pStyle w:val="31"/>
              <w:snapToGrid w:val="0"/>
              <w:spacing w:before="120" w:after="120"/>
              <w:jc w:val="center"/>
              <w:outlineLvl w:val="0"/>
              <w:rPr>
                <w:rFonts w:ascii="仿宋" w:hAnsi="仿宋" w:eastAsia="仿宋" w:cs="Times New Roman"/>
                <w:snapToGrid/>
                <w:sz w:val="24"/>
                <w:szCs w:val="24"/>
              </w:rPr>
            </w:pPr>
          </w:p>
        </w:tc>
      </w:tr>
      <w:tr w14:paraId="4011A5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237" w:type="dxa"/>
            <w:tcBorders>
              <w:top w:val="single" w:color="auto" w:sz="4" w:space="0"/>
              <w:left w:val="single" w:color="auto" w:sz="4" w:space="0"/>
              <w:bottom w:val="single" w:color="auto" w:sz="4" w:space="0"/>
              <w:right w:val="single" w:color="auto" w:sz="4" w:space="0"/>
            </w:tcBorders>
            <w:vAlign w:val="center"/>
          </w:tcPr>
          <w:p w14:paraId="7DDBDDA3">
            <w:pPr>
              <w:snapToGrid w:val="0"/>
              <w:spacing w:before="50" w:after="50"/>
              <w:jc w:val="center"/>
              <w:rPr>
                <w:rFonts w:ascii="仿宋" w:hAnsi="仿宋" w:eastAsia="仿宋"/>
                <w:sz w:val="24"/>
              </w:rPr>
            </w:pPr>
            <w:bookmarkStart w:id="436" w:name="_Toc64369824"/>
            <w:r>
              <w:rPr>
                <w:rFonts w:hint="eastAsia" w:ascii="仿宋" w:hAnsi="仿宋" w:eastAsia="仿宋"/>
                <w:sz w:val="24"/>
              </w:rPr>
              <w:t>…</w:t>
            </w:r>
            <w:bookmarkEnd w:id="436"/>
          </w:p>
        </w:tc>
        <w:tc>
          <w:tcPr>
            <w:tcW w:w="3299" w:type="dxa"/>
            <w:tcBorders>
              <w:top w:val="single" w:color="auto" w:sz="4" w:space="0"/>
              <w:left w:val="single" w:color="auto" w:sz="4" w:space="0"/>
              <w:bottom w:val="single" w:color="auto" w:sz="4" w:space="0"/>
              <w:right w:val="single" w:color="auto" w:sz="4" w:space="0"/>
            </w:tcBorders>
            <w:vAlign w:val="center"/>
          </w:tcPr>
          <w:p w14:paraId="03181724">
            <w:pPr>
              <w:pStyle w:val="31"/>
              <w:snapToGrid w:val="0"/>
              <w:spacing w:before="120" w:after="120"/>
              <w:jc w:val="center"/>
              <w:outlineLvl w:val="0"/>
              <w:rPr>
                <w:rFonts w:ascii="仿宋" w:hAnsi="仿宋" w:eastAsia="仿宋" w:cs="Times New Roman"/>
                <w:snapToGrid/>
                <w:sz w:val="24"/>
                <w:szCs w:val="24"/>
              </w:rPr>
            </w:pPr>
          </w:p>
        </w:tc>
        <w:tc>
          <w:tcPr>
            <w:tcW w:w="3261" w:type="dxa"/>
            <w:tcBorders>
              <w:top w:val="single" w:color="auto" w:sz="4" w:space="0"/>
              <w:left w:val="single" w:color="auto" w:sz="4" w:space="0"/>
              <w:bottom w:val="single" w:color="auto" w:sz="4" w:space="0"/>
              <w:right w:val="single" w:color="auto" w:sz="4" w:space="0"/>
            </w:tcBorders>
          </w:tcPr>
          <w:p w14:paraId="4604A85F">
            <w:pPr>
              <w:pStyle w:val="31"/>
              <w:snapToGrid w:val="0"/>
              <w:spacing w:before="120" w:after="120"/>
              <w:jc w:val="center"/>
              <w:outlineLvl w:val="0"/>
              <w:rPr>
                <w:rFonts w:ascii="仿宋" w:hAnsi="仿宋" w:eastAsia="仿宋" w:cs="Times New Roman"/>
                <w:snapToGrid/>
                <w:sz w:val="24"/>
                <w:szCs w:val="24"/>
              </w:rPr>
            </w:pPr>
          </w:p>
        </w:tc>
        <w:tc>
          <w:tcPr>
            <w:tcW w:w="1275" w:type="dxa"/>
            <w:tcBorders>
              <w:top w:val="single" w:color="auto" w:sz="4" w:space="0"/>
              <w:left w:val="single" w:color="auto" w:sz="4" w:space="0"/>
              <w:bottom w:val="single" w:color="auto" w:sz="4" w:space="0"/>
              <w:right w:val="single" w:color="auto" w:sz="4" w:space="0"/>
            </w:tcBorders>
          </w:tcPr>
          <w:p w14:paraId="5849F22A">
            <w:pPr>
              <w:pStyle w:val="31"/>
              <w:snapToGrid w:val="0"/>
              <w:spacing w:before="120" w:after="120"/>
              <w:jc w:val="center"/>
              <w:outlineLvl w:val="0"/>
              <w:rPr>
                <w:rFonts w:ascii="仿宋" w:hAnsi="仿宋" w:eastAsia="仿宋" w:cs="Times New Roman"/>
                <w:snapToGrid/>
                <w:sz w:val="24"/>
                <w:szCs w:val="24"/>
              </w:rPr>
            </w:pPr>
          </w:p>
        </w:tc>
      </w:tr>
    </w:tbl>
    <w:p w14:paraId="4F1B1B8D">
      <w:pPr>
        <w:spacing w:line="360" w:lineRule="auto"/>
        <w:ind w:right="420"/>
        <w:rPr>
          <w:rFonts w:ascii="仿宋" w:hAnsi="仿宋" w:eastAsia="仿宋" w:cs="仿宋_GB2312"/>
          <w:sz w:val="24"/>
        </w:rPr>
      </w:pPr>
      <w:r>
        <w:rPr>
          <w:rFonts w:hint="eastAsia" w:ascii="仿宋" w:hAnsi="仿宋" w:eastAsia="仿宋" w:cs="仿宋_GB2312"/>
          <w:sz w:val="24"/>
        </w:rPr>
        <w:t>注：</w:t>
      </w:r>
    </w:p>
    <w:p w14:paraId="0573BB9A">
      <w:pPr>
        <w:spacing w:line="360" w:lineRule="auto"/>
        <w:ind w:right="420"/>
        <w:rPr>
          <w:rFonts w:ascii="仿宋" w:hAnsi="仿宋" w:eastAsia="仿宋" w:cs="仿宋_GB2312"/>
          <w:sz w:val="24"/>
        </w:rPr>
      </w:pPr>
      <w:r>
        <w:rPr>
          <w:rFonts w:hint="eastAsia" w:ascii="仿宋" w:hAnsi="仿宋" w:eastAsia="仿宋" w:cs="仿宋_GB2312"/>
          <w:sz w:val="24"/>
        </w:rPr>
        <w:t>1、投标人应对照采购文件要求和投标文件响应情况在“偏离情况”栏注明“正偏离”、“负偏离”或“无偏离”。</w:t>
      </w:r>
    </w:p>
    <w:p w14:paraId="57421BF7">
      <w:pPr>
        <w:spacing w:line="360" w:lineRule="auto"/>
        <w:ind w:right="420"/>
        <w:rPr>
          <w:rFonts w:ascii="仿宋" w:hAnsi="仿宋" w:eastAsia="仿宋" w:cs="仿宋_GB2312"/>
          <w:b/>
          <w:sz w:val="24"/>
        </w:rPr>
      </w:pPr>
      <w:r>
        <w:rPr>
          <w:rFonts w:hint="eastAsia" w:ascii="仿宋" w:hAnsi="仿宋" w:eastAsia="仿宋" w:cs="仿宋_GB2312"/>
          <w:b/>
          <w:sz w:val="24"/>
        </w:rPr>
        <w:t>2、“类别”一栏按采购文件第三章中商务要求的分类填写。</w:t>
      </w:r>
    </w:p>
    <w:p w14:paraId="47EBFDFF">
      <w:pPr>
        <w:spacing w:line="360" w:lineRule="auto"/>
        <w:ind w:right="420"/>
        <w:rPr>
          <w:rFonts w:ascii="仿宋" w:hAnsi="仿宋" w:eastAsia="仿宋" w:cs="仿宋_GB2312"/>
          <w:sz w:val="24"/>
        </w:rPr>
      </w:pPr>
    </w:p>
    <w:p w14:paraId="1A52BDF6">
      <w:pPr>
        <w:autoSpaceDE w:val="0"/>
        <w:autoSpaceDN w:val="0"/>
        <w:spacing w:line="360" w:lineRule="auto"/>
        <w:ind w:firstLine="4560" w:firstLineChars="1900"/>
        <w:rPr>
          <w:rFonts w:ascii="仿宋" w:hAnsi="仿宋" w:eastAsia="仿宋" w:cs="仿宋_GB2312"/>
          <w:kern w:val="0"/>
          <w:sz w:val="24"/>
        </w:rPr>
      </w:pPr>
      <w:r>
        <w:rPr>
          <w:rFonts w:hint="eastAsia" w:ascii="仿宋" w:hAnsi="仿宋" w:eastAsia="仿宋" w:cs="仿宋_GB2312"/>
          <w:kern w:val="0"/>
          <w:sz w:val="24"/>
        </w:rPr>
        <w:t>投标人名称（</w:t>
      </w:r>
      <w:r>
        <w:rPr>
          <w:rFonts w:hint="eastAsia" w:ascii="仿宋" w:hAnsi="仿宋" w:eastAsia="仿宋" w:cs="仿宋_GB2312"/>
          <w:kern w:val="0"/>
          <w:sz w:val="24"/>
          <w:lang w:val="zh-CN"/>
        </w:rPr>
        <w:t>电子签名</w:t>
      </w:r>
      <w:r>
        <w:rPr>
          <w:rFonts w:hint="eastAsia" w:ascii="仿宋" w:hAnsi="仿宋" w:eastAsia="仿宋" w:cs="仿宋_GB2312"/>
          <w:kern w:val="0"/>
          <w:sz w:val="24"/>
        </w:rPr>
        <w:t>）：</w:t>
      </w:r>
    </w:p>
    <w:p w14:paraId="7EBEB3DD">
      <w:pPr>
        <w:snapToGrid w:val="0"/>
        <w:spacing w:before="50" w:after="50"/>
        <w:rPr>
          <w:rFonts w:ascii="仿宋" w:hAnsi="仿宋" w:eastAsia="仿宋" w:cs="仿宋_GB2312"/>
          <w:kern w:val="0"/>
          <w:sz w:val="24"/>
        </w:rPr>
      </w:pPr>
      <w:r>
        <w:rPr>
          <w:rFonts w:hint="eastAsia" w:ascii="仿宋" w:hAnsi="仿宋" w:eastAsia="仿宋" w:cs="仿宋_GB2312"/>
          <w:kern w:val="0"/>
          <w:sz w:val="24"/>
        </w:rPr>
        <w:t xml:space="preserve">                                       日期：  年  月   日</w:t>
      </w:r>
    </w:p>
    <w:p w14:paraId="20326719">
      <w:pPr>
        <w:spacing w:line="360" w:lineRule="auto"/>
        <w:jc w:val="center"/>
        <w:rPr>
          <w:rFonts w:ascii="仿宋" w:hAnsi="仿宋" w:eastAsia="仿宋" w:cs="仿宋_GB2312"/>
          <w:sz w:val="24"/>
        </w:rPr>
      </w:pPr>
    </w:p>
    <w:p w14:paraId="6B4EB426">
      <w:pPr>
        <w:autoSpaceDE w:val="0"/>
        <w:autoSpaceDN w:val="0"/>
        <w:spacing w:line="360" w:lineRule="auto"/>
        <w:rPr>
          <w:rFonts w:ascii="仿宋" w:hAnsi="仿宋" w:eastAsia="仿宋" w:cs="仿宋_GB2312"/>
          <w:b/>
          <w:kern w:val="0"/>
          <w:sz w:val="28"/>
          <w:szCs w:val="28"/>
        </w:rPr>
      </w:pPr>
    </w:p>
    <w:p w14:paraId="380C8ED6">
      <w:pPr>
        <w:tabs>
          <w:tab w:val="left" w:pos="2790"/>
          <w:tab w:val="left" w:pos="4230"/>
        </w:tabs>
        <w:autoSpaceDE w:val="0"/>
        <w:autoSpaceDN w:val="0"/>
        <w:spacing w:line="360" w:lineRule="auto"/>
        <w:ind w:right="1400"/>
        <w:jc w:val="center"/>
        <w:outlineLvl w:val="1"/>
        <w:rPr>
          <w:rFonts w:ascii="仿宋" w:hAnsi="仿宋" w:eastAsia="仿宋" w:cs="仿宋_GB2312"/>
          <w:b/>
          <w:bCs/>
          <w:sz w:val="32"/>
          <w:szCs w:val="32"/>
        </w:rPr>
      </w:pPr>
      <w:r>
        <w:rPr>
          <w:rFonts w:hint="eastAsia" w:ascii="仿宋" w:hAnsi="仿宋" w:eastAsia="仿宋" w:cs="仿宋_GB2312"/>
          <w:b/>
          <w:bCs/>
          <w:kern w:val="0"/>
          <w:sz w:val="36"/>
          <w:szCs w:val="36"/>
          <w:lang w:val="zh-CN"/>
        </w:rPr>
        <w:br w:type="page"/>
      </w:r>
      <w:r>
        <w:rPr>
          <w:rFonts w:hint="eastAsia" w:ascii="仿宋" w:hAnsi="仿宋" w:eastAsia="仿宋" w:cs="仿宋_GB2312"/>
          <w:b/>
          <w:bCs/>
          <w:sz w:val="32"/>
          <w:szCs w:val="32"/>
        </w:rPr>
        <w:t>三、项目组织实施方案</w:t>
      </w:r>
    </w:p>
    <w:p w14:paraId="3BE08C32">
      <w:pPr>
        <w:autoSpaceDE w:val="0"/>
        <w:autoSpaceDN w:val="0"/>
        <w:spacing w:line="360" w:lineRule="auto"/>
        <w:jc w:val="center"/>
        <w:rPr>
          <w:rFonts w:ascii="仿宋" w:hAnsi="仿宋" w:eastAsia="仿宋" w:cs="仿宋_GB2312"/>
          <w:sz w:val="24"/>
        </w:rPr>
      </w:pPr>
      <w:r>
        <w:rPr>
          <w:rFonts w:hint="eastAsia" w:ascii="仿宋" w:hAnsi="仿宋" w:eastAsia="仿宋" w:cs="仿宋_GB2312"/>
          <w:sz w:val="24"/>
        </w:rPr>
        <w:t>（由投标人根据采购需求及招标文件要求编制）</w:t>
      </w:r>
    </w:p>
    <w:p w14:paraId="6272AAF5">
      <w:pPr>
        <w:autoSpaceDE w:val="0"/>
        <w:autoSpaceDN w:val="0"/>
        <w:spacing w:line="360" w:lineRule="auto"/>
        <w:jc w:val="center"/>
        <w:rPr>
          <w:rFonts w:ascii="仿宋" w:hAnsi="仿宋" w:eastAsia="仿宋" w:cs="仿宋_GB2312"/>
          <w:b/>
          <w:bCs/>
          <w:sz w:val="32"/>
          <w:szCs w:val="32"/>
        </w:rPr>
      </w:pPr>
      <w:r>
        <w:rPr>
          <w:rFonts w:hint="eastAsia" w:ascii="仿宋" w:hAnsi="仿宋" w:eastAsia="仿宋" w:cs="仿宋_GB2312"/>
          <w:sz w:val="24"/>
        </w:rPr>
        <w:br w:type="page"/>
      </w:r>
      <w:r>
        <w:rPr>
          <w:rFonts w:hint="eastAsia" w:ascii="仿宋" w:hAnsi="仿宋" w:eastAsia="仿宋" w:cs="仿宋_GB2312"/>
          <w:b/>
          <w:bCs/>
          <w:sz w:val="32"/>
          <w:szCs w:val="32"/>
        </w:rPr>
        <w:t>四、项目负责人情况表</w:t>
      </w:r>
    </w:p>
    <w:p w14:paraId="5A2D2C08">
      <w:pPr>
        <w:spacing w:line="360" w:lineRule="auto"/>
        <w:jc w:val="center"/>
        <w:rPr>
          <w:rFonts w:ascii="仿宋" w:hAnsi="仿宋" w:eastAsia="仿宋" w:cs="仿宋_GB2312"/>
          <w:sz w:val="24"/>
        </w:rPr>
      </w:pPr>
    </w:p>
    <w:tbl>
      <w:tblPr>
        <w:tblStyle w:val="60"/>
        <w:tblW w:w="0" w:type="auto"/>
        <w:tblInd w:w="108" w:type="dxa"/>
        <w:tblLayout w:type="fixed"/>
        <w:tblCellMar>
          <w:top w:w="0" w:type="dxa"/>
          <w:left w:w="108" w:type="dxa"/>
          <w:bottom w:w="0" w:type="dxa"/>
          <w:right w:w="108" w:type="dxa"/>
        </w:tblCellMar>
      </w:tblPr>
      <w:tblGrid>
        <w:gridCol w:w="1953"/>
        <w:gridCol w:w="1308"/>
        <w:gridCol w:w="5811"/>
      </w:tblGrid>
      <w:tr w14:paraId="12F5904A">
        <w:tblPrEx>
          <w:tblCellMar>
            <w:top w:w="0" w:type="dxa"/>
            <w:left w:w="108" w:type="dxa"/>
            <w:bottom w:w="0" w:type="dxa"/>
            <w:right w:w="108" w:type="dxa"/>
          </w:tblCellMar>
        </w:tblPrEx>
        <w:trPr>
          <w:trHeight w:val="604" w:hRule="atLeast"/>
        </w:trPr>
        <w:tc>
          <w:tcPr>
            <w:tcW w:w="1953" w:type="dxa"/>
            <w:tcBorders>
              <w:top w:val="single" w:color="auto" w:sz="6" w:space="0"/>
              <w:left w:val="single" w:color="auto" w:sz="6" w:space="0"/>
              <w:bottom w:val="single" w:color="auto" w:sz="6" w:space="0"/>
              <w:right w:val="single" w:color="auto" w:sz="6" w:space="0"/>
            </w:tcBorders>
            <w:vAlign w:val="center"/>
          </w:tcPr>
          <w:p w14:paraId="054670C5">
            <w:pPr>
              <w:autoSpaceDE w:val="0"/>
              <w:autoSpaceDN w:val="0"/>
              <w:spacing w:line="360" w:lineRule="auto"/>
              <w:jc w:val="center"/>
              <w:rPr>
                <w:rFonts w:ascii="仿宋" w:hAnsi="仿宋" w:eastAsia="仿宋" w:cs="仿宋_GB2312"/>
                <w:sz w:val="24"/>
              </w:rPr>
            </w:pPr>
            <w:r>
              <w:rPr>
                <w:rFonts w:hint="eastAsia" w:ascii="仿宋" w:hAnsi="仿宋" w:eastAsia="仿宋" w:cs="仿宋_GB2312"/>
                <w:sz w:val="24"/>
              </w:rPr>
              <w:t>姓名</w:t>
            </w:r>
          </w:p>
        </w:tc>
        <w:tc>
          <w:tcPr>
            <w:tcW w:w="1308" w:type="dxa"/>
            <w:tcBorders>
              <w:top w:val="single" w:color="auto" w:sz="6" w:space="0"/>
              <w:left w:val="single" w:color="auto" w:sz="6" w:space="0"/>
              <w:bottom w:val="single" w:color="auto" w:sz="6" w:space="0"/>
              <w:right w:val="single" w:color="auto" w:sz="6" w:space="0"/>
            </w:tcBorders>
            <w:vAlign w:val="center"/>
          </w:tcPr>
          <w:p w14:paraId="73CE4346">
            <w:pPr>
              <w:autoSpaceDE w:val="0"/>
              <w:autoSpaceDN w:val="0"/>
              <w:spacing w:line="360" w:lineRule="auto"/>
              <w:jc w:val="center"/>
              <w:rPr>
                <w:rFonts w:ascii="仿宋" w:hAnsi="仿宋" w:eastAsia="仿宋" w:cs="仿宋_GB2312"/>
                <w:sz w:val="24"/>
              </w:rPr>
            </w:pPr>
          </w:p>
        </w:tc>
        <w:tc>
          <w:tcPr>
            <w:tcW w:w="5811" w:type="dxa"/>
            <w:tcBorders>
              <w:top w:val="single" w:color="auto" w:sz="6" w:space="0"/>
              <w:left w:val="single" w:color="auto" w:sz="6" w:space="0"/>
              <w:bottom w:val="single" w:color="auto" w:sz="6" w:space="0"/>
              <w:right w:val="single" w:color="auto" w:sz="6" w:space="0"/>
            </w:tcBorders>
            <w:vAlign w:val="center"/>
          </w:tcPr>
          <w:p w14:paraId="6949998E">
            <w:pPr>
              <w:autoSpaceDE w:val="0"/>
              <w:autoSpaceDN w:val="0"/>
              <w:spacing w:line="360" w:lineRule="auto"/>
              <w:jc w:val="center"/>
              <w:rPr>
                <w:rFonts w:ascii="仿宋" w:hAnsi="仿宋" w:eastAsia="仿宋" w:cs="仿宋_GB2312"/>
                <w:sz w:val="24"/>
              </w:rPr>
            </w:pPr>
            <w:r>
              <w:rPr>
                <w:rFonts w:hint="eastAsia" w:ascii="仿宋" w:hAnsi="仿宋" w:eastAsia="仿宋" w:cs="仿宋_GB2312"/>
                <w:sz w:val="24"/>
              </w:rPr>
              <w:t>投标截止时间前五年业绩及承担的主要工作情况，曾担任项目负责人的项目应列明细</w:t>
            </w:r>
          </w:p>
        </w:tc>
      </w:tr>
      <w:tr w14:paraId="4554B359">
        <w:tblPrEx>
          <w:tblCellMar>
            <w:top w:w="0" w:type="dxa"/>
            <w:left w:w="108" w:type="dxa"/>
            <w:bottom w:w="0" w:type="dxa"/>
            <w:right w:w="108" w:type="dxa"/>
          </w:tblCellMar>
        </w:tblPrEx>
        <w:trPr>
          <w:cantSplit/>
          <w:trHeight w:val="345" w:hRule="atLeast"/>
        </w:trPr>
        <w:tc>
          <w:tcPr>
            <w:tcW w:w="1953" w:type="dxa"/>
            <w:tcBorders>
              <w:top w:val="single" w:color="auto" w:sz="6" w:space="0"/>
              <w:left w:val="single" w:color="auto" w:sz="6" w:space="0"/>
              <w:bottom w:val="single" w:color="auto" w:sz="6" w:space="0"/>
              <w:right w:val="single" w:color="auto" w:sz="6" w:space="0"/>
            </w:tcBorders>
            <w:vAlign w:val="center"/>
          </w:tcPr>
          <w:p w14:paraId="5FDA4C0B">
            <w:pPr>
              <w:autoSpaceDE w:val="0"/>
              <w:autoSpaceDN w:val="0"/>
              <w:spacing w:line="360" w:lineRule="auto"/>
              <w:jc w:val="center"/>
              <w:rPr>
                <w:rFonts w:ascii="仿宋" w:hAnsi="仿宋" w:eastAsia="仿宋" w:cs="仿宋_GB2312"/>
                <w:sz w:val="24"/>
              </w:rPr>
            </w:pPr>
            <w:r>
              <w:rPr>
                <w:rFonts w:hint="eastAsia" w:ascii="仿宋" w:hAnsi="仿宋" w:eastAsia="仿宋" w:cs="仿宋_GB2312"/>
                <w:sz w:val="24"/>
              </w:rPr>
              <w:t>性别</w:t>
            </w:r>
          </w:p>
        </w:tc>
        <w:tc>
          <w:tcPr>
            <w:tcW w:w="1308" w:type="dxa"/>
            <w:tcBorders>
              <w:top w:val="single" w:color="auto" w:sz="6" w:space="0"/>
              <w:left w:val="single" w:color="auto" w:sz="6" w:space="0"/>
              <w:bottom w:val="single" w:color="auto" w:sz="6" w:space="0"/>
              <w:right w:val="single" w:color="auto" w:sz="6" w:space="0"/>
            </w:tcBorders>
          </w:tcPr>
          <w:p w14:paraId="390CCC3F">
            <w:pPr>
              <w:autoSpaceDE w:val="0"/>
              <w:autoSpaceDN w:val="0"/>
              <w:spacing w:line="360" w:lineRule="auto"/>
              <w:jc w:val="center"/>
              <w:rPr>
                <w:rFonts w:ascii="仿宋" w:hAnsi="仿宋" w:eastAsia="仿宋" w:cs="仿宋_GB2312"/>
                <w:sz w:val="24"/>
              </w:rPr>
            </w:pPr>
          </w:p>
        </w:tc>
        <w:tc>
          <w:tcPr>
            <w:tcW w:w="5811" w:type="dxa"/>
            <w:vMerge w:val="restart"/>
            <w:tcBorders>
              <w:top w:val="single" w:color="auto" w:sz="6" w:space="0"/>
              <w:left w:val="single" w:color="auto" w:sz="6" w:space="0"/>
              <w:bottom w:val="single" w:color="auto" w:sz="6" w:space="0"/>
              <w:right w:val="single" w:color="auto" w:sz="6" w:space="0"/>
            </w:tcBorders>
            <w:vAlign w:val="center"/>
          </w:tcPr>
          <w:p w14:paraId="4B06CD18">
            <w:pPr>
              <w:autoSpaceDE w:val="0"/>
              <w:autoSpaceDN w:val="0"/>
              <w:spacing w:line="360" w:lineRule="auto"/>
              <w:jc w:val="center"/>
              <w:rPr>
                <w:rFonts w:ascii="仿宋" w:hAnsi="仿宋" w:eastAsia="仿宋" w:cs="仿宋_GB2312"/>
                <w:sz w:val="24"/>
              </w:rPr>
            </w:pPr>
          </w:p>
        </w:tc>
      </w:tr>
      <w:tr w14:paraId="00C27805">
        <w:tblPrEx>
          <w:tblCellMar>
            <w:top w:w="0" w:type="dxa"/>
            <w:left w:w="108" w:type="dxa"/>
            <w:bottom w:w="0" w:type="dxa"/>
            <w:right w:w="108" w:type="dxa"/>
          </w:tblCellMar>
        </w:tblPrEx>
        <w:trPr>
          <w:cantSplit/>
          <w:trHeight w:val="337" w:hRule="atLeast"/>
        </w:trPr>
        <w:tc>
          <w:tcPr>
            <w:tcW w:w="1953" w:type="dxa"/>
            <w:tcBorders>
              <w:top w:val="single" w:color="auto" w:sz="6" w:space="0"/>
              <w:left w:val="single" w:color="auto" w:sz="6" w:space="0"/>
              <w:bottom w:val="single" w:color="auto" w:sz="6" w:space="0"/>
              <w:right w:val="single" w:color="auto" w:sz="6" w:space="0"/>
            </w:tcBorders>
            <w:vAlign w:val="center"/>
          </w:tcPr>
          <w:p w14:paraId="03497886">
            <w:pPr>
              <w:autoSpaceDE w:val="0"/>
              <w:autoSpaceDN w:val="0"/>
              <w:spacing w:line="360" w:lineRule="auto"/>
              <w:jc w:val="center"/>
              <w:rPr>
                <w:rFonts w:ascii="仿宋" w:hAnsi="仿宋" w:eastAsia="仿宋" w:cs="仿宋_GB2312"/>
                <w:sz w:val="24"/>
              </w:rPr>
            </w:pPr>
            <w:r>
              <w:rPr>
                <w:rFonts w:hint="eastAsia" w:ascii="仿宋" w:hAnsi="仿宋" w:eastAsia="仿宋" w:cs="仿宋_GB2312"/>
                <w:sz w:val="24"/>
              </w:rPr>
              <w:t>年龄</w:t>
            </w:r>
          </w:p>
        </w:tc>
        <w:tc>
          <w:tcPr>
            <w:tcW w:w="1308" w:type="dxa"/>
            <w:tcBorders>
              <w:top w:val="single" w:color="auto" w:sz="6" w:space="0"/>
              <w:left w:val="single" w:color="auto" w:sz="6" w:space="0"/>
              <w:bottom w:val="single" w:color="auto" w:sz="6" w:space="0"/>
              <w:right w:val="single" w:color="auto" w:sz="6" w:space="0"/>
            </w:tcBorders>
          </w:tcPr>
          <w:p w14:paraId="692280D8">
            <w:pPr>
              <w:autoSpaceDE w:val="0"/>
              <w:autoSpaceDN w:val="0"/>
              <w:spacing w:line="360" w:lineRule="auto"/>
              <w:jc w:val="center"/>
              <w:rPr>
                <w:rFonts w:ascii="仿宋" w:hAnsi="仿宋" w:eastAsia="仿宋" w:cs="仿宋_GB2312"/>
                <w:sz w:val="24"/>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48EC6D4D">
            <w:pPr>
              <w:autoSpaceDE w:val="0"/>
              <w:autoSpaceDN w:val="0"/>
              <w:spacing w:line="360" w:lineRule="auto"/>
              <w:jc w:val="center"/>
              <w:rPr>
                <w:rFonts w:ascii="仿宋" w:hAnsi="仿宋" w:eastAsia="仿宋" w:cs="仿宋_GB2312"/>
                <w:sz w:val="24"/>
              </w:rPr>
            </w:pPr>
          </w:p>
        </w:tc>
      </w:tr>
      <w:tr w14:paraId="5F313F26">
        <w:tblPrEx>
          <w:tblCellMar>
            <w:top w:w="0" w:type="dxa"/>
            <w:left w:w="108" w:type="dxa"/>
            <w:bottom w:w="0" w:type="dxa"/>
            <w:right w:w="108" w:type="dxa"/>
          </w:tblCellMar>
        </w:tblPrEx>
        <w:trPr>
          <w:cantSplit/>
          <w:trHeight w:val="345" w:hRule="atLeast"/>
        </w:trPr>
        <w:tc>
          <w:tcPr>
            <w:tcW w:w="1953" w:type="dxa"/>
            <w:tcBorders>
              <w:top w:val="single" w:color="auto" w:sz="6" w:space="0"/>
              <w:left w:val="single" w:color="auto" w:sz="6" w:space="0"/>
              <w:bottom w:val="single" w:color="auto" w:sz="6" w:space="0"/>
              <w:right w:val="single" w:color="auto" w:sz="6" w:space="0"/>
            </w:tcBorders>
            <w:vAlign w:val="center"/>
          </w:tcPr>
          <w:p w14:paraId="4B22D032">
            <w:pPr>
              <w:autoSpaceDE w:val="0"/>
              <w:autoSpaceDN w:val="0"/>
              <w:spacing w:line="360" w:lineRule="auto"/>
              <w:jc w:val="center"/>
              <w:rPr>
                <w:rFonts w:ascii="仿宋" w:hAnsi="仿宋" w:eastAsia="仿宋" w:cs="仿宋_GB2312"/>
                <w:sz w:val="24"/>
              </w:rPr>
            </w:pPr>
            <w:r>
              <w:rPr>
                <w:rFonts w:hint="eastAsia" w:ascii="仿宋" w:hAnsi="仿宋" w:eastAsia="仿宋" w:cs="仿宋_GB2312"/>
                <w:sz w:val="24"/>
              </w:rPr>
              <w:t>职称</w:t>
            </w:r>
          </w:p>
        </w:tc>
        <w:tc>
          <w:tcPr>
            <w:tcW w:w="1308" w:type="dxa"/>
            <w:tcBorders>
              <w:top w:val="single" w:color="auto" w:sz="6" w:space="0"/>
              <w:left w:val="single" w:color="auto" w:sz="6" w:space="0"/>
              <w:bottom w:val="single" w:color="auto" w:sz="6" w:space="0"/>
              <w:right w:val="single" w:color="auto" w:sz="6" w:space="0"/>
            </w:tcBorders>
          </w:tcPr>
          <w:p w14:paraId="5C6CC989">
            <w:pPr>
              <w:autoSpaceDE w:val="0"/>
              <w:autoSpaceDN w:val="0"/>
              <w:spacing w:line="360" w:lineRule="auto"/>
              <w:jc w:val="center"/>
              <w:rPr>
                <w:rFonts w:ascii="仿宋" w:hAnsi="仿宋" w:eastAsia="仿宋" w:cs="仿宋_GB2312"/>
                <w:sz w:val="24"/>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4C64AC3E">
            <w:pPr>
              <w:autoSpaceDE w:val="0"/>
              <w:autoSpaceDN w:val="0"/>
              <w:spacing w:line="360" w:lineRule="auto"/>
              <w:jc w:val="center"/>
              <w:rPr>
                <w:rFonts w:ascii="仿宋" w:hAnsi="仿宋" w:eastAsia="仿宋" w:cs="仿宋_GB2312"/>
                <w:sz w:val="24"/>
              </w:rPr>
            </w:pPr>
          </w:p>
        </w:tc>
      </w:tr>
      <w:tr w14:paraId="365C2C11">
        <w:tblPrEx>
          <w:tblCellMar>
            <w:top w:w="0" w:type="dxa"/>
            <w:left w:w="108" w:type="dxa"/>
            <w:bottom w:w="0" w:type="dxa"/>
            <w:right w:w="108" w:type="dxa"/>
          </w:tblCellMar>
        </w:tblPrEx>
        <w:trPr>
          <w:cantSplit/>
          <w:trHeight w:val="345" w:hRule="atLeast"/>
        </w:trPr>
        <w:tc>
          <w:tcPr>
            <w:tcW w:w="1953" w:type="dxa"/>
            <w:tcBorders>
              <w:top w:val="single" w:color="auto" w:sz="6" w:space="0"/>
              <w:left w:val="single" w:color="auto" w:sz="6" w:space="0"/>
              <w:bottom w:val="single" w:color="auto" w:sz="6" w:space="0"/>
              <w:right w:val="single" w:color="auto" w:sz="6" w:space="0"/>
            </w:tcBorders>
            <w:vAlign w:val="center"/>
          </w:tcPr>
          <w:p w14:paraId="1542CC87">
            <w:pPr>
              <w:autoSpaceDE w:val="0"/>
              <w:autoSpaceDN w:val="0"/>
              <w:spacing w:line="360" w:lineRule="auto"/>
              <w:jc w:val="center"/>
              <w:rPr>
                <w:rFonts w:ascii="仿宋" w:hAnsi="仿宋" w:eastAsia="仿宋" w:cs="仿宋_GB2312"/>
                <w:sz w:val="24"/>
              </w:rPr>
            </w:pPr>
            <w:r>
              <w:rPr>
                <w:rFonts w:hint="eastAsia" w:ascii="仿宋" w:hAnsi="仿宋" w:eastAsia="仿宋" w:cs="仿宋_GB2312"/>
                <w:sz w:val="24"/>
              </w:rPr>
              <w:t>毕业时间</w:t>
            </w:r>
          </w:p>
        </w:tc>
        <w:tc>
          <w:tcPr>
            <w:tcW w:w="1308" w:type="dxa"/>
            <w:tcBorders>
              <w:top w:val="single" w:color="auto" w:sz="6" w:space="0"/>
              <w:left w:val="single" w:color="auto" w:sz="6" w:space="0"/>
              <w:bottom w:val="single" w:color="auto" w:sz="6" w:space="0"/>
              <w:right w:val="single" w:color="auto" w:sz="6" w:space="0"/>
            </w:tcBorders>
          </w:tcPr>
          <w:p w14:paraId="25B62C17">
            <w:pPr>
              <w:autoSpaceDE w:val="0"/>
              <w:autoSpaceDN w:val="0"/>
              <w:spacing w:line="360" w:lineRule="auto"/>
              <w:jc w:val="center"/>
              <w:rPr>
                <w:rFonts w:ascii="仿宋" w:hAnsi="仿宋" w:eastAsia="仿宋" w:cs="仿宋_GB2312"/>
                <w:sz w:val="24"/>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421E5399">
            <w:pPr>
              <w:autoSpaceDE w:val="0"/>
              <w:autoSpaceDN w:val="0"/>
              <w:spacing w:line="360" w:lineRule="auto"/>
              <w:jc w:val="center"/>
              <w:rPr>
                <w:rFonts w:ascii="仿宋" w:hAnsi="仿宋" w:eastAsia="仿宋" w:cs="仿宋_GB2312"/>
                <w:sz w:val="24"/>
              </w:rPr>
            </w:pPr>
          </w:p>
        </w:tc>
      </w:tr>
      <w:tr w14:paraId="427BE629">
        <w:tblPrEx>
          <w:tblCellMar>
            <w:top w:w="0" w:type="dxa"/>
            <w:left w:w="108" w:type="dxa"/>
            <w:bottom w:w="0" w:type="dxa"/>
            <w:right w:w="108" w:type="dxa"/>
          </w:tblCellMar>
        </w:tblPrEx>
        <w:trPr>
          <w:cantSplit/>
          <w:trHeight w:val="422" w:hRule="atLeast"/>
        </w:trPr>
        <w:tc>
          <w:tcPr>
            <w:tcW w:w="1953" w:type="dxa"/>
            <w:tcBorders>
              <w:top w:val="single" w:color="auto" w:sz="6" w:space="0"/>
              <w:left w:val="single" w:color="auto" w:sz="6" w:space="0"/>
              <w:bottom w:val="single" w:color="auto" w:sz="6" w:space="0"/>
              <w:right w:val="single" w:color="auto" w:sz="6" w:space="0"/>
            </w:tcBorders>
            <w:vAlign w:val="center"/>
          </w:tcPr>
          <w:p w14:paraId="003EBF55">
            <w:pPr>
              <w:autoSpaceDE w:val="0"/>
              <w:autoSpaceDN w:val="0"/>
              <w:spacing w:line="360" w:lineRule="auto"/>
              <w:jc w:val="center"/>
              <w:rPr>
                <w:rFonts w:ascii="仿宋" w:hAnsi="仿宋" w:eastAsia="仿宋" w:cs="仿宋_GB2312"/>
                <w:sz w:val="24"/>
              </w:rPr>
            </w:pPr>
            <w:r>
              <w:rPr>
                <w:rFonts w:hint="eastAsia" w:ascii="仿宋" w:hAnsi="仿宋" w:eastAsia="仿宋" w:cs="仿宋_GB2312"/>
                <w:sz w:val="24"/>
              </w:rPr>
              <w:t>所学专业</w:t>
            </w:r>
          </w:p>
        </w:tc>
        <w:tc>
          <w:tcPr>
            <w:tcW w:w="1308" w:type="dxa"/>
            <w:tcBorders>
              <w:top w:val="single" w:color="auto" w:sz="6" w:space="0"/>
              <w:left w:val="single" w:color="auto" w:sz="6" w:space="0"/>
              <w:bottom w:val="single" w:color="auto" w:sz="6" w:space="0"/>
              <w:right w:val="single" w:color="auto" w:sz="6" w:space="0"/>
            </w:tcBorders>
          </w:tcPr>
          <w:p w14:paraId="42B2339E">
            <w:pPr>
              <w:autoSpaceDE w:val="0"/>
              <w:autoSpaceDN w:val="0"/>
              <w:spacing w:line="360" w:lineRule="auto"/>
              <w:jc w:val="center"/>
              <w:rPr>
                <w:rFonts w:ascii="仿宋" w:hAnsi="仿宋" w:eastAsia="仿宋" w:cs="仿宋_GB2312"/>
                <w:sz w:val="24"/>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1026C94D">
            <w:pPr>
              <w:autoSpaceDE w:val="0"/>
              <w:autoSpaceDN w:val="0"/>
              <w:spacing w:line="360" w:lineRule="auto"/>
              <w:jc w:val="center"/>
              <w:rPr>
                <w:rFonts w:ascii="仿宋" w:hAnsi="仿宋" w:eastAsia="仿宋" w:cs="仿宋_GB2312"/>
                <w:sz w:val="24"/>
              </w:rPr>
            </w:pPr>
          </w:p>
        </w:tc>
      </w:tr>
      <w:tr w14:paraId="6BF30A57">
        <w:tblPrEx>
          <w:tblCellMar>
            <w:top w:w="0" w:type="dxa"/>
            <w:left w:w="108" w:type="dxa"/>
            <w:bottom w:w="0" w:type="dxa"/>
            <w:right w:w="108" w:type="dxa"/>
          </w:tblCellMar>
        </w:tblPrEx>
        <w:trPr>
          <w:cantSplit/>
          <w:trHeight w:val="416" w:hRule="atLeast"/>
        </w:trPr>
        <w:tc>
          <w:tcPr>
            <w:tcW w:w="1953" w:type="dxa"/>
            <w:tcBorders>
              <w:top w:val="single" w:color="auto" w:sz="6" w:space="0"/>
              <w:left w:val="single" w:color="auto" w:sz="6" w:space="0"/>
              <w:bottom w:val="single" w:color="auto" w:sz="6" w:space="0"/>
              <w:right w:val="single" w:color="auto" w:sz="6" w:space="0"/>
            </w:tcBorders>
            <w:vAlign w:val="center"/>
          </w:tcPr>
          <w:p w14:paraId="138BBF01">
            <w:pPr>
              <w:autoSpaceDE w:val="0"/>
              <w:autoSpaceDN w:val="0"/>
              <w:spacing w:line="360" w:lineRule="auto"/>
              <w:jc w:val="center"/>
              <w:rPr>
                <w:rFonts w:ascii="仿宋" w:hAnsi="仿宋" w:eastAsia="仿宋" w:cs="仿宋_GB2312"/>
                <w:sz w:val="24"/>
              </w:rPr>
            </w:pPr>
            <w:r>
              <w:rPr>
                <w:rFonts w:hint="eastAsia" w:ascii="仿宋" w:hAnsi="仿宋" w:eastAsia="仿宋" w:cs="仿宋_GB2312"/>
                <w:sz w:val="24"/>
              </w:rPr>
              <w:t>学历</w:t>
            </w:r>
          </w:p>
        </w:tc>
        <w:tc>
          <w:tcPr>
            <w:tcW w:w="1308" w:type="dxa"/>
            <w:tcBorders>
              <w:top w:val="single" w:color="auto" w:sz="6" w:space="0"/>
              <w:left w:val="single" w:color="auto" w:sz="6" w:space="0"/>
              <w:bottom w:val="single" w:color="auto" w:sz="6" w:space="0"/>
              <w:right w:val="single" w:color="auto" w:sz="6" w:space="0"/>
            </w:tcBorders>
          </w:tcPr>
          <w:p w14:paraId="1C1706F6">
            <w:pPr>
              <w:autoSpaceDE w:val="0"/>
              <w:autoSpaceDN w:val="0"/>
              <w:spacing w:line="360" w:lineRule="auto"/>
              <w:jc w:val="center"/>
              <w:rPr>
                <w:rFonts w:ascii="仿宋" w:hAnsi="仿宋" w:eastAsia="仿宋" w:cs="仿宋_GB2312"/>
                <w:sz w:val="24"/>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1EABB8F6">
            <w:pPr>
              <w:autoSpaceDE w:val="0"/>
              <w:autoSpaceDN w:val="0"/>
              <w:spacing w:line="360" w:lineRule="auto"/>
              <w:jc w:val="center"/>
              <w:rPr>
                <w:rFonts w:ascii="仿宋" w:hAnsi="仿宋" w:eastAsia="仿宋" w:cs="仿宋_GB2312"/>
                <w:sz w:val="24"/>
              </w:rPr>
            </w:pPr>
          </w:p>
        </w:tc>
      </w:tr>
      <w:tr w14:paraId="2099CA0A">
        <w:tblPrEx>
          <w:tblCellMar>
            <w:top w:w="0" w:type="dxa"/>
            <w:left w:w="108" w:type="dxa"/>
            <w:bottom w:w="0" w:type="dxa"/>
            <w:right w:w="108" w:type="dxa"/>
          </w:tblCellMar>
        </w:tblPrEx>
        <w:trPr>
          <w:cantSplit/>
          <w:trHeight w:val="356" w:hRule="atLeast"/>
        </w:trPr>
        <w:tc>
          <w:tcPr>
            <w:tcW w:w="1953" w:type="dxa"/>
            <w:tcBorders>
              <w:top w:val="single" w:color="auto" w:sz="6" w:space="0"/>
              <w:left w:val="single" w:color="auto" w:sz="6" w:space="0"/>
              <w:bottom w:val="single" w:color="auto" w:sz="6" w:space="0"/>
              <w:right w:val="single" w:color="auto" w:sz="6" w:space="0"/>
            </w:tcBorders>
            <w:vAlign w:val="center"/>
          </w:tcPr>
          <w:p w14:paraId="4D488D30">
            <w:pPr>
              <w:autoSpaceDE w:val="0"/>
              <w:autoSpaceDN w:val="0"/>
              <w:spacing w:line="360" w:lineRule="auto"/>
              <w:jc w:val="center"/>
              <w:rPr>
                <w:rFonts w:ascii="仿宋" w:hAnsi="仿宋" w:eastAsia="仿宋" w:cs="仿宋_GB2312"/>
                <w:sz w:val="24"/>
              </w:rPr>
            </w:pPr>
            <w:r>
              <w:rPr>
                <w:rFonts w:hint="eastAsia" w:ascii="仿宋" w:hAnsi="仿宋" w:eastAsia="仿宋" w:cs="仿宋_GB2312"/>
                <w:sz w:val="24"/>
              </w:rPr>
              <w:t>相关资质证书</w:t>
            </w:r>
          </w:p>
        </w:tc>
        <w:tc>
          <w:tcPr>
            <w:tcW w:w="1308" w:type="dxa"/>
            <w:tcBorders>
              <w:top w:val="single" w:color="auto" w:sz="6" w:space="0"/>
              <w:left w:val="single" w:color="auto" w:sz="6" w:space="0"/>
              <w:bottom w:val="single" w:color="auto" w:sz="6" w:space="0"/>
              <w:right w:val="single" w:color="auto" w:sz="6" w:space="0"/>
            </w:tcBorders>
          </w:tcPr>
          <w:p w14:paraId="36F9068C">
            <w:pPr>
              <w:autoSpaceDE w:val="0"/>
              <w:autoSpaceDN w:val="0"/>
              <w:spacing w:line="360" w:lineRule="auto"/>
              <w:jc w:val="center"/>
              <w:rPr>
                <w:rFonts w:ascii="仿宋" w:hAnsi="仿宋" w:eastAsia="仿宋" w:cs="仿宋_GB2312"/>
                <w:sz w:val="24"/>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6A63B552">
            <w:pPr>
              <w:autoSpaceDE w:val="0"/>
              <w:autoSpaceDN w:val="0"/>
              <w:spacing w:line="360" w:lineRule="auto"/>
              <w:jc w:val="center"/>
              <w:rPr>
                <w:rFonts w:ascii="仿宋" w:hAnsi="仿宋" w:eastAsia="仿宋" w:cs="仿宋_GB2312"/>
                <w:sz w:val="24"/>
              </w:rPr>
            </w:pPr>
          </w:p>
        </w:tc>
      </w:tr>
      <w:tr w14:paraId="4B84F362">
        <w:tblPrEx>
          <w:tblCellMar>
            <w:top w:w="0" w:type="dxa"/>
            <w:left w:w="108" w:type="dxa"/>
            <w:bottom w:w="0" w:type="dxa"/>
            <w:right w:w="108" w:type="dxa"/>
          </w:tblCellMar>
        </w:tblPrEx>
        <w:trPr>
          <w:cantSplit/>
          <w:trHeight w:val="177" w:hRule="atLeast"/>
        </w:trPr>
        <w:tc>
          <w:tcPr>
            <w:tcW w:w="1953" w:type="dxa"/>
            <w:tcBorders>
              <w:top w:val="single" w:color="auto" w:sz="6" w:space="0"/>
              <w:left w:val="single" w:color="auto" w:sz="6" w:space="0"/>
              <w:bottom w:val="single" w:color="auto" w:sz="6" w:space="0"/>
              <w:right w:val="single" w:color="auto" w:sz="6" w:space="0"/>
            </w:tcBorders>
            <w:vAlign w:val="center"/>
          </w:tcPr>
          <w:p w14:paraId="094C1E70">
            <w:pPr>
              <w:autoSpaceDE w:val="0"/>
              <w:autoSpaceDN w:val="0"/>
              <w:spacing w:line="360" w:lineRule="auto"/>
              <w:jc w:val="center"/>
              <w:rPr>
                <w:rFonts w:ascii="仿宋" w:hAnsi="仿宋" w:eastAsia="仿宋" w:cs="仿宋_GB2312"/>
                <w:sz w:val="24"/>
              </w:rPr>
            </w:pPr>
            <w:r>
              <w:rPr>
                <w:rFonts w:hint="eastAsia" w:ascii="仿宋" w:hAnsi="仿宋" w:eastAsia="仿宋" w:cs="仿宋_GB2312"/>
                <w:sz w:val="24"/>
              </w:rPr>
              <w:t>其他资质情况</w:t>
            </w:r>
          </w:p>
        </w:tc>
        <w:tc>
          <w:tcPr>
            <w:tcW w:w="1308" w:type="dxa"/>
            <w:tcBorders>
              <w:top w:val="single" w:color="auto" w:sz="6" w:space="0"/>
              <w:left w:val="single" w:color="auto" w:sz="6" w:space="0"/>
              <w:bottom w:val="single" w:color="auto" w:sz="6" w:space="0"/>
              <w:right w:val="single" w:color="auto" w:sz="6" w:space="0"/>
            </w:tcBorders>
          </w:tcPr>
          <w:p w14:paraId="5DFB8605">
            <w:pPr>
              <w:autoSpaceDE w:val="0"/>
              <w:autoSpaceDN w:val="0"/>
              <w:spacing w:line="360" w:lineRule="auto"/>
              <w:jc w:val="center"/>
              <w:rPr>
                <w:rFonts w:ascii="仿宋" w:hAnsi="仿宋" w:eastAsia="仿宋" w:cs="仿宋_GB2312"/>
                <w:sz w:val="24"/>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40649E75">
            <w:pPr>
              <w:autoSpaceDE w:val="0"/>
              <w:autoSpaceDN w:val="0"/>
              <w:spacing w:line="360" w:lineRule="auto"/>
              <w:jc w:val="center"/>
              <w:rPr>
                <w:rFonts w:ascii="仿宋" w:hAnsi="仿宋" w:eastAsia="仿宋" w:cs="仿宋_GB2312"/>
                <w:sz w:val="24"/>
              </w:rPr>
            </w:pPr>
          </w:p>
        </w:tc>
      </w:tr>
      <w:tr w14:paraId="18301797">
        <w:tblPrEx>
          <w:tblCellMar>
            <w:top w:w="0" w:type="dxa"/>
            <w:left w:w="108" w:type="dxa"/>
            <w:bottom w:w="0" w:type="dxa"/>
            <w:right w:w="108" w:type="dxa"/>
          </w:tblCellMar>
        </w:tblPrEx>
        <w:trPr>
          <w:cantSplit/>
          <w:trHeight w:val="169" w:hRule="atLeast"/>
        </w:trPr>
        <w:tc>
          <w:tcPr>
            <w:tcW w:w="1953" w:type="dxa"/>
            <w:tcBorders>
              <w:top w:val="single" w:color="auto" w:sz="6" w:space="0"/>
              <w:left w:val="single" w:color="auto" w:sz="6" w:space="0"/>
              <w:bottom w:val="single" w:color="auto" w:sz="6" w:space="0"/>
              <w:right w:val="single" w:color="auto" w:sz="6" w:space="0"/>
            </w:tcBorders>
            <w:vAlign w:val="center"/>
          </w:tcPr>
          <w:p w14:paraId="57C29700">
            <w:pPr>
              <w:autoSpaceDE w:val="0"/>
              <w:autoSpaceDN w:val="0"/>
              <w:spacing w:line="360" w:lineRule="auto"/>
              <w:jc w:val="center"/>
              <w:rPr>
                <w:rFonts w:ascii="仿宋" w:hAnsi="仿宋" w:eastAsia="仿宋" w:cs="仿宋_GB2312"/>
                <w:sz w:val="24"/>
              </w:rPr>
            </w:pPr>
            <w:r>
              <w:rPr>
                <w:rFonts w:hint="eastAsia" w:ascii="仿宋" w:hAnsi="仿宋" w:eastAsia="仿宋" w:cs="仿宋_GB2312"/>
                <w:sz w:val="24"/>
              </w:rPr>
              <w:t>联系电话</w:t>
            </w:r>
          </w:p>
        </w:tc>
        <w:tc>
          <w:tcPr>
            <w:tcW w:w="1308" w:type="dxa"/>
            <w:tcBorders>
              <w:top w:val="single" w:color="auto" w:sz="6" w:space="0"/>
              <w:left w:val="single" w:color="auto" w:sz="6" w:space="0"/>
              <w:bottom w:val="single" w:color="auto" w:sz="6" w:space="0"/>
              <w:right w:val="single" w:color="auto" w:sz="6" w:space="0"/>
            </w:tcBorders>
          </w:tcPr>
          <w:p w14:paraId="47DD1841">
            <w:pPr>
              <w:autoSpaceDE w:val="0"/>
              <w:autoSpaceDN w:val="0"/>
              <w:spacing w:line="360" w:lineRule="auto"/>
              <w:jc w:val="center"/>
              <w:rPr>
                <w:rFonts w:ascii="仿宋" w:hAnsi="仿宋" w:eastAsia="仿宋" w:cs="仿宋_GB2312"/>
                <w:sz w:val="24"/>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4CEC991F">
            <w:pPr>
              <w:autoSpaceDE w:val="0"/>
              <w:autoSpaceDN w:val="0"/>
              <w:spacing w:line="360" w:lineRule="auto"/>
              <w:jc w:val="center"/>
              <w:rPr>
                <w:rFonts w:ascii="仿宋" w:hAnsi="仿宋" w:eastAsia="仿宋" w:cs="仿宋_GB2312"/>
                <w:sz w:val="24"/>
              </w:rPr>
            </w:pPr>
          </w:p>
        </w:tc>
      </w:tr>
    </w:tbl>
    <w:p w14:paraId="24702195">
      <w:pPr>
        <w:pStyle w:val="50"/>
        <w:spacing w:line="440" w:lineRule="exact"/>
        <w:ind w:firstLine="482"/>
        <w:rPr>
          <w:rFonts w:ascii="仿宋" w:hAnsi="仿宋" w:eastAsia="仿宋" w:cs="仿宋"/>
          <w:b/>
          <w:szCs w:val="24"/>
        </w:rPr>
      </w:pPr>
      <w:r>
        <w:rPr>
          <w:rFonts w:hint="eastAsia" w:ascii="仿宋" w:hAnsi="仿宋" w:eastAsia="仿宋" w:cs="仿宋"/>
          <w:b/>
          <w:szCs w:val="24"/>
        </w:rPr>
        <w:t>附：提供项目负责人近三个月（202</w:t>
      </w:r>
      <w:r>
        <w:rPr>
          <w:rFonts w:hint="eastAsia" w:ascii="仿宋" w:hAnsi="仿宋" w:eastAsia="仿宋" w:cs="仿宋"/>
          <w:b/>
          <w:szCs w:val="24"/>
          <w:lang w:val="en-US" w:eastAsia="zh-CN"/>
        </w:rPr>
        <w:t>5</w:t>
      </w:r>
      <w:r>
        <w:rPr>
          <w:rFonts w:hint="eastAsia" w:ascii="仿宋" w:hAnsi="仿宋" w:eastAsia="仿宋" w:cs="仿宋"/>
          <w:b/>
          <w:szCs w:val="24"/>
        </w:rPr>
        <w:t>年</w:t>
      </w:r>
      <w:r>
        <w:rPr>
          <w:rFonts w:hint="eastAsia" w:ascii="仿宋" w:hAnsi="仿宋" w:eastAsia="仿宋" w:cs="仿宋"/>
          <w:b/>
          <w:szCs w:val="24"/>
          <w:lang w:val="en-US" w:eastAsia="zh-CN"/>
        </w:rPr>
        <w:t>1</w:t>
      </w:r>
      <w:r>
        <w:rPr>
          <w:rFonts w:hint="eastAsia" w:ascii="仿宋" w:hAnsi="仿宋" w:eastAsia="仿宋" w:cs="仿宋"/>
          <w:b/>
          <w:szCs w:val="24"/>
        </w:rPr>
        <w:t>月、202</w:t>
      </w:r>
      <w:r>
        <w:rPr>
          <w:rFonts w:hint="eastAsia" w:ascii="仿宋" w:hAnsi="仿宋" w:eastAsia="仿宋" w:cs="仿宋"/>
          <w:b/>
          <w:szCs w:val="24"/>
          <w:lang w:val="en-US" w:eastAsia="zh-CN"/>
        </w:rPr>
        <w:t>5</w:t>
      </w:r>
      <w:r>
        <w:rPr>
          <w:rFonts w:hint="eastAsia" w:ascii="仿宋" w:hAnsi="仿宋" w:eastAsia="仿宋" w:cs="仿宋"/>
          <w:b/>
          <w:szCs w:val="24"/>
        </w:rPr>
        <w:t>年</w:t>
      </w:r>
      <w:r>
        <w:rPr>
          <w:rFonts w:hint="eastAsia" w:ascii="仿宋" w:hAnsi="仿宋" w:eastAsia="仿宋" w:cs="仿宋"/>
          <w:b/>
          <w:szCs w:val="24"/>
          <w:lang w:val="en-US" w:eastAsia="zh-CN"/>
        </w:rPr>
        <w:t>2</w:t>
      </w:r>
      <w:r>
        <w:rPr>
          <w:rFonts w:hint="eastAsia" w:ascii="仿宋" w:hAnsi="仿宋" w:eastAsia="仿宋" w:cs="仿宋"/>
          <w:b/>
          <w:szCs w:val="24"/>
        </w:rPr>
        <w:t>月、202</w:t>
      </w:r>
      <w:r>
        <w:rPr>
          <w:rFonts w:hint="eastAsia" w:ascii="仿宋" w:hAnsi="仿宋" w:eastAsia="仿宋" w:cs="仿宋"/>
          <w:b/>
          <w:szCs w:val="24"/>
          <w:lang w:val="en-US" w:eastAsia="zh-CN"/>
        </w:rPr>
        <w:t>5</w:t>
      </w:r>
      <w:r>
        <w:rPr>
          <w:rFonts w:hint="eastAsia" w:ascii="仿宋" w:hAnsi="仿宋" w:eastAsia="仿宋" w:cs="仿宋"/>
          <w:b/>
          <w:szCs w:val="24"/>
        </w:rPr>
        <w:t>年</w:t>
      </w:r>
      <w:r>
        <w:rPr>
          <w:rFonts w:hint="eastAsia" w:ascii="仿宋" w:hAnsi="仿宋" w:eastAsia="仿宋" w:cs="仿宋"/>
          <w:b/>
          <w:szCs w:val="24"/>
          <w:lang w:val="en-US" w:eastAsia="zh-CN"/>
        </w:rPr>
        <w:t>3</w:t>
      </w:r>
      <w:r>
        <w:rPr>
          <w:rFonts w:hint="eastAsia" w:ascii="仿宋" w:hAnsi="仿宋" w:eastAsia="仿宋" w:cs="仿宋"/>
          <w:b/>
          <w:szCs w:val="24"/>
        </w:rPr>
        <w:t>月）社保证明复印件并加盖公章（否则做无效标处理）。</w:t>
      </w:r>
    </w:p>
    <w:p w14:paraId="59D6A53B">
      <w:pPr>
        <w:spacing w:line="360" w:lineRule="auto"/>
        <w:ind w:right="420"/>
        <w:rPr>
          <w:rFonts w:ascii="仿宋" w:hAnsi="仿宋" w:eastAsia="仿宋" w:cs="仿宋_GB2312"/>
          <w:sz w:val="24"/>
        </w:rPr>
      </w:pPr>
    </w:p>
    <w:p w14:paraId="47066AA4">
      <w:pPr>
        <w:autoSpaceDE w:val="0"/>
        <w:autoSpaceDN w:val="0"/>
        <w:spacing w:line="360" w:lineRule="auto"/>
        <w:ind w:firstLine="4560" w:firstLineChars="1900"/>
        <w:rPr>
          <w:rFonts w:ascii="仿宋" w:hAnsi="仿宋" w:eastAsia="仿宋" w:cs="仿宋_GB2312"/>
          <w:kern w:val="0"/>
          <w:sz w:val="24"/>
        </w:rPr>
      </w:pPr>
      <w:r>
        <w:rPr>
          <w:rFonts w:hint="eastAsia" w:ascii="仿宋" w:hAnsi="仿宋" w:eastAsia="仿宋" w:cs="仿宋_GB2312"/>
          <w:kern w:val="0"/>
          <w:sz w:val="24"/>
        </w:rPr>
        <w:t>投标人名称（</w:t>
      </w:r>
      <w:r>
        <w:rPr>
          <w:rFonts w:hint="eastAsia" w:ascii="仿宋" w:hAnsi="仿宋" w:eastAsia="仿宋" w:cs="仿宋_GB2312"/>
          <w:kern w:val="0"/>
          <w:sz w:val="24"/>
          <w:lang w:val="zh-CN"/>
        </w:rPr>
        <w:t>电子签名</w:t>
      </w:r>
      <w:r>
        <w:rPr>
          <w:rFonts w:hint="eastAsia" w:ascii="仿宋" w:hAnsi="仿宋" w:eastAsia="仿宋" w:cs="仿宋_GB2312"/>
          <w:kern w:val="0"/>
          <w:sz w:val="24"/>
        </w:rPr>
        <w:t>）：</w:t>
      </w:r>
    </w:p>
    <w:p w14:paraId="44090A00">
      <w:pPr>
        <w:snapToGrid w:val="0"/>
        <w:spacing w:before="50" w:after="50"/>
        <w:rPr>
          <w:rFonts w:ascii="仿宋" w:hAnsi="仿宋" w:eastAsia="仿宋" w:cs="仿宋_GB2312"/>
          <w:kern w:val="0"/>
          <w:sz w:val="24"/>
        </w:rPr>
      </w:pPr>
      <w:r>
        <w:rPr>
          <w:rFonts w:hint="eastAsia" w:ascii="仿宋" w:hAnsi="仿宋" w:eastAsia="仿宋" w:cs="仿宋_GB2312"/>
          <w:kern w:val="0"/>
          <w:sz w:val="24"/>
        </w:rPr>
        <w:t xml:space="preserve">                                       日期：  年  月   日</w:t>
      </w:r>
    </w:p>
    <w:p w14:paraId="7823BC7A">
      <w:pPr>
        <w:spacing w:line="360" w:lineRule="auto"/>
        <w:jc w:val="center"/>
        <w:rPr>
          <w:rFonts w:ascii="仿宋" w:hAnsi="仿宋" w:eastAsia="仿宋" w:cs="仿宋_GB2312"/>
          <w:b/>
          <w:bCs/>
          <w:sz w:val="32"/>
          <w:szCs w:val="32"/>
        </w:rPr>
      </w:pPr>
      <w:r>
        <w:rPr>
          <w:rFonts w:hint="eastAsia" w:ascii="仿宋" w:hAnsi="仿宋" w:eastAsia="仿宋" w:cs="仿宋_GB2312"/>
          <w:sz w:val="24"/>
        </w:rPr>
        <w:br w:type="page"/>
      </w:r>
      <w:r>
        <w:rPr>
          <w:rFonts w:hint="eastAsia" w:ascii="仿宋" w:hAnsi="仿宋" w:eastAsia="仿宋" w:cs="仿宋_GB2312"/>
          <w:b/>
          <w:bCs/>
          <w:sz w:val="32"/>
          <w:szCs w:val="32"/>
        </w:rPr>
        <w:t>五、项目组人员名单</w:t>
      </w:r>
    </w:p>
    <w:tbl>
      <w:tblPr>
        <w:tblStyle w:val="60"/>
        <w:tblW w:w="9242" w:type="dxa"/>
        <w:tblCellSpacing w:w="0" w:type="dxa"/>
        <w:tblInd w:w="-525" w:type="dxa"/>
        <w:tblBorders>
          <w:top w:val="outset" w:color="333333" w:sz="6" w:space="0"/>
          <w:left w:val="outset" w:color="333333" w:sz="6" w:space="0"/>
          <w:bottom w:val="outset" w:color="333333" w:sz="6" w:space="0"/>
          <w:right w:val="outset" w:color="333333" w:sz="6" w:space="0"/>
          <w:insideH w:val="outset" w:color="333333" w:sz="6" w:space="0"/>
          <w:insideV w:val="outset" w:color="333333" w:sz="6" w:space="0"/>
        </w:tblBorders>
        <w:tblLayout w:type="fixed"/>
        <w:tblCellMar>
          <w:top w:w="0" w:type="dxa"/>
          <w:left w:w="0" w:type="dxa"/>
          <w:bottom w:w="0" w:type="dxa"/>
          <w:right w:w="0" w:type="dxa"/>
        </w:tblCellMar>
      </w:tblPr>
      <w:tblGrid>
        <w:gridCol w:w="644"/>
        <w:gridCol w:w="920"/>
        <w:gridCol w:w="1175"/>
        <w:gridCol w:w="1068"/>
        <w:gridCol w:w="832"/>
        <w:gridCol w:w="1037"/>
        <w:gridCol w:w="1063"/>
        <w:gridCol w:w="1187"/>
        <w:gridCol w:w="1316"/>
      </w:tblGrid>
      <w:tr w14:paraId="1C93F585">
        <w:tblPrEx>
          <w:tblBorders>
            <w:top w:val="outset" w:color="333333" w:sz="6" w:space="0"/>
            <w:left w:val="outset" w:color="333333" w:sz="6" w:space="0"/>
            <w:bottom w:val="outset" w:color="333333" w:sz="6" w:space="0"/>
            <w:right w:val="outset" w:color="333333" w:sz="6" w:space="0"/>
            <w:insideH w:val="outset" w:color="333333" w:sz="6" w:space="0"/>
            <w:insideV w:val="outset" w:color="333333" w:sz="6" w:space="0"/>
          </w:tblBorders>
          <w:tblCellMar>
            <w:top w:w="0" w:type="dxa"/>
            <w:left w:w="0" w:type="dxa"/>
            <w:bottom w:w="0" w:type="dxa"/>
            <w:right w:w="0" w:type="dxa"/>
          </w:tblCellMar>
        </w:tblPrEx>
        <w:trPr>
          <w:trHeight w:val="728" w:hRule="atLeast"/>
          <w:tblCellSpacing w:w="0" w:type="dxa"/>
        </w:trPr>
        <w:tc>
          <w:tcPr>
            <w:tcW w:w="1564" w:type="dxa"/>
            <w:gridSpan w:val="2"/>
            <w:vAlign w:val="center"/>
          </w:tcPr>
          <w:p w14:paraId="7E009520">
            <w:pPr>
              <w:widowControl/>
              <w:jc w:val="center"/>
              <w:rPr>
                <w:rFonts w:ascii="宋体" w:hAnsi="宋体" w:cs="宋体"/>
                <w:kern w:val="0"/>
                <w:sz w:val="24"/>
              </w:rPr>
            </w:pPr>
            <w:r>
              <w:rPr>
                <w:rFonts w:hint="eastAsia" w:ascii="宋体" w:hAnsi="宋体" w:cs="宋体"/>
                <w:kern w:val="0"/>
                <w:sz w:val="24"/>
              </w:rPr>
              <w:t>岗位</w:t>
            </w:r>
            <w:r>
              <w:rPr>
                <w:rFonts w:ascii="宋体" w:hAnsi="宋体" w:cs="宋体"/>
                <w:kern w:val="0"/>
                <w:sz w:val="24"/>
              </w:rPr>
              <w:t xml:space="preserve">　　　 </w:t>
            </w:r>
          </w:p>
        </w:tc>
        <w:tc>
          <w:tcPr>
            <w:tcW w:w="1175" w:type="dxa"/>
            <w:vAlign w:val="center"/>
          </w:tcPr>
          <w:p w14:paraId="22DD538D">
            <w:pPr>
              <w:widowControl/>
              <w:jc w:val="center"/>
              <w:rPr>
                <w:rFonts w:ascii="宋体" w:hAnsi="宋体" w:cs="宋体"/>
                <w:kern w:val="0"/>
                <w:sz w:val="24"/>
              </w:rPr>
            </w:pPr>
            <w:r>
              <w:rPr>
                <w:rFonts w:ascii="宋体" w:hAnsi="宋体" w:cs="宋体"/>
                <w:kern w:val="0"/>
                <w:sz w:val="24"/>
              </w:rPr>
              <w:t xml:space="preserve">姓名 </w:t>
            </w:r>
          </w:p>
        </w:tc>
        <w:tc>
          <w:tcPr>
            <w:tcW w:w="1068" w:type="dxa"/>
            <w:vAlign w:val="center"/>
          </w:tcPr>
          <w:p w14:paraId="69F1A67E">
            <w:pPr>
              <w:widowControl/>
              <w:jc w:val="center"/>
              <w:rPr>
                <w:rFonts w:ascii="宋体" w:hAnsi="宋体" w:cs="宋体"/>
                <w:kern w:val="0"/>
                <w:sz w:val="24"/>
              </w:rPr>
            </w:pPr>
            <w:r>
              <w:rPr>
                <w:rFonts w:hint="eastAsia" w:ascii="宋体" w:hAnsi="宋体" w:cs="宋体"/>
                <w:kern w:val="0"/>
                <w:sz w:val="24"/>
              </w:rPr>
              <w:t>性别</w:t>
            </w:r>
            <w:r>
              <w:rPr>
                <w:rFonts w:ascii="宋体" w:hAnsi="宋体" w:cs="宋体"/>
                <w:kern w:val="0"/>
                <w:sz w:val="24"/>
              </w:rPr>
              <w:t xml:space="preserve">　 </w:t>
            </w:r>
          </w:p>
        </w:tc>
        <w:tc>
          <w:tcPr>
            <w:tcW w:w="832" w:type="dxa"/>
            <w:vAlign w:val="center"/>
          </w:tcPr>
          <w:p w14:paraId="4F0817CE">
            <w:pPr>
              <w:widowControl/>
              <w:jc w:val="center"/>
              <w:rPr>
                <w:rFonts w:ascii="宋体" w:hAnsi="宋体" w:cs="宋体"/>
                <w:kern w:val="0"/>
                <w:sz w:val="24"/>
              </w:rPr>
            </w:pPr>
            <w:r>
              <w:rPr>
                <w:rFonts w:ascii="宋体" w:hAnsi="宋体" w:cs="宋体"/>
                <w:kern w:val="0"/>
                <w:sz w:val="24"/>
              </w:rPr>
              <w:t xml:space="preserve">年龄 </w:t>
            </w:r>
          </w:p>
        </w:tc>
        <w:tc>
          <w:tcPr>
            <w:tcW w:w="1037" w:type="dxa"/>
            <w:tcBorders>
              <w:right w:val="single" w:color="auto" w:sz="4" w:space="0"/>
            </w:tcBorders>
            <w:vAlign w:val="center"/>
          </w:tcPr>
          <w:p w14:paraId="289D991F">
            <w:pPr>
              <w:widowControl/>
              <w:jc w:val="center"/>
              <w:rPr>
                <w:rFonts w:ascii="宋体" w:hAnsi="宋体" w:cs="宋体"/>
                <w:kern w:val="0"/>
                <w:sz w:val="24"/>
              </w:rPr>
            </w:pPr>
            <w:r>
              <w:rPr>
                <w:rFonts w:hint="eastAsia" w:ascii="宋体" w:hAnsi="宋体" w:cs="宋体"/>
                <w:kern w:val="0"/>
                <w:sz w:val="24"/>
              </w:rPr>
              <w:t>学历</w:t>
            </w:r>
            <w:r>
              <w:rPr>
                <w:rFonts w:ascii="宋体" w:hAnsi="宋体" w:cs="宋体"/>
                <w:kern w:val="0"/>
                <w:sz w:val="24"/>
              </w:rPr>
              <w:t xml:space="preserve"> </w:t>
            </w:r>
          </w:p>
        </w:tc>
        <w:tc>
          <w:tcPr>
            <w:tcW w:w="1063" w:type="dxa"/>
            <w:tcBorders>
              <w:left w:val="single" w:color="auto" w:sz="4" w:space="0"/>
            </w:tcBorders>
            <w:vAlign w:val="center"/>
          </w:tcPr>
          <w:p w14:paraId="56E0C394">
            <w:pPr>
              <w:widowControl/>
              <w:jc w:val="center"/>
              <w:rPr>
                <w:rFonts w:ascii="宋体" w:hAnsi="宋体" w:cs="宋体"/>
                <w:kern w:val="0"/>
                <w:sz w:val="24"/>
              </w:rPr>
            </w:pPr>
            <w:r>
              <w:rPr>
                <w:rFonts w:ascii="宋体" w:hAnsi="宋体" w:cs="宋体"/>
                <w:kern w:val="0"/>
                <w:sz w:val="24"/>
              </w:rPr>
              <w:t>执业资格注册号</w:t>
            </w:r>
          </w:p>
        </w:tc>
        <w:tc>
          <w:tcPr>
            <w:tcW w:w="1187" w:type="dxa"/>
            <w:tcBorders>
              <w:right w:val="single" w:color="auto" w:sz="4" w:space="0"/>
            </w:tcBorders>
            <w:vAlign w:val="center"/>
          </w:tcPr>
          <w:p w14:paraId="36904919">
            <w:pPr>
              <w:widowControl/>
              <w:jc w:val="center"/>
              <w:rPr>
                <w:rFonts w:ascii="宋体" w:hAnsi="宋体" w:cs="宋体"/>
                <w:kern w:val="0"/>
                <w:sz w:val="24"/>
              </w:rPr>
            </w:pPr>
            <w:r>
              <w:rPr>
                <w:rFonts w:hint="eastAsia" w:ascii="宋体" w:hAnsi="宋体" w:cs="宋体"/>
                <w:kern w:val="0"/>
                <w:sz w:val="24"/>
              </w:rPr>
              <w:t>职称</w:t>
            </w:r>
          </w:p>
        </w:tc>
        <w:tc>
          <w:tcPr>
            <w:tcW w:w="1316" w:type="dxa"/>
            <w:vAlign w:val="center"/>
          </w:tcPr>
          <w:p w14:paraId="44F1585E">
            <w:pPr>
              <w:widowControl/>
              <w:jc w:val="center"/>
              <w:rPr>
                <w:rFonts w:ascii="宋体" w:hAnsi="宋体" w:cs="宋体"/>
                <w:kern w:val="0"/>
                <w:sz w:val="24"/>
              </w:rPr>
            </w:pPr>
            <w:r>
              <w:rPr>
                <w:rFonts w:hint="eastAsia" w:ascii="宋体" w:hAnsi="宋体" w:cs="宋体"/>
                <w:kern w:val="0"/>
                <w:sz w:val="24"/>
              </w:rPr>
              <w:t>联系电话</w:t>
            </w:r>
          </w:p>
        </w:tc>
      </w:tr>
      <w:tr w14:paraId="4E702FAE">
        <w:tblPrEx>
          <w:tblBorders>
            <w:top w:val="outset" w:color="333333" w:sz="6" w:space="0"/>
            <w:left w:val="outset" w:color="333333" w:sz="6" w:space="0"/>
            <w:bottom w:val="outset" w:color="333333" w:sz="6" w:space="0"/>
            <w:right w:val="outset" w:color="333333" w:sz="6" w:space="0"/>
            <w:insideH w:val="outset" w:color="333333" w:sz="6" w:space="0"/>
            <w:insideV w:val="outset" w:color="333333" w:sz="6" w:space="0"/>
          </w:tblBorders>
          <w:tblCellMar>
            <w:top w:w="0" w:type="dxa"/>
            <w:left w:w="0" w:type="dxa"/>
            <w:bottom w:w="0" w:type="dxa"/>
            <w:right w:w="0" w:type="dxa"/>
          </w:tblCellMar>
        </w:tblPrEx>
        <w:trPr>
          <w:cantSplit/>
          <w:trHeight w:val="454" w:hRule="atLeast"/>
          <w:tblCellSpacing w:w="0" w:type="dxa"/>
        </w:trPr>
        <w:tc>
          <w:tcPr>
            <w:tcW w:w="644" w:type="dxa"/>
            <w:vMerge w:val="restart"/>
            <w:vAlign w:val="center"/>
          </w:tcPr>
          <w:p w14:paraId="1A4F0CB2">
            <w:pPr>
              <w:widowControl/>
              <w:jc w:val="center"/>
              <w:rPr>
                <w:rFonts w:ascii="宋体" w:hAnsi="宋体" w:cs="宋体"/>
                <w:kern w:val="0"/>
                <w:sz w:val="24"/>
              </w:rPr>
            </w:pPr>
            <w:r>
              <w:rPr>
                <w:rFonts w:hint="eastAsia" w:ascii="宋体" w:hAnsi="宋体" w:cs="宋体"/>
                <w:kern w:val="0"/>
                <w:sz w:val="24"/>
              </w:rPr>
              <w:t>代</w:t>
            </w:r>
          </w:p>
          <w:p w14:paraId="036CE515">
            <w:pPr>
              <w:widowControl/>
              <w:jc w:val="center"/>
              <w:rPr>
                <w:rFonts w:ascii="宋体" w:hAnsi="宋体" w:cs="宋体"/>
                <w:kern w:val="0"/>
                <w:sz w:val="24"/>
              </w:rPr>
            </w:pPr>
            <w:r>
              <w:rPr>
                <w:rFonts w:hint="eastAsia" w:ascii="宋体" w:hAnsi="宋体" w:cs="宋体"/>
                <w:kern w:val="0"/>
                <w:sz w:val="24"/>
              </w:rPr>
              <w:t>理</w:t>
            </w:r>
          </w:p>
          <w:p w14:paraId="32C7E860">
            <w:pPr>
              <w:widowControl/>
              <w:jc w:val="center"/>
              <w:rPr>
                <w:rFonts w:ascii="宋体" w:hAnsi="宋体" w:cs="宋体"/>
                <w:kern w:val="0"/>
                <w:sz w:val="24"/>
              </w:rPr>
            </w:pPr>
            <w:r>
              <w:rPr>
                <w:rFonts w:hint="eastAsia" w:ascii="宋体" w:hAnsi="宋体" w:cs="宋体"/>
                <w:kern w:val="0"/>
                <w:sz w:val="24"/>
              </w:rPr>
              <w:t>组≥3人</w:t>
            </w:r>
          </w:p>
        </w:tc>
        <w:tc>
          <w:tcPr>
            <w:tcW w:w="920" w:type="dxa"/>
            <w:vAlign w:val="center"/>
          </w:tcPr>
          <w:p w14:paraId="6A701F23">
            <w:pPr>
              <w:widowControl/>
              <w:jc w:val="center"/>
              <w:rPr>
                <w:rFonts w:ascii="宋体" w:hAnsi="宋体" w:cs="宋体"/>
                <w:kern w:val="0"/>
                <w:sz w:val="24"/>
              </w:rPr>
            </w:pPr>
            <w:r>
              <w:rPr>
                <w:rFonts w:hint="eastAsia" w:ascii="宋体" w:hAnsi="宋体" w:cs="宋体"/>
                <w:kern w:val="0"/>
                <w:sz w:val="24"/>
              </w:rPr>
              <w:t>组长</w:t>
            </w:r>
          </w:p>
        </w:tc>
        <w:tc>
          <w:tcPr>
            <w:tcW w:w="1175" w:type="dxa"/>
            <w:vAlign w:val="center"/>
          </w:tcPr>
          <w:p w14:paraId="7D769621">
            <w:pPr>
              <w:widowControl/>
              <w:jc w:val="center"/>
              <w:rPr>
                <w:rFonts w:ascii="宋体" w:hAnsi="宋体" w:cs="宋体"/>
                <w:kern w:val="0"/>
                <w:sz w:val="24"/>
              </w:rPr>
            </w:pPr>
          </w:p>
        </w:tc>
        <w:tc>
          <w:tcPr>
            <w:tcW w:w="1068" w:type="dxa"/>
            <w:vAlign w:val="center"/>
          </w:tcPr>
          <w:p w14:paraId="6A9F25A4">
            <w:pPr>
              <w:widowControl/>
              <w:jc w:val="center"/>
              <w:rPr>
                <w:rFonts w:ascii="宋体" w:hAnsi="宋体" w:cs="宋体"/>
                <w:kern w:val="0"/>
                <w:sz w:val="24"/>
              </w:rPr>
            </w:pPr>
          </w:p>
        </w:tc>
        <w:tc>
          <w:tcPr>
            <w:tcW w:w="832" w:type="dxa"/>
            <w:vAlign w:val="center"/>
          </w:tcPr>
          <w:p w14:paraId="4F6CC3EF">
            <w:pPr>
              <w:widowControl/>
              <w:jc w:val="center"/>
              <w:rPr>
                <w:rFonts w:ascii="宋体" w:hAnsi="宋体" w:cs="宋体"/>
                <w:kern w:val="0"/>
                <w:sz w:val="24"/>
              </w:rPr>
            </w:pPr>
          </w:p>
        </w:tc>
        <w:tc>
          <w:tcPr>
            <w:tcW w:w="1037" w:type="dxa"/>
            <w:tcBorders>
              <w:right w:val="single" w:color="auto" w:sz="4" w:space="0"/>
            </w:tcBorders>
            <w:vAlign w:val="center"/>
          </w:tcPr>
          <w:p w14:paraId="6156675F">
            <w:pPr>
              <w:jc w:val="center"/>
              <w:rPr>
                <w:rFonts w:ascii="宋体" w:hAnsi="宋体" w:cs="宋体"/>
                <w:kern w:val="0"/>
                <w:sz w:val="24"/>
              </w:rPr>
            </w:pPr>
          </w:p>
        </w:tc>
        <w:tc>
          <w:tcPr>
            <w:tcW w:w="1063" w:type="dxa"/>
            <w:tcBorders>
              <w:left w:val="single" w:color="auto" w:sz="4" w:space="0"/>
            </w:tcBorders>
            <w:vAlign w:val="center"/>
          </w:tcPr>
          <w:p w14:paraId="435E95C9">
            <w:pPr>
              <w:jc w:val="center"/>
              <w:rPr>
                <w:rFonts w:ascii="宋体" w:hAnsi="宋体" w:cs="宋体"/>
                <w:kern w:val="0"/>
                <w:sz w:val="24"/>
              </w:rPr>
            </w:pPr>
          </w:p>
        </w:tc>
        <w:tc>
          <w:tcPr>
            <w:tcW w:w="1187" w:type="dxa"/>
            <w:tcBorders>
              <w:right w:val="single" w:color="auto" w:sz="4" w:space="0"/>
            </w:tcBorders>
          </w:tcPr>
          <w:p w14:paraId="3E37A47A">
            <w:pPr>
              <w:widowControl/>
              <w:rPr>
                <w:rFonts w:ascii="宋体" w:hAnsi="宋体" w:cs="宋体"/>
                <w:kern w:val="0"/>
                <w:sz w:val="24"/>
              </w:rPr>
            </w:pPr>
          </w:p>
        </w:tc>
        <w:tc>
          <w:tcPr>
            <w:tcW w:w="1316" w:type="dxa"/>
            <w:vAlign w:val="center"/>
          </w:tcPr>
          <w:p w14:paraId="4E3EC644">
            <w:pPr>
              <w:widowControl/>
              <w:rPr>
                <w:rFonts w:ascii="宋体" w:hAnsi="宋体" w:cs="宋体"/>
                <w:kern w:val="0"/>
                <w:sz w:val="24"/>
              </w:rPr>
            </w:pPr>
          </w:p>
        </w:tc>
      </w:tr>
      <w:tr w14:paraId="32842D4A">
        <w:tblPrEx>
          <w:tblBorders>
            <w:top w:val="outset" w:color="333333" w:sz="6" w:space="0"/>
            <w:left w:val="outset" w:color="333333" w:sz="6" w:space="0"/>
            <w:bottom w:val="outset" w:color="333333" w:sz="6" w:space="0"/>
            <w:right w:val="outset" w:color="333333" w:sz="6" w:space="0"/>
            <w:insideH w:val="outset" w:color="333333" w:sz="6" w:space="0"/>
            <w:insideV w:val="outset" w:color="333333" w:sz="6" w:space="0"/>
          </w:tblBorders>
          <w:tblCellMar>
            <w:top w:w="0" w:type="dxa"/>
            <w:left w:w="0" w:type="dxa"/>
            <w:bottom w:w="0" w:type="dxa"/>
            <w:right w:w="0" w:type="dxa"/>
          </w:tblCellMar>
        </w:tblPrEx>
        <w:trPr>
          <w:cantSplit/>
          <w:trHeight w:val="454" w:hRule="atLeast"/>
          <w:tblCellSpacing w:w="0" w:type="dxa"/>
        </w:trPr>
        <w:tc>
          <w:tcPr>
            <w:tcW w:w="644" w:type="dxa"/>
            <w:vMerge w:val="continue"/>
            <w:vAlign w:val="center"/>
          </w:tcPr>
          <w:p w14:paraId="1947D3BE">
            <w:pPr>
              <w:widowControl/>
              <w:jc w:val="left"/>
              <w:rPr>
                <w:rFonts w:ascii="宋体" w:hAnsi="宋体" w:cs="宋体"/>
                <w:kern w:val="0"/>
                <w:sz w:val="24"/>
              </w:rPr>
            </w:pPr>
          </w:p>
        </w:tc>
        <w:tc>
          <w:tcPr>
            <w:tcW w:w="920" w:type="dxa"/>
            <w:vAlign w:val="center"/>
          </w:tcPr>
          <w:p w14:paraId="6D2CD703">
            <w:pPr>
              <w:widowControl/>
              <w:jc w:val="center"/>
              <w:rPr>
                <w:rFonts w:ascii="宋体" w:hAnsi="宋体" w:cs="宋体"/>
                <w:kern w:val="0"/>
                <w:sz w:val="24"/>
              </w:rPr>
            </w:pPr>
            <w:r>
              <w:rPr>
                <w:rFonts w:hint="eastAsia" w:ascii="宋体" w:hAnsi="宋体" w:cs="宋体"/>
                <w:kern w:val="0"/>
                <w:sz w:val="24"/>
              </w:rPr>
              <w:t>代理员</w:t>
            </w:r>
          </w:p>
        </w:tc>
        <w:tc>
          <w:tcPr>
            <w:tcW w:w="1175" w:type="dxa"/>
            <w:vAlign w:val="center"/>
          </w:tcPr>
          <w:p w14:paraId="2B73F570">
            <w:pPr>
              <w:widowControl/>
              <w:jc w:val="center"/>
              <w:rPr>
                <w:rFonts w:ascii="宋体" w:hAnsi="宋体" w:cs="宋体"/>
                <w:kern w:val="0"/>
                <w:sz w:val="24"/>
              </w:rPr>
            </w:pPr>
          </w:p>
        </w:tc>
        <w:tc>
          <w:tcPr>
            <w:tcW w:w="1068" w:type="dxa"/>
            <w:vAlign w:val="center"/>
          </w:tcPr>
          <w:p w14:paraId="2055D8B8">
            <w:pPr>
              <w:widowControl/>
              <w:jc w:val="center"/>
              <w:rPr>
                <w:rFonts w:ascii="宋体" w:hAnsi="宋体" w:cs="宋体"/>
                <w:kern w:val="0"/>
                <w:sz w:val="24"/>
              </w:rPr>
            </w:pPr>
          </w:p>
        </w:tc>
        <w:tc>
          <w:tcPr>
            <w:tcW w:w="832" w:type="dxa"/>
            <w:vAlign w:val="center"/>
          </w:tcPr>
          <w:p w14:paraId="42C1E300">
            <w:pPr>
              <w:widowControl/>
              <w:jc w:val="center"/>
              <w:rPr>
                <w:rFonts w:ascii="宋体" w:hAnsi="宋体" w:cs="宋体"/>
                <w:kern w:val="0"/>
                <w:sz w:val="24"/>
              </w:rPr>
            </w:pPr>
          </w:p>
        </w:tc>
        <w:tc>
          <w:tcPr>
            <w:tcW w:w="1037" w:type="dxa"/>
            <w:tcBorders>
              <w:right w:val="single" w:color="auto" w:sz="4" w:space="0"/>
            </w:tcBorders>
            <w:vAlign w:val="center"/>
          </w:tcPr>
          <w:p w14:paraId="422AEF45">
            <w:pPr>
              <w:widowControl/>
              <w:jc w:val="center"/>
              <w:rPr>
                <w:rFonts w:ascii="宋体" w:hAnsi="宋体" w:cs="宋体"/>
                <w:kern w:val="0"/>
                <w:sz w:val="24"/>
              </w:rPr>
            </w:pPr>
          </w:p>
        </w:tc>
        <w:tc>
          <w:tcPr>
            <w:tcW w:w="1063" w:type="dxa"/>
            <w:tcBorders>
              <w:left w:val="single" w:color="auto" w:sz="4" w:space="0"/>
            </w:tcBorders>
            <w:vAlign w:val="center"/>
          </w:tcPr>
          <w:p w14:paraId="3C0FBD5D">
            <w:pPr>
              <w:widowControl/>
              <w:jc w:val="center"/>
              <w:rPr>
                <w:rFonts w:ascii="宋体" w:hAnsi="宋体" w:cs="宋体"/>
                <w:kern w:val="0"/>
                <w:sz w:val="24"/>
              </w:rPr>
            </w:pPr>
          </w:p>
        </w:tc>
        <w:tc>
          <w:tcPr>
            <w:tcW w:w="1187" w:type="dxa"/>
            <w:tcBorders>
              <w:right w:val="single" w:color="auto" w:sz="4" w:space="0"/>
            </w:tcBorders>
          </w:tcPr>
          <w:p w14:paraId="5BB16C8B">
            <w:pPr>
              <w:widowControl/>
              <w:rPr>
                <w:rFonts w:ascii="宋体" w:hAnsi="宋体" w:cs="宋体"/>
                <w:kern w:val="0"/>
                <w:sz w:val="24"/>
              </w:rPr>
            </w:pPr>
          </w:p>
        </w:tc>
        <w:tc>
          <w:tcPr>
            <w:tcW w:w="1316" w:type="dxa"/>
            <w:vAlign w:val="center"/>
          </w:tcPr>
          <w:p w14:paraId="7C5137C3">
            <w:pPr>
              <w:widowControl/>
              <w:rPr>
                <w:rFonts w:ascii="宋体" w:hAnsi="宋体" w:cs="宋体"/>
                <w:kern w:val="0"/>
                <w:sz w:val="24"/>
              </w:rPr>
            </w:pPr>
          </w:p>
        </w:tc>
      </w:tr>
      <w:tr w14:paraId="11E862EF">
        <w:tblPrEx>
          <w:tblBorders>
            <w:top w:val="outset" w:color="333333" w:sz="6" w:space="0"/>
            <w:left w:val="outset" w:color="333333" w:sz="6" w:space="0"/>
            <w:bottom w:val="outset" w:color="333333" w:sz="6" w:space="0"/>
            <w:right w:val="outset" w:color="333333" w:sz="6" w:space="0"/>
            <w:insideH w:val="outset" w:color="333333" w:sz="6" w:space="0"/>
            <w:insideV w:val="outset" w:color="333333" w:sz="6" w:space="0"/>
          </w:tblBorders>
          <w:tblCellMar>
            <w:top w:w="0" w:type="dxa"/>
            <w:left w:w="0" w:type="dxa"/>
            <w:bottom w:w="0" w:type="dxa"/>
            <w:right w:w="0" w:type="dxa"/>
          </w:tblCellMar>
        </w:tblPrEx>
        <w:trPr>
          <w:cantSplit/>
          <w:trHeight w:val="454" w:hRule="atLeast"/>
          <w:tblCellSpacing w:w="0" w:type="dxa"/>
        </w:trPr>
        <w:tc>
          <w:tcPr>
            <w:tcW w:w="644" w:type="dxa"/>
            <w:vMerge w:val="continue"/>
            <w:vAlign w:val="center"/>
          </w:tcPr>
          <w:p w14:paraId="415057C2">
            <w:pPr>
              <w:widowControl/>
              <w:jc w:val="left"/>
              <w:rPr>
                <w:rFonts w:ascii="宋体" w:hAnsi="宋体" w:cs="宋体"/>
                <w:kern w:val="0"/>
                <w:sz w:val="24"/>
              </w:rPr>
            </w:pPr>
          </w:p>
        </w:tc>
        <w:tc>
          <w:tcPr>
            <w:tcW w:w="920" w:type="dxa"/>
            <w:vAlign w:val="center"/>
          </w:tcPr>
          <w:p w14:paraId="79DF15FC">
            <w:pPr>
              <w:widowControl/>
              <w:jc w:val="center"/>
              <w:rPr>
                <w:rFonts w:ascii="宋体" w:hAnsi="宋体" w:cs="宋体"/>
                <w:kern w:val="0"/>
                <w:sz w:val="24"/>
              </w:rPr>
            </w:pPr>
            <w:r>
              <w:rPr>
                <w:rFonts w:hint="eastAsia" w:ascii="宋体" w:hAnsi="宋体" w:cs="宋体"/>
                <w:kern w:val="0"/>
                <w:sz w:val="24"/>
              </w:rPr>
              <w:t>代理员</w:t>
            </w:r>
          </w:p>
        </w:tc>
        <w:tc>
          <w:tcPr>
            <w:tcW w:w="1175" w:type="dxa"/>
            <w:vAlign w:val="center"/>
          </w:tcPr>
          <w:p w14:paraId="52DA3216">
            <w:pPr>
              <w:widowControl/>
              <w:jc w:val="center"/>
              <w:rPr>
                <w:rFonts w:ascii="宋体" w:hAnsi="宋体" w:cs="宋体"/>
                <w:kern w:val="0"/>
                <w:sz w:val="24"/>
              </w:rPr>
            </w:pPr>
          </w:p>
        </w:tc>
        <w:tc>
          <w:tcPr>
            <w:tcW w:w="1068" w:type="dxa"/>
            <w:vAlign w:val="center"/>
          </w:tcPr>
          <w:p w14:paraId="734356B0">
            <w:pPr>
              <w:widowControl/>
              <w:jc w:val="center"/>
              <w:rPr>
                <w:rFonts w:ascii="宋体" w:hAnsi="宋体" w:cs="宋体"/>
                <w:kern w:val="0"/>
                <w:sz w:val="24"/>
              </w:rPr>
            </w:pPr>
          </w:p>
        </w:tc>
        <w:tc>
          <w:tcPr>
            <w:tcW w:w="832" w:type="dxa"/>
            <w:vAlign w:val="center"/>
          </w:tcPr>
          <w:p w14:paraId="03A21946">
            <w:pPr>
              <w:widowControl/>
              <w:jc w:val="center"/>
              <w:rPr>
                <w:rFonts w:ascii="宋体" w:hAnsi="宋体" w:cs="宋体"/>
                <w:kern w:val="0"/>
                <w:sz w:val="24"/>
              </w:rPr>
            </w:pPr>
          </w:p>
        </w:tc>
        <w:tc>
          <w:tcPr>
            <w:tcW w:w="1037" w:type="dxa"/>
            <w:tcBorders>
              <w:right w:val="single" w:color="auto" w:sz="4" w:space="0"/>
            </w:tcBorders>
            <w:vAlign w:val="center"/>
          </w:tcPr>
          <w:p w14:paraId="2F09E792">
            <w:pPr>
              <w:widowControl/>
              <w:jc w:val="center"/>
              <w:rPr>
                <w:rFonts w:ascii="宋体" w:hAnsi="宋体" w:cs="宋体"/>
                <w:kern w:val="0"/>
                <w:sz w:val="24"/>
              </w:rPr>
            </w:pPr>
          </w:p>
        </w:tc>
        <w:tc>
          <w:tcPr>
            <w:tcW w:w="1063" w:type="dxa"/>
            <w:tcBorders>
              <w:left w:val="single" w:color="auto" w:sz="4" w:space="0"/>
            </w:tcBorders>
            <w:vAlign w:val="center"/>
          </w:tcPr>
          <w:p w14:paraId="47C338D8">
            <w:pPr>
              <w:widowControl/>
              <w:jc w:val="center"/>
              <w:rPr>
                <w:rFonts w:ascii="宋体" w:hAnsi="宋体" w:cs="宋体"/>
                <w:kern w:val="0"/>
                <w:sz w:val="24"/>
              </w:rPr>
            </w:pPr>
          </w:p>
        </w:tc>
        <w:tc>
          <w:tcPr>
            <w:tcW w:w="1187" w:type="dxa"/>
            <w:tcBorders>
              <w:right w:val="single" w:color="auto" w:sz="4" w:space="0"/>
            </w:tcBorders>
          </w:tcPr>
          <w:p w14:paraId="3BA64117">
            <w:pPr>
              <w:widowControl/>
              <w:rPr>
                <w:rFonts w:ascii="宋体" w:hAnsi="宋体" w:cs="宋体"/>
                <w:kern w:val="0"/>
                <w:sz w:val="24"/>
              </w:rPr>
            </w:pPr>
          </w:p>
        </w:tc>
        <w:tc>
          <w:tcPr>
            <w:tcW w:w="1316" w:type="dxa"/>
            <w:vAlign w:val="center"/>
          </w:tcPr>
          <w:p w14:paraId="7F7ED992">
            <w:pPr>
              <w:widowControl/>
              <w:rPr>
                <w:rFonts w:ascii="宋体" w:hAnsi="宋体" w:cs="宋体"/>
                <w:kern w:val="0"/>
                <w:sz w:val="24"/>
              </w:rPr>
            </w:pPr>
          </w:p>
        </w:tc>
      </w:tr>
      <w:tr w14:paraId="27B6B03B">
        <w:tblPrEx>
          <w:tblBorders>
            <w:top w:val="outset" w:color="333333" w:sz="6" w:space="0"/>
            <w:left w:val="outset" w:color="333333" w:sz="6" w:space="0"/>
            <w:bottom w:val="outset" w:color="333333" w:sz="6" w:space="0"/>
            <w:right w:val="outset" w:color="333333" w:sz="6" w:space="0"/>
            <w:insideH w:val="outset" w:color="333333" w:sz="6" w:space="0"/>
            <w:insideV w:val="outset" w:color="333333" w:sz="6" w:space="0"/>
          </w:tblBorders>
          <w:tblCellMar>
            <w:top w:w="0" w:type="dxa"/>
            <w:left w:w="0" w:type="dxa"/>
            <w:bottom w:w="0" w:type="dxa"/>
            <w:right w:w="0" w:type="dxa"/>
          </w:tblCellMar>
        </w:tblPrEx>
        <w:trPr>
          <w:cantSplit/>
          <w:trHeight w:val="454" w:hRule="atLeast"/>
          <w:tblCellSpacing w:w="0" w:type="dxa"/>
        </w:trPr>
        <w:tc>
          <w:tcPr>
            <w:tcW w:w="644" w:type="dxa"/>
            <w:vMerge w:val="restart"/>
            <w:shd w:val="clear" w:color="auto" w:fill="auto"/>
            <w:vAlign w:val="center"/>
          </w:tcPr>
          <w:p w14:paraId="16B44EBC">
            <w:pPr>
              <w:widowControl/>
              <w:jc w:val="center"/>
              <w:rPr>
                <w:rFonts w:ascii="宋体" w:hAnsi="宋体" w:eastAsia="宋体" w:cs="宋体"/>
                <w:kern w:val="0"/>
                <w:sz w:val="24"/>
                <w:szCs w:val="24"/>
                <w:lang w:val="en-US" w:eastAsia="zh-CN" w:bidi="ar-SA"/>
              </w:rPr>
            </w:pPr>
            <w:r>
              <w:rPr>
                <w:rFonts w:hint="eastAsia" w:ascii="宋体" w:hAnsi="宋体" w:cs="宋体"/>
                <w:kern w:val="0"/>
                <w:sz w:val="24"/>
                <w:lang w:val="en-US" w:eastAsia="zh-CN"/>
              </w:rPr>
              <w:t>市政</w:t>
            </w:r>
            <w:r>
              <w:rPr>
                <w:rFonts w:hint="eastAsia" w:ascii="宋体" w:hAnsi="宋体" w:cs="宋体"/>
                <w:kern w:val="0"/>
                <w:sz w:val="24"/>
              </w:rPr>
              <w:t>组</w:t>
            </w:r>
            <w:r>
              <w:rPr>
                <w:rFonts w:hint="eastAsia" w:ascii="宋体" w:hAnsi="宋体" w:cs="宋体"/>
                <w:kern w:val="0"/>
                <w:sz w:val="24"/>
                <w:highlight w:val="none"/>
              </w:rPr>
              <w:t>≥</w:t>
            </w:r>
            <w:r>
              <w:rPr>
                <w:rFonts w:hint="eastAsia" w:ascii="宋体" w:hAnsi="宋体" w:cs="宋体"/>
                <w:kern w:val="0"/>
                <w:sz w:val="24"/>
                <w:highlight w:val="none"/>
                <w:lang w:val="en-US" w:eastAsia="zh-CN"/>
              </w:rPr>
              <w:t>4</w:t>
            </w:r>
            <w:r>
              <w:rPr>
                <w:rFonts w:hint="eastAsia" w:ascii="宋体" w:hAnsi="宋体" w:cs="宋体"/>
                <w:kern w:val="0"/>
                <w:sz w:val="24"/>
              </w:rPr>
              <w:t>人</w:t>
            </w:r>
          </w:p>
        </w:tc>
        <w:tc>
          <w:tcPr>
            <w:tcW w:w="920" w:type="dxa"/>
            <w:shd w:val="clear" w:color="auto" w:fill="auto"/>
            <w:vAlign w:val="center"/>
          </w:tcPr>
          <w:p w14:paraId="029270A0">
            <w:pPr>
              <w:widowControl/>
              <w:jc w:val="center"/>
              <w:rPr>
                <w:rFonts w:hint="eastAsia" w:ascii="宋体" w:hAnsi="宋体" w:eastAsia="宋体" w:cs="宋体"/>
                <w:kern w:val="0"/>
                <w:sz w:val="24"/>
                <w:szCs w:val="24"/>
                <w:lang w:val="en-US" w:eastAsia="zh-CN" w:bidi="ar-SA"/>
              </w:rPr>
            </w:pPr>
            <w:r>
              <w:rPr>
                <w:rFonts w:hint="eastAsia" w:ascii="宋体" w:hAnsi="宋体" w:cs="宋体"/>
                <w:kern w:val="0"/>
                <w:sz w:val="24"/>
              </w:rPr>
              <w:t>组长</w:t>
            </w:r>
          </w:p>
        </w:tc>
        <w:tc>
          <w:tcPr>
            <w:tcW w:w="1175" w:type="dxa"/>
            <w:vAlign w:val="center"/>
          </w:tcPr>
          <w:p w14:paraId="5988B10D">
            <w:pPr>
              <w:widowControl/>
              <w:jc w:val="center"/>
              <w:rPr>
                <w:rFonts w:ascii="宋体" w:hAnsi="宋体" w:cs="宋体"/>
                <w:kern w:val="0"/>
                <w:sz w:val="24"/>
              </w:rPr>
            </w:pPr>
          </w:p>
        </w:tc>
        <w:tc>
          <w:tcPr>
            <w:tcW w:w="1068" w:type="dxa"/>
            <w:vAlign w:val="center"/>
          </w:tcPr>
          <w:p w14:paraId="6D8B7F95">
            <w:pPr>
              <w:widowControl/>
              <w:jc w:val="center"/>
              <w:rPr>
                <w:rFonts w:ascii="宋体" w:hAnsi="宋体" w:cs="宋体"/>
                <w:kern w:val="0"/>
                <w:sz w:val="24"/>
              </w:rPr>
            </w:pPr>
          </w:p>
        </w:tc>
        <w:tc>
          <w:tcPr>
            <w:tcW w:w="832" w:type="dxa"/>
            <w:vAlign w:val="center"/>
          </w:tcPr>
          <w:p w14:paraId="3468A629">
            <w:pPr>
              <w:widowControl/>
              <w:jc w:val="center"/>
              <w:rPr>
                <w:rFonts w:ascii="宋体" w:hAnsi="宋体" w:cs="宋体"/>
                <w:kern w:val="0"/>
                <w:sz w:val="24"/>
              </w:rPr>
            </w:pPr>
          </w:p>
        </w:tc>
        <w:tc>
          <w:tcPr>
            <w:tcW w:w="1037" w:type="dxa"/>
            <w:tcBorders>
              <w:right w:val="single" w:color="auto" w:sz="4" w:space="0"/>
            </w:tcBorders>
            <w:vAlign w:val="center"/>
          </w:tcPr>
          <w:p w14:paraId="06E3A0E4">
            <w:pPr>
              <w:widowControl/>
              <w:jc w:val="center"/>
              <w:rPr>
                <w:rFonts w:ascii="宋体" w:hAnsi="宋体" w:cs="宋体"/>
                <w:kern w:val="0"/>
                <w:sz w:val="24"/>
              </w:rPr>
            </w:pPr>
          </w:p>
        </w:tc>
        <w:tc>
          <w:tcPr>
            <w:tcW w:w="1063" w:type="dxa"/>
            <w:tcBorders>
              <w:left w:val="single" w:color="auto" w:sz="4" w:space="0"/>
            </w:tcBorders>
            <w:vAlign w:val="center"/>
          </w:tcPr>
          <w:p w14:paraId="1A68AF48">
            <w:pPr>
              <w:widowControl/>
              <w:jc w:val="center"/>
              <w:rPr>
                <w:rFonts w:ascii="宋体" w:hAnsi="宋体" w:cs="宋体"/>
                <w:kern w:val="0"/>
                <w:sz w:val="24"/>
              </w:rPr>
            </w:pPr>
          </w:p>
        </w:tc>
        <w:tc>
          <w:tcPr>
            <w:tcW w:w="1187" w:type="dxa"/>
            <w:tcBorders>
              <w:right w:val="single" w:color="auto" w:sz="4" w:space="0"/>
            </w:tcBorders>
          </w:tcPr>
          <w:p w14:paraId="1AA15A92">
            <w:pPr>
              <w:widowControl/>
              <w:rPr>
                <w:rFonts w:ascii="宋体" w:hAnsi="宋体" w:cs="宋体"/>
                <w:kern w:val="0"/>
                <w:sz w:val="24"/>
              </w:rPr>
            </w:pPr>
          </w:p>
        </w:tc>
        <w:tc>
          <w:tcPr>
            <w:tcW w:w="1316" w:type="dxa"/>
            <w:vAlign w:val="center"/>
          </w:tcPr>
          <w:p w14:paraId="049AE17E">
            <w:pPr>
              <w:widowControl/>
              <w:rPr>
                <w:rFonts w:ascii="宋体" w:hAnsi="宋体" w:cs="宋体"/>
                <w:kern w:val="0"/>
                <w:sz w:val="24"/>
              </w:rPr>
            </w:pPr>
          </w:p>
        </w:tc>
      </w:tr>
      <w:tr w14:paraId="17E6EC6C">
        <w:tblPrEx>
          <w:tblBorders>
            <w:top w:val="outset" w:color="333333" w:sz="6" w:space="0"/>
            <w:left w:val="outset" w:color="333333" w:sz="6" w:space="0"/>
            <w:bottom w:val="outset" w:color="333333" w:sz="6" w:space="0"/>
            <w:right w:val="outset" w:color="333333" w:sz="6" w:space="0"/>
            <w:insideH w:val="outset" w:color="333333" w:sz="6" w:space="0"/>
            <w:insideV w:val="outset" w:color="333333" w:sz="6" w:space="0"/>
          </w:tblBorders>
          <w:tblCellMar>
            <w:top w:w="0" w:type="dxa"/>
            <w:left w:w="0" w:type="dxa"/>
            <w:bottom w:w="0" w:type="dxa"/>
            <w:right w:w="0" w:type="dxa"/>
          </w:tblCellMar>
        </w:tblPrEx>
        <w:trPr>
          <w:cantSplit/>
          <w:trHeight w:val="454" w:hRule="atLeast"/>
          <w:tblCellSpacing w:w="0" w:type="dxa"/>
        </w:trPr>
        <w:tc>
          <w:tcPr>
            <w:tcW w:w="644" w:type="dxa"/>
            <w:vMerge w:val="continue"/>
            <w:vAlign w:val="center"/>
          </w:tcPr>
          <w:p w14:paraId="4074563B">
            <w:pPr>
              <w:widowControl/>
              <w:jc w:val="left"/>
              <w:rPr>
                <w:rFonts w:ascii="宋体" w:hAnsi="宋体" w:cs="宋体"/>
                <w:kern w:val="0"/>
                <w:sz w:val="24"/>
              </w:rPr>
            </w:pPr>
          </w:p>
        </w:tc>
        <w:tc>
          <w:tcPr>
            <w:tcW w:w="920" w:type="dxa"/>
            <w:shd w:val="clear" w:color="auto" w:fill="auto"/>
            <w:vAlign w:val="center"/>
          </w:tcPr>
          <w:p w14:paraId="1D45F16D">
            <w:pPr>
              <w:widowControl/>
              <w:jc w:val="center"/>
              <w:rPr>
                <w:rFonts w:hint="eastAsia" w:ascii="宋体" w:hAnsi="宋体" w:eastAsia="宋体" w:cs="宋体"/>
                <w:kern w:val="0"/>
                <w:sz w:val="24"/>
                <w:szCs w:val="24"/>
                <w:lang w:val="en-US" w:eastAsia="zh-CN" w:bidi="ar-SA"/>
              </w:rPr>
            </w:pPr>
            <w:r>
              <w:rPr>
                <w:rFonts w:hint="eastAsia" w:ascii="宋体" w:hAnsi="宋体" w:cs="宋体"/>
                <w:kern w:val="0"/>
                <w:sz w:val="24"/>
              </w:rPr>
              <w:t>造价员</w:t>
            </w:r>
          </w:p>
        </w:tc>
        <w:tc>
          <w:tcPr>
            <w:tcW w:w="1175" w:type="dxa"/>
            <w:vAlign w:val="center"/>
          </w:tcPr>
          <w:p w14:paraId="6ECAF972">
            <w:pPr>
              <w:widowControl/>
              <w:jc w:val="center"/>
              <w:rPr>
                <w:rFonts w:ascii="宋体" w:hAnsi="宋体" w:cs="宋体"/>
                <w:kern w:val="0"/>
                <w:sz w:val="24"/>
              </w:rPr>
            </w:pPr>
          </w:p>
        </w:tc>
        <w:tc>
          <w:tcPr>
            <w:tcW w:w="1068" w:type="dxa"/>
            <w:vAlign w:val="center"/>
          </w:tcPr>
          <w:p w14:paraId="14E4AA78">
            <w:pPr>
              <w:widowControl/>
              <w:jc w:val="center"/>
              <w:rPr>
                <w:rFonts w:ascii="宋体" w:hAnsi="宋体" w:cs="宋体"/>
                <w:kern w:val="0"/>
                <w:sz w:val="24"/>
              </w:rPr>
            </w:pPr>
          </w:p>
        </w:tc>
        <w:tc>
          <w:tcPr>
            <w:tcW w:w="832" w:type="dxa"/>
            <w:vAlign w:val="center"/>
          </w:tcPr>
          <w:p w14:paraId="2BF8CBE7">
            <w:pPr>
              <w:widowControl/>
              <w:jc w:val="center"/>
              <w:rPr>
                <w:rFonts w:ascii="宋体" w:hAnsi="宋体" w:cs="宋体"/>
                <w:kern w:val="0"/>
                <w:sz w:val="24"/>
              </w:rPr>
            </w:pPr>
          </w:p>
        </w:tc>
        <w:tc>
          <w:tcPr>
            <w:tcW w:w="1037" w:type="dxa"/>
            <w:tcBorders>
              <w:right w:val="single" w:color="auto" w:sz="4" w:space="0"/>
            </w:tcBorders>
            <w:vAlign w:val="center"/>
          </w:tcPr>
          <w:p w14:paraId="3A4C13D3">
            <w:pPr>
              <w:widowControl/>
              <w:jc w:val="center"/>
              <w:rPr>
                <w:rFonts w:ascii="宋体" w:hAnsi="宋体" w:cs="宋体"/>
                <w:kern w:val="0"/>
                <w:sz w:val="24"/>
              </w:rPr>
            </w:pPr>
          </w:p>
        </w:tc>
        <w:tc>
          <w:tcPr>
            <w:tcW w:w="1063" w:type="dxa"/>
            <w:tcBorders>
              <w:left w:val="single" w:color="auto" w:sz="4" w:space="0"/>
            </w:tcBorders>
            <w:vAlign w:val="center"/>
          </w:tcPr>
          <w:p w14:paraId="25ECBABA">
            <w:pPr>
              <w:widowControl/>
              <w:jc w:val="center"/>
              <w:rPr>
                <w:rFonts w:ascii="宋体" w:hAnsi="宋体" w:cs="宋体"/>
                <w:kern w:val="0"/>
                <w:sz w:val="24"/>
              </w:rPr>
            </w:pPr>
          </w:p>
        </w:tc>
        <w:tc>
          <w:tcPr>
            <w:tcW w:w="1187" w:type="dxa"/>
            <w:tcBorders>
              <w:right w:val="single" w:color="auto" w:sz="4" w:space="0"/>
            </w:tcBorders>
          </w:tcPr>
          <w:p w14:paraId="13D797D2">
            <w:pPr>
              <w:widowControl/>
              <w:rPr>
                <w:rFonts w:ascii="宋体" w:hAnsi="宋体" w:cs="宋体"/>
                <w:kern w:val="0"/>
                <w:sz w:val="24"/>
              </w:rPr>
            </w:pPr>
          </w:p>
        </w:tc>
        <w:tc>
          <w:tcPr>
            <w:tcW w:w="1316" w:type="dxa"/>
            <w:vAlign w:val="center"/>
          </w:tcPr>
          <w:p w14:paraId="568AFAED">
            <w:pPr>
              <w:widowControl/>
              <w:rPr>
                <w:rFonts w:ascii="宋体" w:hAnsi="宋体" w:cs="宋体"/>
                <w:kern w:val="0"/>
                <w:sz w:val="24"/>
              </w:rPr>
            </w:pPr>
          </w:p>
        </w:tc>
      </w:tr>
      <w:tr w14:paraId="75590307">
        <w:tblPrEx>
          <w:tblBorders>
            <w:top w:val="outset" w:color="333333" w:sz="6" w:space="0"/>
            <w:left w:val="outset" w:color="333333" w:sz="6" w:space="0"/>
            <w:bottom w:val="outset" w:color="333333" w:sz="6" w:space="0"/>
            <w:right w:val="outset" w:color="333333" w:sz="6" w:space="0"/>
            <w:insideH w:val="outset" w:color="333333" w:sz="6" w:space="0"/>
            <w:insideV w:val="outset" w:color="333333" w:sz="6" w:space="0"/>
          </w:tblBorders>
          <w:tblCellMar>
            <w:top w:w="0" w:type="dxa"/>
            <w:left w:w="0" w:type="dxa"/>
            <w:bottom w:w="0" w:type="dxa"/>
            <w:right w:w="0" w:type="dxa"/>
          </w:tblCellMar>
        </w:tblPrEx>
        <w:trPr>
          <w:cantSplit/>
          <w:trHeight w:val="454" w:hRule="atLeast"/>
          <w:tblCellSpacing w:w="0" w:type="dxa"/>
        </w:trPr>
        <w:tc>
          <w:tcPr>
            <w:tcW w:w="644" w:type="dxa"/>
            <w:vMerge w:val="continue"/>
            <w:vAlign w:val="center"/>
          </w:tcPr>
          <w:p w14:paraId="59D1C167">
            <w:pPr>
              <w:widowControl/>
              <w:jc w:val="left"/>
              <w:rPr>
                <w:rFonts w:ascii="宋体" w:hAnsi="宋体" w:cs="宋体"/>
                <w:kern w:val="0"/>
                <w:sz w:val="24"/>
              </w:rPr>
            </w:pPr>
          </w:p>
        </w:tc>
        <w:tc>
          <w:tcPr>
            <w:tcW w:w="920" w:type="dxa"/>
            <w:shd w:val="clear" w:color="auto" w:fill="auto"/>
            <w:vAlign w:val="center"/>
          </w:tcPr>
          <w:p w14:paraId="12779D17">
            <w:pPr>
              <w:widowControl/>
              <w:jc w:val="center"/>
              <w:rPr>
                <w:rFonts w:hint="eastAsia" w:ascii="宋体" w:hAnsi="宋体" w:eastAsia="宋体" w:cs="宋体"/>
                <w:kern w:val="0"/>
                <w:sz w:val="24"/>
                <w:szCs w:val="24"/>
                <w:lang w:val="en-US" w:eastAsia="zh-CN" w:bidi="ar-SA"/>
              </w:rPr>
            </w:pPr>
            <w:r>
              <w:rPr>
                <w:rFonts w:hint="eastAsia" w:ascii="宋体" w:hAnsi="宋体" w:cs="宋体"/>
                <w:kern w:val="0"/>
                <w:sz w:val="24"/>
              </w:rPr>
              <w:t>造价员</w:t>
            </w:r>
          </w:p>
        </w:tc>
        <w:tc>
          <w:tcPr>
            <w:tcW w:w="1175" w:type="dxa"/>
            <w:vAlign w:val="center"/>
          </w:tcPr>
          <w:p w14:paraId="28A7E71C">
            <w:pPr>
              <w:widowControl/>
              <w:jc w:val="center"/>
              <w:rPr>
                <w:rFonts w:ascii="宋体" w:hAnsi="宋体" w:cs="宋体"/>
                <w:kern w:val="0"/>
                <w:sz w:val="24"/>
              </w:rPr>
            </w:pPr>
          </w:p>
        </w:tc>
        <w:tc>
          <w:tcPr>
            <w:tcW w:w="1068" w:type="dxa"/>
            <w:vAlign w:val="center"/>
          </w:tcPr>
          <w:p w14:paraId="2494077C">
            <w:pPr>
              <w:widowControl/>
              <w:jc w:val="center"/>
              <w:rPr>
                <w:rFonts w:ascii="宋体" w:hAnsi="宋体" w:cs="宋体"/>
                <w:kern w:val="0"/>
                <w:sz w:val="24"/>
              </w:rPr>
            </w:pPr>
          </w:p>
        </w:tc>
        <w:tc>
          <w:tcPr>
            <w:tcW w:w="832" w:type="dxa"/>
            <w:vAlign w:val="center"/>
          </w:tcPr>
          <w:p w14:paraId="7BEE0386">
            <w:pPr>
              <w:widowControl/>
              <w:jc w:val="center"/>
              <w:rPr>
                <w:rFonts w:ascii="宋体" w:hAnsi="宋体" w:cs="宋体"/>
                <w:kern w:val="0"/>
                <w:sz w:val="24"/>
              </w:rPr>
            </w:pPr>
          </w:p>
        </w:tc>
        <w:tc>
          <w:tcPr>
            <w:tcW w:w="1037" w:type="dxa"/>
            <w:tcBorders>
              <w:right w:val="single" w:color="auto" w:sz="4" w:space="0"/>
            </w:tcBorders>
            <w:vAlign w:val="center"/>
          </w:tcPr>
          <w:p w14:paraId="24455405">
            <w:pPr>
              <w:widowControl/>
              <w:jc w:val="center"/>
              <w:rPr>
                <w:rFonts w:ascii="宋体" w:hAnsi="宋体" w:cs="宋体"/>
                <w:kern w:val="0"/>
                <w:sz w:val="24"/>
              </w:rPr>
            </w:pPr>
          </w:p>
        </w:tc>
        <w:tc>
          <w:tcPr>
            <w:tcW w:w="1063" w:type="dxa"/>
            <w:tcBorders>
              <w:left w:val="single" w:color="auto" w:sz="4" w:space="0"/>
            </w:tcBorders>
            <w:vAlign w:val="center"/>
          </w:tcPr>
          <w:p w14:paraId="413DBA05">
            <w:pPr>
              <w:widowControl/>
              <w:jc w:val="center"/>
              <w:rPr>
                <w:rFonts w:ascii="宋体" w:hAnsi="宋体" w:cs="宋体"/>
                <w:kern w:val="0"/>
                <w:sz w:val="24"/>
              </w:rPr>
            </w:pPr>
          </w:p>
        </w:tc>
        <w:tc>
          <w:tcPr>
            <w:tcW w:w="1187" w:type="dxa"/>
            <w:tcBorders>
              <w:right w:val="single" w:color="auto" w:sz="4" w:space="0"/>
            </w:tcBorders>
          </w:tcPr>
          <w:p w14:paraId="4BE51CB2">
            <w:pPr>
              <w:widowControl/>
              <w:rPr>
                <w:rFonts w:ascii="宋体" w:hAnsi="宋体" w:cs="宋体"/>
                <w:kern w:val="0"/>
                <w:sz w:val="24"/>
              </w:rPr>
            </w:pPr>
          </w:p>
        </w:tc>
        <w:tc>
          <w:tcPr>
            <w:tcW w:w="1316" w:type="dxa"/>
            <w:vAlign w:val="center"/>
          </w:tcPr>
          <w:p w14:paraId="6D2B910E">
            <w:pPr>
              <w:widowControl/>
              <w:rPr>
                <w:rFonts w:ascii="宋体" w:hAnsi="宋体" w:cs="宋体"/>
                <w:kern w:val="0"/>
                <w:sz w:val="24"/>
              </w:rPr>
            </w:pPr>
          </w:p>
        </w:tc>
      </w:tr>
      <w:tr w14:paraId="00DE7CC4">
        <w:tblPrEx>
          <w:tblBorders>
            <w:top w:val="outset" w:color="333333" w:sz="6" w:space="0"/>
            <w:left w:val="outset" w:color="333333" w:sz="6" w:space="0"/>
            <w:bottom w:val="outset" w:color="333333" w:sz="6" w:space="0"/>
            <w:right w:val="outset" w:color="333333" w:sz="6" w:space="0"/>
            <w:insideH w:val="outset" w:color="333333" w:sz="6" w:space="0"/>
            <w:insideV w:val="outset" w:color="333333" w:sz="6" w:space="0"/>
          </w:tblBorders>
          <w:tblCellMar>
            <w:top w:w="0" w:type="dxa"/>
            <w:left w:w="0" w:type="dxa"/>
            <w:bottom w:w="0" w:type="dxa"/>
            <w:right w:w="0" w:type="dxa"/>
          </w:tblCellMar>
        </w:tblPrEx>
        <w:trPr>
          <w:cantSplit/>
          <w:trHeight w:val="454" w:hRule="atLeast"/>
          <w:tblCellSpacing w:w="0" w:type="dxa"/>
        </w:trPr>
        <w:tc>
          <w:tcPr>
            <w:tcW w:w="644" w:type="dxa"/>
            <w:vMerge w:val="continue"/>
            <w:vAlign w:val="center"/>
          </w:tcPr>
          <w:p w14:paraId="58A94808">
            <w:pPr>
              <w:widowControl/>
              <w:jc w:val="left"/>
              <w:rPr>
                <w:rFonts w:ascii="宋体" w:hAnsi="宋体" w:cs="宋体"/>
                <w:kern w:val="0"/>
                <w:sz w:val="24"/>
              </w:rPr>
            </w:pPr>
          </w:p>
        </w:tc>
        <w:tc>
          <w:tcPr>
            <w:tcW w:w="920" w:type="dxa"/>
            <w:shd w:val="clear" w:color="auto" w:fill="auto"/>
            <w:vAlign w:val="center"/>
          </w:tcPr>
          <w:p w14:paraId="142B8991">
            <w:pPr>
              <w:widowControl/>
              <w:jc w:val="center"/>
              <w:rPr>
                <w:rFonts w:hint="eastAsia" w:ascii="宋体" w:hAnsi="宋体" w:eastAsia="宋体" w:cs="宋体"/>
                <w:kern w:val="0"/>
                <w:sz w:val="24"/>
                <w:szCs w:val="24"/>
                <w:lang w:val="en-US" w:eastAsia="zh-CN" w:bidi="ar-SA"/>
              </w:rPr>
            </w:pPr>
            <w:r>
              <w:rPr>
                <w:rFonts w:hint="eastAsia" w:ascii="宋体" w:hAnsi="宋体" w:cs="宋体"/>
                <w:kern w:val="0"/>
                <w:sz w:val="24"/>
              </w:rPr>
              <w:t>造价员</w:t>
            </w:r>
          </w:p>
        </w:tc>
        <w:tc>
          <w:tcPr>
            <w:tcW w:w="1175" w:type="dxa"/>
            <w:vAlign w:val="center"/>
          </w:tcPr>
          <w:p w14:paraId="1DA6F9B1">
            <w:pPr>
              <w:widowControl/>
              <w:jc w:val="center"/>
              <w:rPr>
                <w:rFonts w:ascii="宋体" w:hAnsi="宋体" w:cs="宋体"/>
                <w:kern w:val="0"/>
                <w:sz w:val="24"/>
              </w:rPr>
            </w:pPr>
          </w:p>
        </w:tc>
        <w:tc>
          <w:tcPr>
            <w:tcW w:w="1068" w:type="dxa"/>
            <w:vAlign w:val="center"/>
          </w:tcPr>
          <w:p w14:paraId="33374905">
            <w:pPr>
              <w:widowControl/>
              <w:jc w:val="center"/>
              <w:rPr>
                <w:rFonts w:ascii="宋体" w:hAnsi="宋体" w:cs="宋体"/>
                <w:kern w:val="0"/>
                <w:sz w:val="24"/>
              </w:rPr>
            </w:pPr>
          </w:p>
        </w:tc>
        <w:tc>
          <w:tcPr>
            <w:tcW w:w="832" w:type="dxa"/>
            <w:vAlign w:val="center"/>
          </w:tcPr>
          <w:p w14:paraId="2FD4BA65">
            <w:pPr>
              <w:widowControl/>
              <w:jc w:val="center"/>
              <w:rPr>
                <w:rFonts w:ascii="宋体" w:hAnsi="宋体" w:cs="宋体"/>
                <w:kern w:val="0"/>
                <w:sz w:val="24"/>
              </w:rPr>
            </w:pPr>
          </w:p>
        </w:tc>
        <w:tc>
          <w:tcPr>
            <w:tcW w:w="1037" w:type="dxa"/>
            <w:tcBorders>
              <w:right w:val="single" w:color="auto" w:sz="4" w:space="0"/>
            </w:tcBorders>
            <w:vAlign w:val="center"/>
          </w:tcPr>
          <w:p w14:paraId="4DC55ECF">
            <w:pPr>
              <w:widowControl/>
              <w:jc w:val="center"/>
              <w:rPr>
                <w:rFonts w:ascii="宋体" w:hAnsi="宋体" w:cs="宋体"/>
                <w:kern w:val="0"/>
                <w:sz w:val="24"/>
              </w:rPr>
            </w:pPr>
          </w:p>
        </w:tc>
        <w:tc>
          <w:tcPr>
            <w:tcW w:w="1063" w:type="dxa"/>
            <w:tcBorders>
              <w:left w:val="single" w:color="auto" w:sz="4" w:space="0"/>
            </w:tcBorders>
            <w:vAlign w:val="center"/>
          </w:tcPr>
          <w:p w14:paraId="06DA2678">
            <w:pPr>
              <w:widowControl/>
              <w:jc w:val="center"/>
              <w:rPr>
                <w:rFonts w:ascii="宋体" w:hAnsi="宋体" w:cs="宋体"/>
                <w:kern w:val="0"/>
                <w:sz w:val="24"/>
              </w:rPr>
            </w:pPr>
          </w:p>
        </w:tc>
        <w:tc>
          <w:tcPr>
            <w:tcW w:w="1187" w:type="dxa"/>
            <w:tcBorders>
              <w:right w:val="single" w:color="auto" w:sz="4" w:space="0"/>
            </w:tcBorders>
          </w:tcPr>
          <w:p w14:paraId="3D670111">
            <w:pPr>
              <w:widowControl/>
              <w:rPr>
                <w:rFonts w:ascii="宋体" w:hAnsi="宋体" w:cs="宋体"/>
                <w:kern w:val="0"/>
                <w:sz w:val="24"/>
              </w:rPr>
            </w:pPr>
          </w:p>
        </w:tc>
        <w:tc>
          <w:tcPr>
            <w:tcW w:w="1316" w:type="dxa"/>
            <w:vAlign w:val="center"/>
          </w:tcPr>
          <w:p w14:paraId="60FC4888">
            <w:pPr>
              <w:widowControl/>
              <w:rPr>
                <w:rFonts w:ascii="宋体" w:hAnsi="宋体" w:cs="宋体"/>
                <w:kern w:val="0"/>
                <w:sz w:val="24"/>
              </w:rPr>
            </w:pPr>
          </w:p>
        </w:tc>
      </w:tr>
      <w:tr w14:paraId="08C97701">
        <w:tblPrEx>
          <w:tblBorders>
            <w:top w:val="outset" w:color="333333" w:sz="6" w:space="0"/>
            <w:left w:val="outset" w:color="333333" w:sz="6" w:space="0"/>
            <w:bottom w:val="outset" w:color="333333" w:sz="6" w:space="0"/>
            <w:right w:val="outset" w:color="333333" w:sz="6" w:space="0"/>
            <w:insideH w:val="outset" w:color="333333" w:sz="6" w:space="0"/>
            <w:insideV w:val="outset" w:color="333333" w:sz="6" w:space="0"/>
          </w:tblBorders>
          <w:tblCellMar>
            <w:top w:w="0" w:type="dxa"/>
            <w:left w:w="0" w:type="dxa"/>
            <w:bottom w:w="0" w:type="dxa"/>
            <w:right w:w="0" w:type="dxa"/>
          </w:tblCellMar>
        </w:tblPrEx>
        <w:trPr>
          <w:cantSplit/>
          <w:trHeight w:val="454" w:hRule="atLeast"/>
          <w:tblCellSpacing w:w="0" w:type="dxa"/>
        </w:trPr>
        <w:tc>
          <w:tcPr>
            <w:tcW w:w="644" w:type="dxa"/>
            <w:vMerge w:val="continue"/>
            <w:vAlign w:val="center"/>
          </w:tcPr>
          <w:p w14:paraId="227CB025">
            <w:pPr>
              <w:widowControl/>
              <w:jc w:val="left"/>
              <w:rPr>
                <w:rFonts w:ascii="宋体" w:hAnsi="宋体" w:cs="宋体"/>
                <w:kern w:val="0"/>
                <w:sz w:val="24"/>
              </w:rPr>
            </w:pPr>
          </w:p>
        </w:tc>
        <w:tc>
          <w:tcPr>
            <w:tcW w:w="920" w:type="dxa"/>
            <w:shd w:val="clear" w:color="auto" w:fill="auto"/>
            <w:vAlign w:val="center"/>
          </w:tcPr>
          <w:p w14:paraId="781872FC">
            <w:pPr>
              <w:widowControl/>
              <w:jc w:val="center"/>
              <w:rPr>
                <w:rFonts w:hint="eastAsia" w:ascii="宋体" w:hAnsi="宋体" w:eastAsia="宋体" w:cs="宋体"/>
                <w:kern w:val="0"/>
                <w:sz w:val="24"/>
                <w:szCs w:val="24"/>
                <w:lang w:val="en-US" w:eastAsia="zh-CN" w:bidi="ar-SA"/>
              </w:rPr>
            </w:pPr>
            <w:r>
              <w:rPr>
                <w:rFonts w:ascii="宋体" w:hAnsi="宋体" w:cs="宋体"/>
                <w:kern w:val="0"/>
                <w:sz w:val="24"/>
              </w:rPr>
              <w:t>…</w:t>
            </w:r>
          </w:p>
        </w:tc>
        <w:tc>
          <w:tcPr>
            <w:tcW w:w="1175" w:type="dxa"/>
            <w:vAlign w:val="center"/>
          </w:tcPr>
          <w:p w14:paraId="529B24BF">
            <w:pPr>
              <w:widowControl/>
              <w:jc w:val="center"/>
              <w:rPr>
                <w:rFonts w:ascii="宋体" w:hAnsi="宋体" w:cs="宋体"/>
                <w:kern w:val="0"/>
                <w:sz w:val="24"/>
              </w:rPr>
            </w:pPr>
          </w:p>
        </w:tc>
        <w:tc>
          <w:tcPr>
            <w:tcW w:w="1068" w:type="dxa"/>
            <w:vAlign w:val="center"/>
          </w:tcPr>
          <w:p w14:paraId="4622C900">
            <w:pPr>
              <w:widowControl/>
              <w:jc w:val="center"/>
              <w:rPr>
                <w:rFonts w:ascii="宋体" w:hAnsi="宋体" w:cs="宋体"/>
                <w:kern w:val="0"/>
                <w:sz w:val="24"/>
              </w:rPr>
            </w:pPr>
          </w:p>
        </w:tc>
        <w:tc>
          <w:tcPr>
            <w:tcW w:w="832" w:type="dxa"/>
            <w:vAlign w:val="center"/>
          </w:tcPr>
          <w:p w14:paraId="782CB01B">
            <w:pPr>
              <w:widowControl/>
              <w:jc w:val="center"/>
              <w:rPr>
                <w:rFonts w:ascii="宋体" w:hAnsi="宋体" w:cs="宋体"/>
                <w:kern w:val="0"/>
                <w:sz w:val="24"/>
              </w:rPr>
            </w:pPr>
          </w:p>
        </w:tc>
        <w:tc>
          <w:tcPr>
            <w:tcW w:w="1037" w:type="dxa"/>
            <w:tcBorders>
              <w:right w:val="single" w:color="auto" w:sz="4" w:space="0"/>
            </w:tcBorders>
            <w:vAlign w:val="center"/>
          </w:tcPr>
          <w:p w14:paraId="2FD7F1EA">
            <w:pPr>
              <w:widowControl/>
              <w:jc w:val="center"/>
              <w:rPr>
                <w:rFonts w:ascii="宋体" w:hAnsi="宋体" w:cs="宋体"/>
                <w:kern w:val="0"/>
                <w:sz w:val="24"/>
              </w:rPr>
            </w:pPr>
          </w:p>
        </w:tc>
        <w:tc>
          <w:tcPr>
            <w:tcW w:w="1063" w:type="dxa"/>
            <w:tcBorders>
              <w:left w:val="single" w:color="auto" w:sz="4" w:space="0"/>
            </w:tcBorders>
            <w:vAlign w:val="center"/>
          </w:tcPr>
          <w:p w14:paraId="19334345">
            <w:pPr>
              <w:widowControl/>
              <w:jc w:val="center"/>
              <w:rPr>
                <w:rFonts w:ascii="宋体" w:hAnsi="宋体" w:cs="宋体"/>
                <w:kern w:val="0"/>
                <w:sz w:val="24"/>
              </w:rPr>
            </w:pPr>
          </w:p>
        </w:tc>
        <w:tc>
          <w:tcPr>
            <w:tcW w:w="1187" w:type="dxa"/>
            <w:tcBorders>
              <w:right w:val="single" w:color="auto" w:sz="4" w:space="0"/>
            </w:tcBorders>
          </w:tcPr>
          <w:p w14:paraId="7CA3F481">
            <w:pPr>
              <w:widowControl/>
              <w:rPr>
                <w:rFonts w:ascii="宋体" w:hAnsi="宋体" w:cs="宋体"/>
                <w:kern w:val="0"/>
                <w:sz w:val="24"/>
              </w:rPr>
            </w:pPr>
          </w:p>
        </w:tc>
        <w:tc>
          <w:tcPr>
            <w:tcW w:w="1316" w:type="dxa"/>
            <w:vAlign w:val="center"/>
          </w:tcPr>
          <w:p w14:paraId="6DAA8CFB">
            <w:pPr>
              <w:widowControl/>
              <w:rPr>
                <w:rFonts w:ascii="宋体" w:hAnsi="宋体" w:cs="宋体"/>
                <w:kern w:val="0"/>
                <w:sz w:val="24"/>
              </w:rPr>
            </w:pPr>
          </w:p>
        </w:tc>
      </w:tr>
      <w:tr w14:paraId="52C64784">
        <w:tblPrEx>
          <w:tblBorders>
            <w:top w:val="outset" w:color="333333" w:sz="6" w:space="0"/>
            <w:left w:val="outset" w:color="333333" w:sz="6" w:space="0"/>
            <w:bottom w:val="outset" w:color="333333" w:sz="6" w:space="0"/>
            <w:right w:val="outset" w:color="333333" w:sz="6" w:space="0"/>
            <w:insideH w:val="outset" w:color="333333" w:sz="6" w:space="0"/>
            <w:insideV w:val="outset" w:color="333333" w:sz="6" w:space="0"/>
          </w:tblBorders>
          <w:tblCellMar>
            <w:top w:w="0" w:type="dxa"/>
            <w:left w:w="0" w:type="dxa"/>
            <w:bottom w:w="0" w:type="dxa"/>
            <w:right w:w="0" w:type="dxa"/>
          </w:tblCellMar>
        </w:tblPrEx>
        <w:trPr>
          <w:cantSplit/>
          <w:trHeight w:val="454" w:hRule="atLeast"/>
          <w:tblCellSpacing w:w="0" w:type="dxa"/>
        </w:trPr>
        <w:tc>
          <w:tcPr>
            <w:tcW w:w="644" w:type="dxa"/>
            <w:vMerge w:val="restart"/>
            <w:shd w:val="clear" w:color="auto" w:fill="auto"/>
            <w:vAlign w:val="center"/>
          </w:tcPr>
          <w:p w14:paraId="23142CD4">
            <w:pPr>
              <w:widowControl/>
              <w:jc w:val="center"/>
              <w:rPr>
                <w:rFonts w:ascii="宋体" w:hAnsi="宋体" w:cs="宋体"/>
                <w:kern w:val="0"/>
                <w:sz w:val="24"/>
              </w:rPr>
            </w:pPr>
            <w:r>
              <w:rPr>
                <w:rFonts w:hint="eastAsia" w:ascii="宋体" w:hAnsi="宋体" w:cs="宋体"/>
                <w:kern w:val="0"/>
                <w:sz w:val="24"/>
              </w:rPr>
              <w:t>安装</w:t>
            </w:r>
          </w:p>
          <w:p w14:paraId="3EB9A660">
            <w:pPr>
              <w:widowControl/>
              <w:jc w:val="center"/>
              <w:rPr>
                <w:rFonts w:ascii="宋体" w:hAnsi="宋体" w:eastAsia="宋体" w:cs="宋体"/>
                <w:kern w:val="0"/>
                <w:sz w:val="24"/>
                <w:szCs w:val="24"/>
                <w:lang w:val="en-US" w:eastAsia="zh-CN" w:bidi="ar-SA"/>
              </w:rPr>
            </w:pPr>
            <w:r>
              <w:rPr>
                <w:rFonts w:hint="eastAsia" w:ascii="宋体" w:hAnsi="宋体" w:cs="宋体"/>
                <w:kern w:val="0"/>
                <w:sz w:val="24"/>
              </w:rPr>
              <w:t>组≥</w:t>
            </w:r>
            <w:r>
              <w:rPr>
                <w:rFonts w:hint="eastAsia" w:ascii="宋体" w:hAnsi="宋体" w:cs="宋体"/>
                <w:kern w:val="0"/>
                <w:sz w:val="24"/>
                <w:lang w:val="en-US" w:eastAsia="zh-CN"/>
              </w:rPr>
              <w:t>3</w:t>
            </w:r>
            <w:r>
              <w:rPr>
                <w:rFonts w:hint="eastAsia" w:ascii="宋体" w:hAnsi="宋体" w:cs="宋体"/>
                <w:kern w:val="0"/>
                <w:sz w:val="24"/>
              </w:rPr>
              <w:t>人</w:t>
            </w:r>
          </w:p>
        </w:tc>
        <w:tc>
          <w:tcPr>
            <w:tcW w:w="920" w:type="dxa"/>
            <w:shd w:val="clear" w:color="auto" w:fill="auto"/>
            <w:vAlign w:val="center"/>
          </w:tcPr>
          <w:p w14:paraId="620E56CF">
            <w:pPr>
              <w:widowControl/>
              <w:jc w:val="center"/>
              <w:rPr>
                <w:rFonts w:hint="eastAsia" w:ascii="宋体" w:hAnsi="宋体" w:eastAsia="宋体" w:cs="宋体"/>
                <w:kern w:val="0"/>
                <w:sz w:val="24"/>
                <w:szCs w:val="24"/>
                <w:lang w:val="en-US" w:eastAsia="zh-CN" w:bidi="ar-SA"/>
              </w:rPr>
            </w:pPr>
            <w:r>
              <w:rPr>
                <w:rFonts w:hint="eastAsia" w:ascii="宋体" w:hAnsi="宋体" w:cs="宋体"/>
                <w:kern w:val="0"/>
                <w:sz w:val="24"/>
              </w:rPr>
              <w:t>组长</w:t>
            </w:r>
          </w:p>
        </w:tc>
        <w:tc>
          <w:tcPr>
            <w:tcW w:w="1175" w:type="dxa"/>
            <w:vAlign w:val="center"/>
          </w:tcPr>
          <w:p w14:paraId="34D43F3B">
            <w:pPr>
              <w:widowControl/>
              <w:jc w:val="center"/>
              <w:rPr>
                <w:rFonts w:ascii="宋体" w:hAnsi="宋体" w:cs="宋体"/>
                <w:kern w:val="0"/>
                <w:sz w:val="24"/>
              </w:rPr>
            </w:pPr>
          </w:p>
        </w:tc>
        <w:tc>
          <w:tcPr>
            <w:tcW w:w="1068" w:type="dxa"/>
            <w:vAlign w:val="center"/>
          </w:tcPr>
          <w:p w14:paraId="352D4898">
            <w:pPr>
              <w:widowControl/>
              <w:jc w:val="center"/>
              <w:rPr>
                <w:rFonts w:ascii="宋体" w:hAnsi="宋体" w:cs="宋体"/>
                <w:kern w:val="0"/>
                <w:sz w:val="24"/>
              </w:rPr>
            </w:pPr>
          </w:p>
        </w:tc>
        <w:tc>
          <w:tcPr>
            <w:tcW w:w="832" w:type="dxa"/>
            <w:vAlign w:val="center"/>
          </w:tcPr>
          <w:p w14:paraId="467A30D5">
            <w:pPr>
              <w:widowControl/>
              <w:jc w:val="center"/>
              <w:rPr>
                <w:rFonts w:ascii="宋体" w:hAnsi="宋体" w:cs="宋体"/>
                <w:kern w:val="0"/>
                <w:sz w:val="24"/>
              </w:rPr>
            </w:pPr>
          </w:p>
        </w:tc>
        <w:tc>
          <w:tcPr>
            <w:tcW w:w="1037" w:type="dxa"/>
            <w:tcBorders>
              <w:right w:val="single" w:color="auto" w:sz="4" w:space="0"/>
            </w:tcBorders>
            <w:vAlign w:val="center"/>
          </w:tcPr>
          <w:p w14:paraId="7069B301">
            <w:pPr>
              <w:widowControl/>
              <w:jc w:val="center"/>
              <w:rPr>
                <w:rFonts w:ascii="宋体" w:hAnsi="宋体" w:cs="宋体"/>
                <w:kern w:val="0"/>
                <w:sz w:val="24"/>
              </w:rPr>
            </w:pPr>
          </w:p>
        </w:tc>
        <w:tc>
          <w:tcPr>
            <w:tcW w:w="1063" w:type="dxa"/>
            <w:tcBorders>
              <w:left w:val="single" w:color="auto" w:sz="4" w:space="0"/>
            </w:tcBorders>
            <w:vAlign w:val="center"/>
          </w:tcPr>
          <w:p w14:paraId="02D406D8">
            <w:pPr>
              <w:widowControl/>
              <w:jc w:val="center"/>
              <w:rPr>
                <w:rFonts w:ascii="宋体" w:hAnsi="宋体" w:cs="宋体"/>
                <w:kern w:val="0"/>
                <w:sz w:val="24"/>
              </w:rPr>
            </w:pPr>
          </w:p>
        </w:tc>
        <w:tc>
          <w:tcPr>
            <w:tcW w:w="1187" w:type="dxa"/>
            <w:tcBorders>
              <w:right w:val="single" w:color="auto" w:sz="4" w:space="0"/>
            </w:tcBorders>
          </w:tcPr>
          <w:p w14:paraId="0D667026">
            <w:pPr>
              <w:widowControl/>
              <w:rPr>
                <w:rFonts w:ascii="宋体" w:hAnsi="宋体" w:cs="宋体"/>
                <w:kern w:val="0"/>
                <w:sz w:val="24"/>
              </w:rPr>
            </w:pPr>
          </w:p>
        </w:tc>
        <w:tc>
          <w:tcPr>
            <w:tcW w:w="1316" w:type="dxa"/>
            <w:vAlign w:val="center"/>
          </w:tcPr>
          <w:p w14:paraId="36DBF50E">
            <w:pPr>
              <w:widowControl/>
              <w:rPr>
                <w:rFonts w:ascii="宋体" w:hAnsi="宋体" w:cs="宋体"/>
                <w:kern w:val="0"/>
                <w:sz w:val="24"/>
              </w:rPr>
            </w:pPr>
          </w:p>
        </w:tc>
      </w:tr>
      <w:tr w14:paraId="368B49FA">
        <w:tblPrEx>
          <w:tblBorders>
            <w:top w:val="outset" w:color="333333" w:sz="6" w:space="0"/>
            <w:left w:val="outset" w:color="333333" w:sz="6" w:space="0"/>
            <w:bottom w:val="outset" w:color="333333" w:sz="6" w:space="0"/>
            <w:right w:val="outset" w:color="333333" w:sz="6" w:space="0"/>
            <w:insideH w:val="outset" w:color="333333" w:sz="6" w:space="0"/>
            <w:insideV w:val="outset" w:color="333333" w:sz="6" w:space="0"/>
          </w:tblBorders>
          <w:tblCellMar>
            <w:top w:w="0" w:type="dxa"/>
            <w:left w:w="0" w:type="dxa"/>
            <w:bottom w:w="0" w:type="dxa"/>
            <w:right w:w="0" w:type="dxa"/>
          </w:tblCellMar>
        </w:tblPrEx>
        <w:trPr>
          <w:cantSplit/>
          <w:trHeight w:val="454" w:hRule="atLeast"/>
          <w:tblCellSpacing w:w="0" w:type="dxa"/>
        </w:trPr>
        <w:tc>
          <w:tcPr>
            <w:tcW w:w="644" w:type="dxa"/>
            <w:vMerge w:val="continue"/>
            <w:vAlign w:val="center"/>
          </w:tcPr>
          <w:p w14:paraId="4CB78D68">
            <w:pPr>
              <w:widowControl/>
              <w:jc w:val="left"/>
              <w:rPr>
                <w:rFonts w:ascii="宋体" w:hAnsi="宋体" w:cs="宋体"/>
                <w:kern w:val="0"/>
                <w:sz w:val="24"/>
              </w:rPr>
            </w:pPr>
          </w:p>
        </w:tc>
        <w:tc>
          <w:tcPr>
            <w:tcW w:w="920" w:type="dxa"/>
            <w:shd w:val="clear" w:color="auto" w:fill="auto"/>
            <w:vAlign w:val="center"/>
          </w:tcPr>
          <w:p w14:paraId="56A06E7E">
            <w:pPr>
              <w:widowControl/>
              <w:jc w:val="center"/>
              <w:rPr>
                <w:rFonts w:hint="eastAsia" w:ascii="宋体" w:hAnsi="宋体" w:eastAsia="宋体" w:cs="宋体"/>
                <w:kern w:val="0"/>
                <w:sz w:val="24"/>
                <w:szCs w:val="24"/>
                <w:lang w:val="en-US" w:eastAsia="zh-CN" w:bidi="ar-SA"/>
              </w:rPr>
            </w:pPr>
            <w:r>
              <w:rPr>
                <w:rFonts w:hint="eastAsia" w:ascii="宋体" w:hAnsi="宋体" w:cs="宋体"/>
                <w:kern w:val="0"/>
                <w:sz w:val="24"/>
              </w:rPr>
              <w:t>造价员</w:t>
            </w:r>
          </w:p>
        </w:tc>
        <w:tc>
          <w:tcPr>
            <w:tcW w:w="1175" w:type="dxa"/>
            <w:vAlign w:val="center"/>
          </w:tcPr>
          <w:p w14:paraId="6A2850BC">
            <w:pPr>
              <w:widowControl/>
              <w:jc w:val="center"/>
              <w:rPr>
                <w:rFonts w:ascii="宋体" w:hAnsi="宋体" w:cs="宋体"/>
                <w:kern w:val="0"/>
                <w:sz w:val="24"/>
              </w:rPr>
            </w:pPr>
          </w:p>
        </w:tc>
        <w:tc>
          <w:tcPr>
            <w:tcW w:w="1068" w:type="dxa"/>
            <w:vAlign w:val="center"/>
          </w:tcPr>
          <w:p w14:paraId="7EF7EB8D">
            <w:pPr>
              <w:widowControl/>
              <w:jc w:val="center"/>
              <w:rPr>
                <w:rFonts w:ascii="宋体" w:hAnsi="宋体" w:cs="宋体"/>
                <w:kern w:val="0"/>
                <w:sz w:val="24"/>
              </w:rPr>
            </w:pPr>
          </w:p>
        </w:tc>
        <w:tc>
          <w:tcPr>
            <w:tcW w:w="832" w:type="dxa"/>
            <w:vAlign w:val="center"/>
          </w:tcPr>
          <w:p w14:paraId="68C3BD27">
            <w:pPr>
              <w:widowControl/>
              <w:jc w:val="center"/>
              <w:rPr>
                <w:rFonts w:ascii="宋体" w:hAnsi="宋体" w:cs="宋体"/>
                <w:kern w:val="0"/>
                <w:sz w:val="24"/>
              </w:rPr>
            </w:pPr>
          </w:p>
        </w:tc>
        <w:tc>
          <w:tcPr>
            <w:tcW w:w="1037" w:type="dxa"/>
            <w:tcBorders>
              <w:right w:val="single" w:color="auto" w:sz="4" w:space="0"/>
            </w:tcBorders>
            <w:vAlign w:val="center"/>
          </w:tcPr>
          <w:p w14:paraId="17DB2EF3">
            <w:pPr>
              <w:widowControl/>
              <w:jc w:val="center"/>
              <w:rPr>
                <w:rFonts w:ascii="宋体" w:hAnsi="宋体" w:cs="宋体"/>
                <w:kern w:val="0"/>
                <w:sz w:val="24"/>
              </w:rPr>
            </w:pPr>
          </w:p>
        </w:tc>
        <w:tc>
          <w:tcPr>
            <w:tcW w:w="1063" w:type="dxa"/>
            <w:tcBorders>
              <w:left w:val="single" w:color="auto" w:sz="4" w:space="0"/>
            </w:tcBorders>
            <w:vAlign w:val="center"/>
          </w:tcPr>
          <w:p w14:paraId="78BAACE0">
            <w:pPr>
              <w:widowControl/>
              <w:jc w:val="center"/>
              <w:rPr>
                <w:rFonts w:ascii="宋体" w:hAnsi="宋体" w:cs="宋体"/>
                <w:kern w:val="0"/>
                <w:sz w:val="24"/>
              </w:rPr>
            </w:pPr>
          </w:p>
        </w:tc>
        <w:tc>
          <w:tcPr>
            <w:tcW w:w="1187" w:type="dxa"/>
            <w:tcBorders>
              <w:right w:val="single" w:color="auto" w:sz="4" w:space="0"/>
            </w:tcBorders>
          </w:tcPr>
          <w:p w14:paraId="655EF188">
            <w:pPr>
              <w:widowControl/>
              <w:rPr>
                <w:rFonts w:ascii="宋体" w:hAnsi="宋体" w:cs="宋体"/>
                <w:kern w:val="0"/>
                <w:sz w:val="24"/>
              </w:rPr>
            </w:pPr>
          </w:p>
        </w:tc>
        <w:tc>
          <w:tcPr>
            <w:tcW w:w="1316" w:type="dxa"/>
            <w:vAlign w:val="center"/>
          </w:tcPr>
          <w:p w14:paraId="733181AC">
            <w:pPr>
              <w:widowControl/>
              <w:rPr>
                <w:rFonts w:ascii="宋体" w:hAnsi="宋体" w:cs="宋体"/>
                <w:kern w:val="0"/>
                <w:sz w:val="24"/>
              </w:rPr>
            </w:pPr>
          </w:p>
        </w:tc>
      </w:tr>
      <w:tr w14:paraId="0C688477">
        <w:tblPrEx>
          <w:tblBorders>
            <w:top w:val="outset" w:color="333333" w:sz="6" w:space="0"/>
            <w:left w:val="outset" w:color="333333" w:sz="6" w:space="0"/>
            <w:bottom w:val="outset" w:color="333333" w:sz="6" w:space="0"/>
            <w:right w:val="outset" w:color="333333" w:sz="6" w:space="0"/>
            <w:insideH w:val="outset" w:color="333333" w:sz="6" w:space="0"/>
            <w:insideV w:val="outset" w:color="333333" w:sz="6" w:space="0"/>
          </w:tblBorders>
          <w:tblCellMar>
            <w:top w:w="0" w:type="dxa"/>
            <w:left w:w="0" w:type="dxa"/>
            <w:bottom w:w="0" w:type="dxa"/>
            <w:right w:w="0" w:type="dxa"/>
          </w:tblCellMar>
        </w:tblPrEx>
        <w:trPr>
          <w:cantSplit/>
          <w:trHeight w:val="454" w:hRule="atLeast"/>
          <w:tblCellSpacing w:w="0" w:type="dxa"/>
        </w:trPr>
        <w:tc>
          <w:tcPr>
            <w:tcW w:w="644" w:type="dxa"/>
            <w:vMerge w:val="continue"/>
            <w:vAlign w:val="center"/>
          </w:tcPr>
          <w:p w14:paraId="6AF363AD">
            <w:pPr>
              <w:widowControl/>
              <w:jc w:val="left"/>
              <w:rPr>
                <w:rFonts w:ascii="宋体" w:hAnsi="宋体" w:cs="宋体"/>
                <w:kern w:val="0"/>
                <w:sz w:val="24"/>
              </w:rPr>
            </w:pPr>
          </w:p>
        </w:tc>
        <w:tc>
          <w:tcPr>
            <w:tcW w:w="920" w:type="dxa"/>
            <w:shd w:val="clear" w:color="auto" w:fill="auto"/>
            <w:vAlign w:val="center"/>
          </w:tcPr>
          <w:p w14:paraId="6A047A9F">
            <w:pPr>
              <w:widowControl/>
              <w:jc w:val="center"/>
              <w:rPr>
                <w:rFonts w:hint="eastAsia" w:ascii="宋体" w:hAnsi="宋体" w:eastAsia="宋体" w:cs="宋体"/>
                <w:kern w:val="0"/>
                <w:sz w:val="24"/>
                <w:szCs w:val="24"/>
                <w:lang w:val="en-US" w:eastAsia="zh-CN" w:bidi="ar-SA"/>
              </w:rPr>
            </w:pPr>
            <w:r>
              <w:rPr>
                <w:rFonts w:ascii="宋体" w:hAnsi="宋体" w:cs="宋体"/>
                <w:kern w:val="0"/>
                <w:sz w:val="24"/>
              </w:rPr>
              <w:t>…</w:t>
            </w:r>
          </w:p>
        </w:tc>
        <w:tc>
          <w:tcPr>
            <w:tcW w:w="1175" w:type="dxa"/>
            <w:vAlign w:val="center"/>
          </w:tcPr>
          <w:p w14:paraId="4CC5D3DB">
            <w:pPr>
              <w:widowControl/>
              <w:jc w:val="center"/>
              <w:rPr>
                <w:rFonts w:ascii="宋体" w:hAnsi="宋体" w:cs="宋体"/>
                <w:kern w:val="0"/>
                <w:sz w:val="24"/>
              </w:rPr>
            </w:pPr>
          </w:p>
        </w:tc>
        <w:tc>
          <w:tcPr>
            <w:tcW w:w="1068" w:type="dxa"/>
            <w:vAlign w:val="center"/>
          </w:tcPr>
          <w:p w14:paraId="4B707744">
            <w:pPr>
              <w:widowControl/>
              <w:jc w:val="center"/>
              <w:rPr>
                <w:rFonts w:ascii="宋体" w:hAnsi="宋体" w:cs="宋体"/>
                <w:kern w:val="0"/>
                <w:sz w:val="24"/>
              </w:rPr>
            </w:pPr>
          </w:p>
        </w:tc>
        <w:tc>
          <w:tcPr>
            <w:tcW w:w="832" w:type="dxa"/>
            <w:vAlign w:val="center"/>
          </w:tcPr>
          <w:p w14:paraId="0B1AAC8E">
            <w:pPr>
              <w:widowControl/>
              <w:jc w:val="center"/>
              <w:rPr>
                <w:rFonts w:ascii="宋体" w:hAnsi="宋体" w:cs="宋体"/>
                <w:kern w:val="0"/>
                <w:sz w:val="24"/>
              </w:rPr>
            </w:pPr>
          </w:p>
        </w:tc>
        <w:tc>
          <w:tcPr>
            <w:tcW w:w="1037" w:type="dxa"/>
            <w:tcBorders>
              <w:right w:val="single" w:color="auto" w:sz="4" w:space="0"/>
            </w:tcBorders>
            <w:vAlign w:val="center"/>
          </w:tcPr>
          <w:p w14:paraId="63888E64">
            <w:pPr>
              <w:widowControl/>
              <w:jc w:val="center"/>
              <w:rPr>
                <w:rFonts w:ascii="宋体" w:hAnsi="宋体" w:cs="宋体"/>
                <w:kern w:val="0"/>
                <w:sz w:val="24"/>
              </w:rPr>
            </w:pPr>
          </w:p>
        </w:tc>
        <w:tc>
          <w:tcPr>
            <w:tcW w:w="1063" w:type="dxa"/>
            <w:tcBorders>
              <w:left w:val="single" w:color="auto" w:sz="4" w:space="0"/>
            </w:tcBorders>
            <w:vAlign w:val="center"/>
          </w:tcPr>
          <w:p w14:paraId="5B36A098">
            <w:pPr>
              <w:widowControl/>
              <w:jc w:val="center"/>
              <w:rPr>
                <w:rFonts w:ascii="宋体" w:hAnsi="宋体" w:cs="宋体"/>
                <w:kern w:val="0"/>
                <w:sz w:val="24"/>
              </w:rPr>
            </w:pPr>
          </w:p>
        </w:tc>
        <w:tc>
          <w:tcPr>
            <w:tcW w:w="1187" w:type="dxa"/>
            <w:tcBorders>
              <w:right w:val="single" w:color="auto" w:sz="4" w:space="0"/>
            </w:tcBorders>
          </w:tcPr>
          <w:p w14:paraId="145C6198">
            <w:pPr>
              <w:widowControl/>
              <w:rPr>
                <w:rFonts w:ascii="宋体" w:hAnsi="宋体" w:cs="宋体"/>
                <w:kern w:val="0"/>
                <w:sz w:val="24"/>
              </w:rPr>
            </w:pPr>
          </w:p>
        </w:tc>
        <w:tc>
          <w:tcPr>
            <w:tcW w:w="1316" w:type="dxa"/>
            <w:vAlign w:val="center"/>
          </w:tcPr>
          <w:p w14:paraId="564A81CF">
            <w:pPr>
              <w:widowControl/>
              <w:rPr>
                <w:rFonts w:ascii="宋体" w:hAnsi="宋体" w:cs="宋体"/>
                <w:kern w:val="0"/>
                <w:sz w:val="24"/>
              </w:rPr>
            </w:pPr>
          </w:p>
        </w:tc>
      </w:tr>
      <w:tr w14:paraId="20593477">
        <w:tblPrEx>
          <w:tblBorders>
            <w:top w:val="outset" w:color="333333" w:sz="6" w:space="0"/>
            <w:left w:val="outset" w:color="333333" w:sz="6" w:space="0"/>
            <w:bottom w:val="outset" w:color="333333" w:sz="6" w:space="0"/>
            <w:right w:val="outset" w:color="333333" w:sz="6" w:space="0"/>
            <w:insideH w:val="outset" w:color="333333" w:sz="6" w:space="0"/>
            <w:insideV w:val="outset" w:color="333333" w:sz="6" w:space="0"/>
          </w:tblBorders>
          <w:tblCellMar>
            <w:top w:w="0" w:type="dxa"/>
            <w:left w:w="0" w:type="dxa"/>
            <w:bottom w:w="0" w:type="dxa"/>
            <w:right w:w="0" w:type="dxa"/>
          </w:tblCellMar>
        </w:tblPrEx>
        <w:trPr>
          <w:cantSplit/>
          <w:trHeight w:val="454" w:hRule="atLeast"/>
          <w:tblCellSpacing w:w="0" w:type="dxa"/>
        </w:trPr>
        <w:tc>
          <w:tcPr>
            <w:tcW w:w="644" w:type="dxa"/>
            <w:shd w:val="clear" w:color="auto" w:fill="auto"/>
            <w:vAlign w:val="center"/>
          </w:tcPr>
          <w:p w14:paraId="78E28D1C">
            <w:pPr>
              <w:widowControl/>
              <w:jc w:val="center"/>
              <w:rPr>
                <w:rFonts w:ascii="宋体" w:hAnsi="宋体" w:eastAsia="宋体" w:cs="宋体"/>
                <w:kern w:val="0"/>
                <w:sz w:val="24"/>
                <w:szCs w:val="24"/>
                <w:lang w:val="en-US" w:eastAsia="zh-CN" w:bidi="ar-SA"/>
              </w:rPr>
            </w:pPr>
            <w:r>
              <w:rPr>
                <w:rFonts w:hint="eastAsia" w:ascii="宋体" w:hAnsi="宋体" w:cs="宋体"/>
                <w:kern w:val="0"/>
                <w:sz w:val="24"/>
              </w:rPr>
              <w:t>园林组≥</w:t>
            </w:r>
            <w:r>
              <w:rPr>
                <w:rFonts w:hint="eastAsia" w:ascii="宋体" w:hAnsi="宋体" w:cs="宋体"/>
                <w:kern w:val="0"/>
                <w:sz w:val="24"/>
                <w:lang w:val="en-US" w:eastAsia="zh-CN"/>
              </w:rPr>
              <w:t>1</w:t>
            </w:r>
            <w:r>
              <w:rPr>
                <w:rFonts w:hint="eastAsia" w:ascii="宋体" w:hAnsi="宋体" w:cs="宋体"/>
                <w:kern w:val="0"/>
                <w:sz w:val="24"/>
              </w:rPr>
              <w:t>人</w:t>
            </w:r>
          </w:p>
        </w:tc>
        <w:tc>
          <w:tcPr>
            <w:tcW w:w="920" w:type="dxa"/>
            <w:shd w:val="clear" w:color="auto" w:fill="auto"/>
            <w:vAlign w:val="center"/>
          </w:tcPr>
          <w:p w14:paraId="2F6AC216">
            <w:pPr>
              <w:widowControl/>
              <w:jc w:val="center"/>
              <w:rPr>
                <w:rFonts w:hint="eastAsia" w:ascii="宋体" w:hAnsi="宋体" w:eastAsia="宋体" w:cs="宋体"/>
                <w:kern w:val="0"/>
                <w:sz w:val="24"/>
                <w:szCs w:val="24"/>
                <w:lang w:val="en-US" w:eastAsia="zh-CN" w:bidi="ar-SA"/>
              </w:rPr>
            </w:pPr>
            <w:r>
              <w:rPr>
                <w:rFonts w:hint="eastAsia" w:ascii="宋体" w:hAnsi="宋体" w:cs="宋体"/>
                <w:kern w:val="0"/>
                <w:sz w:val="24"/>
              </w:rPr>
              <w:t>组长</w:t>
            </w:r>
          </w:p>
        </w:tc>
        <w:tc>
          <w:tcPr>
            <w:tcW w:w="1175" w:type="dxa"/>
            <w:vAlign w:val="center"/>
          </w:tcPr>
          <w:p w14:paraId="1AF12179">
            <w:pPr>
              <w:widowControl/>
              <w:jc w:val="center"/>
              <w:rPr>
                <w:rFonts w:ascii="宋体" w:hAnsi="宋体" w:cs="宋体"/>
                <w:kern w:val="0"/>
                <w:sz w:val="24"/>
              </w:rPr>
            </w:pPr>
          </w:p>
        </w:tc>
        <w:tc>
          <w:tcPr>
            <w:tcW w:w="1068" w:type="dxa"/>
            <w:vAlign w:val="center"/>
          </w:tcPr>
          <w:p w14:paraId="5C7A3054">
            <w:pPr>
              <w:widowControl/>
              <w:jc w:val="center"/>
              <w:rPr>
                <w:rFonts w:ascii="宋体" w:hAnsi="宋体" w:cs="宋体"/>
                <w:kern w:val="0"/>
                <w:sz w:val="24"/>
              </w:rPr>
            </w:pPr>
          </w:p>
        </w:tc>
        <w:tc>
          <w:tcPr>
            <w:tcW w:w="832" w:type="dxa"/>
            <w:vAlign w:val="center"/>
          </w:tcPr>
          <w:p w14:paraId="1CD830BC">
            <w:pPr>
              <w:widowControl/>
              <w:jc w:val="center"/>
              <w:rPr>
                <w:rFonts w:ascii="宋体" w:hAnsi="宋体" w:cs="宋体"/>
                <w:kern w:val="0"/>
                <w:sz w:val="24"/>
              </w:rPr>
            </w:pPr>
          </w:p>
        </w:tc>
        <w:tc>
          <w:tcPr>
            <w:tcW w:w="1037" w:type="dxa"/>
            <w:tcBorders>
              <w:right w:val="single" w:color="auto" w:sz="4" w:space="0"/>
            </w:tcBorders>
            <w:vAlign w:val="center"/>
          </w:tcPr>
          <w:p w14:paraId="05747293">
            <w:pPr>
              <w:widowControl/>
              <w:jc w:val="center"/>
              <w:rPr>
                <w:rFonts w:ascii="宋体" w:hAnsi="宋体" w:cs="宋体"/>
                <w:kern w:val="0"/>
                <w:sz w:val="24"/>
              </w:rPr>
            </w:pPr>
          </w:p>
        </w:tc>
        <w:tc>
          <w:tcPr>
            <w:tcW w:w="1063" w:type="dxa"/>
            <w:tcBorders>
              <w:left w:val="single" w:color="auto" w:sz="4" w:space="0"/>
            </w:tcBorders>
            <w:vAlign w:val="center"/>
          </w:tcPr>
          <w:p w14:paraId="191A6167">
            <w:pPr>
              <w:widowControl/>
              <w:jc w:val="center"/>
              <w:rPr>
                <w:rFonts w:ascii="宋体" w:hAnsi="宋体" w:cs="宋体"/>
                <w:kern w:val="0"/>
                <w:sz w:val="24"/>
              </w:rPr>
            </w:pPr>
          </w:p>
        </w:tc>
        <w:tc>
          <w:tcPr>
            <w:tcW w:w="1187" w:type="dxa"/>
            <w:tcBorders>
              <w:right w:val="single" w:color="auto" w:sz="4" w:space="0"/>
            </w:tcBorders>
          </w:tcPr>
          <w:p w14:paraId="08621024">
            <w:pPr>
              <w:widowControl/>
              <w:rPr>
                <w:rFonts w:ascii="宋体" w:hAnsi="宋体" w:cs="宋体"/>
                <w:kern w:val="0"/>
                <w:sz w:val="24"/>
              </w:rPr>
            </w:pPr>
          </w:p>
        </w:tc>
        <w:tc>
          <w:tcPr>
            <w:tcW w:w="1316" w:type="dxa"/>
            <w:vAlign w:val="center"/>
          </w:tcPr>
          <w:p w14:paraId="7D38393D">
            <w:pPr>
              <w:widowControl/>
              <w:rPr>
                <w:rFonts w:ascii="宋体" w:hAnsi="宋体" w:cs="宋体"/>
                <w:kern w:val="0"/>
                <w:sz w:val="24"/>
              </w:rPr>
            </w:pPr>
          </w:p>
        </w:tc>
      </w:tr>
      <w:tr w14:paraId="00B0CC07">
        <w:tblPrEx>
          <w:tblBorders>
            <w:top w:val="outset" w:color="333333" w:sz="6" w:space="0"/>
            <w:left w:val="outset" w:color="333333" w:sz="6" w:space="0"/>
            <w:bottom w:val="outset" w:color="333333" w:sz="6" w:space="0"/>
            <w:right w:val="outset" w:color="333333" w:sz="6" w:space="0"/>
            <w:insideH w:val="outset" w:color="333333" w:sz="6" w:space="0"/>
            <w:insideV w:val="outset" w:color="333333" w:sz="6" w:space="0"/>
          </w:tblBorders>
          <w:tblCellMar>
            <w:top w:w="0" w:type="dxa"/>
            <w:left w:w="0" w:type="dxa"/>
            <w:bottom w:w="0" w:type="dxa"/>
            <w:right w:w="0" w:type="dxa"/>
          </w:tblCellMar>
        </w:tblPrEx>
        <w:trPr>
          <w:cantSplit/>
          <w:trHeight w:val="454" w:hRule="atLeast"/>
          <w:tblCellSpacing w:w="0" w:type="dxa"/>
        </w:trPr>
        <w:tc>
          <w:tcPr>
            <w:tcW w:w="644" w:type="dxa"/>
            <w:vAlign w:val="center"/>
          </w:tcPr>
          <w:p w14:paraId="06DBF424">
            <w:pPr>
              <w:widowControl/>
              <w:jc w:val="left"/>
              <w:rPr>
                <w:rFonts w:ascii="宋体" w:hAnsi="宋体" w:cs="宋体"/>
                <w:kern w:val="0"/>
                <w:sz w:val="24"/>
              </w:rPr>
            </w:pPr>
          </w:p>
        </w:tc>
        <w:tc>
          <w:tcPr>
            <w:tcW w:w="920" w:type="dxa"/>
            <w:vAlign w:val="center"/>
          </w:tcPr>
          <w:p w14:paraId="03F13E18">
            <w:pPr>
              <w:widowControl/>
              <w:jc w:val="center"/>
              <w:rPr>
                <w:rFonts w:hint="eastAsia" w:ascii="宋体" w:hAnsi="宋体" w:cs="宋体"/>
                <w:kern w:val="0"/>
                <w:sz w:val="24"/>
              </w:rPr>
            </w:pPr>
          </w:p>
        </w:tc>
        <w:tc>
          <w:tcPr>
            <w:tcW w:w="1175" w:type="dxa"/>
            <w:vAlign w:val="center"/>
          </w:tcPr>
          <w:p w14:paraId="207F1791">
            <w:pPr>
              <w:widowControl/>
              <w:jc w:val="center"/>
              <w:rPr>
                <w:rFonts w:ascii="宋体" w:hAnsi="宋体" w:cs="宋体"/>
                <w:kern w:val="0"/>
                <w:sz w:val="24"/>
              </w:rPr>
            </w:pPr>
          </w:p>
        </w:tc>
        <w:tc>
          <w:tcPr>
            <w:tcW w:w="1068" w:type="dxa"/>
            <w:vAlign w:val="center"/>
          </w:tcPr>
          <w:p w14:paraId="00B732ED">
            <w:pPr>
              <w:widowControl/>
              <w:jc w:val="center"/>
              <w:rPr>
                <w:rFonts w:ascii="宋体" w:hAnsi="宋体" w:cs="宋体"/>
                <w:kern w:val="0"/>
                <w:sz w:val="24"/>
              </w:rPr>
            </w:pPr>
          </w:p>
        </w:tc>
        <w:tc>
          <w:tcPr>
            <w:tcW w:w="832" w:type="dxa"/>
            <w:vAlign w:val="center"/>
          </w:tcPr>
          <w:p w14:paraId="4E4E63A6">
            <w:pPr>
              <w:widowControl/>
              <w:jc w:val="center"/>
              <w:rPr>
                <w:rFonts w:ascii="宋体" w:hAnsi="宋体" w:cs="宋体"/>
                <w:kern w:val="0"/>
                <w:sz w:val="24"/>
              </w:rPr>
            </w:pPr>
          </w:p>
        </w:tc>
        <w:tc>
          <w:tcPr>
            <w:tcW w:w="1037" w:type="dxa"/>
            <w:tcBorders>
              <w:right w:val="single" w:color="auto" w:sz="4" w:space="0"/>
            </w:tcBorders>
            <w:vAlign w:val="center"/>
          </w:tcPr>
          <w:p w14:paraId="374F9B83">
            <w:pPr>
              <w:widowControl/>
              <w:jc w:val="center"/>
              <w:rPr>
                <w:rFonts w:ascii="宋体" w:hAnsi="宋体" w:cs="宋体"/>
                <w:kern w:val="0"/>
                <w:sz w:val="24"/>
              </w:rPr>
            </w:pPr>
          </w:p>
        </w:tc>
        <w:tc>
          <w:tcPr>
            <w:tcW w:w="1063" w:type="dxa"/>
            <w:tcBorders>
              <w:left w:val="single" w:color="auto" w:sz="4" w:space="0"/>
            </w:tcBorders>
            <w:vAlign w:val="center"/>
          </w:tcPr>
          <w:p w14:paraId="3BDC94AF">
            <w:pPr>
              <w:widowControl/>
              <w:jc w:val="center"/>
              <w:rPr>
                <w:rFonts w:ascii="宋体" w:hAnsi="宋体" w:cs="宋体"/>
                <w:kern w:val="0"/>
                <w:sz w:val="24"/>
              </w:rPr>
            </w:pPr>
          </w:p>
        </w:tc>
        <w:tc>
          <w:tcPr>
            <w:tcW w:w="1187" w:type="dxa"/>
            <w:tcBorders>
              <w:right w:val="single" w:color="auto" w:sz="4" w:space="0"/>
            </w:tcBorders>
          </w:tcPr>
          <w:p w14:paraId="47FAC68E">
            <w:pPr>
              <w:widowControl/>
              <w:rPr>
                <w:rFonts w:ascii="宋体" w:hAnsi="宋体" w:cs="宋体"/>
                <w:kern w:val="0"/>
                <w:sz w:val="24"/>
              </w:rPr>
            </w:pPr>
          </w:p>
        </w:tc>
        <w:tc>
          <w:tcPr>
            <w:tcW w:w="1316" w:type="dxa"/>
            <w:vAlign w:val="center"/>
          </w:tcPr>
          <w:p w14:paraId="0B2F3213">
            <w:pPr>
              <w:widowControl/>
              <w:rPr>
                <w:rFonts w:ascii="宋体" w:hAnsi="宋体" w:cs="宋体"/>
                <w:kern w:val="0"/>
                <w:sz w:val="24"/>
              </w:rPr>
            </w:pPr>
          </w:p>
        </w:tc>
      </w:tr>
      <w:tr w14:paraId="40A66981">
        <w:tblPrEx>
          <w:tblBorders>
            <w:top w:val="outset" w:color="333333" w:sz="6" w:space="0"/>
            <w:left w:val="outset" w:color="333333" w:sz="6" w:space="0"/>
            <w:bottom w:val="outset" w:color="333333" w:sz="6" w:space="0"/>
            <w:right w:val="outset" w:color="333333" w:sz="6" w:space="0"/>
            <w:insideH w:val="outset" w:color="333333" w:sz="6" w:space="0"/>
            <w:insideV w:val="outset" w:color="333333" w:sz="6" w:space="0"/>
          </w:tblBorders>
          <w:tblCellMar>
            <w:top w:w="0" w:type="dxa"/>
            <w:left w:w="0" w:type="dxa"/>
            <w:bottom w:w="0" w:type="dxa"/>
            <w:right w:w="0" w:type="dxa"/>
          </w:tblCellMar>
        </w:tblPrEx>
        <w:trPr>
          <w:cantSplit/>
          <w:trHeight w:val="454" w:hRule="atLeast"/>
          <w:tblCellSpacing w:w="0" w:type="dxa"/>
        </w:trPr>
        <w:tc>
          <w:tcPr>
            <w:tcW w:w="644" w:type="dxa"/>
            <w:vAlign w:val="center"/>
          </w:tcPr>
          <w:p w14:paraId="600FB552">
            <w:pPr>
              <w:widowControl/>
              <w:jc w:val="left"/>
              <w:rPr>
                <w:rFonts w:ascii="宋体" w:hAnsi="宋体" w:cs="宋体"/>
                <w:kern w:val="0"/>
                <w:sz w:val="24"/>
              </w:rPr>
            </w:pPr>
          </w:p>
        </w:tc>
        <w:tc>
          <w:tcPr>
            <w:tcW w:w="920" w:type="dxa"/>
            <w:vAlign w:val="center"/>
          </w:tcPr>
          <w:p w14:paraId="6267A61E">
            <w:pPr>
              <w:widowControl/>
              <w:jc w:val="center"/>
              <w:rPr>
                <w:rFonts w:hint="eastAsia" w:ascii="宋体" w:hAnsi="宋体" w:cs="宋体"/>
                <w:kern w:val="0"/>
                <w:sz w:val="24"/>
              </w:rPr>
            </w:pPr>
          </w:p>
        </w:tc>
        <w:tc>
          <w:tcPr>
            <w:tcW w:w="1175" w:type="dxa"/>
            <w:vAlign w:val="center"/>
          </w:tcPr>
          <w:p w14:paraId="205765E6">
            <w:pPr>
              <w:widowControl/>
              <w:jc w:val="center"/>
              <w:rPr>
                <w:rFonts w:ascii="宋体" w:hAnsi="宋体" w:cs="宋体"/>
                <w:kern w:val="0"/>
                <w:sz w:val="24"/>
              </w:rPr>
            </w:pPr>
          </w:p>
        </w:tc>
        <w:tc>
          <w:tcPr>
            <w:tcW w:w="1068" w:type="dxa"/>
            <w:vAlign w:val="center"/>
          </w:tcPr>
          <w:p w14:paraId="28B1D8D5">
            <w:pPr>
              <w:widowControl/>
              <w:jc w:val="center"/>
              <w:rPr>
                <w:rFonts w:ascii="宋体" w:hAnsi="宋体" w:cs="宋体"/>
                <w:kern w:val="0"/>
                <w:sz w:val="24"/>
              </w:rPr>
            </w:pPr>
          </w:p>
        </w:tc>
        <w:tc>
          <w:tcPr>
            <w:tcW w:w="832" w:type="dxa"/>
            <w:vAlign w:val="center"/>
          </w:tcPr>
          <w:p w14:paraId="2F4CA1B2">
            <w:pPr>
              <w:widowControl/>
              <w:jc w:val="center"/>
              <w:rPr>
                <w:rFonts w:ascii="宋体" w:hAnsi="宋体" w:cs="宋体"/>
                <w:kern w:val="0"/>
                <w:sz w:val="24"/>
              </w:rPr>
            </w:pPr>
          </w:p>
        </w:tc>
        <w:tc>
          <w:tcPr>
            <w:tcW w:w="1037" w:type="dxa"/>
            <w:tcBorders>
              <w:right w:val="single" w:color="auto" w:sz="4" w:space="0"/>
            </w:tcBorders>
            <w:vAlign w:val="center"/>
          </w:tcPr>
          <w:p w14:paraId="5FE54E19">
            <w:pPr>
              <w:widowControl/>
              <w:jc w:val="center"/>
              <w:rPr>
                <w:rFonts w:ascii="宋体" w:hAnsi="宋体" w:cs="宋体"/>
                <w:kern w:val="0"/>
                <w:sz w:val="24"/>
              </w:rPr>
            </w:pPr>
          </w:p>
        </w:tc>
        <w:tc>
          <w:tcPr>
            <w:tcW w:w="1063" w:type="dxa"/>
            <w:tcBorders>
              <w:left w:val="single" w:color="auto" w:sz="4" w:space="0"/>
            </w:tcBorders>
            <w:vAlign w:val="center"/>
          </w:tcPr>
          <w:p w14:paraId="2CDD6BEA">
            <w:pPr>
              <w:widowControl/>
              <w:jc w:val="center"/>
              <w:rPr>
                <w:rFonts w:ascii="宋体" w:hAnsi="宋体" w:cs="宋体"/>
                <w:kern w:val="0"/>
                <w:sz w:val="24"/>
              </w:rPr>
            </w:pPr>
          </w:p>
        </w:tc>
        <w:tc>
          <w:tcPr>
            <w:tcW w:w="1187" w:type="dxa"/>
            <w:tcBorders>
              <w:right w:val="single" w:color="auto" w:sz="4" w:space="0"/>
            </w:tcBorders>
          </w:tcPr>
          <w:p w14:paraId="4025544B">
            <w:pPr>
              <w:widowControl/>
              <w:rPr>
                <w:rFonts w:ascii="宋体" w:hAnsi="宋体" w:cs="宋体"/>
                <w:kern w:val="0"/>
                <w:sz w:val="24"/>
              </w:rPr>
            </w:pPr>
          </w:p>
        </w:tc>
        <w:tc>
          <w:tcPr>
            <w:tcW w:w="1316" w:type="dxa"/>
            <w:vAlign w:val="center"/>
          </w:tcPr>
          <w:p w14:paraId="62D814C7">
            <w:pPr>
              <w:widowControl/>
              <w:rPr>
                <w:rFonts w:ascii="宋体" w:hAnsi="宋体" w:cs="宋体"/>
                <w:kern w:val="0"/>
                <w:sz w:val="24"/>
              </w:rPr>
            </w:pPr>
          </w:p>
        </w:tc>
      </w:tr>
    </w:tbl>
    <w:p w14:paraId="6EE45ED0">
      <w:pPr>
        <w:adjustRightInd/>
        <w:spacing w:line="360" w:lineRule="auto"/>
        <w:rPr>
          <w:rFonts w:ascii="仿宋" w:hAnsi="仿宋" w:eastAsia="仿宋" w:cs="仿宋_GB2312"/>
          <w:b/>
          <w:sz w:val="24"/>
        </w:rPr>
      </w:pPr>
      <w:r>
        <w:rPr>
          <w:rFonts w:hint="eastAsia" w:ascii="仿宋" w:hAnsi="仿宋" w:eastAsia="仿宋" w:cs="仿宋_GB2312"/>
          <w:b/>
          <w:sz w:val="24"/>
        </w:rPr>
        <w:t>注：</w:t>
      </w:r>
      <w:r>
        <w:rPr>
          <w:rFonts w:hint="eastAsia" w:ascii="仿宋" w:hAnsi="仿宋" w:eastAsia="仿宋" w:cs="仿宋_GB2312"/>
          <w:b/>
          <w:sz w:val="24"/>
          <w:lang w:val="en-US" w:eastAsia="zh-CN"/>
        </w:rPr>
        <w:t>1、</w:t>
      </w:r>
      <w:r>
        <w:rPr>
          <w:rFonts w:hint="eastAsia" w:ascii="仿宋" w:hAnsi="仿宋" w:eastAsia="仿宋" w:cs="仿宋_GB2312"/>
          <w:b/>
          <w:sz w:val="24"/>
        </w:rPr>
        <w:t>招标代理的服务人员3人及以上，造价咨询团队包含</w:t>
      </w:r>
      <w:r>
        <w:rPr>
          <w:rFonts w:hint="eastAsia" w:ascii="仿宋" w:hAnsi="仿宋" w:eastAsia="仿宋"/>
          <w:b/>
          <w:sz w:val="24"/>
          <w:lang w:val="en-US" w:eastAsia="zh-CN"/>
        </w:rPr>
        <w:t>市政</w:t>
      </w:r>
      <w:r>
        <w:rPr>
          <w:rFonts w:hint="eastAsia" w:ascii="仿宋" w:hAnsi="仿宋" w:eastAsia="仿宋"/>
          <w:b/>
          <w:sz w:val="24"/>
        </w:rPr>
        <w:t>专业</w:t>
      </w:r>
      <w:r>
        <w:rPr>
          <w:rFonts w:hint="eastAsia" w:ascii="仿宋" w:hAnsi="仿宋" w:eastAsia="仿宋"/>
          <w:b/>
          <w:sz w:val="24"/>
          <w:lang w:val="en-US" w:eastAsia="zh-CN"/>
        </w:rPr>
        <w:t>4</w:t>
      </w:r>
      <w:r>
        <w:rPr>
          <w:rFonts w:hint="eastAsia" w:ascii="仿宋" w:hAnsi="仿宋" w:eastAsia="仿宋"/>
          <w:b/>
          <w:sz w:val="24"/>
        </w:rPr>
        <w:t xml:space="preserve">人，安装专业 </w:t>
      </w:r>
      <w:r>
        <w:rPr>
          <w:rFonts w:hint="eastAsia" w:ascii="仿宋" w:hAnsi="仿宋" w:eastAsia="仿宋"/>
          <w:b/>
          <w:sz w:val="24"/>
          <w:lang w:val="en-US" w:eastAsia="zh-CN"/>
        </w:rPr>
        <w:t>3</w:t>
      </w:r>
      <w:r>
        <w:rPr>
          <w:rFonts w:hint="eastAsia" w:ascii="仿宋" w:hAnsi="仿宋" w:eastAsia="仿宋"/>
          <w:b/>
          <w:sz w:val="24"/>
        </w:rPr>
        <w:t>人，园林专业</w:t>
      </w:r>
      <w:r>
        <w:rPr>
          <w:rFonts w:hint="eastAsia" w:ascii="仿宋" w:hAnsi="仿宋" w:eastAsia="仿宋"/>
          <w:b/>
          <w:sz w:val="24"/>
          <w:lang w:val="en-US" w:eastAsia="zh-CN"/>
        </w:rPr>
        <w:t>1</w:t>
      </w:r>
      <w:r>
        <w:rPr>
          <w:rFonts w:hint="eastAsia" w:ascii="仿宋" w:hAnsi="仿宋" w:eastAsia="仿宋"/>
          <w:b/>
          <w:sz w:val="24"/>
        </w:rPr>
        <w:t>人</w:t>
      </w:r>
      <w:r>
        <w:rPr>
          <w:rFonts w:hint="eastAsia" w:ascii="仿宋" w:hAnsi="仿宋" w:eastAsia="仿宋" w:cs="仿宋_GB2312"/>
          <w:b/>
          <w:sz w:val="24"/>
        </w:rPr>
        <w:t>及以上</w:t>
      </w:r>
      <w:r>
        <w:rPr>
          <w:rFonts w:hint="eastAsia" w:ascii="仿宋" w:hAnsi="仿宋" w:eastAsia="仿宋" w:cs="仿宋_GB2312"/>
          <w:b/>
          <w:sz w:val="24"/>
          <w:lang w:eastAsia="zh-CN"/>
        </w:rPr>
        <w:t>，</w:t>
      </w:r>
      <w:r>
        <w:rPr>
          <w:rFonts w:hint="eastAsia" w:ascii="仿宋" w:hAnsi="仿宋" w:eastAsia="仿宋" w:cs="仿宋_GB2312"/>
          <w:b/>
          <w:sz w:val="24"/>
        </w:rPr>
        <w:t>中标后严格按照项目组人员名单配备表的技术人员进行招标代理服务。</w:t>
      </w:r>
    </w:p>
    <w:p w14:paraId="765A303C">
      <w:pPr>
        <w:adjustRightInd/>
        <w:spacing w:line="360" w:lineRule="auto"/>
        <w:ind w:firstLine="482" w:firstLineChars="200"/>
        <w:rPr>
          <w:rFonts w:ascii="仿宋" w:hAnsi="仿宋" w:eastAsia="仿宋" w:cs="仿宋_GB2312"/>
          <w:b/>
          <w:strike/>
          <w:dstrike w:val="0"/>
          <w:sz w:val="24"/>
          <w:highlight w:val="green"/>
        </w:rPr>
      </w:pPr>
    </w:p>
    <w:p w14:paraId="03429568">
      <w:pPr>
        <w:autoSpaceDE w:val="0"/>
        <w:autoSpaceDN w:val="0"/>
        <w:spacing w:line="360" w:lineRule="auto"/>
        <w:rPr>
          <w:rFonts w:ascii="仿宋" w:hAnsi="仿宋" w:eastAsia="仿宋" w:cs="仿宋_GB2312"/>
          <w:b/>
          <w:sz w:val="24"/>
        </w:rPr>
      </w:pPr>
    </w:p>
    <w:p w14:paraId="339B3DF0">
      <w:pPr>
        <w:autoSpaceDE w:val="0"/>
        <w:autoSpaceDN w:val="0"/>
        <w:spacing w:line="360" w:lineRule="auto"/>
        <w:ind w:firstLine="4560" w:firstLineChars="1900"/>
        <w:rPr>
          <w:rFonts w:ascii="仿宋" w:hAnsi="仿宋" w:eastAsia="仿宋" w:cs="仿宋_GB2312"/>
          <w:kern w:val="0"/>
          <w:sz w:val="24"/>
        </w:rPr>
      </w:pPr>
      <w:r>
        <w:rPr>
          <w:rFonts w:hint="eastAsia" w:ascii="仿宋" w:hAnsi="仿宋" w:eastAsia="仿宋" w:cs="仿宋_GB2312"/>
          <w:kern w:val="0"/>
          <w:sz w:val="24"/>
        </w:rPr>
        <w:t>投标人名称（</w:t>
      </w:r>
      <w:r>
        <w:rPr>
          <w:rFonts w:hint="eastAsia" w:ascii="仿宋" w:hAnsi="仿宋" w:eastAsia="仿宋" w:cs="仿宋_GB2312"/>
          <w:kern w:val="0"/>
          <w:sz w:val="24"/>
          <w:lang w:val="zh-CN"/>
        </w:rPr>
        <w:t>电子签名</w:t>
      </w:r>
      <w:r>
        <w:rPr>
          <w:rFonts w:hint="eastAsia" w:ascii="仿宋" w:hAnsi="仿宋" w:eastAsia="仿宋" w:cs="仿宋_GB2312"/>
          <w:kern w:val="0"/>
          <w:sz w:val="24"/>
        </w:rPr>
        <w:t>）：</w:t>
      </w:r>
    </w:p>
    <w:p w14:paraId="2692FEF5">
      <w:pPr>
        <w:snapToGrid w:val="0"/>
        <w:spacing w:before="50" w:after="50"/>
        <w:rPr>
          <w:rFonts w:ascii="仿宋" w:hAnsi="仿宋" w:eastAsia="仿宋" w:cs="仿宋_GB2312"/>
          <w:kern w:val="0"/>
          <w:sz w:val="24"/>
        </w:rPr>
      </w:pPr>
      <w:r>
        <w:rPr>
          <w:rFonts w:hint="eastAsia" w:ascii="仿宋" w:hAnsi="仿宋" w:eastAsia="仿宋" w:cs="仿宋_GB2312"/>
          <w:kern w:val="0"/>
          <w:sz w:val="24"/>
        </w:rPr>
        <w:t xml:space="preserve">                                       日期：  年  月   日</w:t>
      </w:r>
    </w:p>
    <w:p w14:paraId="754BFEE8">
      <w:pPr>
        <w:spacing w:line="360" w:lineRule="auto"/>
        <w:jc w:val="center"/>
        <w:rPr>
          <w:rFonts w:ascii="仿宋" w:hAnsi="仿宋" w:eastAsia="仿宋" w:cs="仿宋_GB2312"/>
          <w:b/>
          <w:bCs/>
          <w:sz w:val="32"/>
          <w:szCs w:val="32"/>
        </w:rPr>
      </w:pPr>
      <w:r>
        <w:rPr>
          <w:rFonts w:ascii="仿宋" w:hAnsi="仿宋" w:eastAsia="仿宋" w:cs="仿宋_GB2312"/>
          <w:b/>
          <w:bCs/>
          <w:sz w:val="32"/>
          <w:szCs w:val="32"/>
        </w:rPr>
        <w:br w:type="page"/>
      </w:r>
      <w:r>
        <w:rPr>
          <w:rFonts w:hint="eastAsia" w:ascii="仿宋" w:hAnsi="仿宋" w:eastAsia="仿宋" w:cs="仿宋_GB2312"/>
          <w:b/>
          <w:bCs/>
          <w:sz w:val="32"/>
          <w:szCs w:val="32"/>
        </w:rPr>
        <w:t>六、售后服务方案（如有）</w:t>
      </w:r>
    </w:p>
    <w:p w14:paraId="59AC95A8">
      <w:pPr>
        <w:autoSpaceDE w:val="0"/>
        <w:autoSpaceDN w:val="0"/>
        <w:spacing w:line="360" w:lineRule="auto"/>
        <w:jc w:val="center"/>
        <w:rPr>
          <w:rFonts w:ascii="仿宋" w:hAnsi="仿宋" w:eastAsia="仿宋" w:cs="仿宋_GB2312"/>
          <w:sz w:val="24"/>
        </w:rPr>
      </w:pPr>
      <w:r>
        <w:rPr>
          <w:rFonts w:hint="eastAsia" w:ascii="仿宋" w:hAnsi="仿宋" w:eastAsia="仿宋" w:cs="仿宋_GB2312"/>
          <w:sz w:val="24"/>
        </w:rPr>
        <w:t>（由投标人根据采购需求及招标文件要求编制）</w:t>
      </w:r>
    </w:p>
    <w:p w14:paraId="45202308">
      <w:pPr>
        <w:spacing w:line="360" w:lineRule="auto"/>
        <w:rPr>
          <w:rFonts w:ascii="仿宋" w:hAnsi="仿宋" w:eastAsia="仿宋" w:cs="仿宋_GB2312"/>
          <w:sz w:val="24"/>
        </w:rPr>
      </w:pPr>
    </w:p>
    <w:p w14:paraId="48929D89">
      <w:pPr>
        <w:spacing w:line="360" w:lineRule="auto"/>
        <w:rPr>
          <w:rFonts w:ascii="仿宋" w:hAnsi="仿宋" w:eastAsia="仿宋" w:cs="仿宋_GB2312"/>
          <w:b/>
          <w:bCs/>
          <w:sz w:val="32"/>
          <w:szCs w:val="32"/>
        </w:rPr>
      </w:pPr>
    </w:p>
    <w:p w14:paraId="7AE1F776">
      <w:pPr>
        <w:spacing w:line="360" w:lineRule="auto"/>
        <w:jc w:val="center"/>
        <w:rPr>
          <w:rFonts w:ascii="仿宋" w:hAnsi="仿宋" w:eastAsia="仿宋" w:cs="仿宋_GB2312"/>
          <w:b/>
          <w:bCs/>
          <w:sz w:val="32"/>
          <w:szCs w:val="32"/>
        </w:rPr>
      </w:pPr>
    </w:p>
    <w:p w14:paraId="3721485B">
      <w:pPr>
        <w:spacing w:line="360" w:lineRule="auto"/>
        <w:jc w:val="center"/>
        <w:rPr>
          <w:rFonts w:ascii="仿宋" w:hAnsi="仿宋" w:eastAsia="仿宋" w:cs="仿宋_GB2312"/>
          <w:b/>
          <w:kern w:val="0"/>
          <w:sz w:val="32"/>
          <w:szCs w:val="32"/>
          <w:lang w:val="zh-CN"/>
        </w:rPr>
      </w:pPr>
      <w:r>
        <w:rPr>
          <w:rFonts w:hint="eastAsia" w:ascii="仿宋" w:hAnsi="仿宋" w:eastAsia="仿宋" w:cs="仿宋_GB2312"/>
          <w:b/>
          <w:bCs/>
          <w:sz w:val="32"/>
          <w:szCs w:val="32"/>
        </w:rPr>
        <w:t>七、</w:t>
      </w:r>
      <w:r>
        <w:rPr>
          <w:rFonts w:hint="eastAsia" w:ascii="仿宋" w:hAnsi="仿宋" w:eastAsia="仿宋" w:cs="仿宋_GB2312"/>
          <w:b/>
          <w:kern w:val="0"/>
          <w:sz w:val="32"/>
          <w:szCs w:val="32"/>
          <w:lang w:val="zh-CN"/>
        </w:rPr>
        <w:t>优惠条件及特殊承诺（如有）</w:t>
      </w:r>
    </w:p>
    <w:p w14:paraId="36BEF9E6">
      <w:pPr>
        <w:spacing w:line="360" w:lineRule="auto"/>
        <w:jc w:val="center"/>
        <w:rPr>
          <w:rFonts w:ascii="仿宋" w:hAnsi="仿宋" w:eastAsia="仿宋" w:cs="仿宋_GB2312"/>
          <w:sz w:val="24"/>
        </w:rPr>
      </w:pPr>
      <w:r>
        <w:rPr>
          <w:rFonts w:hint="eastAsia" w:ascii="仿宋" w:hAnsi="仿宋" w:eastAsia="仿宋" w:cs="仿宋_GB2312"/>
          <w:sz w:val="24"/>
        </w:rPr>
        <w:t>（由投标人根据采购需求及招标文件要求编制）</w:t>
      </w:r>
    </w:p>
    <w:p w14:paraId="30DAE875">
      <w:pPr>
        <w:autoSpaceDE w:val="0"/>
        <w:autoSpaceDN w:val="0"/>
        <w:spacing w:line="360" w:lineRule="auto"/>
        <w:ind w:firstLine="120"/>
        <w:rPr>
          <w:rFonts w:ascii="仿宋" w:hAnsi="仿宋" w:eastAsia="仿宋" w:cs="仿宋_GB2312"/>
          <w:kern w:val="0"/>
          <w:sz w:val="24"/>
        </w:rPr>
      </w:pPr>
    </w:p>
    <w:p w14:paraId="7223AAD3">
      <w:pPr>
        <w:autoSpaceDE w:val="0"/>
        <w:autoSpaceDN w:val="0"/>
        <w:spacing w:line="360" w:lineRule="auto"/>
        <w:ind w:firstLine="120"/>
        <w:rPr>
          <w:rFonts w:ascii="仿宋" w:hAnsi="仿宋" w:eastAsia="仿宋" w:cs="仿宋_GB2312"/>
          <w:sz w:val="24"/>
        </w:rPr>
      </w:pPr>
    </w:p>
    <w:p w14:paraId="3745B198">
      <w:pPr>
        <w:spacing w:line="360" w:lineRule="auto"/>
        <w:jc w:val="center"/>
        <w:rPr>
          <w:rFonts w:ascii="仿宋" w:hAnsi="仿宋" w:eastAsia="仿宋" w:cs="仿宋_GB2312"/>
          <w:b/>
          <w:bCs/>
          <w:sz w:val="32"/>
          <w:szCs w:val="32"/>
        </w:rPr>
      </w:pPr>
    </w:p>
    <w:p w14:paraId="6C608483">
      <w:pPr>
        <w:spacing w:line="360" w:lineRule="auto"/>
        <w:jc w:val="center"/>
        <w:rPr>
          <w:rFonts w:ascii="仿宋" w:hAnsi="仿宋" w:eastAsia="仿宋" w:cs="仿宋_GB2312"/>
          <w:b/>
          <w:bCs/>
          <w:sz w:val="32"/>
          <w:szCs w:val="32"/>
        </w:rPr>
      </w:pPr>
      <w:r>
        <w:rPr>
          <w:rFonts w:hint="eastAsia" w:ascii="仿宋" w:hAnsi="仿宋" w:eastAsia="仿宋" w:cs="仿宋_GB2312"/>
          <w:b/>
          <w:bCs/>
          <w:sz w:val="32"/>
          <w:szCs w:val="32"/>
        </w:rPr>
        <w:t>八、投标人认为需要的其他商务技术文件或说明</w:t>
      </w:r>
    </w:p>
    <w:p w14:paraId="5B94402F">
      <w:pPr>
        <w:spacing w:line="360" w:lineRule="auto"/>
        <w:jc w:val="center"/>
        <w:rPr>
          <w:rFonts w:ascii="仿宋" w:hAnsi="仿宋" w:eastAsia="仿宋" w:cs="仿宋_GB2312"/>
          <w:sz w:val="24"/>
        </w:rPr>
      </w:pPr>
      <w:r>
        <w:rPr>
          <w:rFonts w:hint="eastAsia" w:ascii="仿宋" w:hAnsi="仿宋" w:eastAsia="仿宋" w:cs="仿宋_GB2312"/>
          <w:sz w:val="24"/>
        </w:rPr>
        <w:t>（由投标人根据采购需求及招标文件要求编制）</w:t>
      </w:r>
    </w:p>
    <w:p w14:paraId="37EF6A53">
      <w:pPr>
        <w:spacing w:line="360" w:lineRule="auto"/>
        <w:jc w:val="center"/>
        <w:rPr>
          <w:rFonts w:ascii="仿宋" w:hAnsi="仿宋" w:eastAsia="仿宋" w:cs="仿宋_GB2312"/>
          <w:sz w:val="24"/>
        </w:rPr>
      </w:pPr>
    </w:p>
    <w:p w14:paraId="3453C70F">
      <w:pPr>
        <w:spacing w:line="360" w:lineRule="auto"/>
        <w:rPr>
          <w:rFonts w:ascii="仿宋" w:hAnsi="仿宋" w:eastAsia="仿宋" w:cs="仿宋_GB2312"/>
          <w:b/>
          <w:bCs/>
          <w:sz w:val="30"/>
          <w:szCs w:val="30"/>
        </w:rPr>
      </w:pPr>
    </w:p>
    <w:p w14:paraId="334861BC">
      <w:pPr>
        <w:pStyle w:val="494"/>
        <w:keepNext w:val="0"/>
        <w:pageBreakBefore w:val="0"/>
        <w:tabs>
          <w:tab w:val="clear" w:pos="720"/>
        </w:tabs>
        <w:snapToGrid w:val="0"/>
        <w:jc w:val="both"/>
        <w:outlineLvl w:val="9"/>
        <w:rPr>
          <w:rFonts w:ascii="仿宋" w:hAnsi="仿宋" w:eastAsia="仿宋" w:cs="仿宋_GB2312"/>
          <w:b w:val="0"/>
          <w:sz w:val="24"/>
        </w:rPr>
      </w:pPr>
    </w:p>
    <w:p w14:paraId="107B0468">
      <w:pPr>
        <w:pStyle w:val="494"/>
        <w:keepNext w:val="0"/>
        <w:pageBreakBefore w:val="0"/>
        <w:tabs>
          <w:tab w:val="clear" w:pos="720"/>
        </w:tabs>
        <w:snapToGrid w:val="0"/>
        <w:jc w:val="both"/>
        <w:outlineLvl w:val="9"/>
        <w:rPr>
          <w:rFonts w:ascii="仿宋" w:hAnsi="仿宋" w:eastAsia="仿宋" w:cs="仿宋_GB2312"/>
          <w:b w:val="0"/>
          <w:sz w:val="24"/>
        </w:rPr>
      </w:pPr>
    </w:p>
    <w:p w14:paraId="0FACA607">
      <w:pPr>
        <w:pStyle w:val="494"/>
        <w:keepNext w:val="0"/>
        <w:pageBreakBefore w:val="0"/>
        <w:tabs>
          <w:tab w:val="clear" w:pos="720"/>
        </w:tabs>
        <w:snapToGrid w:val="0"/>
        <w:jc w:val="both"/>
        <w:outlineLvl w:val="9"/>
        <w:rPr>
          <w:rFonts w:ascii="仿宋" w:hAnsi="仿宋" w:eastAsia="仿宋" w:cs="仿宋_GB2312"/>
          <w:b w:val="0"/>
          <w:sz w:val="24"/>
        </w:rPr>
      </w:pPr>
    </w:p>
    <w:p w14:paraId="6E520CAA">
      <w:pPr>
        <w:pStyle w:val="494"/>
        <w:keepNext w:val="0"/>
        <w:pageBreakBefore w:val="0"/>
        <w:tabs>
          <w:tab w:val="clear" w:pos="720"/>
        </w:tabs>
        <w:snapToGrid w:val="0"/>
        <w:jc w:val="both"/>
        <w:outlineLvl w:val="9"/>
        <w:rPr>
          <w:rFonts w:ascii="仿宋" w:hAnsi="仿宋" w:eastAsia="仿宋" w:cs="仿宋_GB2312"/>
          <w:b w:val="0"/>
          <w:sz w:val="24"/>
        </w:rPr>
      </w:pPr>
    </w:p>
    <w:p w14:paraId="547E6CCD">
      <w:pPr>
        <w:pStyle w:val="494"/>
        <w:keepNext w:val="0"/>
        <w:pageBreakBefore w:val="0"/>
        <w:tabs>
          <w:tab w:val="clear" w:pos="720"/>
        </w:tabs>
        <w:snapToGrid w:val="0"/>
        <w:jc w:val="both"/>
        <w:outlineLvl w:val="9"/>
        <w:rPr>
          <w:rFonts w:ascii="仿宋" w:hAnsi="仿宋" w:eastAsia="仿宋" w:cs="仿宋_GB2312"/>
          <w:b w:val="0"/>
          <w:sz w:val="24"/>
        </w:rPr>
      </w:pPr>
    </w:p>
    <w:p w14:paraId="60126CBF">
      <w:pPr>
        <w:pStyle w:val="494"/>
        <w:keepNext w:val="0"/>
        <w:pageBreakBefore w:val="0"/>
        <w:tabs>
          <w:tab w:val="clear" w:pos="720"/>
        </w:tabs>
        <w:snapToGrid w:val="0"/>
        <w:jc w:val="both"/>
        <w:outlineLvl w:val="9"/>
        <w:rPr>
          <w:rFonts w:ascii="仿宋" w:hAnsi="仿宋" w:eastAsia="仿宋" w:cs="仿宋_GB2312"/>
          <w:b w:val="0"/>
          <w:sz w:val="24"/>
        </w:rPr>
      </w:pPr>
    </w:p>
    <w:p w14:paraId="3597BBA6">
      <w:pPr>
        <w:pStyle w:val="494"/>
        <w:keepNext w:val="0"/>
        <w:pageBreakBefore w:val="0"/>
        <w:tabs>
          <w:tab w:val="clear" w:pos="720"/>
        </w:tabs>
        <w:snapToGrid w:val="0"/>
        <w:jc w:val="both"/>
        <w:outlineLvl w:val="9"/>
        <w:rPr>
          <w:rFonts w:ascii="仿宋" w:hAnsi="仿宋" w:eastAsia="仿宋" w:cs="仿宋_GB2312"/>
          <w:b w:val="0"/>
          <w:sz w:val="24"/>
        </w:rPr>
      </w:pPr>
    </w:p>
    <w:p w14:paraId="73BEE06B">
      <w:pPr>
        <w:pStyle w:val="494"/>
        <w:keepNext w:val="0"/>
        <w:pageBreakBefore w:val="0"/>
        <w:tabs>
          <w:tab w:val="clear" w:pos="720"/>
        </w:tabs>
        <w:snapToGrid w:val="0"/>
        <w:jc w:val="both"/>
        <w:outlineLvl w:val="9"/>
        <w:rPr>
          <w:rFonts w:ascii="仿宋" w:hAnsi="仿宋" w:eastAsia="仿宋" w:cs="仿宋_GB2312"/>
          <w:b w:val="0"/>
          <w:sz w:val="24"/>
        </w:rPr>
      </w:pPr>
    </w:p>
    <w:p w14:paraId="717F6486">
      <w:pPr>
        <w:pStyle w:val="494"/>
        <w:keepNext w:val="0"/>
        <w:pageBreakBefore w:val="0"/>
        <w:tabs>
          <w:tab w:val="clear" w:pos="720"/>
        </w:tabs>
        <w:snapToGrid w:val="0"/>
        <w:jc w:val="both"/>
        <w:outlineLvl w:val="9"/>
        <w:rPr>
          <w:rFonts w:ascii="仿宋" w:hAnsi="仿宋" w:eastAsia="仿宋" w:cs="仿宋_GB2312"/>
          <w:b w:val="0"/>
          <w:sz w:val="24"/>
        </w:rPr>
      </w:pPr>
    </w:p>
    <w:p w14:paraId="3A51A062">
      <w:pPr>
        <w:pStyle w:val="494"/>
        <w:keepNext w:val="0"/>
        <w:pageBreakBefore w:val="0"/>
        <w:tabs>
          <w:tab w:val="clear" w:pos="720"/>
        </w:tabs>
        <w:snapToGrid w:val="0"/>
        <w:jc w:val="both"/>
        <w:outlineLvl w:val="9"/>
        <w:rPr>
          <w:rFonts w:ascii="仿宋" w:hAnsi="仿宋" w:eastAsia="仿宋" w:cs="仿宋_GB2312"/>
          <w:b w:val="0"/>
          <w:sz w:val="24"/>
        </w:rPr>
      </w:pPr>
    </w:p>
    <w:p w14:paraId="71D9BE3B">
      <w:pPr>
        <w:pStyle w:val="494"/>
        <w:keepNext w:val="0"/>
        <w:pageBreakBefore w:val="0"/>
        <w:tabs>
          <w:tab w:val="clear" w:pos="720"/>
        </w:tabs>
        <w:snapToGrid w:val="0"/>
        <w:jc w:val="both"/>
        <w:outlineLvl w:val="9"/>
        <w:rPr>
          <w:rFonts w:ascii="仿宋" w:hAnsi="仿宋" w:eastAsia="仿宋" w:cs="仿宋_GB2312"/>
          <w:b w:val="0"/>
          <w:sz w:val="24"/>
        </w:rPr>
      </w:pPr>
    </w:p>
    <w:p w14:paraId="74B98199">
      <w:pPr>
        <w:pStyle w:val="494"/>
        <w:keepNext w:val="0"/>
        <w:pageBreakBefore w:val="0"/>
        <w:tabs>
          <w:tab w:val="clear" w:pos="720"/>
        </w:tabs>
        <w:snapToGrid w:val="0"/>
        <w:jc w:val="both"/>
        <w:outlineLvl w:val="9"/>
        <w:rPr>
          <w:rFonts w:ascii="仿宋" w:hAnsi="仿宋" w:eastAsia="仿宋" w:cs="仿宋_GB2312"/>
          <w:b w:val="0"/>
          <w:sz w:val="24"/>
        </w:rPr>
      </w:pPr>
    </w:p>
    <w:p w14:paraId="002F3D0D">
      <w:pPr>
        <w:pStyle w:val="494"/>
        <w:keepNext w:val="0"/>
        <w:pageBreakBefore w:val="0"/>
        <w:tabs>
          <w:tab w:val="clear" w:pos="720"/>
        </w:tabs>
        <w:snapToGrid w:val="0"/>
        <w:jc w:val="both"/>
        <w:outlineLvl w:val="9"/>
        <w:rPr>
          <w:rFonts w:ascii="仿宋" w:hAnsi="仿宋" w:eastAsia="仿宋" w:cs="仿宋_GB2312"/>
          <w:b w:val="0"/>
          <w:sz w:val="24"/>
        </w:rPr>
      </w:pPr>
    </w:p>
    <w:p w14:paraId="3B08CAC8">
      <w:pPr>
        <w:spacing w:line="360" w:lineRule="auto"/>
        <w:jc w:val="center"/>
        <w:outlineLvl w:val="0"/>
        <w:rPr>
          <w:rFonts w:ascii="仿宋" w:hAnsi="仿宋" w:eastAsia="仿宋" w:cs="仿宋_GB2312"/>
          <w:b/>
          <w:kern w:val="0"/>
          <w:sz w:val="36"/>
          <w:szCs w:val="36"/>
        </w:rPr>
      </w:pPr>
      <w:r>
        <w:rPr>
          <w:rFonts w:hint="eastAsia" w:ascii="仿宋" w:hAnsi="仿宋" w:eastAsia="仿宋" w:cs="仿宋_GB2312"/>
          <w:b/>
          <w:kern w:val="0"/>
          <w:sz w:val="36"/>
          <w:szCs w:val="36"/>
        </w:rPr>
        <w:br w:type="page"/>
      </w:r>
      <w:r>
        <w:rPr>
          <w:rFonts w:hint="eastAsia" w:ascii="仿宋" w:hAnsi="仿宋" w:eastAsia="仿宋" w:cs="仿宋_GB2312"/>
          <w:b/>
          <w:kern w:val="0"/>
          <w:sz w:val="36"/>
          <w:szCs w:val="36"/>
        </w:rPr>
        <w:t>报价文件部分</w:t>
      </w:r>
    </w:p>
    <w:p w14:paraId="55E1962A">
      <w:pPr>
        <w:spacing w:line="360" w:lineRule="auto"/>
        <w:jc w:val="center"/>
        <w:outlineLvl w:val="0"/>
        <w:rPr>
          <w:rFonts w:ascii="仿宋" w:hAnsi="仿宋" w:eastAsia="仿宋" w:cs="仿宋_GB2312"/>
          <w:b/>
          <w:kern w:val="0"/>
          <w:sz w:val="24"/>
        </w:rPr>
      </w:pPr>
    </w:p>
    <w:p w14:paraId="29D9C20C">
      <w:pPr>
        <w:spacing w:line="360" w:lineRule="auto"/>
        <w:jc w:val="center"/>
        <w:outlineLvl w:val="0"/>
        <w:rPr>
          <w:rFonts w:ascii="仿宋" w:hAnsi="仿宋" w:eastAsia="仿宋" w:cs="仿宋_GB2312"/>
          <w:b/>
          <w:kern w:val="0"/>
          <w:sz w:val="36"/>
          <w:szCs w:val="36"/>
        </w:rPr>
      </w:pPr>
      <w:r>
        <w:rPr>
          <w:rFonts w:hint="eastAsia" w:ascii="仿宋" w:hAnsi="仿宋" w:eastAsia="仿宋" w:cs="仿宋_GB2312"/>
          <w:b/>
          <w:kern w:val="0"/>
          <w:sz w:val="36"/>
          <w:szCs w:val="36"/>
        </w:rPr>
        <w:t>目录</w:t>
      </w:r>
    </w:p>
    <w:p w14:paraId="55A1F034">
      <w:pPr>
        <w:spacing w:line="360" w:lineRule="auto"/>
        <w:outlineLvl w:val="0"/>
        <w:rPr>
          <w:rFonts w:ascii="仿宋" w:hAnsi="仿宋" w:eastAsia="仿宋" w:cs="仿宋_GB2312"/>
          <w:kern w:val="0"/>
          <w:sz w:val="24"/>
        </w:rPr>
      </w:pPr>
      <w:r>
        <w:rPr>
          <w:rFonts w:hint="eastAsia" w:ascii="仿宋" w:hAnsi="仿宋" w:eastAsia="仿宋" w:cs="仿宋_GB2312"/>
          <w:kern w:val="0"/>
          <w:sz w:val="24"/>
        </w:rPr>
        <w:t>（1）投标（开标）一览表……………………………………………………（页码）</w:t>
      </w:r>
    </w:p>
    <w:p w14:paraId="0EDC6D94">
      <w:pPr>
        <w:snapToGrid w:val="0"/>
        <w:spacing w:line="360" w:lineRule="auto"/>
        <w:jc w:val="center"/>
        <w:outlineLvl w:val="0"/>
        <w:rPr>
          <w:rFonts w:ascii="仿宋" w:hAnsi="仿宋" w:eastAsia="仿宋" w:cs="仿宋_GB2312"/>
          <w:b/>
          <w:kern w:val="0"/>
          <w:sz w:val="32"/>
          <w:szCs w:val="32"/>
        </w:rPr>
      </w:pPr>
    </w:p>
    <w:p w14:paraId="37710CE3">
      <w:pPr>
        <w:snapToGrid w:val="0"/>
        <w:spacing w:line="360" w:lineRule="auto"/>
        <w:jc w:val="center"/>
        <w:outlineLvl w:val="0"/>
        <w:rPr>
          <w:rFonts w:ascii="仿宋" w:hAnsi="仿宋" w:eastAsia="仿宋" w:cs="仿宋_GB2312"/>
          <w:b/>
          <w:kern w:val="0"/>
          <w:sz w:val="32"/>
          <w:szCs w:val="32"/>
        </w:rPr>
      </w:pPr>
    </w:p>
    <w:p w14:paraId="74A52CD0">
      <w:pPr>
        <w:snapToGrid w:val="0"/>
        <w:spacing w:line="360" w:lineRule="auto"/>
        <w:jc w:val="center"/>
        <w:outlineLvl w:val="0"/>
        <w:rPr>
          <w:rFonts w:ascii="仿宋" w:hAnsi="仿宋" w:eastAsia="仿宋" w:cs="仿宋_GB2312"/>
          <w:b/>
          <w:kern w:val="0"/>
          <w:sz w:val="32"/>
          <w:szCs w:val="32"/>
        </w:rPr>
      </w:pPr>
    </w:p>
    <w:p w14:paraId="0C339BAA">
      <w:pPr>
        <w:snapToGrid w:val="0"/>
        <w:spacing w:line="360" w:lineRule="auto"/>
        <w:jc w:val="center"/>
        <w:outlineLvl w:val="0"/>
        <w:rPr>
          <w:rFonts w:ascii="仿宋" w:hAnsi="仿宋" w:eastAsia="仿宋" w:cs="仿宋_GB2312"/>
          <w:b/>
          <w:kern w:val="0"/>
          <w:sz w:val="32"/>
          <w:szCs w:val="32"/>
        </w:rPr>
      </w:pPr>
    </w:p>
    <w:p w14:paraId="36E55CF8">
      <w:pPr>
        <w:snapToGrid w:val="0"/>
        <w:spacing w:line="360" w:lineRule="auto"/>
        <w:jc w:val="center"/>
        <w:outlineLvl w:val="0"/>
        <w:rPr>
          <w:rFonts w:ascii="仿宋" w:hAnsi="仿宋" w:eastAsia="仿宋" w:cs="仿宋_GB2312"/>
          <w:b/>
          <w:kern w:val="0"/>
          <w:sz w:val="32"/>
          <w:szCs w:val="32"/>
        </w:rPr>
      </w:pPr>
    </w:p>
    <w:p w14:paraId="2E3AAEB1">
      <w:pPr>
        <w:snapToGrid w:val="0"/>
        <w:spacing w:line="360" w:lineRule="auto"/>
        <w:jc w:val="center"/>
        <w:outlineLvl w:val="0"/>
        <w:rPr>
          <w:rFonts w:ascii="仿宋" w:hAnsi="仿宋" w:eastAsia="仿宋" w:cs="仿宋_GB2312"/>
          <w:b/>
          <w:kern w:val="0"/>
          <w:sz w:val="32"/>
          <w:szCs w:val="32"/>
        </w:rPr>
      </w:pPr>
    </w:p>
    <w:p w14:paraId="5D4AE42C">
      <w:pPr>
        <w:snapToGrid w:val="0"/>
        <w:spacing w:line="360" w:lineRule="auto"/>
        <w:jc w:val="center"/>
        <w:outlineLvl w:val="0"/>
        <w:rPr>
          <w:rFonts w:ascii="仿宋" w:hAnsi="仿宋" w:eastAsia="仿宋" w:cs="仿宋_GB2312"/>
          <w:b/>
          <w:kern w:val="0"/>
          <w:sz w:val="32"/>
          <w:szCs w:val="32"/>
        </w:rPr>
      </w:pPr>
    </w:p>
    <w:p w14:paraId="756845F8">
      <w:pPr>
        <w:snapToGrid w:val="0"/>
        <w:spacing w:line="360" w:lineRule="auto"/>
        <w:jc w:val="center"/>
        <w:outlineLvl w:val="0"/>
        <w:rPr>
          <w:rFonts w:ascii="仿宋" w:hAnsi="仿宋" w:eastAsia="仿宋" w:cs="仿宋_GB2312"/>
          <w:b/>
          <w:kern w:val="0"/>
          <w:sz w:val="32"/>
          <w:szCs w:val="32"/>
        </w:rPr>
      </w:pPr>
    </w:p>
    <w:p w14:paraId="5BEB0674">
      <w:pPr>
        <w:snapToGrid w:val="0"/>
        <w:spacing w:line="360" w:lineRule="auto"/>
        <w:jc w:val="center"/>
        <w:outlineLvl w:val="0"/>
        <w:rPr>
          <w:rFonts w:ascii="仿宋" w:hAnsi="仿宋" w:eastAsia="仿宋" w:cs="仿宋_GB2312"/>
          <w:b/>
          <w:kern w:val="0"/>
          <w:sz w:val="32"/>
          <w:szCs w:val="32"/>
        </w:rPr>
      </w:pPr>
    </w:p>
    <w:p w14:paraId="1C10E76E">
      <w:pPr>
        <w:snapToGrid w:val="0"/>
        <w:spacing w:line="360" w:lineRule="auto"/>
        <w:jc w:val="center"/>
        <w:outlineLvl w:val="0"/>
        <w:rPr>
          <w:rFonts w:ascii="仿宋" w:hAnsi="仿宋" w:eastAsia="仿宋" w:cs="仿宋_GB2312"/>
          <w:b/>
          <w:kern w:val="0"/>
          <w:sz w:val="32"/>
          <w:szCs w:val="32"/>
        </w:rPr>
      </w:pPr>
    </w:p>
    <w:p w14:paraId="5E20A16F">
      <w:pPr>
        <w:snapToGrid w:val="0"/>
        <w:spacing w:line="360" w:lineRule="auto"/>
        <w:jc w:val="center"/>
        <w:outlineLvl w:val="0"/>
        <w:rPr>
          <w:rFonts w:ascii="仿宋" w:hAnsi="仿宋" w:eastAsia="仿宋" w:cs="仿宋_GB2312"/>
          <w:b/>
          <w:kern w:val="0"/>
          <w:sz w:val="32"/>
          <w:szCs w:val="32"/>
        </w:rPr>
      </w:pPr>
    </w:p>
    <w:p w14:paraId="4654F5DB">
      <w:pPr>
        <w:snapToGrid w:val="0"/>
        <w:spacing w:line="360" w:lineRule="auto"/>
        <w:jc w:val="center"/>
        <w:outlineLvl w:val="0"/>
        <w:rPr>
          <w:rFonts w:ascii="仿宋" w:hAnsi="仿宋" w:eastAsia="仿宋" w:cs="仿宋_GB2312"/>
          <w:b/>
          <w:kern w:val="0"/>
          <w:sz w:val="32"/>
          <w:szCs w:val="32"/>
        </w:rPr>
      </w:pPr>
    </w:p>
    <w:p w14:paraId="53F3A9AE">
      <w:pPr>
        <w:snapToGrid w:val="0"/>
        <w:spacing w:line="360" w:lineRule="auto"/>
        <w:jc w:val="center"/>
        <w:outlineLvl w:val="0"/>
        <w:rPr>
          <w:rFonts w:ascii="仿宋" w:hAnsi="仿宋" w:eastAsia="仿宋" w:cs="仿宋_GB2312"/>
          <w:b/>
          <w:kern w:val="0"/>
          <w:sz w:val="32"/>
          <w:szCs w:val="32"/>
        </w:rPr>
      </w:pPr>
    </w:p>
    <w:p w14:paraId="3385852C">
      <w:pPr>
        <w:pStyle w:val="494"/>
        <w:keepNext w:val="0"/>
        <w:pageBreakBefore w:val="0"/>
        <w:tabs>
          <w:tab w:val="clear" w:pos="720"/>
        </w:tabs>
        <w:snapToGrid w:val="0"/>
        <w:ind w:firstLine="640"/>
        <w:outlineLvl w:val="9"/>
        <w:rPr>
          <w:rFonts w:ascii="仿宋" w:hAnsi="仿宋" w:eastAsia="仿宋" w:cs="仿宋_GB2312"/>
          <w:kern w:val="2"/>
          <w:sz w:val="32"/>
          <w:szCs w:val="32"/>
        </w:rPr>
        <w:sectPr>
          <w:headerReference r:id="rId9" w:type="first"/>
          <w:footerReference r:id="rId12" w:type="first"/>
          <w:footerReference r:id="rId10" w:type="default"/>
          <w:headerReference r:id="rId8" w:type="even"/>
          <w:footerReference r:id="rId11" w:type="even"/>
          <w:pgSz w:w="11906" w:h="16838"/>
          <w:pgMar w:top="1247" w:right="1418" w:bottom="1276" w:left="1418" w:header="851" w:footer="992" w:gutter="0"/>
          <w:cols w:space="720" w:num="1"/>
          <w:titlePg/>
          <w:docGrid w:linePitch="312" w:charSpace="0"/>
        </w:sectPr>
      </w:pPr>
    </w:p>
    <w:p w14:paraId="1896B964">
      <w:pPr>
        <w:pStyle w:val="494"/>
        <w:keepNext w:val="0"/>
        <w:pageBreakBefore w:val="0"/>
        <w:tabs>
          <w:tab w:val="clear" w:pos="720"/>
        </w:tabs>
        <w:snapToGrid w:val="0"/>
        <w:ind w:firstLine="640"/>
        <w:outlineLvl w:val="9"/>
        <w:rPr>
          <w:rFonts w:ascii="仿宋" w:hAnsi="仿宋" w:eastAsia="仿宋" w:cs="仿宋_GB2312"/>
          <w:kern w:val="2"/>
          <w:sz w:val="32"/>
          <w:szCs w:val="32"/>
        </w:rPr>
      </w:pPr>
      <w:bookmarkStart w:id="437" w:name="_Toc86217005"/>
      <w:r>
        <w:rPr>
          <w:rFonts w:hint="eastAsia" w:ascii="仿宋" w:hAnsi="仿宋" w:eastAsia="仿宋" w:cs="仿宋_GB2312"/>
          <w:kern w:val="2"/>
          <w:sz w:val="32"/>
          <w:szCs w:val="32"/>
        </w:rPr>
        <w:t>一、标项投标(开标)一览表</w:t>
      </w:r>
    </w:p>
    <w:p w14:paraId="757E0700">
      <w:pPr>
        <w:snapToGrid w:val="0"/>
        <w:spacing w:line="360" w:lineRule="auto"/>
        <w:rPr>
          <w:rFonts w:ascii="仿宋" w:hAnsi="仿宋" w:eastAsia="仿宋" w:cs="仿宋_GB2312"/>
          <w:kern w:val="0"/>
          <w:sz w:val="24"/>
        </w:rPr>
      </w:pPr>
      <w:r>
        <w:rPr>
          <w:rFonts w:hint="eastAsia" w:ascii="仿宋" w:hAnsi="仿宋" w:eastAsia="仿宋" w:cs="仿宋_GB2312"/>
          <w:kern w:val="0"/>
          <w:sz w:val="24"/>
          <w:lang w:val="zh-CN"/>
        </w:rPr>
        <w:t xml:space="preserve">                </w:t>
      </w:r>
      <w:r>
        <w:rPr>
          <w:rFonts w:hint="eastAsia" w:ascii="仿宋" w:hAnsi="仿宋" w:eastAsia="仿宋" w:cs="仿宋_GB2312"/>
          <w:kern w:val="0"/>
          <w:sz w:val="24"/>
        </w:rPr>
        <w:t xml:space="preserve">       </w:t>
      </w:r>
    </w:p>
    <w:p w14:paraId="759C07B8">
      <w:pPr>
        <w:snapToGrid w:val="0"/>
        <w:spacing w:line="360" w:lineRule="auto"/>
        <w:rPr>
          <w:rFonts w:ascii="仿宋" w:hAnsi="仿宋" w:eastAsia="仿宋" w:cs="仿宋_GB2312"/>
          <w:kern w:val="0"/>
          <w:sz w:val="24"/>
          <w:u w:val="single"/>
          <w:lang w:val="zh-CN"/>
        </w:rPr>
      </w:pPr>
      <w:r>
        <w:rPr>
          <w:rFonts w:hint="eastAsia" w:ascii="仿宋" w:hAnsi="仿宋" w:eastAsia="仿宋" w:cs="仿宋_GB2312"/>
          <w:sz w:val="24"/>
        </w:rPr>
        <w:t>项目名称</w:t>
      </w:r>
      <w:r>
        <w:rPr>
          <w:rFonts w:hint="eastAsia" w:ascii="仿宋" w:hAnsi="仿宋" w:eastAsia="仿宋" w:cs="仿宋_GB2312"/>
          <w:kern w:val="0"/>
          <w:sz w:val="24"/>
          <w:lang w:val="zh-CN"/>
        </w:rPr>
        <w:t>：</w:t>
      </w:r>
      <w:r>
        <w:rPr>
          <w:rFonts w:hint="eastAsia" w:ascii="仿宋" w:hAnsi="仿宋" w:eastAsia="仿宋" w:cs="仿宋_GB2312"/>
          <w:kern w:val="0"/>
          <w:sz w:val="24"/>
          <w:u w:val="single"/>
          <w:lang w:val="zh-CN"/>
        </w:rPr>
        <w:t xml:space="preserve">             </w:t>
      </w:r>
    </w:p>
    <w:p w14:paraId="75C5AC6B">
      <w:pPr>
        <w:snapToGrid w:val="0"/>
        <w:spacing w:line="360" w:lineRule="auto"/>
        <w:rPr>
          <w:rFonts w:ascii="仿宋" w:hAnsi="仿宋" w:eastAsia="仿宋" w:cs="仿宋_GB2312"/>
          <w:kern w:val="0"/>
          <w:sz w:val="24"/>
          <w:lang w:val="zh-CN"/>
        </w:rPr>
      </w:pPr>
      <w:r>
        <w:rPr>
          <w:rFonts w:hint="eastAsia" w:ascii="仿宋" w:hAnsi="仿宋" w:eastAsia="仿宋" w:cs="仿宋_GB2312"/>
          <w:kern w:val="0"/>
          <w:sz w:val="24"/>
          <w:lang w:val="zh-CN"/>
        </w:rPr>
        <w:t>项目编号：</w:t>
      </w:r>
      <w:r>
        <w:rPr>
          <w:rFonts w:hint="eastAsia" w:ascii="仿宋" w:hAnsi="仿宋" w:eastAsia="仿宋" w:cs="仿宋_GB2312"/>
          <w:kern w:val="0"/>
          <w:sz w:val="24"/>
          <w:u w:val="single"/>
          <w:lang w:val="zh-CN"/>
        </w:rPr>
        <w:t xml:space="preserve">              </w:t>
      </w:r>
      <w:r>
        <w:rPr>
          <w:rFonts w:hint="eastAsia" w:ascii="仿宋" w:hAnsi="仿宋" w:eastAsia="仿宋" w:cs="仿宋_GB2312"/>
          <w:kern w:val="0"/>
          <w:sz w:val="24"/>
          <w:lang w:val="zh-CN"/>
        </w:rPr>
        <w:t xml:space="preserve">   </w:t>
      </w:r>
    </w:p>
    <w:tbl>
      <w:tblPr>
        <w:tblStyle w:val="60"/>
        <w:tblW w:w="97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2609"/>
        <w:gridCol w:w="1500"/>
        <w:gridCol w:w="1489"/>
        <w:gridCol w:w="1294"/>
        <w:gridCol w:w="2199"/>
      </w:tblGrid>
      <w:tr w14:paraId="78D17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8" w:hRule="atLeast"/>
          <w:jc w:val="center"/>
        </w:trPr>
        <w:tc>
          <w:tcPr>
            <w:tcW w:w="675" w:type="dxa"/>
            <w:vAlign w:val="center"/>
          </w:tcPr>
          <w:p w14:paraId="2C9BB19B">
            <w:pPr>
              <w:pStyle w:val="31"/>
              <w:jc w:val="center"/>
              <w:rPr>
                <w:rFonts w:hAnsi="宋体"/>
                <w:sz w:val="24"/>
              </w:rPr>
            </w:pPr>
            <w:r>
              <w:rPr>
                <w:rFonts w:hint="eastAsia" w:hAnsi="宋体"/>
                <w:sz w:val="24"/>
              </w:rPr>
              <w:t>编号</w:t>
            </w:r>
          </w:p>
        </w:tc>
        <w:tc>
          <w:tcPr>
            <w:tcW w:w="2609" w:type="dxa"/>
            <w:vAlign w:val="center"/>
          </w:tcPr>
          <w:p w14:paraId="63222720">
            <w:pPr>
              <w:pStyle w:val="31"/>
              <w:jc w:val="center"/>
              <w:rPr>
                <w:rFonts w:hAnsi="宋体"/>
                <w:sz w:val="24"/>
              </w:rPr>
            </w:pPr>
            <w:r>
              <w:rPr>
                <w:rFonts w:hint="eastAsia" w:hAnsi="宋体"/>
                <w:sz w:val="24"/>
              </w:rPr>
              <w:t>服务名称</w:t>
            </w:r>
          </w:p>
        </w:tc>
        <w:tc>
          <w:tcPr>
            <w:tcW w:w="1500" w:type="dxa"/>
            <w:vAlign w:val="center"/>
          </w:tcPr>
          <w:p w14:paraId="3E756BA5">
            <w:pPr>
              <w:pStyle w:val="31"/>
              <w:jc w:val="center"/>
              <w:rPr>
                <w:rFonts w:hAnsi="宋体"/>
                <w:sz w:val="24"/>
              </w:rPr>
            </w:pPr>
            <w:r>
              <w:rPr>
                <w:rFonts w:hint="eastAsia" w:hAnsi="宋体"/>
                <w:sz w:val="24"/>
              </w:rPr>
              <w:t>中标价（万元）</w:t>
            </w:r>
          </w:p>
        </w:tc>
        <w:tc>
          <w:tcPr>
            <w:tcW w:w="1489" w:type="dxa"/>
            <w:vAlign w:val="center"/>
          </w:tcPr>
          <w:p w14:paraId="0A9DDC8F">
            <w:pPr>
              <w:pStyle w:val="31"/>
              <w:jc w:val="center"/>
              <w:rPr>
                <w:rFonts w:hAnsi="宋体"/>
                <w:sz w:val="24"/>
              </w:rPr>
            </w:pPr>
            <w:r>
              <w:rPr>
                <w:rFonts w:hint="eastAsia" w:hAnsi="宋体"/>
                <w:sz w:val="24"/>
              </w:rPr>
              <w:t>费率（‰）</w:t>
            </w:r>
          </w:p>
        </w:tc>
        <w:tc>
          <w:tcPr>
            <w:tcW w:w="1294" w:type="dxa"/>
            <w:vAlign w:val="center"/>
          </w:tcPr>
          <w:p w14:paraId="7EC98B6E">
            <w:pPr>
              <w:pStyle w:val="31"/>
              <w:jc w:val="center"/>
              <w:rPr>
                <w:rFonts w:hAnsi="宋体"/>
                <w:sz w:val="24"/>
              </w:rPr>
            </w:pPr>
            <w:r>
              <w:rPr>
                <w:rFonts w:hint="eastAsia" w:hAnsi="宋体"/>
                <w:sz w:val="24"/>
              </w:rPr>
              <w:t>服务金额（元）</w:t>
            </w:r>
          </w:p>
        </w:tc>
        <w:tc>
          <w:tcPr>
            <w:tcW w:w="2199" w:type="dxa"/>
            <w:vAlign w:val="center"/>
          </w:tcPr>
          <w:p w14:paraId="4F16FAB7">
            <w:pPr>
              <w:pStyle w:val="31"/>
              <w:jc w:val="center"/>
              <w:rPr>
                <w:rFonts w:hAnsi="宋体"/>
                <w:sz w:val="24"/>
              </w:rPr>
            </w:pPr>
            <w:r>
              <w:rPr>
                <w:rFonts w:hint="eastAsia" w:hAnsi="宋体"/>
                <w:sz w:val="24"/>
              </w:rPr>
              <w:t>备注</w:t>
            </w:r>
          </w:p>
        </w:tc>
      </w:tr>
      <w:tr w14:paraId="38282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675" w:type="dxa"/>
            <w:vAlign w:val="center"/>
          </w:tcPr>
          <w:p w14:paraId="512B5324">
            <w:pPr>
              <w:pStyle w:val="31"/>
              <w:jc w:val="center"/>
              <w:rPr>
                <w:rFonts w:hAnsi="宋体"/>
                <w:sz w:val="24"/>
                <w:highlight w:val="none"/>
              </w:rPr>
            </w:pPr>
            <w:r>
              <w:rPr>
                <w:rFonts w:hint="eastAsia" w:hAnsi="宋体"/>
                <w:sz w:val="24"/>
                <w:highlight w:val="none"/>
              </w:rPr>
              <w:t>1</w:t>
            </w:r>
          </w:p>
        </w:tc>
        <w:tc>
          <w:tcPr>
            <w:tcW w:w="2609" w:type="dxa"/>
            <w:vAlign w:val="center"/>
          </w:tcPr>
          <w:p w14:paraId="36C91774">
            <w:pPr>
              <w:spacing w:line="360" w:lineRule="auto"/>
              <w:jc w:val="left"/>
              <w:rPr>
                <w:rFonts w:hint="default" w:hAnsi="宋体"/>
                <w:sz w:val="24"/>
                <w:highlight w:val="none"/>
                <w:lang w:val="en-US"/>
              </w:rPr>
            </w:pPr>
            <w:r>
              <w:rPr>
                <w:rFonts w:hint="eastAsia" w:ascii="宋体" w:hAnsi="宋体" w:cs="Arial"/>
                <w:snapToGrid w:val="0"/>
                <w:kern w:val="2"/>
                <w:sz w:val="24"/>
                <w:szCs w:val="21"/>
                <w:highlight w:val="none"/>
                <w:lang w:val="en-US" w:eastAsia="zh-CN" w:bidi="ar-SA"/>
              </w:rPr>
              <w:t>临空光电信息产业园区西区一期及临空智能制造产业园北区一期配套道路工程</w:t>
            </w:r>
            <w:r>
              <w:rPr>
                <w:rFonts w:hint="eastAsia" w:ascii="宋体" w:hAnsi="宋体" w:eastAsia="宋体" w:cs="Arial"/>
                <w:snapToGrid w:val="0"/>
                <w:kern w:val="2"/>
                <w:sz w:val="24"/>
                <w:szCs w:val="21"/>
                <w:highlight w:val="none"/>
                <w:lang w:val="en-US" w:eastAsia="zh-CN" w:bidi="ar-SA"/>
              </w:rPr>
              <w:t>招标代理服务</w:t>
            </w:r>
            <w:r>
              <w:rPr>
                <w:rFonts w:hint="eastAsia" w:ascii="宋体" w:hAnsi="宋体" w:cs="Arial"/>
                <w:snapToGrid w:val="0"/>
                <w:kern w:val="2"/>
                <w:sz w:val="24"/>
                <w:szCs w:val="21"/>
                <w:highlight w:val="none"/>
                <w:lang w:val="en-US" w:eastAsia="zh-CN" w:bidi="ar-SA"/>
              </w:rPr>
              <w:t>项目</w:t>
            </w:r>
          </w:p>
        </w:tc>
        <w:tc>
          <w:tcPr>
            <w:tcW w:w="1500" w:type="dxa"/>
            <w:vAlign w:val="center"/>
          </w:tcPr>
          <w:p w14:paraId="300D45D3">
            <w:pPr>
              <w:pStyle w:val="31"/>
              <w:jc w:val="center"/>
              <w:rPr>
                <w:rFonts w:hint="default" w:hAnsi="宋体"/>
                <w:sz w:val="24"/>
                <w:highlight w:val="none"/>
                <w:lang w:val="en-US"/>
              </w:rPr>
            </w:pPr>
            <w:r>
              <w:rPr>
                <w:rFonts w:hint="eastAsia" w:hAnsi="宋体"/>
                <w:sz w:val="24"/>
                <w:highlight w:val="none"/>
                <w:lang w:val="en-US" w:eastAsia="zh-CN"/>
              </w:rPr>
              <w:t>17095</w:t>
            </w:r>
          </w:p>
        </w:tc>
        <w:tc>
          <w:tcPr>
            <w:tcW w:w="1489" w:type="dxa"/>
            <w:tcBorders>
              <w:top w:val="single" w:color="auto" w:sz="4" w:space="0"/>
            </w:tcBorders>
            <w:vAlign w:val="center"/>
          </w:tcPr>
          <w:p w14:paraId="617F40FD">
            <w:pPr>
              <w:pStyle w:val="31"/>
              <w:jc w:val="center"/>
              <w:rPr>
                <w:rFonts w:hAnsi="宋体"/>
                <w:sz w:val="24"/>
                <w:highlight w:val="none"/>
              </w:rPr>
            </w:pPr>
          </w:p>
        </w:tc>
        <w:tc>
          <w:tcPr>
            <w:tcW w:w="1294" w:type="dxa"/>
            <w:tcBorders>
              <w:top w:val="single" w:color="auto" w:sz="4" w:space="0"/>
            </w:tcBorders>
            <w:vAlign w:val="center"/>
          </w:tcPr>
          <w:p w14:paraId="617EBD70">
            <w:pPr>
              <w:pStyle w:val="31"/>
              <w:jc w:val="center"/>
              <w:rPr>
                <w:rFonts w:hAnsi="宋体"/>
                <w:sz w:val="24"/>
                <w:highlight w:val="none"/>
              </w:rPr>
            </w:pPr>
          </w:p>
        </w:tc>
        <w:tc>
          <w:tcPr>
            <w:tcW w:w="2199" w:type="dxa"/>
            <w:vAlign w:val="center"/>
          </w:tcPr>
          <w:p w14:paraId="318FE0AC">
            <w:pPr>
              <w:pStyle w:val="31"/>
              <w:rPr>
                <w:rFonts w:hAnsi="宋体"/>
                <w:sz w:val="24"/>
                <w:highlight w:val="none"/>
                <w:u w:val="single"/>
              </w:rPr>
            </w:pPr>
            <w:r>
              <w:rPr>
                <w:rFonts w:hint="eastAsia" w:hAnsi="宋体"/>
                <w:sz w:val="24"/>
                <w:highlight w:val="none"/>
                <w:u w:val="single"/>
              </w:rPr>
              <w:t>上限价为</w:t>
            </w:r>
            <w:r>
              <w:rPr>
                <w:rFonts w:hint="eastAsia" w:hAnsi="宋体"/>
                <w:sz w:val="24"/>
                <w:highlight w:val="none"/>
                <w:u w:val="single"/>
                <w:lang w:val="en-US" w:eastAsia="zh-CN"/>
              </w:rPr>
              <w:t>220012</w:t>
            </w:r>
            <w:r>
              <w:rPr>
                <w:rFonts w:hint="eastAsia" w:hAnsi="宋体"/>
                <w:sz w:val="24"/>
                <w:highlight w:val="none"/>
                <w:u w:val="single"/>
              </w:rPr>
              <w:t>元</w:t>
            </w:r>
          </w:p>
        </w:tc>
      </w:tr>
      <w:tr w14:paraId="46888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675" w:type="dxa"/>
            <w:vAlign w:val="center"/>
          </w:tcPr>
          <w:p w14:paraId="1D402AFC">
            <w:pPr>
              <w:pStyle w:val="31"/>
              <w:jc w:val="center"/>
              <w:rPr>
                <w:rFonts w:hint="eastAsia" w:hAnsi="宋体" w:eastAsia="宋体"/>
                <w:sz w:val="24"/>
                <w:highlight w:val="none"/>
                <w:lang w:val="en-US" w:eastAsia="zh-CN"/>
              </w:rPr>
            </w:pPr>
            <w:r>
              <w:rPr>
                <w:rFonts w:hint="eastAsia" w:hAnsi="宋体"/>
                <w:sz w:val="24"/>
                <w:highlight w:val="none"/>
                <w:lang w:val="en-US" w:eastAsia="zh-CN"/>
              </w:rPr>
              <w:t>2</w:t>
            </w:r>
          </w:p>
        </w:tc>
        <w:tc>
          <w:tcPr>
            <w:tcW w:w="2609" w:type="dxa"/>
            <w:vAlign w:val="center"/>
          </w:tcPr>
          <w:p w14:paraId="5D46CB7F">
            <w:pPr>
              <w:spacing w:line="360" w:lineRule="auto"/>
              <w:jc w:val="left"/>
              <w:rPr>
                <w:rFonts w:hint="eastAsia" w:ascii="宋体" w:hAnsi="宋体" w:eastAsia="宋体" w:cs="Arial"/>
                <w:snapToGrid w:val="0"/>
                <w:kern w:val="2"/>
                <w:sz w:val="24"/>
                <w:szCs w:val="21"/>
                <w:highlight w:val="none"/>
                <w:lang w:val="en-US" w:eastAsia="zh-CN" w:bidi="ar-SA"/>
              </w:rPr>
            </w:pPr>
            <w:r>
              <w:rPr>
                <w:rFonts w:hint="eastAsia" w:ascii="宋体" w:hAnsi="宋体" w:cs="Arial"/>
                <w:snapToGrid w:val="0"/>
                <w:kern w:val="2"/>
                <w:sz w:val="24"/>
                <w:szCs w:val="21"/>
                <w:highlight w:val="none"/>
                <w:lang w:val="en-US" w:eastAsia="zh-CN" w:bidi="ar-SA"/>
              </w:rPr>
              <w:t>临空光电信息产业园区西区一期及临空智能制造产业园北区一期配套道路工程</w:t>
            </w:r>
            <w:r>
              <w:rPr>
                <w:rFonts w:hint="eastAsia" w:ascii="宋体" w:hAnsi="宋体" w:eastAsia="宋体" w:cs="Arial"/>
                <w:snapToGrid w:val="0"/>
                <w:kern w:val="2"/>
                <w:sz w:val="24"/>
                <w:szCs w:val="21"/>
                <w:highlight w:val="none"/>
                <w:lang w:val="en-US" w:eastAsia="zh-CN" w:bidi="ar-SA"/>
              </w:rPr>
              <w:t>标底审核服务</w:t>
            </w:r>
            <w:r>
              <w:rPr>
                <w:rFonts w:hint="eastAsia" w:ascii="宋体" w:hAnsi="宋体" w:cs="Arial"/>
                <w:snapToGrid w:val="0"/>
                <w:kern w:val="2"/>
                <w:sz w:val="24"/>
                <w:szCs w:val="21"/>
                <w:highlight w:val="none"/>
                <w:lang w:val="en-US" w:eastAsia="zh-CN" w:bidi="ar-SA"/>
              </w:rPr>
              <w:t>项目</w:t>
            </w:r>
          </w:p>
        </w:tc>
        <w:tc>
          <w:tcPr>
            <w:tcW w:w="1500" w:type="dxa"/>
            <w:vAlign w:val="center"/>
          </w:tcPr>
          <w:p w14:paraId="3B7B032E">
            <w:pPr>
              <w:pStyle w:val="31"/>
              <w:jc w:val="center"/>
              <w:rPr>
                <w:rFonts w:hint="eastAsia" w:hAnsi="宋体"/>
                <w:sz w:val="24"/>
                <w:highlight w:val="none"/>
                <w:lang w:val="en-US" w:eastAsia="zh-CN"/>
              </w:rPr>
            </w:pPr>
            <w:r>
              <w:rPr>
                <w:rFonts w:hint="eastAsia" w:hAnsi="宋体"/>
                <w:sz w:val="24"/>
                <w:highlight w:val="none"/>
                <w:lang w:val="en-US" w:eastAsia="zh-CN"/>
              </w:rPr>
              <w:t>17095</w:t>
            </w:r>
          </w:p>
        </w:tc>
        <w:tc>
          <w:tcPr>
            <w:tcW w:w="1489" w:type="dxa"/>
            <w:tcBorders>
              <w:top w:val="single" w:color="auto" w:sz="4" w:space="0"/>
            </w:tcBorders>
            <w:vAlign w:val="center"/>
          </w:tcPr>
          <w:p w14:paraId="43F9C4BC">
            <w:pPr>
              <w:pStyle w:val="31"/>
              <w:jc w:val="center"/>
              <w:rPr>
                <w:rFonts w:hAnsi="宋体"/>
                <w:sz w:val="24"/>
                <w:highlight w:val="none"/>
              </w:rPr>
            </w:pPr>
          </w:p>
        </w:tc>
        <w:tc>
          <w:tcPr>
            <w:tcW w:w="1294" w:type="dxa"/>
            <w:tcBorders>
              <w:top w:val="single" w:color="auto" w:sz="4" w:space="0"/>
            </w:tcBorders>
            <w:vAlign w:val="center"/>
          </w:tcPr>
          <w:p w14:paraId="4AF13D78">
            <w:pPr>
              <w:pStyle w:val="31"/>
              <w:jc w:val="center"/>
              <w:rPr>
                <w:rFonts w:hAnsi="宋体"/>
                <w:sz w:val="24"/>
                <w:highlight w:val="none"/>
              </w:rPr>
            </w:pPr>
          </w:p>
        </w:tc>
        <w:tc>
          <w:tcPr>
            <w:tcW w:w="2199" w:type="dxa"/>
            <w:vAlign w:val="center"/>
          </w:tcPr>
          <w:p w14:paraId="68657ACF">
            <w:pPr>
              <w:pStyle w:val="31"/>
              <w:rPr>
                <w:rFonts w:hint="eastAsia" w:hAnsi="宋体"/>
                <w:sz w:val="24"/>
                <w:highlight w:val="none"/>
                <w:u w:val="single"/>
              </w:rPr>
            </w:pPr>
            <w:r>
              <w:rPr>
                <w:rFonts w:hint="eastAsia" w:hAnsi="宋体"/>
                <w:sz w:val="24"/>
                <w:highlight w:val="none"/>
                <w:u w:val="single"/>
              </w:rPr>
              <w:t>上限价为</w:t>
            </w:r>
            <w:r>
              <w:rPr>
                <w:rFonts w:hint="eastAsia" w:hAnsi="宋体"/>
                <w:sz w:val="24"/>
                <w:highlight w:val="none"/>
                <w:u w:val="single"/>
                <w:lang w:val="en-US" w:eastAsia="zh-CN"/>
              </w:rPr>
              <w:t>189925</w:t>
            </w:r>
            <w:r>
              <w:rPr>
                <w:rFonts w:hint="eastAsia" w:hAnsi="宋体"/>
                <w:sz w:val="24"/>
                <w:highlight w:val="none"/>
                <w:u w:val="single"/>
              </w:rPr>
              <w:t>元</w:t>
            </w:r>
          </w:p>
        </w:tc>
      </w:tr>
      <w:tr w14:paraId="75A6E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675" w:type="dxa"/>
            <w:vAlign w:val="center"/>
          </w:tcPr>
          <w:p w14:paraId="4E189798">
            <w:pPr>
              <w:pStyle w:val="31"/>
              <w:jc w:val="center"/>
              <w:rPr>
                <w:rFonts w:hAnsi="宋体"/>
                <w:sz w:val="24"/>
                <w:highlight w:val="none"/>
              </w:rPr>
            </w:pPr>
          </w:p>
        </w:tc>
        <w:tc>
          <w:tcPr>
            <w:tcW w:w="2609" w:type="dxa"/>
            <w:vAlign w:val="center"/>
          </w:tcPr>
          <w:p w14:paraId="6D6D837B">
            <w:pPr>
              <w:jc w:val="center"/>
              <w:rPr>
                <w:rFonts w:hAnsi="宋体"/>
                <w:sz w:val="24"/>
                <w:highlight w:val="none"/>
              </w:rPr>
            </w:pPr>
          </w:p>
        </w:tc>
        <w:tc>
          <w:tcPr>
            <w:tcW w:w="6482" w:type="dxa"/>
            <w:gridSpan w:val="4"/>
            <w:vAlign w:val="center"/>
          </w:tcPr>
          <w:p w14:paraId="3D77C96A">
            <w:pPr>
              <w:pStyle w:val="31"/>
              <w:jc w:val="center"/>
              <w:rPr>
                <w:rFonts w:hAnsi="宋体"/>
                <w:sz w:val="24"/>
                <w:highlight w:val="none"/>
              </w:rPr>
            </w:pPr>
            <w:r>
              <w:rPr>
                <w:rFonts w:hint="eastAsia" w:hAnsi="宋体"/>
                <w:sz w:val="24"/>
                <w:highlight w:val="none"/>
              </w:rPr>
              <w:t>小写：          元</w:t>
            </w:r>
          </w:p>
          <w:p w14:paraId="1FC94B48">
            <w:pPr>
              <w:pStyle w:val="31"/>
              <w:jc w:val="center"/>
              <w:rPr>
                <w:rFonts w:hAnsi="宋体"/>
                <w:sz w:val="24"/>
                <w:highlight w:val="none"/>
              </w:rPr>
            </w:pPr>
            <w:r>
              <w:rPr>
                <w:rFonts w:hint="eastAsia" w:hAnsi="宋体"/>
                <w:sz w:val="24"/>
                <w:highlight w:val="none"/>
              </w:rPr>
              <w:t>大写：          元</w:t>
            </w:r>
          </w:p>
        </w:tc>
      </w:tr>
    </w:tbl>
    <w:p w14:paraId="26BC52E6">
      <w:pPr>
        <w:snapToGrid w:val="0"/>
        <w:spacing w:line="360" w:lineRule="auto"/>
        <w:ind w:left="480"/>
        <w:rPr>
          <w:rFonts w:ascii="仿宋" w:hAnsi="仿宋" w:eastAsia="仿宋" w:cs="仿宋_GB2312"/>
          <w:b/>
          <w:kern w:val="0"/>
          <w:sz w:val="24"/>
          <w:highlight w:val="none"/>
          <w:lang w:val="zh-CN"/>
        </w:rPr>
      </w:pPr>
      <w:r>
        <w:rPr>
          <w:rFonts w:hint="eastAsia" w:ascii="仿宋" w:hAnsi="仿宋" w:eastAsia="仿宋" w:cs="仿宋_GB2312"/>
          <w:kern w:val="0"/>
          <w:sz w:val="24"/>
          <w:highlight w:val="none"/>
          <w:lang w:val="zh-CN"/>
        </w:rPr>
        <w:t xml:space="preserve">            </w:t>
      </w:r>
    </w:p>
    <w:p w14:paraId="152F451F">
      <w:pPr>
        <w:spacing w:line="360" w:lineRule="auto"/>
        <w:ind w:left="-2" w:leftChars="-1" w:firstLine="480" w:firstLineChars="200"/>
        <w:rPr>
          <w:rFonts w:ascii="仿宋" w:hAnsi="仿宋" w:eastAsia="仿宋" w:cs="仿宋_GB2312"/>
          <w:kern w:val="0"/>
          <w:sz w:val="24"/>
          <w:highlight w:val="none"/>
          <w:lang w:val="zh-CN"/>
        </w:rPr>
      </w:pPr>
      <w:r>
        <w:rPr>
          <w:rFonts w:hint="eastAsia" w:ascii="仿宋" w:hAnsi="仿宋" w:eastAsia="仿宋" w:cs="仿宋_GB2312"/>
          <w:kern w:val="0"/>
          <w:sz w:val="24"/>
          <w:highlight w:val="none"/>
          <w:lang w:val="zh-CN"/>
        </w:rPr>
        <w:t>1、投标人需按本表格式填写，不得自行更</w:t>
      </w:r>
      <w:r>
        <w:rPr>
          <w:rFonts w:hint="eastAsia" w:ascii="仿宋" w:hAnsi="仿宋" w:eastAsia="仿宋"/>
          <w:sz w:val="24"/>
          <w:highlight w:val="none"/>
        </w:rPr>
        <w:t>改。</w:t>
      </w:r>
    </w:p>
    <w:p w14:paraId="4AB29660">
      <w:pPr>
        <w:spacing w:line="360" w:lineRule="auto"/>
        <w:ind w:left="-2" w:leftChars="-1" w:firstLine="480" w:firstLineChars="200"/>
        <w:rPr>
          <w:rFonts w:ascii="仿宋" w:hAnsi="仿宋" w:eastAsia="仿宋" w:cs="仿宋_GB2312"/>
          <w:b/>
          <w:bCs/>
          <w:kern w:val="0"/>
          <w:sz w:val="24"/>
          <w:u w:val="single"/>
          <w:lang w:val="zh-CN"/>
        </w:rPr>
      </w:pPr>
      <w:r>
        <w:rPr>
          <w:rFonts w:hint="eastAsia" w:ascii="仿宋" w:hAnsi="仿宋" w:eastAsia="仿宋" w:cs="仿宋_GB2312"/>
          <w:kern w:val="0"/>
          <w:sz w:val="24"/>
          <w:highlight w:val="none"/>
          <w:lang w:val="zh-CN"/>
        </w:rPr>
        <w:t>2、</w:t>
      </w:r>
      <w:r>
        <w:rPr>
          <w:rFonts w:hint="eastAsia" w:ascii="仿宋" w:hAnsi="仿宋" w:eastAsia="仿宋" w:cs="仿宋_GB2312"/>
          <w:b/>
          <w:bCs/>
          <w:kern w:val="0"/>
          <w:sz w:val="24"/>
          <w:highlight w:val="none"/>
          <w:u w:val="single"/>
          <w:lang w:val="zh-CN"/>
        </w:rPr>
        <w:t>招标代理上限费率</w:t>
      </w:r>
      <w:r>
        <w:rPr>
          <w:rFonts w:hint="eastAsia" w:ascii="仿宋" w:hAnsi="仿宋" w:eastAsia="仿宋" w:cs="仿宋_GB2312"/>
          <w:b/>
          <w:bCs/>
          <w:kern w:val="0"/>
          <w:sz w:val="24"/>
          <w:highlight w:val="none"/>
          <w:u w:val="single"/>
          <w:lang w:val="en-US" w:eastAsia="zh-CN"/>
        </w:rPr>
        <w:t>1.287</w:t>
      </w:r>
      <w:r>
        <w:rPr>
          <w:rFonts w:hint="eastAsia" w:ascii="仿宋" w:hAnsi="仿宋" w:eastAsia="仿宋" w:cs="仿宋_GB2312"/>
          <w:b/>
          <w:bCs/>
          <w:kern w:val="0"/>
          <w:sz w:val="24"/>
          <w:highlight w:val="none"/>
          <w:u w:val="single"/>
          <w:lang w:val="zh-CN"/>
        </w:rPr>
        <w:t>‰，</w:t>
      </w:r>
      <w:r>
        <w:rPr>
          <w:rFonts w:hint="eastAsia" w:ascii="仿宋" w:hAnsi="仿宋" w:eastAsia="仿宋" w:cs="仿宋_GB2312"/>
          <w:b/>
          <w:bCs/>
          <w:kern w:val="0"/>
          <w:sz w:val="24"/>
          <w:highlight w:val="none"/>
          <w:u w:val="single"/>
          <w:lang w:val="en-US" w:eastAsia="zh-CN"/>
        </w:rPr>
        <w:t>标底审核</w:t>
      </w:r>
      <w:r>
        <w:rPr>
          <w:rFonts w:hint="eastAsia" w:ascii="仿宋" w:hAnsi="仿宋" w:eastAsia="仿宋" w:cs="仿宋_GB2312"/>
          <w:b/>
          <w:bCs/>
          <w:kern w:val="0"/>
          <w:sz w:val="24"/>
          <w:highlight w:val="none"/>
          <w:u w:val="single"/>
          <w:lang w:val="zh-CN"/>
        </w:rPr>
        <w:t>上限费率</w:t>
      </w:r>
      <w:r>
        <w:rPr>
          <w:rFonts w:hint="eastAsia" w:ascii="仿宋" w:hAnsi="仿宋" w:eastAsia="仿宋" w:cs="仿宋_GB2312"/>
          <w:b/>
          <w:bCs/>
          <w:kern w:val="0"/>
          <w:sz w:val="24"/>
          <w:highlight w:val="none"/>
          <w:u w:val="single"/>
          <w:lang w:val="en-US" w:eastAsia="zh-CN"/>
        </w:rPr>
        <w:t>1.111</w:t>
      </w:r>
      <w:r>
        <w:rPr>
          <w:rFonts w:hint="eastAsia" w:ascii="仿宋" w:hAnsi="仿宋" w:eastAsia="仿宋" w:cs="仿宋_GB2312"/>
          <w:b/>
          <w:bCs/>
          <w:kern w:val="0"/>
          <w:sz w:val="24"/>
          <w:highlight w:val="none"/>
          <w:u w:val="single"/>
          <w:lang w:val="zh-CN"/>
        </w:rPr>
        <w:t>‰，投标总价上限价为</w:t>
      </w:r>
      <w:r>
        <w:rPr>
          <w:rFonts w:hint="eastAsia" w:ascii="仿宋" w:hAnsi="仿宋" w:eastAsia="仿宋" w:cs="仿宋_GB2312"/>
          <w:b/>
          <w:bCs/>
          <w:kern w:val="0"/>
          <w:sz w:val="24"/>
          <w:highlight w:val="none"/>
          <w:u w:val="single"/>
          <w:lang w:val="en-US" w:eastAsia="zh-CN"/>
        </w:rPr>
        <w:t>40.9937万</w:t>
      </w:r>
      <w:r>
        <w:rPr>
          <w:rFonts w:hint="eastAsia" w:ascii="仿宋" w:hAnsi="仿宋" w:eastAsia="仿宋" w:cs="仿宋_GB2312"/>
          <w:b/>
          <w:bCs/>
          <w:kern w:val="0"/>
          <w:sz w:val="24"/>
          <w:highlight w:val="none"/>
          <w:u w:val="single"/>
          <w:lang w:val="zh-CN"/>
        </w:rPr>
        <w:t>元,超过招标代理上限费率、</w:t>
      </w:r>
      <w:r>
        <w:rPr>
          <w:rFonts w:hint="eastAsia" w:ascii="仿宋" w:hAnsi="仿宋" w:eastAsia="仿宋" w:cs="仿宋_GB2312"/>
          <w:b/>
          <w:bCs/>
          <w:kern w:val="0"/>
          <w:sz w:val="24"/>
          <w:highlight w:val="none"/>
          <w:u w:val="single"/>
          <w:lang w:val="en-US" w:eastAsia="zh-CN"/>
        </w:rPr>
        <w:t>标底审核</w:t>
      </w:r>
      <w:r>
        <w:rPr>
          <w:rFonts w:hint="eastAsia" w:ascii="仿宋" w:hAnsi="仿宋" w:eastAsia="仿宋" w:cs="仿宋_GB2312"/>
          <w:b/>
          <w:bCs/>
          <w:kern w:val="0"/>
          <w:sz w:val="24"/>
          <w:highlight w:val="none"/>
          <w:u w:val="single"/>
          <w:lang w:val="zh-CN"/>
        </w:rPr>
        <w:t xml:space="preserve">上限费率及投标总价上限价的，作无效标处理。小数点后均保留三位（如 </w:t>
      </w:r>
      <w:r>
        <w:rPr>
          <w:rFonts w:hint="eastAsia" w:ascii="仿宋" w:hAnsi="仿宋" w:eastAsia="仿宋" w:cs="仿宋_GB2312"/>
          <w:b/>
          <w:bCs/>
          <w:kern w:val="0"/>
          <w:sz w:val="24"/>
          <w:highlight w:val="none"/>
          <w:u w:val="single"/>
          <w:lang w:val="en-US" w:eastAsia="zh-CN"/>
        </w:rPr>
        <w:t>0</w:t>
      </w:r>
      <w:r>
        <w:rPr>
          <w:rFonts w:hint="eastAsia" w:ascii="仿宋" w:hAnsi="仿宋" w:eastAsia="仿宋" w:cs="仿宋_GB2312"/>
          <w:b/>
          <w:bCs/>
          <w:kern w:val="0"/>
          <w:sz w:val="24"/>
          <w:highlight w:val="none"/>
          <w:u w:val="single"/>
          <w:lang w:val="zh-CN"/>
        </w:rPr>
        <w:t>.</w:t>
      </w:r>
      <w:r>
        <w:rPr>
          <w:rFonts w:hint="eastAsia" w:ascii="仿宋" w:hAnsi="仿宋" w:eastAsia="仿宋" w:cs="仿宋_GB2312"/>
          <w:b/>
          <w:bCs/>
          <w:kern w:val="0"/>
          <w:sz w:val="24"/>
          <w:highlight w:val="none"/>
          <w:u w:val="single"/>
          <w:lang w:val="en-US" w:eastAsia="zh-CN"/>
        </w:rPr>
        <w:t>42</w:t>
      </w:r>
      <w:r>
        <w:rPr>
          <w:rFonts w:hint="eastAsia" w:ascii="仿宋" w:hAnsi="仿宋" w:eastAsia="仿宋" w:cs="仿宋_GB2312"/>
          <w:b/>
          <w:bCs/>
          <w:kern w:val="0"/>
          <w:sz w:val="24"/>
          <w:highlight w:val="none"/>
          <w:u w:val="single"/>
        </w:rPr>
        <w:t>1</w:t>
      </w:r>
      <w:r>
        <w:rPr>
          <w:rFonts w:hint="eastAsia" w:ascii="仿宋" w:hAnsi="仿宋" w:eastAsia="仿宋" w:cs="仿宋_GB2312"/>
          <w:b/>
          <w:bCs/>
          <w:kern w:val="0"/>
          <w:sz w:val="24"/>
          <w:highlight w:val="none"/>
          <w:u w:val="single"/>
          <w:lang w:val="zh-CN"/>
        </w:rPr>
        <w:t>‰），总价精确到元。</w:t>
      </w:r>
    </w:p>
    <w:p w14:paraId="5EDAAB22">
      <w:pPr>
        <w:pStyle w:val="22"/>
        <w:ind w:firstLine="480"/>
        <w:rPr>
          <w:rFonts w:ascii="仿宋" w:hAnsi="仿宋" w:eastAsia="仿宋" w:cs="仿宋_GB2312"/>
          <w:kern w:val="0"/>
          <w:lang w:val="en-US"/>
        </w:rPr>
      </w:pPr>
      <w:r>
        <w:rPr>
          <w:rFonts w:hint="eastAsia" w:ascii="仿宋" w:hAnsi="仿宋" w:eastAsia="仿宋" w:cs="仿宋_GB2312"/>
          <w:kern w:val="0"/>
          <w:lang w:val="en-US"/>
        </w:rPr>
        <w:t>3、投标总价小写与大写不一致的，以大写为准。</w:t>
      </w:r>
    </w:p>
    <w:p w14:paraId="60DDA5E9">
      <w:pPr>
        <w:pStyle w:val="22"/>
        <w:ind w:firstLine="480"/>
        <w:rPr>
          <w:rFonts w:ascii="仿宋" w:hAnsi="仿宋" w:eastAsia="仿宋" w:cs="仿宋_GB2312"/>
          <w:kern w:val="0"/>
          <w:lang w:val="en-US"/>
        </w:rPr>
      </w:pPr>
      <w:r>
        <w:rPr>
          <w:rFonts w:hint="eastAsia" w:ascii="仿宋" w:hAnsi="仿宋" w:eastAsia="仿宋" w:cs="仿宋_GB2312"/>
          <w:kern w:val="0"/>
          <w:lang w:val="en-US"/>
        </w:rPr>
        <w:t>4、如果用数字表示的数额与用文字表示的数额不一致时，以文字数额为准。 </w:t>
      </w:r>
    </w:p>
    <w:p w14:paraId="423A6F89">
      <w:pPr>
        <w:pStyle w:val="22"/>
        <w:ind w:firstLine="480"/>
        <w:rPr>
          <w:rFonts w:ascii="仿宋" w:hAnsi="仿宋" w:eastAsia="仿宋" w:cs="仿宋_GB2312"/>
          <w:kern w:val="0"/>
          <w:u w:val="single"/>
          <w:lang w:val="en-US"/>
        </w:rPr>
      </w:pPr>
      <w:r>
        <w:rPr>
          <w:rFonts w:hint="eastAsia" w:ascii="仿宋" w:hAnsi="仿宋" w:eastAsia="仿宋" w:cs="仿宋_GB2312"/>
          <w:kern w:val="0"/>
          <w:u w:val="single"/>
          <w:lang w:val="en-US"/>
        </w:rPr>
        <w:t>5、投标报价中费率与服务金额不一致的，以费率为准修正服务金额，如投标总价与单项服务金额合计不一致的，以单项服务金额为准，修正投标总价。</w:t>
      </w:r>
    </w:p>
    <w:p w14:paraId="16CF18C4">
      <w:pPr>
        <w:pStyle w:val="22"/>
        <w:ind w:firstLine="480"/>
        <w:rPr>
          <w:rFonts w:hint="eastAsia" w:ascii="仿宋" w:hAnsi="仿宋" w:eastAsia="仿宋" w:cs="仿宋_GB2312"/>
          <w:snapToGrid w:val="0"/>
          <w:kern w:val="0"/>
          <w:sz w:val="24"/>
          <w:szCs w:val="21"/>
          <w:u w:val="single"/>
          <w:lang w:val="en-US" w:eastAsia="zh-CN" w:bidi="ar-SA"/>
        </w:rPr>
      </w:pPr>
      <w:r>
        <w:rPr>
          <w:rFonts w:hint="eastAsia" w:ascii="仿宋" w:hAnsi="仿宋" w:eastAsia="仿宋" w:cs="仿宋_GB2312"/>
          <w:snapToGrid w:val="0"/>
          <w:kern w:val="0"/>
          <w:sz w:val="24"/>
          <w:szCs w:val="21"/>
          <w:u w:val="single"/>
          <w:lang w:val="en-US" w:eastAsia="zh-CN" w:bidi="ar-SA"/>
        </w:rPr>
        <w:t>6、期望比率为85%-97%；投标比率Xi=投标总价/投标总价上限价。投标单位投标总价经计算后投标比率超出期望比率范围区间的，作废标处理。</w:t>
      </w:r>
    </w:p>
    <w:p w14:paraId="425C2D2F">
      <w:pPr>
        <w:pStyle w:val="22"/>
        <w:ind w:firstLine="480"/>
        <w:rPr>
          <w:rFonts w:hint="default" w:ascii="仿宋" w:hAnsi="仿宋" w:eastAsia="仿宋" w:cs="仿宋_GB2312"/>
          <w:b/>
          <w:bCs/>
          <w:snapToGrid w:val="0"/>
          <w:kern w:val="0"/>
          <w:sz w:val="24"/>
          <w:szCs w:val="21"/>
          <w:u w:val="single"/>
          <w:lang w:val="en-US" w:eastAsia="zh-CN" w:bidi="ar-SA"/>
        </w:rPr>
      </w:pPr>
      <w:r>
        <w:rPr>
          <w:rFonts w:hint="eastAsia" w:ascii="仿宋" w:hAnsi="仿宋" w:eastAsia="仿宋" w:cs="仿宋_GB2312"/>
          <w:b/>
          <w:bCs/>
          <w:snapToGrid w:val="0"/>
          <w:kern w:val="0"/>
          <w:sz w:val="24"/>
          <w:szCs w:val="21"/>
          <w:u w:val="single"/>
          <w:lang w:val="en-US" w:eastAsia="zh-CN" w:bidi="ar-SA"/>
        </w:rPr>
        <w:t>7、本项目涉及的工程预算标底中考虑混凝土甲供，投标人请充分考虑该因素引起中标金额减少。</w:t>
      </w:r>
    </w:p>
    <w:p w14:paraId="06DFE22A">
      <w:pPr>
        <w:rPr>
          <w:rFonts w:hint="default"/>
          <w:lang w:val="en-US" w:eastAsia="zh-CN"/>
        </w:rPr>
      </w:pPr>
    </w:p>
    <w:p w14:paraId="74E1159F">
      <w:pPr>
        <w:spacing w:line="360" w:lineRule="auto"/>
        <w:ind w:right="960" w:firstLine="10440" w:firstLineChars="4350"/>
        <w:jc w:val="right"/>
        <w:rPr>
          <w:rFonts w:ascii="仿宋" w:hAnsi="仿宋" w:eastAsia="仿宋" w:cs="仿宋_GB2312"/>
          <w:sz w:val="24"/>
        </w:rPr>
      </w:pPr>
      <w:r>
        <w:rPr>
          <w:rFonts w:hint="eastAsia" w:ascii="仿宋" w:hAnsi="仿宋" w:eastAsia="仿宋" w:cs="仿宋_GB2312"/>
          <w:sz w:val="24"/>
        </w:rPr>
        <w:t xml:space="preserve"> 投标人名称（电子签名）：                                                                                   日期：  年   月   日</w:t>
      </w:r>
      <w:bookmarkEnd w:id="437"/>
    </w:p>
    <w:sectPr>
      <w:footerReference r:id="rId15" w:type="first"/>
      <w:footerReference r:id="rId13" w:type="default"/>
      <w:footerReference r:id="rId14" w:type="even"/>
      <w:pgSz w:w="11906" w:h="16838"/>
      <w:pgMar w:top="1247" w:right="1418" w:bottom="1276"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4D"/>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华文中宋">
    <w:altName w:val="宋体"/>
    <w:panose1 w:val="02010600040101010101"/>
    <w:charset w:val="86"/>
    <w:family w:val="auto"/>
    <w:pitch w:val="default"/>
    <w:sig w:usb0="00000000" w:usb1="00000000" w:usb2="00000000" w:usb3="00000000" w:csb0="0004009F" w:csb1="DFD70000"/>
  </w:font>
  <w:font w:name="Verdana">
    <w:panose1 w:val="020B0604030504040204"/>
    <w:charset w:val="00"/>
    <w:family w:val="swiss"/>
    <w:pitch w:val="default"/>
    <w:sig w:usb0="A10006FF" w:usb1="4000205B" w:usb2="0000001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MS Sans Serif">
    <w:altName w:val="Arial"/>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Arial Narrow">
    <w:altName w:val="Arial"/>
    <w:panose1 w:val="020B0606020202030204"/>
    <w:charset w:val="00"/>
    <w:family w:val="swiss"/>
    <w:pitch w:val="default"/>
    <w:sig w:usb0="00000000" w:usb1="00000000" w:usb2="00000000" w:usb3="00000000" w:csb0="2000009F" w:csb1="DFD70000"/>
  </w:font>
  <w:font w:name="Arial Unicode MS">
    <w:altName w:val="宋体"/>
    <w:panose1 w:val="020B0604020202020204"/>
    <w:charset w:val="86"/>
    <w:family w:val="roman"/>
    <w:pitch w:val="default"/>
    <w:sig w:usb0="00000000" w:usb1="00000000" w:usb2="0000003F" w:usb3="00000000" w:csb0="603F01FF" w:csb1="FFFF0000"/>
  </w:font>
  <w:font w:name="新宋体">
    <w:panose1 w:val="02010609030101010101"/>
    <w:charset w:val="86"/>
    <w:family w:val="modern"/>
    <w:pitch w:val="default"/>
    <w:sig w:usb0="00000003" w:usb1="288F0000" w:usb2="00000006" w:usb3="00000000" w:csb0="00040001" w:csb1="00000000"/>
  </w:font>
  <w:font w:name="Futura Bk">
    <w:altName w:val="Trebuchet MS"/>
    <w:panose1 w:val="00000000000000000000"/>
    <w:charset w:val="00"/>
    <w:family w:val="swiss"/>
    <w:pitch w:val="default"/>
    <w:sig w:usb0="00000000" w:usb1="00000000" w:usb2="00000000" w:usb3="00000000" w:csb0="0000009F" w:csb1="00000000"/>
  </w:font>
  <w:font w:name="Arial (W1)">
    <w:altName w:val="Arial"/>
    <w:panose1 w:val="00000000000000000000"/>
    <w:charset w:val="00"/>
    <w:family w:val="swiss"/>
    <w:pitch w:val="default"/>
    <w:sig w:usb0="00000000" w:usb1="00000000" w:usb2="00000008" w:usb3="00000000" w:csb0="000001FF" w:csb1="00000000"/>
  </w:font>
  <w:font w:name="Cumberland">
    <w:altName w:val="Courier New"/>
    <w:panose1 w:val="00000000000000000000"/>
    <w:charset w:val="00"/>
    <w:family w:val="modern"/>
    <w:pitch w:val="default"/>
    <w:sig w:usb0="00000000" w:usb1="00000000" w:usb2="00000000" w:usb3="00000000" w:csb0="00040001" w:csb1="00000000"/>
  </w:font>
  <w:font w:name="方正宋体">
    <w:altName w:val="Times New Roman"/>
    <w:panose1 w:val="00000000000000000000"/>
    <w:charset w:val="00"/>
    <w:family w:val="auto"/>
    <w:pitch w:val="default"/>
    <w:sig w:usb0="00000000" w:usb1="00000000" w:usb2="00000000"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Helvetica">
    <w:altName w:val="Arial"/>
    <w:panose1 w:val="020B0604020202020204"/>
    <w:charset w:val="00"/>
    <w:family w:val="swiss"/>
    <w:pitch w:val="default"/>
    <w:sig w:usb0="00000000" w:usb1="00000000" w:usb2="00000000" w:usb3="00000000" w:csb0="00000000"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楷体">
    <w:panose1 w:val="02010609060101010101"/>
    <w:charset w:val="86"/>
    <w:family w:val="modern"/>
    <w:pitch w:val="default"/>
    <w:sig w:usb0="800002BF" w:usb1="38CF7CFA" w:usb2="00000016"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FHLHE E+ Futura Bk">
    <w:altName w:val="宋体"/>
    <w:panose1 w:val="00000000000000000000"/>
    <w:charset w:val="86"/>
    <w:family w:val="swiss"/>
    <w:pitch w:val="default"/>
    <w:sig w:usb0="00000000" w:usb1="00000000" w:usb2="00000010" w:usb3="00000000" w:csb0="00040000" w:csb1="00000000"/>
  </w:font>
  <w:font w:name="Aldine401 BT">
    <w:altName w:val="Courier New"/>
    <w:panose1 w:val="00000000000000000000"/>
    <w:charset w:val="00"/>
    <w:family w:val="roman"/>
    <w:pitch w:val="default"/>
    <w:sig w:usb0="00000000" w:usb1="00000000" w:usb2="00000000" w:usb3="00000000" w:csb0="00000011" w:csb1="00000000"/>
  </w:font>
  <w:font w:name="Futura Hv">
    <w:altName w:val="Arial"/>
    <w:panose1 w:val="00000000000000000000"/>
    <w:charset w:val="00"/>
    <w:family w:val="swiss"/>
    <w:pitch w:val="default"/>
    <w:sig w:usb0="00000000" w:usb1="00000000" w:usb2="00000000" w:usb3="00000000" w:csb0="0000009F" w:csb1="00000000"/>
  </w:font>
  <w:font w:name="Lucida Sans Unicode">
    <w:panose1 w:val="020B0602030504020204"/>
    <w:charset w:val="00"/>
    <w:family w:val="auto"/>
    <w:pitch w:val="default"/>
    <w:sig w:usb0="80001AFF" w:usb1="0000396B" w:usb2="00000000" w:usb3="00000000" w:csb0="200000BF" w:csb1="D7F70000"/>
  </w:font>
  <w:font w:name="Trebuchet MS">
    <w:panose1 w:val="020B0603020202020204"/>
    <w:charset w:val="00"/>
    <w:family w:val="auto"/>
    <w:pitch w:val="default"/>
    <w:sig w:usb0="00000287" w:usb1="00000000" w:usb2="00000000" w:usb3="00000000" w:csb0="2000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3E6BD2">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260A79">
    <w:pPr>
      <w:pStyle w:val="37"/>
      <w:framePr w:wrap="around" w:vAnchor="text" w:hAnchor="margin" w:xAlign="right" w:y="1"/>
      <w:rPr>
        <w:rStyle w:val="64"/>
      </w:rPr>
    </w:pPr>
    <w:r>
      <w:fldChar w:fldCharType="begin"/>
    </w:r>
    <w:r>
      <w:rPr>
        <w:rStyle w:val="64"/>
      </w:rPr>
      <w:instrText xml:space="preserve">PAGE  </w:instrText>
    </w:r>
    <w:r>
      <w:fldChar w:fldCharType="end"/>
    </w:r>
  </w:p>
  <w:p w14:paraId="64A13163">
    <w:pPr>
      <w:pStyle w:val="3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090E69">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49FC47">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w:t>
    </w:r>
  </w:p>
  <w:p w14:paraId="38D1FB6F">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122C0D">
    <w:pPr>
      <w:pStyle w:val="37"/>
      <w:framePr w:wrap="around" w:vAnchor="text" w:hAnchor="margin" w:xAlign="right" w:y="1"/>
      <w:rPr>
        <w:rStyle w:val="64"/>
      </w:rPr>
    </w:pPr>
    <w:r>
      <w:fldChar w:fldCharType="begin"/>
    </w:r>
    <w:r>
      <w:rPr>
        <w:rStyle w:val="64"/>
      </w:rPr>
      <w:instrText xml:space="preserve">PAGE  </w:instrText>
    </w:r>
    <w:r>
      <w:fldChar w:fldCharType="end"/>
    </w:r>
  </w:p>
  <w:p w14:paraId="2F1C8A75">
    <w:pPr>
      <w:pStyle w:val="37"/>
      <w:ind w:right="360"/>
    </w:pPr>
  </w:p>
  <w:p w14:paraId="00D5B415"/>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1980C0">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w:t>
    </w:r>
  </w:p>
  <w:p w14:paraId="155F688B">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109635">
    <w:pPr>
      <w:pStyle w:val="37"/>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A66F08">
    <w:pPr>
      <w:pStyle w:val="37"/>
      <w:framePr w:wrap="around" w:vAnchor="text" w:hAnchor="margin" w:xAlign="right" w:y="1"/>
      <w:rPr>
        <w:rStyle w:val="64"/>
      </w:rPr>
    </w:pPr>
    <w:r>
      <w:fldChar w:fldCharType="begin"/>
    </w:r>
    <w:r>
      <w:rPr>
        <w:rStyle w:val="64"/>
      </w:rPr>
      <w:instrText xml:space="preserve">PAGE  </w:instrText>
    </w:r>
    <w:r>
      <w:fldChar w:fldCharType="end"/>
    </w:r>
  </w:p>
  <w:p w14:paraId="538B7017">
    <w:pPr>
      <w:pStyle w:val="37"/>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A38D89">
    <w:pPr>
      <w:pStyle w:val="37"/>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bookmarkStart w:id="438" w:name="_Toc91899912"/>
    <w:bookmarkStart w:id="439" w:name="_Toc131845147"/>
    <w:bookmarkStart w:id="440" w:name="_Toc164085800"/>
    <w:bookmarkStart w:id="441" w:name="_Toc36110187"/>
    <w:r>
      <w:rPr>
        <w:rFonts w:hint="eastAsia" w:ascii="仿宋_GB2312" w:eastAsia="仿宋_GB2312"/>
        <w:kern w:val="0"/>
        <w:szCs w:val="21"/>
      </w:rPr>
      <w:t xml:space="preserve"> 页</w:t>
    </w:r>
    <w:bookmarkEnd w:id="438"/>
    <w:bookmarkEnd w:id="439"/>
    <w:bookmarkEnd w:id="440"/>
    <w:bookmarkEnd w:id="441"/>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C1824F">
    <w:pPr>
      <w:pStyle w:val="38"/>
      <w:jc w:val="right"/>
    </w:pPr>
    <w:r>
      <w:rPr>
        <w:rFonts w:hint="eastAsia"/>
      </w:rPr>
      <w:t xml:space="preserve">                                                                                                                               绍兴市柯桥区国有企业采购公开招标文件</w:t>
    </w:r>
  </w:p>
  <w:p w14:paraId="1E8D66D5">
    <w:pPr>
      <w:pStyle w:val="56"/>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7DE599">
    <w:pPr>
      <w:pStyle w:val="38"/>
      <w:pBdr>
        <w:bottom w:val="single" w:color="auto" w:sz="6" w:space="0"/>
      </w:pBdr>
      <w:tabs>
        <w:tab w:val="center" w:pos="4535"/>
        <w:tab w:val="right" w:pos="9070"/>
        <w:tab w:val="clear" w:pos="4153"/>
        <w:tab w:val="clear" w:pos="8306"/>
      </w:tabs>
      <w:jc w:val="right"/>
    </w:pPr>
    <w:r>
      <w:rPr>
        <w:rFonts w:hint="eastAsia"/>
        <w:lang w:val="zh-CN"/>
      </w:rPr>
      <w:t xml:space="preserve"> 绍兴市柯桥区国有企业采购公开招标文件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763F43">
    <w:pPr>
      <w:pStyle w:val="38"/>
    </w:pPr>
  </w:p>
  <w:p w14:paraId="7F61A86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76B36">
    <w:pPr>
      <w:pStyle w:val="38"/>
      <w:jc w:val="right"/>
    </w:pPr>
    <w:r>
      <w:rPr>
        <w:rFonts w:hint="eastAsia"/>
      </w:rPr>
      <w:t xml:space="preserve">                                                                     </w:t>
    </w:r>
    <w:r>
      <w:t xml:space="preserve">  </w:t>
    </w:r>
    <w:r>
      <w:rPr>
        <w:rFonts w:hint="eastAsia"/>
      </w:rPr>
      <w:t xml:space="preserve">                                                        绍兴市柯桥区国有企业采购公开招标文件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10D2C8"/>
    <w:multiLevelType w:val="singleLevel"/>
    <w:tmpl w:val="A510D2C8"/>
    <w:lvl w:ilvl="0" w:tentative="0">
      <w:start w:val="1"/>
      <w:numFmt w:val="chineseCounting"/>
      <w:suff w:val="nothing"/>
      <w:lvlText w:val="%1、"/>
      <w:lvlJc w:val="left"/>
      <w:rPr>
        <w:rFonts w:hint="eastAsia"/>
      </w:rPr>
    </w:lvl>
  </w:abstractNum>
  <w:abstractNum w:abstractNumId="1">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
    <w:nsid w:val="EE891A03"/>
    <w:multiLevelType w:val="singleLevel"/>
    <w:tmpl w:val="EE891A03"/>
    <w:lvl w:ilvl="0" w:tentative="0">
      <w:start w:val="1"/>
      <w:numFmt w:val="decimal"/>
      <w:suff w:val="nothing"/>
      <w:lvlText w:val="（%1）"/>
      <w:lvlJc w:val="left"/>
    </w:lvl>
  </w:abstractNum>
  <w:abstractNum w:abstractNumId="3">
    <w:nsid w:val="00000007"/>
    <w:multiLevelType w:val="multilevel"/>
    <w:tmpl w:val="00000007"/>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9"/>
  <w:bordersDoNotSurroundHeader w:val="1"/>
  <w:bordersDoNotSurroundFooter w:val="1"/>
  <w:doNotTrackMoves/>
  <w:documentProtection w:enforcement="0"/>
  <w:defaultTabStop w:val="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I3ZTYyY2FlMjUwMDVlOTU2YzkzYzMwMGYwMzc1ZGEifQ=="/>
  </w:docVars>
  <w:rsids>
    <w:rsidRoot w:val="00172A27"/>
    <w:rsid w:val="00000278"/>
    <w:rsid w:val="0000031A"/>
    <w:rsid w:val="00000451"/>
    <w:rsid w:val="0000133D"/>
    <w:rsid w:val="00002075"/>
    <w:rsid w:val="00003EFB"/>
    <w:rsid w:val="000058BD"/>
    <w:rsid w:val="00006109"/>
    <w:rsid w:val="00006725"/>
    <w:rsid w:val="0000675E"/>
    <w:rsid w:val="00006851"/>
    <w:rsid w:val="00006ED1"/>
    <w:rsid w:val="00007151"/>
    <w:rsid w:val="00007CAA"/>
    <w:rsid w:val="00010FE9"/>
    <w:rsid w:val="0001122F"/>
    <w:rsid w:val="0001279E"/>
    <w:rsid w:val="0001337C"/>
    <w:rsid w:val="000138C4"/>
    <w:rsid w:val="00013F31"/>
    <w:rsid w:val="000140D8"/>
    <w:rsid w:val="00014530"/>
    <w:rsid w:val="00014BBC"/>
    <w:rsid w:val="0001524C"/>
    <w:rsid w:val="000168D8"/>
    <w:rsid w:val="000170C8"/>
    <w:rsid w:val="000173F4"/>
    <w:rsid w:val="00017CC5"/>
    <w:rsid w:val="00020287"/>
    <w:rsid w:val="000202FE"/>
    <w:rsid w:val="000206A8"/>
    <w:rsid w:val="00023323"/>
    <w:rsid w:val="00023418"/>
    <w:rsid w:val="00024130"/>
    <w:rsid w:val="00024584"/>
    <w:rsid w:val="00024962"/>
    <w:rsid w:val="000249AA"/>
    <w:rsid w:val="000253E5"/>
    <w:rsid w:val="00025776"/>
    <w:rsid w:val="000270F2"/>
    <w:rsid w:val="000274CD"/>
    <w:rsid w:val="00027540"/>
    <w:rsid w:val="00030572"/>
    <w:rsid w:val="00030CB3"/>
    <w:rsid w:val="0003206A"/>
    <w:rsid w:val="000326A7"/>
    <w:rsid w:val="00032EA0"/>
    <w:rsid w:val="000336D4"/>
    <w:rsid w:val="00034FA7"/>
    <w:rsid w:val="000357E4"/>
    <w:rsid w:val="00035ACA"/>
    <w:rsid w:val="00035BFB"/>
    <w:rsid w:val="00036D8E"/>
    <w:rsid w:val="00040E86"/>
    <w:rsid w:val="00041892"/>
    <w:rsid w:val="00042533"/>
    <w:rsid w:val="00042E65"/>
    <w:rsid w:val="0004347C"/>
    <w:rsid w:val="00043907"/>
    <w:rsid w:val="00044966"/>
    <w:rsid w:val="00044D5D"/>
    <w:rsid w:val="00044F48"/>
    <w:rsid w:val="00045085"/>
    <w:rsid w:val="00045ABD"/>
    <w:rsid w:val="00046153"/>
    <w:rsid w:val="0004708A"/>
    <w:rsid w:val="00047354"/>
    <w:rsid w:val="0004753C"/>
    <w:rsid w:val="00050656"/>
    <w:rsid w:val="00051B00"/>
    <w:rsid w:val="0005205F"/>
    <w:rsid w:val="0005238F"/>
    <w:rsid w:val="00052BB8"/>
    <w:rsid w:val="00052C94"/>
    <w:rsid w:val="000531C9"/>
    <w:rsid w:val="0005417A"/>
    <w:rsid w:val="00054D39"/>
    <w:rsid w:val="0005501B"/>
    <w:rsid w:val="000550F5"/>
    <w:rsid w:val="00055337"/>
    <w:rsid w:val="000554C7"/>
    <w:rsid w:val="00055506"/>
    <w:rsid w:val="00056402"/>
    <w:rsid w:val="00056791"/>
    <w:rsid w:val="000568DF"/>
    <w:rsid w:val="000574B4"/>
    <w:rsid w:val="000578A3"/>
    <w:rsid w:val="00057D4C"/>
    <w:rsid w:val="00061A3C"/>
    <w:rsid w:val="00061C48"/>
    <w:rsid w:val="00064278"/>
    <w:rsid w:val="000646CA"/>
    <w:rsid w:val="000665C4"/>
    <w:rsid w:val="00067821"/>
    <w:rsid w:val="0006785E"/>
    <w:rsid w:val="00067EBE"/>
    <w:rsid w:val="00067F92"/>
    <w:rsid w:val="00067FA7"/>
    <w:rsid w:val="0007032C"/>
    <w:rsid w:val="0007038E"/>
    <w:rsid w:val="0007077C"/>
    <w:rsid w:val="00070825"/>
    <w:rsid w:val="00071CD8"/>
    <w:rsid w:val="00072AED"/>
    <w:rsid w:val="00072B56"/>
    <w:rsid w:val="00072D2B"/>
    <w:rsid w:val="000730B1"/>
    <w:rsid w:val="00073860"/>
    <w:rsid w:val="000738EA"/>
    <w:rsid w:val="000749D6"/>
    <w:rsid w:val="00075D0E"/>
    <w:rsid w:val="00075F6A"/>
    <w:rsid w:val="0007616C"/>
    <w:rsid w:val="000763F3"/>
    <w:rsid w:val="00076801"/>
    <w:rsid w:val="0007696A"/>
    <w:rsid w:val="00077577"/>
    <w:rsid w:val="00077607"/>
    <w:rsid w:val="00077756"/>
    <w:rsid w:val="00080970"/>
    <w:rsid w:val="00081671"/>
    <w:rsid w:val="000832BE"/>
    <w:rsid w:val="00084D27"/>
    <w:rsid w:val="0008580E"/>
    <w:rsid w:val="00085A0E"/>
    <w:rsid w:val="00085C4F"/>
    <w:rsid w:val="00086EEB"/>
    <w:rsid w:val="00086F8A"/>
    <w:rsid w:val="00090243"/>
    <w:rsid w:val="000904F6"/>
    <w:rsid w:val="00090D1B"/>
    <w:rsid w:val="00090ED8"/>
    <w:rsid w:val="000912CD"/>
    <w:rsid w:val="0009145F"/>
    <w:rsid w:val="00091B4E"/>
    <w:rsid w:val="00092FE9"/>
    <w:rsid w:val="00093BC1"/>
    <w:rsid w:val="00094342"/>
    <w:rsid w:val="00095954"/>
    <w:rsid w:val="000960BA"/>
    <w:rsid w:val="0009662A"/>
    <w:rsid w:val="00096DFF"/>
    <w:rsid w:val="000974A2"/>
    <w:rsid w:val="000A0E69"/>
    <w:rsid w:val="000A0FEB"/>
    <w:rsid w:val="000A1739"/>
    <w:rsid w:val="000A1A52"/>
    <w:rsid w:val="000A1F98"/>
    <w:rsid w:val="000A2338"/>
    <w:rsid w:val="000A3D58"/>
    <w:rsid w:val="000A47B0"/>
    <w:rsid w:val="000A4808"/>
    <w:rsid w:val="000A49BB"/>
    <w:rsid w:val="000A4F22"/>
    <w:rsid w:val="000A5674"/>
    <w:rsid w:val="000A5A46"/>
    <w:rsid w:val="000A5F83"/>
    <w:rsid w:val="000A7299"/>
    <w:rsid w:val="000A7CBC"/>
    <w:rsid w:val="000B0262"/>
    <w:rsid w:val="000B0E04"/>
    <w:rsid w:val="000B291B"/>
    <w:rsid w:val="000B2C6D"/>
    <w:rsid w:val="000B456C"/>
    <w:rsid w:val="000B4B56"/>
    <w:rsid w:val="000B4C62"/>
    <w:rsid w:val="000B525C"/>
    <w:rsid w:val="000B54C1"/>
    <w:rsid w:val="000B59B5"/>
    <w:rsid w:val="000B721A"/>
    <w:rsid w:val="000C0A43"/>
    <w:rsid w:val="000C1411"/>
    <w:rsid w:val="000C1ADE"/>
    <w:rsid w:val="000C1BFA"/>
    <w:rsid w:val="000C1C38"/>
    <w:rsid w:val="000C2264"/>
    <w:rsid w:val="000C256B"/>
    <w:rsid w:val="000C3970"/>
    <w:rsid w:val="000C3B1A"/>
    <w:rsid w:val="000C4727"/>
    <w:rsid w:val="000C47AE"/>
    <w:rsid w:val="000C4D39"/>
    <w:rsid w:val="000C51AD"/>
    <w:rsid w:val="000C5374"/>
    <w:rsid w:val="000C5C30"/>
    <w:rsid w:val="000C5EC0"/>
    <w:rsid w:val="000C5FD7"/>
    <w:rsid w:val="000C6162"/>
    <w:rsid w:val="000C6688"/>
    <w:rsid w:val="000C6B27"/>
    <w:rsid w:val="000C7443"/>
    <w:rsid w:val="000C7BEB"/>
    <w:rsid w:val="000C7FA9"/>
    <w:rsid w:val="000D0124"/>
    <w:rsid w:val="000D11E5"/>
    <w:rsid w:val="000D19E8"/>
    <w:rsid w:val="000D22F4"/>
    <w:rsid w:val="000D2834"/>
    <w:rsid w:val="000D34C8"/>
    <w:rsid w:val="000D34FD"/>
    <w:rsid w:val="000D3BE5"/>
    <w:rsid w:val="000D3C37"/>
    <w:rsid w:val="000D453A"/>
    <w:rsid w:val="000D47CB"/>
    <w:rsid w:val="000D5EA6"/>
    <w:rsid w:val="000D5F00"/>
    <w:rsid w:val="000D6C9F"/>
    <w:rsid w:val="000D6E3B"/>
    <w:rsid w:val="000D781A"/>
    <w:rsid w:val="000D7C9D"/>
    <w:rsid w:val="000D7CE0"/>
    <w:rsid w:val="000D7FFC"/>
    <w:rsid w:val="000E0324"/>
    <w:rsid w:val="000E03E6"/>
    <w:rsid w:val="000E0508"/>
    <w:rsid w:val="000E1AD5"/>
    <w:rsid w:val="000E2785"/>
    <w:rsid w:val="000E27BB"/>
    <w:rsid w:val="000E3153"/>
    <w:rsid w:val="000E386F"/>
    <w:rsid w:val="000E4051"/>
    <w:rsid w:val="000E4765"/>
    <w:rsid w:val="000E4D68"/>
    <w:rsid w:val="000E5B7E"/>
    <w:rsid w:val="000E5FF9"/>
    <w:rsid w:val="000E62A0"/>
    <w:rsid w:val="000E6AE1"/>
    <w:rsid w:val="000E7142"/>
    <w:rsid w:val="000E7180"/>
    <w:rsid w:val="000E7632"/>
    <w:rsid w:val="000E7739"/>
    <w:rsid w:val="000E77EE"/>
    <w:rsid w:val="000F1619"/>
    <w:rsid w:val="000F2940"/>
    <w:rsid w:val="000F3D08"/>
    <w:rsid w:val="000F4495"/>
    <w:rsid w:val="000F4A05"/>
    <w:rsid w:val="000F505B"/>
    <w:rsid w:val="000F6366"/>
    <w:rsid w:val="000F68A0"/>
    <w:rsid w:val="000F6CC2"/>
    <w:rsid w:val="0010118C"/>
    <w:rsid w:val="0010125E"/>
    <w:rsid w:val="00101967"/>
    <w:rsid w:val="0010334E"/>
    <w:rsid w:val="00103D85"/>
    <w:rsid w:val="00103EBD"/>
    <w:rsid w:val="00104E5B"/>
    <w:rsid w:val="00104EEC"/>
    <w:rsid w:val="001050C7"/>
    <w:rsid w:val="001050DC"/>
    <w:rsid w:val="00105482"/>
    <w:rsid w:val="001055BB"/>
    <w:rsid w:val="001056A5"/>
    <w:rsid w:val="00105BA9"/>
    <w:rsid w:val="00106AAA"/>
    <w:rsid w:val="00107BBD"/>
    <w:rsid w:val="00107BC7"/>
    <w:rsid w:val="001102B5"/>
    <w:rsid w:val="00111C7D"/>
    <w:rsid w:val="00112038"/>
    <w:rsid w:val="001127FF"/>
    <w:rsid w:val="00112B0B"/>
    <w:rsid w:val="00113123"/>
    <w:rsid w:val="0011383E"/>
    <w:rsid w:val="00114847"/>
    <w:rsid w:val="0011560B"/>
    <w:rsid w:val="0011585B"/>
    <w:rsid w:val="00115B1A"/>
    <w:rsid w:val="00115C71"/>
    <w:rsid w:val="001160FF"/>
    <w:rsid w:val="001168F8"/>
    <w:rsid w:val="001176FF"/>
    <w:rsid w:val="00120F18"/>
    <w:rsid w:val="0012159D"/>
    <w:rsid w:val="001231D3"/>
    <w:rsid w:val="001232A7"/>
    <w:rsid w:val="0012419E"/>
    <w:rsid w:val="001248EF"/>
    <w:rsid w:val="00124FC4"/>
    <w:rsid w:val="001253AB"/>
    <w:rsid w:val="0012574C"/>
    <w:rsid w:val="001259B8"/>
    <w:rsid w:val="00126679"/>
    <w:rsid w:val="0012687C"/>
    <w:rsid w:val="0012693E"/>
    <w:rsid w:val="00130B94"/>
    <w:rsid w:val="00131762"/>
    <w:rsid w:val="00131C2D"/>
    <w:rsid w:val="0013202C"/>
    <w:rsid w:val="00132CBF"/>
    <w:rsid w:val="00133742"/>
    <w:rsid w:val="001350F7"/>
    <w:rsid w:val="00135562"/>
    <w:rsid w:val="00135769"/>
    <w:rsid w:val="00135BE9"/>
    <w:rsid w:val="00136762"/>
    <w:rsid w:val="00136E33"/>
    <w:rsid w:val="0013773D"/>
    <w:rsid w:val="00137A63"/>
    <w:rsid w:val="00140693"/>
    <w:rsid w:val="00140D7A"/>
    <w:rsid w:val="00141DFE"/>
    <w:rsid w:val="00142A51"/>
    <w:rsid w:val="001433BC"/>
    <w:rsid w:val="00144649"/>
    <w:rsid w:val="00144B52"/>
    <w:rsid w:val="00145022"/>
    <w:rsid w:val="00145662"/>
    <w:rsid w:val="00145C6D"/>
    <w:rsid w:val="00146151"/>
    <w:rsid w:val="00147032"/>
    <w:rsid w:val="00147EA7"/>
    <w:rsid w:val="001505E6"/>
    <w:rsid w:val="00151B2F"/>
    <w:rsid w:val="001524DC"/>
    <w:rsid w:val="001525E5"/>
    <w:rsid w:val="00153859"/>
    <w:rsid w:val="00153915"/>
    <w:rsid w:val="00155B95"/>
    <w:rsid w:val="00156853"/>
    <w:rsid w:val="00157432"/>
    <w:rsid w:val="0016109B"/>
    <w:rsid w:val="00161185"/>
    <w:rsid w:val="001623AC"/>
    <w:rsid w:val="00162BAA"/>
    <w:rsid w:val="0016488B"/>
    <w:rsid w:val="0016509B"/>
    <w:rsid w:val="00165758"/>
    <w:rsid w:val="00165A65"/>
    <w:rsid w:val="00165E74"/>
    <w:rsid w:val="00167478"/>
    <w:rsid w:val="00167594"/>
    <w:rsid w:val="001702BE"/>
    <w:rsid w:val="001704B3"/>
    <w:rsid w:val="001704DA"/>
    <w:rsid w:val="0017105C"/>
    <w:rsid w:val="00171622"/>
    <w:rsid w:val="00171C81"/>
    <w:rsid w:val="001721CF"/>
    <w:rsid w:val="001728FD"/>
    <w:rsid w:val="00172A27"/>
    <w:rsid w:val="00172F02"/>
    <w:rsid w:val="00173631"/>
    <w:rsid w:val="0017372D"/>
    <w:rsid w:val="00173C58"/>
    <w:rsid w:val="00173E59"/>
    <w:rsid w:val="001740B6"/>
    <w:rsid w:val="00174F57"/>
    <w:rsid w:val="00175078"/>
    <w:rsid w:val="001754CB"/>
    <w:rsid w:val="001755DC"/>
    <w:rsid w:val="00175895"/>
    <w:rsid w:val="001758E0"/>
    <w:rsid w:val="0017693F"/>
    <w:rsid w:val="00176F27"/>
    <w:rsid w:val="00180A47"/>
    <w:rsid w:val="001827B7"/>
    <w:rsid w:val="001827EF"/>
    <w:rsid w:val="00182982"/>
    <w:rsid w:val="00182D68"/>
    <w:rsid w:val="00183031"/>
    <w:rsid w:val="00183468"/>
    <w:rsid w:val="0018397E"/>
    <w:rsid w:val="00184DBF"/>
    <w:rsid w:val="001852A8"/>
    <w:rsid w:val="00187243"/>
    <w:rsid w:val="00187C29"/>
    <w:rsid w:val="00190942"/>
    <w:rsid w:val="001909A7"/>
    <w:rsid w:val="00191459"/>
    <w:rsid w:val="0019174E"/>
    <w:rsid w:val="001923D5"/>
    <w:rsid w:val="001926DA"/>
    <w:rsid w:val="00192991"/>
    <w:rsid w:val="00193B94"/>
    <w:rsid w:val="001940A7"/>
    <w:rsid w:val="00194BB1"/>
    <w:rsid w:val="00194BC6"/>
    <w:rsid w:val="00195070"/>
    <w:rsid w:val="0019526D"/>
    <w:rsid w:val="001956BE"/>
    <w:rsid w:val="0019602C"/>
    <w:rsid w:val="001965B8"/>
    <w:rsid w:val="001969F2"/>
    <w:rsid w:val="0019756A"/>
    <w:rsid w:val="001A07F8"/>
    <w:rsid w:val="001A0864"/>
    <w:rsid w:val="001A0A23"/>
    <w:rsid w:val="001A128B"/>
    <w:rsid w:val="001A1352"/>
    <w:rsid w:val="001A1F0E"/>
    <w:rsid w:val="001A473A"/>
    <w:rsid w:val="001A4B80"/>
    <w:rsid w:val="001A4ED9"/>
    <w:rsid w:val="001A5785"/>
    <w:rsid w:val="001A5FD7"/>
    <w:rsid w:val="001A61B0"/>
    <w:rsid w:val="001A66A6"/>
    <w:rsid w:val="001A6BBB"/>
    <w:rsid w:val="001A79A2"/>
    <w:rsid w:val="001B13BF"/>
    <w:rsid w:val="001B16F5"/>
    <w:rsid w:val="001B1C1F"/>
    <w:rsid w:val="001B219B"/>
    <w:rsid w:val="001B2703"/>
    <w:rsid w:val="001B3E6D"/>
    <w:rsid w:val="001B46B2"/>
    <w:rsid w:val="001B4725"/>
    <w:rsid w:val="001B48B2"/>
    <w:rsid w:val="001B49DA"/>
    <w:rsid w:val="001B4CA8"/>
    <w:rsid w:val="001B572D"/>
    <w:rsid w:val="001B5B10"/>
    <w:rsid w:val="001B5E9A"/>
    <w:rsid w:val="001B6E4E"/>
    <w:rsid w:val="001B7A15"/>
    <w:rsid w:val="001B7B69"/>
    <w:rsid w:val="001C08DB"/>
    <w:rsid w:val="001C10BD"/>
    <w:rsid w:val="001C1F01"/>
    <w:rsid w:val="001C232F"/>
    <w:rsid w:val="001C2544"/>
    <w:rsid w:val="001C2A17"/>
    <w:rsid w:val="001C31F5"/>
    <w:rsid w:val="001C457B"/>
    <w:rsid w:val="001C6047"/>
    <w:rsid w:val="001C6698"/>
    <w:rsid w:val="001C7B60"/>
    <w:rsid w:val="001C7CE0"/>
    <w:rsid w:val="001D005B"/>
    <w:rsid w:val="001D0947"/>
    <w:rsid w:val="001D16F5"/>
    <w:rsid w:val="001D1970"/>
    <w:rsid w:val="001D1D1E"/>
    <w:rsid w:val="001D1D55"/>
    <w:rsid w:val="001D21EF"/>
    <w:rsid w:val="001D29A4"/>
    <w:rsid w:val="001D330D"/>
    <w:rsid w:val="001D4AB6"/>
    <w:rsid w:val="001D4AD3"/>
    <w:rsid w:val="001D4E86"/>
    <w:rsid w:val="001D6B8A"/>
    <w:rsid w:val="001E1713"/>
    <w:rsid w:val="001E17E3"/>
    <w:rsid w:val="001E1D36"/>
    <w:rsid w:val="001E2052"/>
    <w:rsid w:val="001E257C"/>
    <w:rsid w:val="001E31AF"/>
    <w:rsid w:val="001E35EE"/>
    <w:rsid w:val="001E4B2C"/>
    <w:rsid w:val="001E507F"/>
    <w:rsid w:val="001E59FB"/>
    <w:rsid w:val="001E608A"/>
    <w:rsid w:val="001F0FD1"/>
    <w:rsid w:val="001F19D1"/>
    <w:rsid w:val="001F1CB9"/>
    <w:rsid w:val="001F1F18"/>
    <w:rsid w:val="001F2F92"/>
    <w:rsid w:val="001F5DBF"/>
    <w:rsid w:val="001F612E"/>
    <w:rsid w:val="001F79D1"/>
    <w:rsid w:val="00201B0F"/>
    <w:rsid w:val="00202800"/>
    <w:rsid w:val="00202D33"/>
    <w:rsid w:val="00202E58"/>
    <w:rsid w:val="00202F99"/>
    <w:rsid w:val="00203C85"/>
    <w:rsid w:val="00205112"/>
    <w:rsid w:val="00205298"/>
    <w:rsid w:val="002052DD"/>
    <w:rsid w:val="00205939"/>
    <w:rsid w:val="00205D1C"/>
    <w:rsid w:val="002062B8"/>
    <w:rsid w:val="00206698"/>
    <w:rsid w:val="00206736"/>
    <w:rsid w:val="00206C88"/>
    <w:rsid w:val="002078A3"/>
    <w:rsid w:val="00210744"/>
    <w:rsid w:val="00210B9C"/>
    <w:rsid w:val="00211714"/>
    <w:rsid w:val="00213D15"/>
    <w:rsid w:val="00213FCE"/>
    <w:rsid w:val="00214028"/>
    <w:rsid w:val="002141C3"/>
    <w:rsid w:val="002141DC"/>
    <w:rsid w:val="00214479"/>
    <w:rsid w:val="002144F3"/>
    <w:rsid w:val="002146C3"/>
    <w:rsid w:val="00214E91"/>
    <w:rsid w:val="00215A2A"/>
    <w:rsid w:val="00215D21"/>
    <w:rsid w:val="00216387"/>
    <w:rsid w:val="00216860"/>
    <w:rsid w:val="002204BC"/>
    <w:rsid w:val="00220F7B"/>
    <w:rsid w:val="002213CE"/>
    <w:rsid w:val="0022168C"/>
    <w:rsid w:val="00221AF7"/>
    <w:rsid w:val="00221F13"/>
    <w:rsid w:val="00221FFA"/>
    <w:rsid w:val="00222494"/>
    <w:rsid w:val="00222775"/>
    <w:rsid w:val="00222A31"/>
    <w:rsid w:val="00222CF6"/>
    <w:rsid w:val="002244E4"/>
    <w:rsid w:val="00224D2A"/>
    <w:rsid w:val="00224D8D"/>
    <w:rsid w:val="0022555A"/>
    <w:rsid w:val="0023079F"/>
    <w:rsid w:val="00231135"/>
    <w:rsid w:val="00231523"/>
    <w:rsid w:val="0023337A"/>
    <w:rsid w:val="00233538"/>
    <w:rsid w:val="0023449F"/>
    <w:rsid w:val="002344F5"/>
    <w:rsid w:val="0023454D"/>
    <w:rsid w:val="00234679"/>
    <w:rsid w:val="00235114"/>
    <w:rsid w:val="00236690"/>
    <w:rsid w:val="0023669D"/>
    <w:rsid w:val="00237FA2"/>
    <w:rsid w:val="002403D5"/>
    <w:rsid w:val="00240F67"/>
    <w:rsid w:val="00241144"/>
    <w:rsid w:val="00241606"/>
    <w:rsid w:val="00242510"/>
    <w:rsid w:val="00242F79"/>
    <w:rsid w:val="0024415B"/>
    <w:rsid w:val="002442FF"/>
    <w:rsid w:val="00245565"/>
    <w:rsid w:val="002458C1"/>
    <w:rsid w:val="00246357"/>
    <w:rsid w:val="00246924"/>
    <w:rsid w:val="00247422"/>
    <w:rsid w:val="00247BA2"/>
    <w:rsid w:val="0025184F"/>
    <w:rsid w:val="00251967"/>
    <w:rsid w:val="002527CC"/>
    <w:rsid w:val="00253586"/>
    <w:rsid w:val="002537FC"/>
    <w:rsid w:val="002542F8"/>
    <w:rsid w:val="002543EF"/>
    <w:rsid w:val="00255784"/>
    <w:rsid w:val="0025631F"/>
    <w:rsid w:val="00256986"/>
    <w:rsid w:val="00257246"/>
    <w:rsid w:val="00257438"/>
    <w:rsid w:val="00261246"/>
    <w:rsid w:val="00262048"/>
    <w:rsid w:val="0026212A"/>
    <w:rsid w:val="00263044"/>
    <w:rsid w:val="00263759"/>
    <w:rsid w:val="002638BD"/>
    <w:rsid w:val="002644D7"/>
    <w:rsid w:val="0026470B"/>
    <w:rsid w:val="0026486D"/>
    <w:rsid w:val="00264C4B"/>
    <w:rsid w:val="00264ED0"/>
    <w:rsid w:val="00265C3A"/>
    <w:rsid w:val="002660C3"/>
    <w:rsid w:val="00266DE1"/>
    <w:rsid w:val="00267A92"/>
    <w:rsid w:val="00267E43"/>
    <w:rsid w:val="00270282"/>
    <w:rsid w:val="002711EF"/>
    <w:rsid w:val="00272193"/>
    <w:rsid w:val="0027244F"/>
    <w:rsid w:val="0027393E"/>
    <w:rsid w:val="002739CE"/>
    <w:rsid w:val="00273C5F"/>
    <w:rsid w:val="002751CA"/>
    <w:rsid w:val="0027544D"/>
    <w:rsid w:val="002775ED"/>
    <w:rsid w:val="002778AB"/>
    <w:rsid w:val="00277D86"/>
    <w:rsid w:val="002802A5"/>
    <w:rsid w:val="00280CFB"/>
    <w:rsid w:val="002815C4"/>
    <w:rsid w:val="00281BCB"/>
    <w:rsid w:val="002821D5"/>
    <w:rsid w:val="00283296"/>
    <w:rsid w:val="002845A1"/>
    <w:rsid w:val="0028461E"/>
    <w:rsid w:val="0028583E"/>
    <w:rsid w:val="00285853"/>
    <w:rsid w:val="00285B1A"/>
    <w:rsid w:val="00285FF3"/>
    <w:rsid w:val="002866EC"/>
    <w:rsid w:val="0028744E"/>
    <w:rsid w:val="00287936"/>
    <w:rsid w:val="002903C5"/>
    <w:rsid w:val="00290A99"/>
    <w:rsid w:val="00290EAF"/>
    <w:rsid w:val="0029129B"/>
    <w:rsid w:val="0029159A"/>
    <w:rsid w:val="0029199A"/>
    <w:rsid w:val="00291E17"/>
    <w:rsid w:val="00292AA1"/>
    <w:rsid w:val="00293D77"/>
    <w:rsid w:val="0029499D"/>
    <w:rsid w:val="00294A13"/>
    <w:rsid w:val="00294B10"/>
    <w:rsid w:val="00294DF9"/>
    <w:rsid w:val="00295073"/>
    <w:rsid w:val="00296C32"/>
    <w:rsid w:val="002977CE"/>
    <w:rsid w:val="00297AF5"/>
    <w:rsid w:val="002A02D6"/>
    <w:rsid w:val="002A07C4"/>
    <w:rsid w:val="002A0921"/>
    <w:rsid w:val="002A09CF"/>
    <w:rsid w:val="002A0CB3"/>
    <w:rsid w:val="002A1887"/>
    <w:rsid w:val="002A2001"/>
    <w:rsid w:val="002A2EDA"/>
    <w:rsid w:val="002A4060"/>
    <w:rsid w:val="002A4A05"/>
    <w:rsid w:val="002A4EB3"/>
    <w:rsid w:val="002A51D9"/>
    <w:rsid w:val="002A572D"/>
    <w:rsid w:val="002A5CAB"/>
    <w:rsid w:val="002A5D1C"/>
    <w:rsid w:val="002A5D40"/>
    <w:rsid w:val="002A6116"/>
    <w:rsid w:val="002A64E7"/>
    <w:rsid w:val="002A7ED3"/>
    <w:rsid w:val="002A7FC9"/>
    <w:rsid w:val="002B06C1"/>
    <w:rsid w:val="002B139C"/>
    <w:rsid w:val="002B1881"/>
    <w:rsid w:val="002B1A6B"/>
    <w:rsid w:val="002B1F61"/>
    <w:rsid w:val="002B257E"/>
    <w:rsid w:val="002B2906"/>
    <w:rsid w:val="002B2A00"/>
    <w:rsid w:val="002B322B"/>
    <w:rsid w:val="002B34E3"/>
    <w:rsid w:val="002B394C"/>
    <w:rsid w:val="002B5AEE"/>
    <w:rsid w:val="002B6177"/>
    <w:rsid w:val="002B650C"/>
    <w:rsid w:val="002B68E6"/>
    <w:rsid w:val="002B6985"/>
    <w:rsid w:val="002C0301"/>
    <w:rsid w:val="002C0326"/>
    <w:rsid w:val="002C0A9F"/>
    <w:rsid w:val="002C13D4"/>
    <w:rsid w:val="002C1AB3"/>
    <w:rsid w:val="002C1BB7"/>
    <w:rsid w:val="002C2665"/>
    <w:rsid w:val="002C28E1"/>
    <w:rsid w:val="002C327D"/>
    <w:rsid w:val="002C3890"/>
    <w:rsid w:val="002C3AD9"/>
    <w:rsid w:val="002C45C3"/>
    <w:rsid w:val="002C483B"/>
    <w:rsid w:val="002C534A"/>
    <w:rsid w:val="002C60A7"/>
    <w:rsid w:val="002C643D"/>
    <w:rsid w:val="002C6CCA"/>
    <w:rsid w:val="002C70E7"/>
    <w:rsid w:val="002C757E"/>
    <w:rsid w:val="002D0E88"/>
    <w:rsid w:val="002D138F"/>
    <w:rsid w:val="002D1593"/>
    <w:rsid w:val="002D1942"/>
    <w:rsid w:val="002D22A6"/>
    <w:rsid w:val="002D2819"/>
    <w:rsid w:val="002D2CD6"/>
    <w:rsid w:val="002D2F81"/>
    <w:rsid w:val="002D38A3"/>
    <w:rsid w:val="002D3BA3"/>
    <w:rsid w:val="002D4892"/>
    <w:rsid w:val="002D4BE8"/>
    <w:rsid w:val="002D4D06"/>
    <w:rsid w:val="002D4EE7"/>
    <w:rsid w:val="002D4EED"/>
    <w:rsid w:val="002D58A2"/>
    <w:rsid w:val="002D5A95"/>
    <w:rsid w:val="002D65AD"/>
    <w:rsid w:val="002D6782"/>
    <w:rsid w:val="002D74A4"/>
    <w:rsid w:val="002D74F4"/>
    <w:rsid w:val="002D7B50"/>
    <w:rsid w:val="002D7DB2"/>
    <w:rsid w:val="002D7EA8"/>
    <w:rsid w:val="002E00E1"/>
    <w:rsid w:val="002E03AE"/>
    <w:rsid w:val="002E04B7"/>
    <w:rsid w:val="002E0542"/>
    <w:rsid w:val="002E05F2"/>
    <w:rsid w:val="002E0E87"/>
    <w:rsid w:val="002E0F36"/>
    <w:rsid w:val="002E13CF"/>
    <w:rsid w:val="002E1FA9"/>
    <w:rsid w:val="002E201C"/>
    <w:rsid w:val="002E236F"/>
    <w:rsid w:val="002E2478"/>
    <w:rsid w:val="002E3956"/>
    <w:rsid w:val="002E469E"/>
    <w:rsid w:val="002E4C01"/>
    <w:rsid w:val="002E4D50"/>
    <w:rsid w:val="002E52AB"/>
    <w:rsid w:val="002E55FF"/>
    <w:rsid w:val="002E587E"/>
    <w:rsid w:val="002E5DE8"/>
    <w:rsid w:val="002E672A"/>
    <w:rsid w:val="002E6742"/>
    <w:rsid w:val="002E6853"/>
    <w:rsid w:val="002E7EC1"/>
    <w:rsid w:val="002E7EE5"/>
    <w:rsid w:val="002F0323"/>
    <w:rsid w:val="002F134F"/>
    <w:rsid w:val="002F1D0B"/>
    <w:rsid w:val="002F1F02"/>
    <w:rsid w:val="002F27E5"/>
    <w:rsid w:val="002F2D81"/>
    <w:rsid w:val="002F2DF3"/>
    <w:rsid w:val="002F43E5"/>
    <w:rsid w:val="002F4BA9"/>
    <w:rsid w:val="002F541B"/>
    <w:rsid w:val="002F56B5"/>
    <w:rsid w:val="002F5BFE"/>
    <w:rsid w:val="002F6EF5"/>
    <w:rsid w:val="002F6EFF"/>
    <w:rsid w:val="002F7DF0"/>
    <w:rsid w:val="002F7FAF"/>
    <w:rsid w:val="00300AD2"/>
    <w:rsid w:val="003014FC"/>
    <w:rsid w:val="00301D64"/>
    <w:rsid w:val="00303862"/>
    <w:rsid w:val="00303AB6"/>
    <w:rsid w:val="00304640"/>
    <w:rsid w:val="00304AC1"/>
    <w:rsid w:val="00305090"/>
    <w:rsid w:val="003050C1"/>
    <w:rsid w:val="00305454"/>
    <w:rsid w:val="00305B9F"/>
    <w:rsid w:val="00305E21"/>
    <w:rsid w:val="003066C6"/>
    <w:rsid w:val="003066FA"/>
    <w:rsid w:val="00306AD6"/>
    <w:rsid w:val="00307DC7"/>
    <w:rsid w:val="00310EDB"/>
    <w:rsid w:val="00312DFC"/>
    <w:rsid w:val="0031318C"/>
    <w:rsid w:val="00313C9D"/>
    <w:rsid w:val="00313E7B"/>
    <w:rsid w:val="0031430C"/>
    <w:rsid w:val="00314C5A"/>
    <w:rsid w:val="0031531A"/>
    <w:rsid w:val="00315394"/>
    <w:rsid w:val="003156D4"/>
    <w:rsid w:val="00315D77"/>
    <w:rsid w:val="003165B1"/>
    <w:rsid w:val="00316A70"/>
    <w:rsid w:val="00316CDE"/>
    <w:rsid w:val="0031752D"/>
    <w:rsid w:val="00320642"/>
    <w:rsid w:val="00320688"/>
    <w:rsid w:val="00320B52"/>
    <w:rsid w:val="00321AAD"/>
    <w:rsid w:val="0032226D"/>
    <w:rsid w:val="00322469"/>
    <w:rsid w:val="003249F6"/>
    <w:rsid w:val="00324B2F"/>
    <w:rsid w:val="003251B3"/>
    <w:rsid w:val="0032576A"/>
    <w:rsid w:val="00325FCC"/>
    <w:rsid w:val="00326106"/>
    <w:rsid w:val="00326144"/>
    <w:rsid w:val="003262E6"/>
    <w:rsid w:val="00326805"/>
    <w:rsid w:val="003269B7"/>
    <w:rsid w:val="00326C0E"/>
    <w:rsid w:val="003272A3"/>
    <w:rsid w:val="003272E4"/>
    <w:rsid w:val="00327B71"/>
    <w:rsid w:val="0033081D"/>
    <w:rsid w:val="00331461"/>
    <w:rsid w:val="003316A8"/>
    <w:rsid w:val="00331CC9"/>
    <w:rsid w:val="003320D7"/>
    <w:rsid w:val="00332433"/>
    <w:rsid w:val="00332D52"/>
    <w:rsid w:val="00333337"/>
    <w:rsid w:val="003338A0"/>
    <w:rsid w:val="00333A28"/>
    <w:rsid w:val="003360AD"/>
    <w:rsid w:val="0033617A"/>
    <w:rsid w:val="0033631D"/>
    <w:rsid w:val="00337409"/>
    <w:rsid w:val="003405AF"/>
    <w:rsid w:val="003405F8"/>
    <w:rsid w:val="0034088F"/>
    <w:rsid w:val="00340B3E"/>
    <w:rsid w:val="003413D2"/>
    <w:rsid w:val="003422B5"/>
    <w:rsid w:val="003426D7"/>
    <w:rsid w:val="00342857"/>
    <w:rsid w:val="00342E4F"/>
    <w:rsid w:val="00343577"/>
    <w:rsid w:val="00344BBF"/>
    <w:rsid w:val="0034509B"/>
    <w:rsid w:val="00345644"/>
    <w:rsid w:val="00345D7A"/>
    <w:rsid w:val="0034607E"/>
    <w:rsid w:val="00346B6D"/>
    <w:rsid w:val="00346BA3"/>
    <w:rsid w:val="00347356"/>
    <w:rsid w:val="00350896"/>
    <w:rsid w:val="00350C31"/>
    <w:rsid w:val="00351063"/>
    <w:rsid w:val="00351457"/>
    <w:rsid w:val="003519CD"/>
    <w:rsid w:val="00351A3A"/>
    <w:rsid w:val="0035455F"/>
    <w:rsid w:val="00355D8F"/>
    <w:rsid w:val="00356FF0"/>
    <w:rsid w:val="0035776F"/>
    <w:rsid w:val="003577EF"/>
    <w:rsid w:val="00357A93"/>
    <w:rsid w:val="00360304"/>
    <w:rsid w:val="00361750"/>
    <w:rsid w:val="00363B2A"/>
    <w:rsid w:val="00363BF1"/>
    <w:rsid w:val="003665F2"/>
    <w:rsid w:val="00366779"/>
    <w:rsid w:val="003669C8"/>
    <w:rsid w:val="00366CEB"/>
    <w:rsid w:val="003672B3"/>
    <w:rsid w:val="003676DF"/>
    <w:rsid w:val="00367783"/>
    <w:rsid w:val="00367796"/>
    <w:rsid w:val="003679D3"/>
    <w:rsid w:val="00367A87"/>
    <w:rsid w:val="00367EE7"/>
    <w:rsid w:val="00370181"/>
    <w:rsid w:val="003705EA"/>
    <w:rsid w:val="00370A56"/>
    <w:rsid w:val="0037223C"/>
    <w:rsid w:val="00372842"/>
    <w:rsid w:val="003729A5"/>
    <w:rsid w:val="00372C89"/>
    <w:rsid w:val="00372E26"/>
    <w:rsid w:val="00372E9A"/>
    <w:rsid w:val="003735B9"/>
    <w:rsid w:val="00374607"/>
    <w:rsid w:val="00374677"/>
    <w:rsid w:val="00375850"/>
    <w:rsid w:val="0037632F"/>
    <w:rsid w:val="00377B26"/>
    <w:rsid w:val="00377B46"/>
    <w:rsid w:val="00381014"/>
    <w:rsid w:val="003811A8"/>
    <w:rsid w:val="00381604"/>
    <w:rsid w:val="00381C68"/>
    <w:rsid w:val="00381F60"/>
    <w:rsid w:val="00383430"/>
    <w:rsid w:val="00383AB0"/>
    <w:rsid w:val="0038437A"/>
    <w:rsid w:val="003847BB"/>
    <w:rsid w:val="00384814"/>
    <w:rsid w:val="00384C0A"/>
    <w:rsid w:val="00384F29"/>
    <w:rsid w:val="00385B16"/>
    <w:rsid w:val="00385B96"/>
    <w:rsid w:val="00385DA2"/>
    <w:rsid w:val="0038637D"/>
    <w:rsid w:val="00386C07"/>
    <w:rsid w:val="00386F58"/>
    <w:rsid w:val="0038700D"/>
    <w:rsid w:val="003877BE"/>
    <w:rsid w:val="00390B8F"/>
    <w:rsid w:val="00390C0D"/>
    <w:rsid w:val="00391447"/>
    <w:rsid w:val="003919D9"/>
    <w:rsid w:val="00391BDD"/>
    <w:rsid w:val="003922DE"/>
    <w:rsid w:val="00392E35"/>
    <w:rsid w:val="00393551"/>
    <w:rsid w:val="00393FCD"/>
    <w:rsid w:val="003944EA"/>
    <w:rsid w:val="00394639"/>
    <w:rsid w:val="00394C5F"/>
    <w:rsid w:val="00394DF6"/>
    <w:rsid w:val="003962E6"/>
    <w:rsid w:val="00396831"/>
    <w:rsid w:val="00396972"/>
    <w:rsid w:val="003971A1"/>
    <w:rsid w:val="00397D90"/>
    <w:rsid w:val="003A0DDD"/>
    <w:rsid w:val="003A12B6"/>
    <w:rsid w:val="003A1855"/>
    <w:rsid w:val="003A2012"/>
    <w:rsid w:val="003A20D5"/>
    <w:rsid w:val="003A24CC"/>
    <w:rsid w:val="003A2EE8"/>
    <w:rsid w:val="003A373C"/>
    <w:rsid w:val="003A5378"/>
    <w:rsid w:val="003A6008"/>
    <w:rsid w:val="003A703F"/>
    <w:rsid w:val="003A77E2"/>
    <w:rsid w:val="003A7E2B"/>
    <w:rsid w:val="003A7E40"/>
    <w:rsid w:val="003B0336"/>
    <w:rsid w:val="003B058A"/>
    <w:rsid w:val="003B0A3A"/>
    <w:rsid w:val="003B0D79"/>
    <w:rsid w:val="003B1CCB"/>
    <w:rsid w:val="003B2930"/>
    <w:rsid w:val="003B2C52"/>
    <w:rsid w:val="003B31A7"/>
    <w:rsid w:val="003B367F"/>
    <w:rsid w:val="003B3BC8"/>
    <w:rsid w:val="003B430E"/>
    <w:rsid w:val="003B47DE"/>
    <w:rsid w:val="003B4B51"/>
    <w:rsid w:val="003B4E00"/>
    <w:rsid w:val="003B514E"/>
    <w:rsid w:val="003B636A"/>
    <w:rsid w:val="003B68C2"/>
    <w:rsid w:val="003B69CE"/>
    <w:rsid w:val="003B71FE"/>
    <w:rsid w:val="003C011C"/>
    <w:rsid w:val="003C0B60"/>
    <w:rsid w:val="003C1B97"/>
    <w:rsid w:val="003C22FC"/>
    <w:rsid w:val="003C3292"/>
    <w:rsid w:val="003C3C1E"/>
    <w:rsid w:val="003C4134"/>
    <w:rsid w:val="003C435B"/>
    <w:rsid w:val="003C48B4"/>
    <w:rsid w:val="003C4EBE"/>
    <w:rsid w:val="003C62EC"/>
    <w:rsid w:val="003C685A"/>
    <w:rsid w:val="003C6E9C"/>
    <w:rsid w:val="003C7393"/>
    <w:rsid w:val="003C746F"/>
    <w:rsid w:val="003C76E6"/>
    <w:rsid w:val="003C7C25"/>
    <w:rsid w:val="003C7F12"/>
    <w:rsid w:val="003D03D6"/>
    <w:rsid w:val="003D14C8"/>
    <w:rsid w:val="003D1517"/>
    <w:rsid w:val="003D2DA0"/>
    <w:rsid w:val="003D34C3"/>
    <w:rsid w:val="003D3D83"/>
    <w:rsid w:val="003D4685"/>
    <w:rsid w:val="003D4A41"/>
    <w:rsid w:val="003D5ADB"/>
    <w:rsid w:val="003D646C"/>
    <w:rsid w:val="003D663E"/>
    <w:rsid w:val="003D6793"/>
    <w:rsid w:val="003D6B03"/>
    <w:rsid w:val="003D75D8"/>
    <w:rsid w:val="003E006E"/>
    <w:rsid w:val="003E0E96"/>
    <w:rsid w:val="003E20F7"/>
    <w:rsid w:val="003E336A"/>
    <w:rsid w:val="003E4048"/>
    <w:rsid w:val="003E455D"/>
    <w:rsid w:val="003E60DA"/>
    <w:rsid w:val="003E616A"/>
    <w:rsid w:val="003E6E00"/>
    <w:rsid w:val="003E7111"/>
    <w:rsid w:val="003E7596"/>
    <w:rsid w:val="003E7940"/>
    <w:rsid w:val="003E7F7A"/>
    <w:rsid w:val="003F01BD"/>
    <w:rsid w:val="003F0486"/>
    <w:rsid w:val="003F048E"/>
    <w:rsid w:val="003F0AFF"/>
    <w:rsid w:val="003F26DC"/>
    <w:rsid w:val="003F3EFD"/>
    <w:rsid w:val="003F42FF"/>
    <w:rsid w:val="003F45C2"/>
    <w:rsid w:val="003F4B48"/>
    <w:rsid w:val="003F4DDC"/>
    <w:rsid w:val="003F56B8"/>
    <w:rsid w:val="003F6327"/>
    <w:rsid w:val="003F6FF2"/>
    <w:rsid w:val="003F765B"/>
    <w:rsid w:val="003F7CB8"/>
    <w:rsid w:val="004001F0"/>
    <w:rsid w:val="00400CB4"/>
    <w:rsid w:val="00401386"/>
    <w:rsid w:val="004013E6"/>
    <w:rsid w:val="004016F6"/>
    <w:rsid w:val="0040188F"/>
    <w:rsid w:val="00401E31"/>
    <w:rsid w:val="00402BBA"/>
    <w:rsid w:val="0040344F"/>
    <w:rsid w:val="004035D0"/>
    <w:rsid w:val="00403795"/>
    <w:rsid w:val="004041FB"/>
    <w:rsid w:val="004056B6"/>
    <w:rsid w:val="00405764"/>
    <w:rsid w:val="00405918"/>
    <w:rsid w:val="00405D4E"/>
    <w:rsid w:val="00406745"/>
    <w:rsid w:val="0040674B"/>
    <w:rsid w:val="00406B32"/>
    <w:rsid w:val="004074FA"/>
    <w:rsid w:val="00407A56"/>
    <w:rsid w:val="00407FCC"/>
    <w:rsid w:val="0041035A"/>
    <w:rsid w:val="004112D1"/>
    <w:rsid w:val="004113C9"/>
    <w:rsid w:val="004120DF"/>
    <w:rsid w:val="00412AC8"/>
    <w:rsid w:val="00413913"/>
    <w:rsid w:val="004139FF"/>
    <w:rsid w:val="00414909"/>
    <w:rsid w:val="00415034"/>
    <w:rsid w:val="00415718"/>
    <w:rsid w:val="004158D0"/>
    <w:rsid w:val="004159A8"/>
    <w:rsid w:val="00415B1A"/>
    <w:rsid w:val="0041690F"/>
    <w:rsid w:val="00416D41"/>
    <w:rsid w:val="00417264"/>
    <w:rsid w:val="004173FB"/>
    <w:rsid w:val="004210C0"/>
    <w:rsid w:val="004210DB"/>
    <w:rsid w:val="004211DD"/>
    <w:rsid w:val="00421762"/>
    <w:rsid w:val="00421D4B"/>
    <w:rsid w:val="00421ED8"/>
    <w:rsid w:val="00422907"/>
    <w:rsid w:val="00423125"/>
    <w:rsid w:val="00423309"/>
    <w:rsid w:val="004233AD"/>
    <w:rsid w:val="00424446"/>
    <w:rsid w:val="00424D18"/>
    <w:rsid w:val="00425341"/>
    <w:rsid w:val="00425D8C"/>
    <w:rsid w:val="00426B2C"/>
    <w:rsid w:val="0042784A"/>
    <w:rsid w:val="00427FA8"/>
    <w:rsid w:val="0043026B"/>
    <w:rsid w:val="004306D4"/>
    <w:rsid w:val="00432ECA"/>
    <w:rsid w:val="00433D2E"/>
    <w:rsid w:val="0043554E"/>
    <w:rsid w:val="004355D4"/>
    <w:rsid w:val="004357B1"/>
    <w:rsid w:val="00435821"/>
    <w:rsid w:val="0043583E"/>
    <w:rsid w:val="00436448"/>
    <w:rsid w:val="00436CCE"/>
    <w:rsid w:val="00436D1D"/>
    <w:rsid w:val="00436EAD"/>
    <w:rsid w:val="004375E1"/>
    <w:rsid w:val="00437A2F"/>
    <w:rsid w:val="00440262"/>
    <w:rsid w:val="004406BF"/>
    <w:rsid w:val="00440814"/>
    <w:rsid w:val="00442731"/>
    <w:rsid w:val="00442C12"/>
    <w:rsid w:val="004434DF"/>
    <w:rsid w:val="004451A3"/>
    <w:rsid w:val="00445874"/>
    <w:rsid w:val="00445C38"/>
    <w:rsid w:val="004475F7"/>
    <w:rsid w:val="004502AC"/>
    <w:rsid w:val="0045057B"/>
    <w:rsid w:val="0045069B"/>
    <w:rsid w:val="00450B22"/>
    <w:rsid w:val="00451709"/>
    <w:rsid w:val="00451A02"/>
    <w:rsid w:val="00451DB3"/>
    <w:rsid w:val="0045273A"/>
    <w:rsid w:val="0045277C"/>
    <w:rsid w:val="004543AB"/>
    <w:rsid w:val="00455967"/>
    <w:rsid w:val="00455F71"/>
    <w:rsid w:val="00456272"/>
    <w:rsid w:val="00456ECC"/>
    <w:rsid w:val="00457517"/>
    <w:rsid w:val="00457CF7"/>
    <w:rsid w:val="00457D37"/>
    <w:rsid w:val="0046028A"/>
    <w:rsid w:val="00460E68"/>
    <w:rsid w:val="004614BC"/>
    <w:rsid w:val="00461F80"/>
    <w:rsid w:val="0046240D"/>
    <w:rsid w:val="00463208"/>
    <w:rsid w:val="004633E6"/>
    <w:rsid w:val="0046351A"/>
    <w:rsid w:val="00463576"/>
    <w:rsid w:val="0046399D"/>
    <w:rsid w:val="00463EA4"/>
    <w:rsid w:val="00464976"/>
    <w:rsid w:val="00465A21"/>
    <w:rsid w:val="00465DE5"/>
    <w:rsid w:val="00466978"/>
    <w:rsid w:val="00466ABA"/>
    <w:rsid w:val="004672E3"/>
    <w:rsid w:val="0046775D"/>
    <w:rsid w:val="00467823"/>
    <w:rsid w:val="004705FA"/>
    <w:rsid w:val="004708AC"/>
    <w:rsid w:val="00471387"/>
    <w:rsid w:val="00471963"/>
    <w:rsid w:val="004724B8"/>
    <w:rsid w:val="004728FB"/>
    <w:rsid w:val="00472CA7"/>
    <w:rsid w:val="00472CEC"/>
    <w:rsid w:val="00473308"/>
    <w:rsid w:val="0047471E"/>
    <w:rsid w:val="004749DA"/>
    <w:rsid w:val="00474DEF"/>
    <w:rsid w:val="004758E7"/>
    <w:rsid w:val="00475BAB"/>
    <w:rsid w:val="004764C6"/>
    <w:rsid w:val="00476F97"/>
    <w:rsid w:val="00477247"/>
    <w:rsid w:val="004776BB"/>
    <w:rsid w:val="00480067"/>
    <w:rsid w:val="0048055E"/>
    <w:rsid w:val="00480C2B"/>
    <w:rsid w:val="00480DC5"/>
    <w:rsid w:val="004824A9"/>
    <w:rsid w:val="00483140"/>
    <w:rsid w:val="00483984"/>
    <w:rsid w:val="00483BC7"/>
    <w:rsid w:val="00483CF0"/>
    <w:rsid w:val="00483EEA"/>
    <w:rsid w:val="00483EF9"/>
    <w:rsid w:val="00484D4D"/>
    <w:rsid w:val="0048664F"/>
    <w:rsid w:val="004868AD"/>
    <w:rsid w:val="00486A43"/>
    <w:rsid w:val="00486D00"/>
    <w:rsid w:val="00487FE1"/>
    <w:rsid w:val="004902A6"/>
    <w:rsid w:val="00490707"/>
    <w:rsid w:val="00490815"/>
    <w:rsid w:val="0049117E"/>
    <w:rsid w:val="00492410"/>
    <w:rsid w:val="00492503"/>
    <w:rsid w:val="0049277E"/>
    <w:rsid w:val="00492AF9"/>
    <w:rsid w:val="00492B76"/>
    <w:rsid w:val="0049333E"/>
    <w:rsid w:val="0049418F"/>
    <w:rsid w:val="0049553A"/>
    <w:rsid w:val="00495DC6"/>
    <w:rsid w:val="00496CCE"/>
    <w:rsid w:val="00497934"/>
    <w:rsid w:val="00497AAD"/>
    <w:rsid w:val="00497BD7"/>
    <w:rsid w:val="00497D1A"/>
    <w:rsid w:val="004A0C50"/>
    <w:rsid w:val="004A0DFE"/>
    <w:rsid w:val="004A1049"/>
    <w:rsid w:val="004A1E2C"/>
    <w:rsid w:val="004A1EA7"/>
    <w:rsid w:val="004A2EF8"/>
    <w:rsid w:val="004A3A21"/>
    <w:rsid w:val="004A47DE"/>
    <w:rsid w:val="004A4E3B"/>
    <w:rsid w:val="004A5C97"/>
    <w:rsid w:val="004A64F9"/>
    <w:rsid w:val="004A69CC"/>
    <w:rsid w:val="004A7314"/>
    <w:rsid w:val="004B026C"/>
    <w:rsid w:val="004B0271"/>
    <w:rsid w:val="004B0BE8"/>
    <w:rsid w:val="004B0E4A"/>
    <w:rsid w:val="004B18F4"/>
    <w:rsid w:val="004B1A98"/>
    <w:rsid w:val="004B2463"/>
    <w:rsid w:val="004B2869"/>
    <w:rsid w:val="004B305F"/>
    <w:rsid w:val="004B34C4"/>
    <w:rsid w:val="004B34E8"/>
    <w:rsid w:val="004B3981"/>
    <w:rsid w:val="004B3A03"/>
    <w:rsid w:val="004B419F"/>
    <w:rsid w:val="004B4EA9"/>
    <w:rsid w:val="004B673A"/>
    <w:rsid w:val="004B69CE"/>
    <w:rsid w:val="004B6E50"/>
    <w:rsid w:val="004B7317"/>
    <w:rsid w:val="004B75B2"/>
    <w:rsid w:val="004C0B22"/>
    <w:rsid w:val="004C0BF0"/>
    <w:rsid w:val="004C0D40"/>
    <w:rsid w:val="004C114F"/>
    <w:rsid w:val="004C11A9"/>
    <w:rsid w:val="004C1D6F"/>
    <w:rsid w:val="004C27CF"/>
    <w:rsid w:val="004C2CA7"/>
    <w:rsid w:val="004C38DF"/>
    <w:rsid w:val="004C4248"/>
    <w:rsid w:val="004C45C8"/>
    <w:rsid w:val="004C5F4B"/>
    <w:rsid w:val="004C612E"/>
    <w:rsid w:val="004C61B8"/>
    <w:rsid w:val="004C6C0A"/>
    <w:rsid w:val="004C6C6D"/>
    <w:rsid w:val="004C77FF"/>
    <w:rsid w:val="004C7DB0"/>
    <w:rsid w:val="004D0223"/>
    <w:rsid w:val="004D16A3"/>
    <w:rsid w:val="004D1934"/>
    <w:rsid w:val="004D1E41"/>
    <w:rsid w:val="004D2326"/>
    <w:rsid w:val="004D24EC"/>
    <w:rsid w:val="004D2E11"/>
    <w:rsid w:val="004D329C"/>
    <w:rsid w:val="004D34D1"/>
    <w:rsid w:val="004D3EC5"/>
    <w:rsid w:val="004D4431"/>
    <w:rsid w:val="004D4523"/>
    <w:rsid w:val="004D51D6"/>
    <w:rsid w:val="004D6F29"/>
    <w:rsid w:val="004D7BF5"/>
    <w:rsid w:val="004D7F9C"/>
    <w:rsid w:val="004E0378"/>
    <w:rsid w:val="004E03F4"/>
    <w:rsid w:val="004E0449"/>
    <w:rsid w:val="004E068F"/>
    <w:rsid w:val="004E09CF"/>
    <w:rsid w:val="004E0B75"/>
    <w:rsid w:val="004E13AD"/>
    <w:rsid w:val="004E1D6F"/>
    <w:rsid w:val="004E2393"/>
    <w:rsid w:val="004E3117"/>
    <w:rsid w:val="004E3A2A"/>
    <w:rsid w:val="004E3AB1"/>
    <w:rsid w:val="004E4003"/>
    <w:rsid w:val="004E4626"/>
    <w:rsid w:val="004E4E79"/>
    <w:rsid w:val="004E5380"/>
    <w:rsid w:val="004E5627"/>
    <w:rsid w:val="004E6746"/>
    <w:rsid w:val="004E6CAC"/>
    <w:rsid w:val="004E75C1"/>
    <w:rsid w:val="004E777F"/>
    <w:rsid w:val="004F0610"/>
    <w:rsid w:val="004F07F2"/>
    <w:rsid w:val="004F07F9"/>
    <w:rsid w:val="004F0E82"/>
    <w:rsid w:val="004F1523"/>
    <w:rsid w:val="004F1847"/>
    <w:rsid w:val="004F1F9E"/>
    <w:rsid w:val="004F2CB6"/>
    <w:rsid w:val="004F2E6E"/>
    <w:rsid w:val="004F3015"/>
    <w:rsid w:val="004F313F"/>
    <w:rsid w:val="004F3EEF"/>
    <w:rsid w:val="004F43A7"/>
    <w:rsid w:val="004F447B"/>
    <w:rsid w:val="004F497C"/>
    <w:rsid w:val="004F4FE8"/>
    <w:rsid w:val="004F531B"/>
    <w:rsid w:val="004F560C"/>
    <w:rsid w:val="004F5DBB"/>
    <w:rsid w:val="004F61A3"/>
    <w:rsid w:val="004F65C2"/>
    <w:rsid w:val="004F6874"/>
    <w:rsid w:val="004F7922"/>
    <w:rsid w:val="004F7A1F"/>
    <w:rsid w:val="004F7B47"/>
    <w:rsid w:val="0050079C"/>
    <w:rsid w:val="0050106A"/>
    <w:rsid w:val="005010BC"/>
    <w:rsid w:val="0050196E"/>
    <w:rsid w:val="00505033"/>
    <w:rsid w:val="0050537D"/>
    <w:rsid w:val="005060AE"/>
    <w:rsid w:val="005068C4"/>
    <w:rsid w:val="00506E42"/>
    <w:rsid w:val="0050790B"/>
    <w:rsid w:val="0051037C"/>
    <w:rsid w:val="0051050F"/>
    <w:rsid w:val="00510DDC"/>
    <w:rsid w:val="00511F64"/>
    <w:rsid w:val="005131A2"/>
    <w:rsid w:val="00513BB9"/>
    <w:rsid w:val="0051440E"/>
    <w:rsid w:val="00514925"/>
    <w:rsid w:val="00514B53"/>
    <w:rsid w:val="00515061"/>
    <w:rsid w:val="00515502"/>
    <w:rsid w:val="0051556E"/>
    <w:rsid w:val="00515973"/>
    <w:rsid w:val="00517AC8"/>
    <w:rsid w:val="00517C3E"/>
    <w:rsid w:val="00520E31"/>
    <w:rsid w:val="005212F4"/>
    <w:rsid w:val="00521908"/>
    <w:rsid w:val="00522CCC"/>
    <w:rsid w:val="005237A1"/>
    <w:rsid w:val="0052397A"/>
    <w:rsid w:val="00523D5A"/>
    <w:rsid w:val="00524138"/>
    <w:rsid w:val="00524154"/>
    <w:rsid w:val="00524A2B"/>
    <w:rsid w:val="005256D6"/>
    <w:rsid w:val="00525AD8"/>
    <w:rsid w:val="00526429"/>
    <w:rsid w:val="005266C1"/>
    <w:rsid w:val="005267F4"/>
    <w:rsid w:val="005268C4"/>
    <w:rsid w:val="00527317"/>
    <w:rsid w:val="00527ED6"/>
    <w:rsid w:val="00531064"/>
    <w:rsid w:val="00531E92"/>
    <w:rsid w:val="005322F1"/>
    <w:rsid w:val="005324D7"/>
    <w:rsid w:val="0053281E"/>
    <w:rsid w:val="005335A2"/>
    <w:rsid w:val="00533D52"/>
    <w:rsid w:val="00533DEC"/>
    <w:rsid w:val="0053618A"/>
    <w:rsid w:val="00536B03"/>
    <w:rsid w:val="00537456"/>
    <w:rsid w:val="005405B2"/>
    <w:rsid w:val="0054076A"/>
    <w:rsid w:val="00540D47"/>
    <w:rsid w:val="00540EE7"/>
    <w:rsid w:val="00541A22"/>
    <w:rsid w:val="00541EAD"/>
    <w:rsid w:val="005424C2"/>
    <w:rsid w:val="005426B2"/>
    <w:rsid w:val="00543519"/>
    <w:rsid w:val="00543640"/>
    <w:rsid w:val="005444C6"/>
    <w:rsid w:val="00544BF9"/>
    <w:rsid w:val="00544DFB"/>
    <w:rsid w:val="00544F05"/>
    <w:rsid w:val="005454B8"/>
    <w:rsid w:val="00545ACB"/>
    <w:rsid w:val="00545DB9"/>
    <w:rsid w:val="00546BF8"/>
    <w:rsid w:val="00546F2B"/>
    <w:rsid w:val="00547BA2"/>
    <w:rsid w:val="00550AC5"/>
    <w:rsid w:val="00550B09"/>
    <w:rsid w:val="00550B7E"/>
    <w:rsid w:val="00551052"/>
    <w:rsid w:val="005524ED"/>
    <w:rsid w:val="00552B56"/>
    <w:rsid w:val="00553948"/>
    <w:rsid w:val="00554456"/>
    <w:rsid w:val="00554C03"/>
    <w:rsid w:val="00554C58"/>
    <w:rsid w:val="005550F9"/>
    <w:rsid w:val="00556338"/>
    <w:rsid w:val="00556441"/>
    <w:rsid w:val="00557031"/>
    <w:rsid w:val="00557C4C"/>
    <w:rsid w:val="00560FCB"/>
    <w:rsid w:val="00561055"/>
    <w:rsid w:val="0056111C"/>
    <w:rsid w:val="00561140"/>
    <w:rsid w:val="00561412"/>
    <w:rsid w:val="00561903"/>
    <w:rsid w:val="00561A9B"/>
    <w:rsid w:val="00561E54"/>
    <w:rsid w:val="00562FB1"/>
    <w:rsid w:val="00563068"/>
    <w:rsid w:val="0056376A"/>
    <w:rsid w:val="00563B3C"/>
    <w:rsid w:val="00564068"/>
    <w:rsid w:val="005646DD"/>
    <w:rsid w:val="00564CAF"/>
    <w:rsid w:val="00564DA7"/>
    <w:rsid w:val="00565204"/>
    <w:rsid w:val="00565473"/>
    <w:rsid w:val="005658F3"/>
    <w:rsid w:val="00565DAC"/>
    <w:rsid w:val="00565F0D"/>
    <w:rsid w:val="005662DC"/>
    <w:rsid w:val="00566329"/>
    <w:rsid w:val="00567623"/>
    <w:rsid w:val="00567700"/>
    <w:rsid w:val="005701C2"/>
    <w:rsid w:val="00573560"/>
    <w:rsid w:val="00574E7B"/>
    <w:rsid w:val="00575164"/>
    <w:rsid w:val="00576B5C"/>
    <w:rsid w:val="00577540"/>
    <w:rsid w:val="005779E8"/>
    <w:rsid w:val="005802F9"/>
    <w:rsid w:val="00580DFC"/>
    <w:rsid w:val="005827A7"/>
    <w:rsid w:val="00583D43"/>
    <w:rsid w:val="005846C3"/>
    <w:rsid w:val="00584F04"/>
    <w:rsid w:val="00585623"/>
    <w:rsid w:val="005857F7"/>
    <w:rsid w:val="0058635A"/>
    <w:rsid w:val="005865E3"/>
    <w:rsid w:val="00587D7B"/>
    <w:rsid w:val="005904DB"/>
    <w:rsid w:val="00592825"/>
    <w:rsid w:val="00592DEC"/>
    <w:rsid w:val="00593D6D"/>
    <w:rsid w:val="00594437"/>
    <w:rsid w:val="00594802"/>
    <w:rsid w:val="00594B70"/>
    <w:rsid w:val="00596CFA"/>
    <w:rsid w:val="005975CE"/>
    <w:rsid w:val="005A0088"/>
    <w:rsid w:val="005A04F6"/>
    <w:rsid w:val="005A14F0"/>
    <w:rsid w:val="005A1726"/>
    <w:rsid w:val="005A1861"/>
    <w:rsid w:val="005A1A31"/>
    <w:rsid w:val="005A1DB7"/>
    <w:rsid w:val="005A361D"/>
    <w:rsid w:val="005A36C2"/>
    <w:rsid w:val="005A3719"/>
    <w:rsid w:val="005A3A2F"/>
    <w:rsid w:val="005A3D7F"/>
    <w:rsid w:val="005A3DD7"/>
    <w:rsid w:val="005A4C20"/>
    <w:rsid w:val="005A4F48"/>
    <w:rsid w:val="005A54F1"/>
    <w:rsid w:val="005A5A74"/>
    <w:rsid w:val="005A5DDE"/>
    <w:rsid w:val="005A5E74"/>
    <w:rsid w:val="005A64A8"/>
    <w:rsid w:val="005A65C5"/>
    <w:rsid w:val="005A6875"/>
    <w:rsid w:val="005A6C51"/>
    <w:rsid w:val="005A7A32"/>
    <w:rsid w:val="005A7F85"/>
    <w:rsid w:val="005B00DD"/>
    <w:rsid w:val="005B07D5"/>
    <w:rsid w:val="005B1AAB"/>
    <w:rsid w:val="005B2930"/>
    <w:rsid w:val="005B2B87"/>
    <w:rsid w:val="005B33BE"/>
    <w:rsid w:val="005B33C8"/>
    <w:rsid w:val="005B387B"/>
    <w:rsid w:val="005B3B01"/>
    <w:rsid w:val="005B40EA"/>
    <w:rsid w:val="005B4333"/>
    <w:rsid w:val="005B48BE"/>
    <w:rsid w:val="005B58F7"/>
    <w:rsid w:val="005B5994"/>
    <w:rsid w:val="005B6474"/>
    <w:rsid w:val="005B666D"/>
    <w:rsid w:val="005B667A"/>
    <w:rsid w:val="005C039B"/>
    <w:rsid w:val="005C059F"/>
    <w:rsid w:val="005C07CE"/>
    <w:rsid w:val="005C0A98"/>
    <w:rsid w:val="005C0B8F"/>
    <w:rsid w:val="005C194E"/>
    <w:rsid w:val="005C1DB1"/>
    <w:rsid w:val="005C226F"/>
    <w:rsid w:val="005C2294"/>
    <w:rsid w:val="005C3344"/>
    <w:rsid w:val="005C367B"/>
    <w:rsid w:val="005C4E4D"/>
    <w:rsid w:val="005C58F2"/>
    <w:rsid w:val="005C5A97"/>
    <w:rsid w:val="005C6D5D"/>
    <w:rsid w:val="005C6FD0"/>
    <w:rsid w:val="005C7CF2"/>
    <w:rsid w:val="005D01C3"/>
    <w:rsid w:val="005D05FF"/>
    <w:rsid w:val="005D0FB4"/>
    <w:rsid w:val="005D1176"/>
    <w:rsid w:val="005D1747"/>
    <w:rsid w:val="005D266D"/>
    <w:rsid w:val="005D2A72"/>
    <w:rsid w:val="005D2BD7"/>
    <w:rsid w:val="005D306D"/>
    <w:rsid w:val="005D3327"/>
    <w:rsid w:val="005D577F"/>
    <w:rsid w:val="005D5BCF"/>
    <w:rsid w:val="005D6D84"/>
    <w:rsid w:val="005D70A1"/>
    <w:rsid w:val="005D79F2"/>
    <w:rsid w:val="005D7D14"/>
    <w:rsid w:val="005D7FB5"/>
    <w:rsid w:val="005E0141"/>
    <w:rsid w:val="005E09CA"/>
    <w:rsid w:val="005E0A29"/>
    <w:rsid w:val="005E1AB4"/>
    <w:rsid w:val="005E1F48"/>
    <w:rsid w:val="005E30BB"/>
    <w:rsid w:val="005E4543"/>
    <w:rsid w:val="005E56C9"/>
    <w:rsid w:val="005E5CF7"/>
    <w:rsid w:val="005E6009"/>
    <w:rsid w:val="005E642A"/>
    <w:rsid w:val="005E721E"/>
    <w:rsid w:val="005E72E7"/>
    <w:rsid w:val="005F0857"/>
    <w:rsid w:val="005F15A9"/>
    <w:rsid w:val="005F1C2F"/>
    <w:rsid w:val="005F2CD5"/>
    <w:rsid w:val="005F2CDD"/>
    <w:rsid w:val="005F31FE"/>
    <w:rsid w:val="005F3720"/>
    <w:rsid w:val="005F5506"/>
    <w:rsid w:val="005F5A0D"/>
    <w:rsid w:val="005F60DF"/>
    <w:rsid w:val="005F61DF"/>
    <w:rsid w:val="005F680A"/>
    <w:rsid w:val="005F7271"/>
    <w:rsid w:val="005F77F8"/>
    <w:rsid w:val="005F7CA8"/>
    <w:rsid w:val="00600402"/>
    <w:rsid w:val="0060059A"/>
    <w:rsid w:val="00601506"/>
    <w:rsid w:val="00601596"/>
    <w:rsid w:val="00601C92"/>
    <w:rsid w:val="00601F66"/>
    <w:rsid w:val="00602B29"/>
    <w:rsid w:val="00603373"/>
    <w:rsid w:val="006036D0"/>
    <w:rsid w:val="00603BAC"/>
    <w:rsid w:val="006042CD"/>
    <w:rsid w:val="00604390"/>
    <w:rsid w:val="00605217"/>
    <w:rsid w:val="0060533A"/>
    <w:rsid w:val="006054A5"/>
    <w:rsid w:val="006059E4"/>
    <w:rsid w:val="006062A0"/>
    <w:rsid w:val="00606EDF"/>
    <w:rsid w:val="006103AA"/>
    <w:rsid w:val="0061098D"/>
    <w:rsid w:val="00611068"/>
    <w:rsid w:val="0061112F"/>
    <w:rsid w:val="00611B59"/>
    <w:rsid w:val="00611FBA"/>
    <w:rsid w:val="0061272A"/>
    <w:rsid w:val="00613AA2"/>
    <w:rsid w:val="00613E58"/>
    <w:rsid w:val="006155F1"/>
    <w:rsid w:val="00615846"/>
    <w:rsid w:val="006160F0"/>
    <w:rsid w:val="0061623D"/>
    <w:rsid w:val="0061624B"/>
    <w:rsid w:val="00616C1E"/>
    <w:rsid w:val="006172C8"/>
    <w:rsid w:val="00617EFC"/>
    <w:rsid w:val="00620055"/>
    <w:rsid w:val="006204B3"/>
    <w:rsid w:val="00620AC8"/>
    <w:rsid w:val="006212D3"/>
    <w:rsid w:val="00623571"/>
    <w:rsid w:val="00623A5E"/>
    <w:rsid w:val="00623CA9"/>
    <w:rsid w:val="00624A86"/>
    <w:rsid w:val="00625008"/>
    <w:rsid w:val="0062626B"/>
    <w:rsid w:val="00626890"/>
    <w:rsid w:val="00626930"/>
    <w:rsid w:val="00626BAC"/>
    <w:rsid w:val="006271C3"/>
    <w:rsid w:val="00627B14"/>
    <w:rsid w:val="0063001E"/>
    <w:rsid w:val="00630023"/>
    <w:rsid w:val="00630C70"/>
    <w:rsid w:val="00630D67"/>
    <w:rsid w:val="00631005"/>
    <w:rsid w:val="00632727"/>
    <w:rsid w:val="00633089"/>
    <w:rsid w:val="00633769"/>
    <w:rsid w:val="00633924"/>
    <w:rsid w:val="00633FE3"/>
    <w:rsid w:val="00634570"/>
    <w:rsid w:val="0063487C"/>
    <w:rsid w:val="00635B73"/>
    <w:rsid w:val="00635BB7"/>
    <w:rsid w:val="006363D8"/>
    <w:rsid w:val="00636CC7"/>
    <w:rsid w:val="006376E3"/>
    <w:rsid w:val="00637833"/>
    <w:rsid w:val="00637F27"/>
    <w:rsid w:val="00640D22"/>
    <w:rsid w:val="00641863"/>
    <w:rsid w:val="00641A84"/>
    <w:rsid w:val="00641DA1"/>
    <w:rsid w:val="00641E5B"/>
    <w:rsid w:val="00642784"/>
    <w:rsid w:val="00643F89"/>
    <w:rsid w:val="006445FF"/>
    <w:rsid w:val="00644BED"/>
    <w:rsid w:val="00644E2E"/>
    <w:rsid w:val="00645B87"/>
    <w:rsid w:val="00645CB4"/>
    <w:rsid w:val="00646084"/>
    <w:rsid w:val="0064650B"/>
    <w:rsid w:val="00646D7F"/>
    <w:rsid w:val="00647664"/>
    <w:rsid w:val="00647700"/>
    <w:rsid w:val="00647781"/>
    <w:rsid w:val="00652794"/>
    <w:rsid w:val="00652CF5"/>
    <w:rsid w:val="0065343E"/>
    <w:rsid w:val="0065398F"/>
    <w:rsid w:val="00653C7C"/>
    <w:rsid w:val="00654252"/>
    <w:rsid w:val="006543B7"/>
    <w:rsid w:val="00654EA5"/>
    <w:rsid w:val="0065587E"/>
    <w:rsid w:val="006558CD"/>
    <w:rsid w:val="00655C26"/>
    <w:rsid w:val="0065637A"/>
    <w:rsid w:val="00656998"/>
    <w:rsid w:val="00656A5C"/>
    <w:rsid w:val="00656E4D"/>
    <w:rsid w:val="00656FE1"/>
    <w:rsid w:val="006576BA"/>
    <w:rsid w:val="0066233D"/>
    <w:rsid w:val="00662D3D"/>
    <w:rsid w:val="00662F1F"/>
    <w:rsid w:val="00665030"/>
    <w:rsid w:val="00665274"/>
    <w:rsid w:val="00665670"/>
    <w:rsid w:val="006659EA"/>
    <w:rsid w:val="006661E8"/>
    <w:rsid w:val="00666424"/>
    <w:rsid w:val="006670D7"/>
    <w:rsid w:val="006673B9"/>
    <w:rsid w:val="0066790C"/>
    <w:rsid w:val="00670C7C"/>
    <w:rsid w:val="00671480"/>
    <w:rsid w:val="006717E7"/>
    <w:rsid w:val="00671E12"/>
    <w:rsid w:val="00671FD5"/>
    <w:rsid w:val="006720BC"/>
    <w:rsid w:val="00672BF5"/>
    <w:rsid w:val="00672C73"/>
    <w:rsid w:val="00673B5E"/>
    <w:rsid w:val="00673B64"/>
    <w:rsid w:val="00675430"/>
    <w:rsid w:val="006755F0"/>
    <w:rsid w:val="00675749"/>
    <w:rsid w:val="00677382"/>
    <w:rsid w:val="0067772D"/>
    <w:rsid w:val="00677AD2"/>
    <w:rsid w:val="00677F60"/>
    <w:rsid w:val="00680714"/>
    <w:rsid w:val="0068071D"/>
    <w:rsid w:val="00680C6B"/>
    <w:rsid w:val="00680E67"/>
    <w:rsid w:val="00681240"/>
    <w:rsid w:val="0068245F"/>
    <w:rsid w:val="00683068"/>
    <w:rsid w:val="00683DAD"/>
    <w:rsid w:val="00683F3D"/>
    <w:rsid w:val="0068459E"/>
    <w:rsid w:val="00684963"/>
    <w:rsid w:val="00685033"/>
    <w:rsid w:val="00685123"/>
    <w:rsid w:val="0068517F"/>
    <w:rsid w:val="00685483"/>
    <w:rsid w:val="00685D65"/>
    <w:rsid w:val="00685FC8"/>
    <w:rsid w:val="00686E80"/>
    <w:rsid w:val="0068790B"/>
    <w:rsid w:val="00687AF2"/>
    <w:rsid w:val="006901AC"/>
    <w:rsid w:val="00690C8D"/>
    <w:rsid w:val="00691890"/>
    <w:rsid w:val="00691AAD"/>
    <w:rsid w:val="00692416"/>
    <w:rsid w:val="00692AFF"/>
    <w:rsid w:val="00693B73"/>
    <w:rsid w:val="006945A1"/>
    <w:rsid w:val="006945DD"/>
    <w:rsid w:val="00694A53"/>
    <w:rsid w:val="00695C78"/>
    <w:rsid w:val="00695E6C"/>
    <w:rsid w:val="00695EAC"/>
    <w:rsid w:val="0069651D"/>
    <w:rsid w:val="00697068"/>
    <w:rsid w:val="00697D5F"/>
    <w:rsid w:val="006A035B"/>
    <w:rsid w:val="006A0582"/>
    <w:rsid w:val="006A060C"/>
    <w:rsid w:val="006A071C"/>
    <w:rsid w:val="006A0DC7"/>
    <w:rsid w:val="006A150D"/>
    <w:rsid w:val="006A1B00"/>
    <w:rsid w:val="006A2766"/>
    <w:rsid w:val="006A39D0"/>
    <w:rsid w:val="006A4321"/>
    <w:rsid w:val="006A4E20"/>
    <w:rsid w:val="006A4F11"/>
    <w:rsid w:val="006A54E9"/>
    <w:rsid w:val="006B0580"/>
    <w:rsid w:val="006B0DA2"/>
    <w:rsid w:val="006B1486"/>
    <w:rsid w:val="006B1D06"/>
    <w:rsid w:val="006B1E7E"/>
    <w:rsid w:val="006B2823"/>
    <w:rsid w:val="006B29DC"/>
    <w:rsid w:val="006B33DB"/>
    <w:rsid w:val="006B3669"/>
    <w:rsid w:val="006B36E5"/>
    <w:rsid w:val="006B3D00"/>
    <w:rsid w:val="006B49E1"/>
    <w:rsid w:val="006B4CF8"/>
    <w:rsid w:val="006B5FBC"/>
    <w:rsid w:val="006B64CE"/>
    <w:rsid w:val="006B6749"/>
    <w:rsid w:val="006B6ED2"/>
    <w:rsid w:val="006C0230"/>
    <w:rsid w:val="006C0309"/>
    <w:rsid w:val="006C1114"/>
    <w:rsid w:val="006C25AB"/>
    <w:rsid w:val="006C2DA6"/>
    <w:rsid w:val="006C3581"/>
    <w:rsid w:val="006C3EFE"/>
    <w:rsid w:val="006C4417"/>
    <w:rsid w:val="006C46C7"/>
    <w:rsid w:val="006C53A4"/>
    <w:rsid w:val="006C54DF"/>
    <w:rsid w:val="006C5D5D"/>
    <w:rsid w:val="006C6303"/>
    <w:rsid w:val="006C651D"/>
    <w:rsid w:val="006C6EBD"/>
    <w:rsid w:val="006C7AF7"/>
    <w:rsid w:val="006C7E04"/>
    <w:rsid w:val="006C7F79"/>
    <w:rsid w:val="006D015F"/>
    <w:rsid w:val="006D060E"/>
    <w:rsid w:val="006D0681"/>
    <w:rsid w:val="006D0A80"/>
    <w:rsid w:val="006D0D12"/>
    <w:rsid w:val="006D0E85"/>
    <w:rsid w:val="006D2A66"/>
    <w:rsid w:val="006D2F72"/>
    <w:rsid w:val="006D3D40"/>
    <w:rsid w:val="006D43C1"/>
    <w:rsid w:val="006D4578"/>
    <w:rsid w:val="006D5442"/>
    <w:rsid w:val="006D6E4E"/>
    <w:rsid w:val="006D72C1"/>
    <w:rsid w:val="006D7882"/>
    <w:rsid w:val="006D7A8E"/>
    <w:rsid w:val="006E00E3"/>
    <w:rsid w:val="006E045C"/>
    <w:rsid w:val="006E065E"/>
    <w:rsid w:val="006E0EDB"/>
    <w:rsid w:val="006E17AC"/>
    <w:rsid w:val="006E189B"/>
    <w:rsid w:val="006E1D26"/>
    <w:rsid w:val="006E2902"/>
    <w:rsid w:val="006E2EAB"/>
    <w:rsid w:val="006E2F9D"/>
    <w:rsid w:val="006E37C6"/>
    <w:rsid w:val="006E3CF3"/>
    <w:rsid w:val="006E41ED"/>
    <w:rsid w:val="006E4667"/>
    <w:rsid w:val="006E486D"/>
    <w:rsid w:val="006E48BB"/>
    <w:rsid w:val="006E4A16"/>
    <w:rsid w:val="006E591A"/>
    <w:rsid w:val="006F01FF"/>
    <w:rsid w:val="006F0CB2"/>
    <w:rsid w:val="006F1DE9"/>
    <w:rsid w:val="006F2046"/>
    <w:rsid w:val="006F2F59"/>
    <w:rsid w:val="006F311E"/>
    <w:rsid w:val="006F3442"/>
    <w:rsid w:val="006F36A5"/>
    <w:rsid w:val="006F41F4"/>
    <w:rsid w:val="006F4576"/>
    <w:rsid w:val="006F4B20"/>
    <w:rsid w:val="006F5813"/>
    <w:rsid w:val="006F59A8"/>
    <w:rsid w:val="006F5A1D"/>
    <w:rsid w:val="006F6120"/>
    <w:rsid w:val="006F6392"/>
    <w:rsid w:val="006F67A6"/>
    <w:rsid w:val="006F71A6"/>
    <w:rsid w:val="006F7974"/>
    <w:rsid w:val="006F7C2C"/>
    <w:rsid w:val="00700405"/>
    <w:rsid w:val="00700D18"/>
    <w:rsid w:val="0070168D"/>
    <w:rsid w:val="00701C36"/>
    <w:rsid w:val="00702F2D"/>
    <w:rsid w:val="0070353F"/>
    <w:rsid w:val="00703B42"/>
    <w:rsid w:val="0070412C"/>
    <w:rsid w:val="0070415E"/>
    <w:rsid w:val="00704E7D"/>
    <w:rsid w:val="00705060"/>
    <w:rsid w:val="00705351"/>
    <w:rsid w:val="00705DAF"/>
    <w:rsid w:val="00706128"/>
    <w:rsid w:val="007062AF"/>
    <w:rsid w:val="007069AE"/>
    <w:rsid w:val="00706C89"/>
    <w:rsid w:val="00707967"/>
    <w:rsid w:val="00710257"/>
    <w:rsid w:val="00710587"/>
    <w:rsid w:val="007107D5"/>
    <w:rsid w:val="007119DC"/>
    <w:rsid w:val="00711CC7"/>
    <w:rsid w:val="0071230A"/>
    <w:rsid w:val="0071294A"/>
    <w:rsid w:val="00712BDD"/>
    <w:rsid w:val="00712E1E"/>
    <w:rsid w:val="00712F37"/>
    <w:rsid w:val="00713A6B"/>
    <w:rsid w:val="0071407A"/>
    <w:rsid w:val="0071499C"/>
    <w:rsid w:val="00714A99"/>
    <w:rsid w:val="007154D8"/>
    <w:rsid w:val="00715577"/>
    <w:rsid w:val="0071604D"/>
    <w:rsid w:val="00716C67"/>
    <w:rsid w:val="0071779C"/>
    <w:rsid w:val="00717808"/>
    <w:rsid w:val="007208A7"/>
    <w:rsid w:val="007210F6"/>
    <w:rsid w:val="0072129A"/>
    <w:rsid w:val="0072139F"/>
    <w:rsid w:val="00721FC3"/>
    <w:rsid w:val="00722A86"/>
    <w:rsid w:val="00722BC6"/>
    <w:rsid w:val="00722C69"/>
    <w:rsid w:val="0072388C"/>
    <w:rsid w:val="00724FE4"/>
    <w:rsid w:val="007263A2"/>
    <w:rsid w:val="0072655C"/>
    <w:rsid w:val="007266B9"/>
    <w:rsid w:val="00727351"/>
    <w:rsid w:val="00727AC5"/>
    <w:rsid w:val="00727C65"/>
    <w:rsid w:val="00727CCB"/>
    <w:rsid w:val="007300F0"/>
    <w:rsid w:val="00730EB5"/>
    <w:rsid w:val="0073245C"/>
    <w:rsid w:val="00732493"/>
    <w:rsid w:val="00733230"/>
    <w:rsid w:val="00733A43"/>
    <w:rsid w:val="00733D5F"/>
    <w:rsid w:val="00733FBB"/>
    <w:rsid w:val="00734932"/>
    <w:rsid w:val="00735D53"/>
    <w:rsid w:val="007364A3"/>
    <w:rsid w:val="007378FD"/>
    <w:rsid w:val="007403FE"/>
    <w:rsid w:val="007413EB"/>
    <w:rsid w:val="00741E41"/>
    <w:rsid w:val="00742D32"/>
    <w:rsid w:val="00742E9B"/>
    <w:rsid w:val="007444E6"/>
    <w:rsid w:val="00744E5D"/>
    <w:rsid w:val="00745262"/>
    <w:rsid w:val="007457D2"/>
    <w:rsid w:val="0074592C"/>
    <w:rsid w:val="00746098"/>
    <w:rsid w:val="00746A3D"/>
    <w:rsid w:val="00746D58"/>
    <w:rsid w:val="00746E66"/>
    <w:rsid w:val="00747578"/>
    <w:rsid w:val="00751073"/>
    <w:rsid w:val="00751AF2"/>
    <w:rsid w:val="00751BD2"/>
    <w:rsid w:val="00751FAA"/>
    <w:rsid w:val="00752188"/>
    <w:rsid w:val="00752CC6"/>
    <w:rsid w:val="00753938"/>
    <w:rsid w:val="007543CE"/>
    <w:rsid w:val="0075497E"/>
    <w:rsid w:val="00754A29"/>
    <w:rsid w:val="007552A0"/>
    <w:rsid w:val="00755989"/>
    <w:rsid w:val="00755BCF"/>
    <w:rsid w:val="00756100"/>
    <w:rsid w:val="00756C5F"/>
    <w:rsid w:val="00756D69"/>
    <w:rsid w:val="00757029"/>
    <w:rsid w:val="007602D4"/>
    <w:rsid w:val="007607D0"/>
    <w:rsid w:val="00760D96"/>
    <w:rsid w:val="00760E0B"/>
    <w:rsid w:val="0076124A"/>
    <w:rsid w:val="0076161B"/>
    <w:rsid w:val="00761CB5"/>
    <w:rsid w:val="0076216B"/>
    <w:rsid w:val="00762547"/>
    <w:rsid w:val="00763137"/>
    <w:rsid w:val="00763F8B"/>
    <w:rsid w:val="0076417E"/>
    <w:rsid w:val="00764C15"/>
    <w:rsid w:val="0076617F"/>
    <w:rsid w:val="007662C7"/>
    <w:rsid w:val="00766862"/>
    <w:rsid w:val="0076743B"/>
    <w:rsid w:val="007675DD"/>
    <w:rsid w:val="007702BF"/>
    <w:rsid w:val="007705F0"/>
    <w:rsid w:val="00771026"/>
    <w:rsid w:val="00771CAC"/>
    <w:rsid w:val="00772036"/>
    <w:rsid w:val="00773605"/>
    <w:rsid w:val="007738D3"/>
    <w:rsid w:val="007739A3"/>
    <w:rsid w:val="007739FB"/>
    <w:rsid w:val="00773BD9"/>
    <w:rsid w:val="00773CB0"/>
    <w:rsid w:val="00773D71"/>
    <w:rsid w:val="00774CA9"/>
    <w:rsid w:val="00775526"/>
    <w:rsid w:val="0077685B"/>
    <w:rsid w:val="00776B0B"/>
    <w:rsid w:val="0077765A"/>
    <w:rsid w:val="007776C5"/>
    <w:rsid w:val="00780032"/>
    <w:rsid w:val="00780636"/>
    <w:rsid w:val="00780E86"/>
    <w:rsid w:val="00781727"/>
    <w:rsid w:val="00782CF3"/>
    <w:rsid w:val="00782E69"/>
    <w:rsid w:val="007830EB"/>
    <w:rsid w:val="007836BC"/>
    <w:rsid w:val="00783959"/>
    <w:rsid w:val="007869F9"/>
    <w:rsid w:val="00786CBB"/>
    <w:rsid w:val="00786E21"/>
    <w:rsid w:val="007878B5"/>
    <w:rsid w:val="0079038E"/>
    <w:rsid w:val="00790EBB"/>
    <w:rsid w:val="00791C6E"/>
    <w:rsid w:val="007921F7"/>
    <w:rsid w:val="00792909"/>
    <w:rsid w:val="00792BC6"/>
    <w:rsid w:val="00792C3F"/>
    <w:rsid w:val="00792EE2"/>
    <w:rsid w:val="00793105"/>
    <w:rsid w:val="007931E8"/>
    <w:rsid w:val="00793333"/>
    <w:rsid w:val="00793776"/>
    <w:rsid w:val="007939C7"/>
    <w:rsid w:val="0079460F"/>
    <w:rsid w:val="00794643"/>
    <w:rsid w:val="00794C59"/>
    <w:rsid w:val="00794E46"/>
    <w:rsid w:val="007952DE"/>
    <w:rsid w:val="00795479"/>
    <w:rsid w:val="00796292"/>
    <w:rsid w:val="007965D9"/>
    <w:rsid w:val="007972D5"/>
    <w:rsid w:val="00797DD9"/>
    <w:rsid w:val="007A0789"/>
    <w:rsid w:val="007A130E"/>
    <w:rsid w:val="007A18B1"/>
    <w:rsid w:val="007A1BBD"/>
    <w:rsid w:val="007A1F08"/>
    <w:rsid w:val="007A25FA"/>
    <w:rsid w:val="007A317F"/>
    <w:rsid w:val="007A32CA"/>
    <w:rsid w:val="007A3520"/>
    <w:rsid w:val="007A3604"/>
    <w:rsid w:val="007A3878"/>
    <w:rsid w:val="007A3D85"/>
    <w:rsid w:val="007A3E0D"/>
    <w:rsid w:val="007A436D"/>
    <w:rsid w:val="007A54F6"/>
    <w:rsid w:val="007A572A"/>
    <w:rsid w:val="007A5950"/>
    <w:rsid w:val="007A633F"/>
    <w:rsid w:val="007A6D91"/>
    <w:rsid w:val="007A7618"/>
    <w:rsid w:val="007A7823"/>
    <w:rsid w:val="007A7F61"/>
    <w:rsid w:val="007B02C7"/>
    <w:rsid w:val="007B0306"/>
    <w:rsid w:val="007B08E4"/>
    <w:rsid w:val="007B0D86"/>
    <w:rsid w:val="007B28C3"/>
    <w:rsid w:val="007B3A8E"/>
    <w:rsid w:val="007B3C9B"/>
    <w:rsid w:val="007B3EA0"/>
    <w:rsid w:val="007B4271"/>
    <w:rsid w:val="007B497D"/>
    <w:rsid w:val="007B4EE9"/>
    <w:rsid w:val="007B54C7"/>
    <w:rsid w:val="007B5DC5"/>
    <w:rsid w:val="007B5F32"/>
    <w:rsid w:val="007B63FC"/>
    <w:rsid w:val="007B6708"/>
    <w:rsid w:val="007B6E8D"/>
    <w:rsid w:val="007C0076"/>
    <w:rsid w:val="007C029E"/>
    <w:rsid w:val="007C0636"/>
    <w:rsid w:val="007C10E4"/>
    <w:rsid w:val="007C17B4"/>
    <w:rsid w:val="007C21C5"/>
    <w:rsid w:val="007C2229"/>
    <w:rsid w:val="007C3572"/>
    <w:rsid w:val="007C3590"/>
    <w:rsid w:val="007C387A"/>
    <w:rsid w:val="007C43D6"/>
    <w:rsid w:val="007C47FF"/>
    <w:rsid w:val="007C57D9"/>
    <w:rsid w:val="007C660F"/>
    <w:rsid w:val="007C6664"/>
    <w:rsid w:val="007C69AE"/>
    <w:rsid w:val="007C6CEF"/>
    <w:rsid w:val="007C6E23"/>
    <w:rsid w:val="007C6FE9"/>
    <w:rsid w:val="007C7688"/>
    <w:rsid w:val="007C76E3"/>
    <w:rsid w:val="007C7AF2"/>
    <w:rsid w:val="007C7DD9"/>
    <w:rsid w:val="007D0DC9"/>
    <w:rsid w:val="007D0ECD"/>
    <w:rsid w:val="007D2882"/>
    <w:rsid w:val="007D2C31"/>
    <w:rsid w:val="007D31A8"/>
    <w:rsid w:val="007D3D74"/>
    <w:rsid w:val="007D445F"/>
    <w:rsid w:val="007D44B4"/>
    <w:rsid w:val="007D4DED"/>
    <w:rsid w:val="007D513B"/>
    <w:rsid w:val="007D5BA2"/>
    <w:rsid w:val="007D5ED3"/>
    <w:rsid w:val="007D6FB9"/>
    <w:rsid w:val="007E0595"/>
    <w:rsid w:val="007E0A63"/>
    <w:rsid w:val="007E0C63"/>
    <w:rsid w:val="007E0E05"/>
    <w:rsid w:val="007E0F5D"/>
    <w:rsid w:val="007E1242"/>
    <w:rsid w:val="007E23A1"/>
    <w:rsid w:val="007E259F"/>
    <w:rsid w:val="007E2C23"/>
    <w:rsid w:val="007E5306"/>
    <w:rsid w:val="007E54B8"/>
    <w:rsid w:val="007E5D12"/>
    <w:rsid w:val="007E677F"/>
    <w:rsid w:val="007E6B25"/>
    <w:rsid w:val="007F152D"/>
    <w:rsid w:val="007F20EE"/>
    <w:rsid w:val="007F2821"/>
    <w:rsid w:val="007F30C6"/>
    <w:rsid w:val="007F4318"/>
    <w:rsid w:val="007F4709"/>
    <w:rsid w:val="007F47DA"/>
    <w:rsid w:val="007F4B43"/>
    <w:rsid w:val="007F4E52"/>
    <w:rsid w:val="007F4F84"/>
    <w:rsid w:val="007F55A4"/>
    <w:rsid w:val="007F5A48"/>
    <w:rsid w:val="007F6260"/>
    <w:rsid w:val="007F6343"/>
    <w:rsid w:val="007F682B"/>
    <w:rsid w:val="007F6EE5"/>
    <w:rsid w:val="00800509"/>
    <w:rsid w:val="00800725"/>
    <w:rsid w:val="00800B7F"/>
    <w:rsid w:val="0080348B"/>
    <w:rsid w:val="00803D82"/>
    <w:rsid w:val="00803D98"/>
    <w:rsid w:val="008052CE"/>
    <w:rsid w:val="00806CD6"/>
    <w:rsid w:val="0080705B"/>
    <w:rsid w:val="0080723C"/>
    <w:rsid w:val="00807F71"/>
    <w:rsid w:val="0081000F"/>
    <w:rsid w:val="00812257"/>
    <w:rsid w:val="00812657"/>
    <w:rsid w:val="00812A1A"/>
    <w:rsid w:val="00812DFF"/>
    <w:rsid w:val="0081302A"/>
    <w:rsid w:val="0081334D"/>
    <w:rsid w:val="0081383A"/>
    <w:rsid w:val="00814FC7"/>
    <w:rsid w:val="00815260"/>
    <w:rsid w:val="0081619F"/>
    <w:rsid w:val="00816C4A"/>
    <w:rsid w:val="00817195"/>
    <w:rsid w:val="00817416"/>
    <w:rsid w:val="00820C4A"/>
    <w:rsid w:val="00821203"/>
    <w:rsid w:val="00821271"/>
    <w:rsid w:val="00821306"/>
    <w:rsid w:val="008213D9"/>
    <w:rsid w:val="00821D85"/>
    <w:rsid w:val="00823819"/>
    <w:rsid w:val="00823C4B"/>
    <w:rsid w:val="00823FB0"/>
    <w:rsid w:val="0082427D"/>
    <w:rsid w:val="00824AB1"/>
    <w:rsid w:val="00825086"/>
    <w:rsid w:val="00825441"/>
    <w:rsid w:val="0082797C"/>
    <w:rsid w:val="00830052"/>
    <w:rsid w:val="008300D0"/>
    <w:rsid w:val="00830384"/>
    <w:rsid w:val="008321CE"/>
    <w:rsid w:val="0083257C"/>
    <w:rsid w:val="0083261B"/>
    <w:rsid w:val="00832B44"/>
    <w:rsid w:val="00832EC9"/>
    <w:rsid w:val="00833307"/>
    <w:rsid w:val="00833583"/>
    <w:rsid w:val="00833B5B"/>
    <w:rsid w:val="00833B76"/>
    <w:rsid w:val="00833E9A"/>
    <w:rsid w:val="00834FEF"/>
    <w:rsid w:val="00836323"/>
    <w:rsid w:val="00837E9B"/>
    <w:rsid w:val="008404AA"/>
    <w:rsid w:val="008406D7"/>
    <w:rsid w:val="0084074F"/>
    <w:rsid w:val="00840AAC"/>
    <w:rsid w:val="0084181B"/>
    <w:rsid w:val="00841F29"/>
    <w:rsid w:val="008425CC"/>
    <w:rsid w:val="00843BE2"/>
    <w:rsid w:val="008440C9"/>
    <w:rsid w:val="008451EB"/>
    <w:rsid w:val="00845EC1"/>
    <w:rsid w:val="008465B4"/>
    <w:rsid w:val="00846D25"/>
    <w:rsid w:val="00846F14"/>
    <w:rsid w:val="00850013"/>
    <w:rsid w:val="008500DD"/>
    <w:rsid w:val="00850191"/>
    <w:rsid w:val="00851E96"/>
    <w:rsid w:val="00852FA5"/>
    <w:rsid w:val="00853F7D"/>
    <w:rsid w:val="0085517F"/>
    <w:rsid w:val="0085562D"/>
    <w:rsid w:val="00855A78"/>
    <w:rsid w:val="00856154"/>
    <w:rsid w:val="00856286"/>
    <w:rsid w:val="0085657E"/>
    <w:rsid w:val="008576B0"/>
    <w:rsid w:val="0086003A"/>
    <w:rsid w:val="00860086"/>
    <w:rsid w:val="00860296"/>
    <w:rsid w:val="00860DA4"/>
    <w:rsid w:val="00860E97"/>
    <w:rsid w:val="00861390"/>
    <w:rsid w:val="00861723"/>
    <w:rsid w:val="00861948"/>
    <w:rsid w:val="00861D4B"/>
    <w:rsid w:val="00862011"/>
    <w:rsid w:val="00862A15"/>
    <w:rsid w:val="00862CC9"/>
    <w:rsid w:val="00862D8E"/>
    <w:rsid w:val="00862EF2"/>
    <w:rsid w:val="008650A5"/>
    <w:rsid w:val="00865C3D"/>
    <w:rsid w:val="00866453"/>
    <w:rsid w:val="0086707F"/>
    <w:rsid w:val="0086734F"/>
    <w:rsid w:val="00867501"/>
    <w:rsid w:val="00867D8E"/>
    <w:rsid w:val="008700C0"/>
    <w:rsid w:val="00870690"/>
    <w:rsid w:val="0087099A"/>
    <w:rsid w:val="00870D79"/>
    <w:rsid w:val="00871333"/>
    <w:rsid w:val="00872386"/>
    <w:rsid w:val="008726D7"/>
    <w:rsid w:val="00873128"/>
    <w:rsid w:val="008735BC"/>
    <w:rsid w:val="00873AAC"/>
    <w:rsid w:val="00873C61"/>
    <w:rsid w:val="00873DFD"/>
    <w:rsid w:val="008745D9"/>
    <w:rsid w:val="008749BF"/>
    <w:rsid w:val="00875542"/>
    <w:rsid w:val="00875E14"/>
    <w:rsid w:val="008764B2"/>
    <w:rsid w:val="0087677E"/>
    <w:rsid w:val="0087712C"/>
    <w:rsid w:val="00877429"/>
    <w:rsid w:val="00877C5D"/>
    <w:rsid w:val="0088093C"/>
    <w:rsid w:val="00880BC0"/>
    <w:rsid w:val="00881D59"/>
    <w:rsid w:val="008825D5"/>
    <w:rsid w:val="00883BF9"/>
    <w:rsid w:val="00883E75"/>
    <w:rsid w:val="00884371"/>
    <w:rsid w:val="0088452F"/>
    <w:rsid w:val="00884B7A"/>
    <w:rsid w:val="00884D47"/>
    <w:rsid w:val="00886AFE"/>
    <w:rsid w:val="00887392"/>
    <w:rsid w:val="00890C40"/>
    <w:rsid w:val="008912A7"/>
    <w:rsid w:val="0089183A"/>
    <w:rsid w:val="008920B4"/>
    <w:rsid w:val="008925EB"/>
    <w:rsid w:val="00893104"/>
    <w:rsid w:val="00893432"/>
    <w:rsid w:val="00893936"/>
    <w:rsid w:val="00893CE2"/>
    <w:rsid w:val="00893F41"/>
    <w:rsid w:val="00895144"/>
    <w:rsid w:val="0089594D"/>
    <w:rsid w:val="008972B6"/>
    <w:rsid w:val="00897339"/>
    <w:rsid w:val="00897697"/>
    <w:rsid w:val="008977E1"/>
    <w:rsid w:val="008A0044"/>
    <w:rsid w:val="008A0BFE"/>
    <w:rsid w:val="008A1932"/>
    <w:rsid w:val="008A2020"/>
    <w:rsid w:val="008A21D9"/>
    <w:rsid w:val="008A26A5"/>
    <w:rsid w:val="008A2A95"/>
    <w:rsid w:val="008A3182"/>
    <w:rsid w:val="008A3D54"/>
    <w:rsid w:val="008A411C"/>
    <w:rsid w:val="008A47CE"/>
    <w:rsid w:val="008A4D74"/>
    <w:rsid w:val="008A5933"/>
    <w:rsid w:val="008A5F2F"/>
    <w:rsid w:val="008A668F"/>
    <w:rsid w:val="008A6BAE"/>
    <w:rsid w:val="008A7350"/>
    <w:rsid w:val="008A7A72"/>
    <w:rsid w:val="008B050B"/>
    <w:rsid w:val="008B09F3"/>
    <w:rsid w:val="008B12BE"/>
    <w:rsid w:val="008B16E6"/>
    <w:rsid w:val="008B1AB2"/>
    <w:rsid w:val="008B1D9B"/>
    <w:rsid w:val="008B2042"/>
    <w:rsid w:val="008B234E"/>
    <w:rsid w:val="008B25F1"/>
    <w:rsid w:val="008B32C9"/>
    <w:rsid w:val="008B3567"/>
    <w:rsid w:val="008B36D0"/>
    <w:rsid w:val="008B38AF"/>
    <w:rsid w:val="008B3E1B"/>
    <w:rsid w:val="008B3F4B"/>
    <w:rsid w:val="008B3F4E"/>
    <w:rsid w:val="008B48EC"/>
    <w:rsid w:val="008B518E"/>
    <w:rsid w:val="008B69B8"/>
    <w:rsid w:val="008B7042"/>
    <w:rsid w:val="008B707B"/>
    <w:rsid w:val="008B7271"/>
    <w:rsid w:val="008C094A"/>
    <w:rsid w:val="008C0A5B"/>
    <w:rsid w:val="008C1570"/>
    <w:rsid w:val="008C1E3E"/>
    <w:rsid w:val="008C2059"/>
    <w:rsid w:val="008C2DBC"/>
    <w:rsid w:val="008C4969"/>
    <w:rsid w:val="008C561E"/>
    <w:rsid w:val="008C65F4"/>
    <w:rsid w:val="008C6683"/>
    <w:rsid w:val="008C7273"/>
    <w:rsid w:val="008C7C51"/>
    <w:rsid w:val="008D0E65"/>
    <w:rsid w:val="008D110A"/>
    <w:rsid w:val="008D1612"/>
    <w:rsid w:val="008D1E6A"/>
    <w:rsid w:val="008D2259"/>
    <w:rsid w:val="008D313A"/>
    <w:rsid w:val="008D3381"/>
    <w:rsid w:val="008D33FE"/>
    <w:rsid w:val="008D3B9F"/>
    <w:rsid w:val="008D3D02"/>
    <w:rsid w:val="008D4226"/>
    <w:rsid w:val="008D4962"/>
    <w:rsid w:val="008D4A3E"/>
    <w:rsid w:val="008D54C0"/>
    <w:rsid w:val="008D5A61"/>
    <w:rsid w:val="008D5ED9"/>
    <w:rsid w:val="008D7567"/>
    <w:rsid w:val="008D7640"/>
    <w:rsid w:val="008E0E86"/>
    <w:rsid w:val="008E0EE4"/>
    <w:rsid w:val="008E1C24"/>
    <w:rsid w:val="008E2626"/>
    <w:rsid w:val="008E27A9"/>
    <w:rsid w:val="008E323C"/>
    <w:rsid w:val="008E35A6"/>
    <w:rsid w:val="008E36D9"/>
    <w:rsid w:val="008E3A5C"/>
    <w:rsid w:val="008E3A9A"/>
    <w:rsid w:val="008E429E"/>
    <w:rsid w:val="008E4412"/>
    <w:rsid w:val="008E5938"/>
    <w:rsid w:val="008E5D2F"/>
    <w:rsid w:val="008F1D99"/>
    <w:rsid w:val="008F1E3D"/>
    <w:rsid w:val="008F2F11"/>
    <w:rsid w:val="008F33A6"/>
    <w:rsid w:val="008F35EC"/>
    <w:rsid w:val="008F4FE8"/>
    <w:rsid w:val="008F4FED"/>
    <w:rsid w:val="008F5AAB"/>
    <w:rsid w:val="008F6200"/>
    <w:rsid w:val="008F62F8"/>
    <w:rsid w:val="008F6893"/>
    <w:rsid w:val="008F7292"/>
    <w:rsid w:val="009000F2"/>
    <w:rsid w:val="009000F6"/>
    <w:rsid w:val="0090079D"/>
    <w:rsid w:val="0090086A"/>
    <w:rsid w:val="00900D2C"/>
    <w:rsid w:val="00901807"/>
    <w:rsid w:val="00901945"/>
    <w:rsid w:val="00901F0E"/>
    <w:rsid w:val="0090274F"/>
    <w:rsid w:val="0090408F"/>
    <w:rsid w:val="009043B7"/>
    <w:rsid w:val="0090446A"/>
    <w:rsid w:val="00904A14"/>
    <w:rsid w:val="00904DC3"/>
    <w:rsid w:val="00905469"/>
    <w:rsid w:val="00905B0C"/>
    <w:rsid w:val="0090629C"/>
    <w:rsid w:val="00906EA2"/>
    <w:rsid w:val="00907278"/>
    <w:rsid w:val="009077DC"/>
    <w:rsid w:val="0091112B"/>
    <w:rsid w:val="009128B8"/>
    <w:rsid w:val="009131E5"/>
    <w:rsid w:val="0091472C"/>
    <w:rsid w:val="009149C2"/>
    <w:rsid w:val="00914C7F"/>
    <w:rsid w:val="00914FE8"/>
    <w:rsid w:val="00915351"/>
    <w:rsid w:val="00915679"/>
    <w:rsid w:val="009159C2"/>
    <w:rsid w:val="00916D22"/>
    <w:rsid w:val="0092077A"/>
    <w:rsid w:val="009219F3"/>
    <w:rsid w:val="00921DF4"/>
    <w:rsid w:val="009221CB"/>
    <w:rsid w:val="00922320"/>
    <w:rsid w:val="00923643"/>
    <w:rsid w:val="0092376C"/>
    <w:rsid w:val="00923E1A"/>
    <w:rsid w:val="00923E41"/>
    <w:rsid w:val="009243E5"/>
    <w:rsid w:val="0092490A"/>
    <w:rsid w:val="00924FDE"/>
    <w:rsid w:val="009251B9"/>
    <w:rsid w:val="00925A3E"/>
    <w:rsid w:val="009261DB"/>
    <w:rsid w:val="009264BF"/>
    <w:rsid w:val="00926939"/>
    <w:rsid w:val="00926CC9"/>
    <w:rsid w:val="00926F4C"/>
    <w:rsid w:val="0092724A"/>
    <w:rsid w:val="00927710"/>
    <w:rsid w:val="00931445"/>
    <w:rsid w:val="00931A2E"/>
    <w:rsid w:val="00931AB8"/>
    <w:rsid w:val="00931C63"/>
    <w:rsid w:val="00931D10"/>
    <w:rsid w:val="0093218A"/>
    <w:rsid w:val="0093386D"/>
    <w:rsid w:val="00933C6C"/>
    <w:rsid w:val="00933E97"/>
    <w:rsid w:val="00934C8E"/>
    <w:rsid w:val="00935194"/>
    <w:rsid w:val="00936EA5"/>
    <w:rsid w:val="00937114"/>
    <w:rsid w:val="0094015D"/>
    <w:rsid w:val="009418D4"/>
    <w:rsid w:val="00941B13"/>
    <w:rsid w:val="009441DB"/>
    <w:rsid w:val="00944834"/>
    <w:rsid w:val="00944E9B"/>
    <w:rsid w:val="00946128"/>
    <w:rsid w:val="0094633F"/>
    <w:rsid w:val="009475C1"/>
    <w:rsid w:val="009477CB"/>
    <w:rsid w:val="00947BA5"/>
    <w:rsid w:val="00950805"/>
    <w:rsid w:val="00950C0D"/>
    <w:rsid w:val="0095121C"/>
    <w:rsid w:val="009517E4"/>
    <w:rsid w:val="009518D4"/>
    <w:rsid w:val="009520BC"/>
    <w:rsid w:val="009521D2"/>
    <w:rsid w:val="00952403"/>
    <w:rsid w:val="00952BD8"/>
    <w:rsid w:val="00953573"/>
    <w:rsid w:val="009535D2"/>
    <w:rsid w:val="009549EF"/>
    <w:rsid w:val="00955C64"/>
    <w:rsid w:val="00956647"/>
    <w:rsid w:val="0095702E"/>
    <w:rsid w:val="00957409"/>
    <w:rsid w:val="00957499"/>
    <w:rsid w:val="00957BD6"/>
    <w:rsid w:val="00957ED2"/>
    <w:rsid w:val="00960DE4"/>
    <w:rsid w:val="00961164"/>
    <w:rsid w:val="00961A4F"/>
    <w:rsid w:val="00962B2E"/>
    <w:rsid w:val="00962FB8"/>
    <w:rsid w:val="0096373F"/>
    <w:rsid w:val="00963C73"/>
    <w:rsid w:val="00964007"/>
    <w:rsid w:val="009643F4"/>
    <w:rsid w:val="00964F5A"/>
    <w:rsid w:val="009653ED"/>
    <w:rsid w:val="00966AD2"/>
    <w:rsid w:val="00967867"/>
    <w:rsid w:val="00967961"/>
    <w:rsid w:val="00967A38"/>
    <w:rsid w:val="00970848"/>
    <w:rsid w:val="009716D8"/>
    <w:rsid w:val="00971D09"/>
    <w:rsid w:val="00971F54"/>
    <w:rsid w:val="00971FBF"/>
    <w:rsid w:val="00972057"/>
    <w:rsid w:val="0097227B"/>
    <w:rsid w:val="0097262E"/>
    <w:rsid w:val="0097293F"/>
    <w:rsid w:val="00974022"/>
    <w:rsid w:val="00974F00"/>
    <w:rsid w:val="0097552A"/>
    <w:rsid w:val="0097564A"/>
    <w:rsid w:val="00976BBE"/>
    <w:rsid w:val="0097741F"/>
    <w:rsid w:val="0098055B"/>
    <w:rsid w:val="009808BD"/>
    <w:rsid w:val="009810BE"/>
    <w:rsid w:val="009817BC"/>
    <w:rsid w:val="009819A7"/>
    <w:rsid w:val="0098220A"/>
    <w:rsid w:val="00983337"/>
    <w:rsid w:val="009851F5"/>
    <w:rsid w:val="0098534B"/>
    <w:rsid w:val="0098764E"/>
    <w:rsid w:val="00987826"/>
    <w:rsid w:val="00987B4F"/>
    <w:rsid w:val="00987D58"/>
    <w:rsid w:val="009906D4"/>
    <w:rsid w:val="00990EB7"/>
    <w:rsid w:val="00990F5F"/>
    <w:rsid w:val="009911A7"/>
    <w:rsid w:val="009913B8"/>
    <w:rsid w:val="009914E4"/>
    <w:rsid w:val="00991EE0"/>
    <w:rsid w:val="00992141"/>
    <w:rsid w:val="00992DC6"/>
    <w:rsid w:val="00993135"/>
    <w:rsid w:val="00993AC7"/>
    <w:rsid w:val="00993BAD"/>
    <w:rsid w:val="00993E49"/>
    <w:rsid w:val="009942F5"/>
    <w:rsid w:val="0099461F"/>
    <w:rsid w:val="00994ADC"/>
    <w:rsid w:val="00995B01"/>
    <w:rsid w:val="009969D7"/>
    <w:rsid w:val="00996EF4"/>
    <w:rsid w:val="0099703C"/>
    <w:rsid w:val="00997044"/>
    <w:rsid w:val="00997884"/>
    <w:rsid w:val="00997BC9"/>
    <w:rsid w:val="009A1694"/>
    <w:rsid w:val="009A1F7F"/>
    <w:rsid w:val="009A2BE9"/>
    <w:rsid w:val="009A2BF3"/>
    <w:rsid w:val="009A3C3E"/>
    <w:rsid w:val="009A40F6"/>
    <w:rsid w:val="009A4C2C"/>
    <w:rsid w:val="009A520A"/>
    <w:rsid w:val="009A59B3"/>
    <w:rsid w:val="009A5F76"/>
    <w:rsid w:val="009A5FAE"/>
    <w:rsid w:val="009A74DA"/>
    <w:rsid w:val="009A7E7C"/>
    <w:rsid w:val="009B05D2"/>
    <w:rsid w:val="009B0CEE"/>
    <w:rsid w:val="009B152B"/>
    <w:rsid w:val="009B2731"/>
    <w:rsid w:val="009B2DCF"/>
    <w:rsid w:val="009B3D38"/>
    <w:rsid w:val="009B4368"/>
    <w:rsid w:val="009B494C"/>
    <w:rsid w:val="009B7505"/>
    <w:rsid w:val="009B7A74"/>
    <w:rsid w:val="009C0020"/>
    <w:rsid w:val="009C03F7"/>
    <w:rsid w:val="009C10DA"/>
    <w:rsid w:val="009C1201"/>
    <w:rsid w:val="009C17EE"/>
    <w:rsid w:val="009C19FC"/>
    <w:rsid w:val="009C22FD"/>
    <w:rsid w:val="009C27F7"/>
    <w:rsid w:val="009C383D"/>
    <w:rsid w:val="009C3BC4"/>
    <w:rsid w:val="009C3C93"/>
    <w:rsid w:val="009C3E97"/>
    <w:rsid w:val="009C4017"/>
    <w:rsid w:val="009C424E"/>
    <w:rsid w:val="009C4708"/>
    <w:rsid w:val="009C4870"/>
    <w:rsid w:val="009C4C4E"/>
    <w:rsid w:val="009C4D37"/>
    <w:rsid w:val="009C4FB5"/>
    <w:rsid w:val="009C574C"/>
    <w:rsid w:val="009C5753"/>
    <w:rsid w:val="009C5A89"/>
    <w:rsid w:val="009C5E42"/>
    <w:rsid w:val="009C620F"/>
    <w:rsid w:val="009C657D"/>
    <w:rsid w:val="009C6875"/>
    <w:rsid w:val="009C748A"/>
    <w:rsid w:val="009C7D53"/>
    <w:rsid w:val="009C7EB3"/>
    <w:rsid w:val="009D03B7"/>
    <w:rsid w:val="009D07AD"/>
    <w:rsid w:val="009D0824"/>
    <w:rsid w:val="009D1654"/>
    <w:rsid w:val="009D1BDB"/>
    <w:rsid w:val="009D2F9C"/>
    <w:rsid w:val="009D4207"/>
    <w:rsid w:val="009D4E4A"/>
    <w:rsid w:val="009D5130"/>
    <w:rsid w:val="009D53D1"/>
    <w:rsid w:val="009D53FB"/>
    <w:rsid w:val="009D6081"/>
    <w:rsid w:val="009D678C"/>
    <w:rsid w:val="009D6B9A"/>
    <w:rsid w:val="009D76B5"/>
    <w:rsid w:val="009D7BC7"/>
    <w:rsid w:val="009D7FAC"/>
    <w:rsid w:val="009E0109"/>
    <w:rsid w:val="009E0342"/>
    <w:rsid w:val="009E098B"/>
    <w:rsid w:val="009E09AB"/>
    <w:rsid w:val="009E0A39"/>
    <w:rsid w:val="009E192E"/>
    <w:rsid w:val="009E19BB"/>
    <w:rsid w:val="009E1C47"/>
    <w:rsid w:val="009E2955"/>
    <w:rsid w:val="009E32FF"/>
    <w:rsid w:val="009E38D1"/>
    <w:rsid w:val="009E3DF1"/>
    <w:rsid w:val="009E514A"/>
    <w:rsid w:val="009E5177"/>
    <w:rsid w:val="009E5701"/>
    <w:rsid w:val="009E5711"/>
    <w:rsid w:val="009E5C8A"/>
    <w:rsid w:val="009E758E"/>
    <w:rsid w:val="009E7D6B"/>
    <w:rsid w:val="009E7E81"/>
    <w:rsid w:val="009F020A"/>
    <w:rsid w:val="009F05AD"/>
    <w:rsid w:val="009F1109"/>
    <w:rsid w:val="009F143E"/>
    <w:rsid w:val="009F1DE8"/>
    <w:rsid w:val="009F2186"/>
    <w:rsid w:val="009F28DC"/>
    <w:rsid w:val="009F2D49"/>
    <w:rsid w:val="009F2EDB"/>
    <w:rsid w:val="009F30D3"/>
    <w:rsid w:val="009F33DC"/>
    <w:rsid w:val="009F385E"/>
    <w:rsid w:val="009F4550"/>
    <w:rsid w:val="009F56C0"/>
    <w:rsid w:val="009F5C76"/>
    <w:rsid w:val="00A007B4"/>
    <w:rsid w:val="00A00CA0"/>
    <w:rsid w:val="00A00E00"/>
    <w:rsid w:val="00A01221"/>
    <w:rsid w:val="00A012A8"/>
    <w:rsid w:val="00A016FF"/>
    <w:rsid w:val="00A0176B"/>
    <w:rsid w:val="00A0188F"/>
    <w:rsid w:val="00A0207F"/>
    <w:rsid w:val="00A021AF"/>
    <w:rsid w:val="00A044AA"/>
    <w:rsid w:val="00A052F0"/>
    <w:rsid w:val="00A06FB9"/>
    <w:rsid w:val="00A07F53"/>
    <w:rsid w:val="00A1013C"/>
    <w:rsid w:val="00A102F8"/>
    <w:rsid w:val="00A10A20"/>
    <w:rsid w:val="00A10FDE"/>
    <w:rsid w:val="00A117D5"/>
    <w:rsid w:val="00A11984"/>
    <w:rsid w:val="00A131F5"/>
    <w:rsid w:val="00A133C1"/>
    <w:rsid w:val="00A13414"/>
    <w:rsid w:val="00A13F2D"/>
    <w:rsid w:val="00A1475E"/>
    <w:rsid w:val="00A14F81"/>
    <w:rsid w:val="00A1535F"/>
    <w:rsid w:val="00A15A98"/>
    <w:rsid w:val="00A15CB1"/>
    <w:rsid w:val="00A15E84"/>
    <w:rsid w:val="00A16021"/>
    <w:rsid w:val="00A176DD"/>
    <w:rsid w:val="00A20FAD"/>
    <w:rsid w:val="00A22C3E"/>
    <w:rsid w:val="00A22C4D"/>
    <w:rsid w:val="00A23442"/>
    <w:rsid w:val="00A249D2"/>
    <w:rsid w:val="00A254AB"/>
    <w:rsid w:val="00A25674"/>
    <w:rsid w:val="00A266CC"/>
    <w:rsid w:val="00A26DB4"/>
    <w:rsid w:val="00A27229"/>
    <w:rsid w:val="00A27425"/>
    <w:rsid w:val="00A27478"/>
    <w:rsid w:val="00A3023E"/>
    <w:rsid w:val="00A305C5"/>
    <w:rsid w:val="00A30919"/>
    <w:rsid w:val="00A31D3E"/>
    <w:rsid w:val="00A31F05"/>
    <w:rsid w:val="00A31FD2"/>
    <w:rsid w:val="00A3404D"/>
    <w:rsid w:val="00A341AB"/>
    <w:rsid w:val="00A34290"/>
    <w:rsid w:val="00A355F9"/>
    <w:rsid w:val="00A35AA9"/>
    <w:rsid w:val="00A35D9A"/>
    <w:rsid w:val="00A37309"/>
    <w:rsid w:val="00A37558"/>
    <w:rsid w:val="00A3786A"/>
    <w:rsid w:val="00A37C3C"/>
    <w:rsid w:val="00A4008C"/>
    <w:rsid w:val="00A402A8"/>
    <w:rsid w:val="00A40685"/>
    <w:rsid w:val="00A40E2F"/>
    <w:rsid w:val="00A41819"/>
    <w:rsid w:val="00A41C9A"/>
    <w:rsid w:val="00A41D73"/>
    <w:rsid w:val="00A429BD"/>
    <w:rsid w:val="00A433E8"/>
    <w:rsid w:val="00A43A1D"/>
    <w:rsid w:val="00A44854"/>
    <w:rsid w:val="00A44A45"/>
    <w:rsid w:val="00A46859"/>
    <w:rsid w:val="00A46D39"/>
    <w:rsid w:val="00A472B8"/>
    <w:rsid w:val="00A5004A"/>
    <w:rsid w:val="00A502F5"/>
    <w:rsid w:val="00A504F4"/>
    <w:rsid w:val="00A508AA"/>
    <w:rsid w:val="00A526CE"/>
    <w:rsid w:val="00A52A11"/>
    <w:rsid w:val="00A53B6E"/>
    <w:rsid w:val="00A5416E"/>
    <w:rsid w:val="00A54DC0"/>
    <w:rsid w:val="00A550C9"/>
    <w:rsid w:val="00A55228"/>
    <w:rsid w:val="00A55A04"/>
    <w:rsid w:val="00A55B20"/>
    <w:rsid w:val="00A564DE"/>
    <w:rsid w:val="00A57CB5"/>
    <w:rsid w:val="00A6054E"/>
    <w:rsid w:val="00A60799"/>
    <w:rsid w:val="00A61B7F"/>
    <w:rsid w:val="00A61B91"/>
    <w:rsid w:val="00A62666"/>
    <w:rsid w:val="00A629CA"/>
    <w:rsid w:val="00A63016"/>
    <w:rsid w:val="00A63335"/>
    <w:rsid w:val="00A63685"/>
    <w:rsid w:val="00A642E7"/>
    <w:rsid w:val="00A645AC"/>
    <w:rsid w:val="00A64FB2"/>
    <w:rsid w:val="00A65EFB"/>
    <w:rsid w:val="00A66E28"/>
    <w:rsid w:val="00A67CE9"/>
    <w:rsid w:val="00A67EC6"/>
    <w:rsid w:val="00A70590"/>
    <w:rsid w:val="00A7062E"/>
    <w:rsid w:val="00A70834"/>
    <w:rsid w:val="00A70923"/>
    <w:rsid w:val="00A71542"/>
    <w:rsid w:val="00A71FA0"/>
    <w:rsid w:val="00A720B1"/>
    <w:rsid w:val="00A72727"/>
    <w:rsid w:val="00A72C1A"/>
    <w:rsid w:val="00A7463E"/>
    <w:rsid w:val="00A750F3"/>
    <w:rsid w:val="00A758E2"/>
    <w:rsid w:val="00A765B1"/>
    <w:rsid w:val="00A772F2"/>
    <w:rsid w:val="00A77828"/>
    <w:rsid w:val="00A77C72"/>
    <w:rsid w:val="00A80089"/>
    <w:rsid w:val="00A800F9"/>
    <w:rsid w:val="00A8073D"/>
    <w:rsid w:val="00A80D02"/>
    <w:rsid w:val="00A82132"/>
    <w:rsid w:val="00A82D32"/>
    <w:rsid w:val="00A82EAE"/>
    <w:rsid w:val="00A846A0"/>
    <w:rsid w:val="00A847F9"/>
    <w:rsid w:val="00A849F6"/>
    <w:rsid w:val="00A84F27"/>
    <w:rsid w:val="00A8519C"/>
    <w:rsid w:val="00A85F83"/>
    <w:rsid w:val="00A86019"/>
    <w:rsid w:val="00A86EED"/>
    <w:rsid w:val="00A8733A"/>
    <w:rsid w:val="00A87E58"/>
    <w:rsid w:val="00A9196B"/>
    <w:rsid w:val="00A91BEE"/>
    <w:rsid w:val="00A91D4B"/>
    <w:rsid w:val="00A920B2"/>
    <w:rsid w:val="00A92675"/>
    <w:rsid w:val="00A92A96"/>
    <w:rsid w:val="00A92AF0"/>
    <w:rsid w:val="00A933FE"/>
    <w:rsid w:val="00A937D5"/>
    <w:rsid w:val="00A93C70"/>
    <w:rsid w:val="00A93F07"/>
    <w:rsid w:val="00A94A32"/>
    <w:rsid w:val="00A94AFC"/>
    <w:rsid w:val="00A963C5"/>
    <w:rsid w:val="00A96B4A"/>
    <w:rsid w:val="00A96B65"/>
    <w:rsid w:val="00A971BB"/>
    <w:rsid w:val="00A979AD"/>
    <w:rsid w:val="00A97BDA"/>
    <w:rsid w:val="00AA0779"/>
    <w:rsid w:val="00AA08D6"/>
    <w:rsid w:val="00AA08F3"/>
    <w:rsid w:val="00AA0F23"/>
    <w:rsid w:val="00AA1163"/>
    <w:rsid w:val="00AA1DA8"/>
    <w:rsid w:val="00AA222C"/>
    <w:rsid w:val="00AA238E"/>
    <w:rsid w:val="00AA253B"/>
    <w:rsid w:val="00AA29F8"/>
    <w:rsid w:val="00AA3243"/>
    <w:rsid w:val="00AA388F"/>
    <w:rsid w:val="00AA408E"/>
    <w:rsid w:val="00AA4F6D"/>
    <w:rsid w:val="00AA536B"/>
    <w:rsid w:val="00AA53AB"/>
    <w:rsid w:val="00AA58DC"/>
    <w:rsid w:val="00AA5A5C"/>
    <w:rsid w:val="00AA5A6F"/>
    <w:rsid w:val="00AA5D94"/>
    <w:rsid w:val="00AA60A5"/>
    <w:rsid w:val="00AA6B01"/>
    <w:rsid w:val="00AA6F6C"/>
    <w:rsid w:val="00AA73DF"/>
    <w:rsid w:val="00AA7519"/>
    <w:rsid w:val="00AA790A"/>
    <w:rsid w:val="00AB02EA"/>
    <w:rsid w:val="00AB110C"/>
    <w:rsid w:val="00AB227A"/>
    <w:rsid w:val="00AB22BF"/>
    <w:rsid w:val="00AB256E"/>
    <w:rsid w:val="00AB3466"/>
    <w:rsid w:val="00AB3BBB"/>
    <w:rsid w:val="00AB3CDF"/>
    <w:rsid w:val="00AB406A"/>
    <w:rsid w:val="00AB408C"/>
    <w:rsid w:val="00AB4E41"/>
    <w:rsid w:val="00AB5EB1"/>
    <w:rsid w:val="00AB6003"/>
    <w:rsid w:val="00AB6A58"/>
    <w:rsid w:val="00AB759A"/>
    <w:rsid w:val="00AB7B06"/>
    <w:rsid w:val="00AB7EAA"/>
    <w:rsid w:val="00AC0432"/>
    <w:rsid w:val="00AC0770"/>
    <w:rsid w:val="00AC1683"/>
    <w:rsid w:val="00AC1D82"/>
    <w:rsid w:val="00AC4094"/>
    <w:rsid w:val="00AC42B6"/>
    <w:rsid w:val="00AC4AB7"/>
    <w:rsid w:val="00AC4FCA"/>
    <w:rsid w:val="00AC5859"/>
    <w:rsid w:val="00AC5C9B"/>
    <w:rsid w:val="00AC6225"/>
    <w:rsid w:val="00AC6D24"/>
    <w:rsid w:val="00AD1065"/>
    <w:rsid w:val="00AD2270"/>
    <w:rsid w:val="00AD2771"/>
    <w:rsid w:val="00AD291B"/>
    <w:rsid w:val="00AD39C8"/>
    <w:rsid w:val="00AD3DA6"/>
    <w:rsid w:val="00AD3F3C"/>
    <w:rsid w:val="00AD41BA"/>
    <w:rsid w:val="00AD4B2F"/>
    <w:rsid w:val="00AD5F0A"/>
    <w:rsid w:val="00AD6B4F"/>
    <w:rsid w:val="00AD7812"/>
    <w:rsid w:val="00AD7C42"/>
    <w:rsid w:val="00AD7CFA"/>
    <w:rsid w:val="00AD7EC8"/>
    <w:rsid w:val="00AE0BD6"/>
    <w:rsid w:val="00AE11C1"/>
    <w:rsid w:val="00AE163D"/>
    <w:rsid w:val="00AE1C5C"/>
    <w:rsid w:val="00AE2219"/>
    <w:rsid w:val="00AE312B"/>
    <w:rsid w:val="00AE315E"/>
    <w:rsid w:val="00AE319F"/>
    <w:rsid w:val="00AE31D9"/>
    <w:rsid w:val="00AE3792"/>
    <w:rsid w:val="00AE3CF0"/>
    <w:rsid w:val="00AE4B2C"/>
    <w:rsid w:val="00AE71EE"/>
    <w:rsid w:val="00AE75AC"/>
    <w:rsid w:val="00AE7FD3"/>
    <w:rsid w:val="00AF03CF"/>
    <w:rsid w:val="00AF0A0A"/>
    <w:rsid w:val="00AF1473"/>
    <w:rsid w:val="00AF14FC"/>
    <w:rsid w:val="00AF1ED2"/>
    <w:rsid w:val="00AF1F4E"/>
    <w:rsid w:val="00AF3557"/>
    <w:rsid w:val="00AF383C"/>
    <w:rsid w:val="00AF3E33"/>
    <w:rsid w:val="00AF3F86"/>
    <w:rsid w:val="00AF440D"/>
    <w:rsid w:val="00AF4CEE"/>
    <w:rsid w:val="00AF5364"/>
    <w:rsid w:val="00AF584C"/>
    <w:rsid w:val="00AF5D84"/>
    <w:rsid w:val="00AF669D"/>
    <w:rsid w:val="00AF672C"/>
    <w:rsid w:val="00AF7389"/>
    <w:rsid w:val="00AF7C37"/>
    <w:rsid w:val="00B00378"/>
    <w:rsid w:val="00B00D91"/>
    <w:rsid w:val="00B00E84"/>
    <w:rsid w:val="00B012A0"/>
    <w:rsid w:val="00B0159A"/>
    <w:rsid w:val="00B01EE2"/>
    <w:rsid w:val="00B038F1"/>
    <w:rsid w:val="00B03C1B"/>
    <w:rsid w:val="00B04678"/>
    <w:rsid w:val="00B04A04"/>
    <w:rsid w:val="00B04C37"/>
    <w:rsid w:val="00B04F00"/>
    <w:rsid w:val="00B05BA6"/>
    <w:rsid w:val="00B066FE"/>
    <w:rsid w:val="00B06912"/>
    <w:rsid w:val="00B10B04"/>
    <w:rsid w:val="00B10CC6"/>
    <w:rsid w:val="00B11A61"/>
    <w:rsid w:val="00B12082"/>
    <w:rsid w:val="00B1278A"/>
    <w:rsid w:val="00B13389"/>
    <w:rsid w:val="00B1364C"/>
    <w:rsid w:val="00B141A5"/>
    <w:rsid w:val="00B14344"/>
    <w:rsid w:val="00B15286"/>
    <w:rsid w:val="00B1550D"/>
    <w:rsid w:val="00B159C0"/>
    <w:rsid w:val="00B15F6C"/>
    <w:rsid w:val="00B163E8"/>
    <w:rsid w:val="00B1666C"/>
    <w:rsid w:val="00B175F7"/>
    <w:rsid w:val="00B1767E"/>
    <w:rsid w:val="00B20760"/>
    <w:rsid w:val="00B20C4A"/>
    <w:rsid w:val="00B21676"/>
    <w:rsid w:val="00B219E1"/>
    <w:rsid w:val="00B22150"/>
    <w:rsid w:val="00B22401"/>
    <w:rsid w:val="00B226DE"/>
    <w:rsid w:val="00B22F1A"/>
    <w:rsid w:val="00B236D3"/>
    <w:rsid w:val="00B239CD"/>
    <w:rsid w:val="00B241D5"/>
    <w:rsid w:val="00B24BE9"/>
    <w:rsid w:val="00B25956"/>
    <w:rsid w:val="00B25F8C"/>
    <w:rsid w:val="00B260BE"/>
    <w:rsid w:val="00B26677"/>
    <w:rsid w:val="00B269D0"/>
    <w:rsid w:val="00B26A96"/>
    <w:rsid w:val="00B274E3"/>
    <w:rsid w:val="00B2765C"/>
    <w:rsid w:val="00B27C4B"/>
    <w:rsid w:val="00B30563"/>
    <w:rsid w:val="00B30A76"/>
    <w:rsid w:val="00B32295"/>
    <w:rsid w:val="00B33024"/>
    <w:rsid w:val="00B33AB5"/>
    <w:rsid w:val="00B33C55"/>
    <w:rsid w:val="00B3412E"/>
    <w:rsid w:val="00B36241"/>
    <w:rsid w:val="00B367C4"/>
    <w:rsid w:val="00B37B8E"/>
    <w:rsid w:val="00B40222"/>
    <w:rsid w:val="00B404C3"/>
    <w:rsid w:val="00B41BF4"/>
    <w:rsid w:val="00B42A76"/>
    <w:rsid w:val="00B4311F"/>
    <w:rsid w:val="00B431AE"/>
    <w:rsid w:val="00B448BF"/>
    <w:rsid w:val="00B45A59"/>
    <w:rsid w:val="00B45F9F"/>
    <w:rsid w:val="00B4627C"/>
    <w:rsid w:val="00B46793"/>
    <w:rsid w:val="00B46953"/>
    <w:rsid w:val="00B47455"/>
    <w:rsid w:val="00B47979"/>
    <w:rsid w:val="00B47A59"/>
    <w:rsid w:val="00B503D6"/>
    <w:rsid w:val="00B50CDB"/>
    <w:rsid w:val="00B51520"/>
    <w:rsid w:val="00B515C3"/>
    <w:rsid w:val="00B517C2"/>
    <w:rsid w:val="00B518CE"/>
    <w:rsid w:val="00B51F56"/>
    <w:rsid w:val="00B52234"/>
    <w:rsid w:val="00B53623"/>
    <w:rsid w:val="00B53D1D"/>
    <w:rsid w:val="00B53E7A"/>
    <w:rsid w:val="00B53E98"/>
    <w:rsid w:val="00B53F9B"/>
    <w:rsid w:val="00B55F64"/>
    <w:rsid w:val="00B56ECA"/>
    <w:rsid w:val="00B56FFE"/>
    <w:rsid w:val="00B57093"/>
    <w:rsid w:val="00B60613"/>
    <w:rsid w:val="00B611E8"/>
    <w:rsid w:val="00B61AEC"/>
    <w:rsid w:val="00B62B7B"/>
    <w:rsid w:val="00B63816"/>
    <w:rsid w:val="00B63EF6"/>
    <w:rsid w:val="00B6440A"/>
    <w:rsid w:val="00B64BF3"/>
    <w:rsid w:val="00B65042"/>
    <w:rsid w:val="00B6560D"/>
    <w:rsid w:val="00B65844"/>
    <w:rsid w:val="00B66054"/>
    <w:rsid w:val="00B6677F"/>
    <w:rsid w:val="00B66C7A"/>
    <w:rsid w:val="00B672EA"/>
    <w:rsid w:val="00B6747B"/>
    <w:rsid w:val="00B70200"/>
    <w:rsid w:val="00B702D7"/>
    <w:rsid w:val="00B70389"/>
    <w:rsid w:val="00B70E01"/>
    <w:rsid w:val="00B728F6"/>
    <w:rsid w:val="00B72CF0"/>
    <w:rsid w:val="00B7380E"/>
    <w:rsid w:val="00B740F6"/>
    <w:rsid w:val="00B74615"/>
    <w:rsid w:val="00B755B6"/>
    <w:rsid w:val="00B755C0"/>
    <w:rsid w:val="00B75A48"/>
    <w:rsid w:val="00B75CC0"/>
    <w:rsid w:val="00B76021"/>
    <w:rsid w:val="00B804F8"/>
    <w:rsid w:val="00B8095A"/>
    <w:rsid w:val="00B81274"/>
    <w:rsid w:val="00B815D3"/>
    <w:rsid w:val="00B823A6"/>
    <w:rsid w:val="00B82640"/>
    <w:rsid w:val="00B83E76"/>
    <w:rsid w:val="00B83FA0"/>
    <w:rsid w:val="00B8443A"/>
    <w:rsid w:val="00B86289"/>
    <w:rsid w:val="00B863B3"/>
    <w:rsid w:val="00B869D3"/>
    <w:rsid w:val="00B86B37"/>
    <w:rsid w:val="00B86E44"/>
    <w:rsid w:val="00B87359"/>
    <w:rsid w:val="00B87B3F"/>
    <w:rsid w:val="00B87F1C"/>
    <w:rsid w:val="00B90D8D"/>
    <w:rsid w:val="00B91263"/>
    <w:rsid w:val="00B91B61"/>
    <w:rsid w:val="00B92CF3"/>
    <w:rsid w:val="00B93849"/>
    <w:rsid w:val="00B938BD"/>
    <w:rsid w:val="00B93BC4"/>
    <w:rsid w:val="00B9407F"/>
    <w:rsid w:val="00B944E9"/>
    <w:rsid w:val="00B94896"/>
    <w:rsid w:val="00B94CDD"/>
    <w:rsid w:val="00B95A87"/>
    <w:rsid w:val="00B96DD9"/>
    <w:rsid w:val="00B97909"/>
    <w:rsid w:val="00BA14B2"/>
    <w:rsid w:val="00BA1561"/>
    <w:rsid w:val="00BA15DC"/>
    <w:rsid w:val="00BA2220"/>
    <w:rsid w:val="00BA27AB"/>
    <w:rsid w:val="00BA2C82"/>
    <w:rsid w:val="00BA39B9"/>
    <w:rsid w:val="00BA5039"/>
    <w:rsid w:val="00BA583B"/>
    <w:rsid w:val="00BA5EC7"/>
    <w:rsid w:val="00BA6319"/>
    <w:rsid w:val="00BA63CE"/>
    <w:rsid w:val="00BA676E"/>
    <w:rsid w:val="00BA7227"/>
    <w:rsid w:val="00BA763C"/>
    <w:rsid w:val="00BA78B7"/>
    <w:rsid w:val="00BA7CD7"/>
    <w:rsid w:val="00BB00E5"/>
    <w:rsid w:val="00BB0E7C"/>
    <w:rsid w:val="00BB1087"/>
    <w:rsid w:val="00BB20B2"/>
    <w:rsid w:val="00BB2ACE"/>
    <w:rsid w:val="00BB2E4E"/>
    <w:rsid w:val="00BB2E62"/>
    <w:rsid w:val="00BB36C9"/>
    <w:rsid w:val="00BB5A85"/>
    <w:rsid w:val="00BB7EC0"/>
    <w:rsid w:val="00BC0207"/>
    <w:rsid w:val="00BC0A5A"/>
    <w:rsid w:val="00BC0E64"/>
    <w:rsid w:val="00BC112A"/>
    <w:rsid w:val="00BC2293"/>
    <w:rsid w:val="00BC25D1"/>
    <w:rsid w:val="00BC3BCB"/>
    <w:rsid w:val="00BC428A"/>
    <w:rsid w:val="00BC4B53"/>
    <w:rsid w:val="00BC4C40"/>
    <w:rsid w:val="00BC5A1F"/>
    <w:rsid w:val="00BC5AE3"/>
    <w:rsid w:val="00BC5BAD"/>
    <w:rsid w:val="00BC76C5"/>
    <w:rsid w:val="00BC774F"/>
    <w:rsid w:val="00BD138A"/>
    <w:rsid w:val="00BD14D3"/>
    <w:rsid w:val="00BD164A"/>
    <w:rsid w:val="00BD1BDD"/>
    <w:rsid w:val="00BD1D40"/>
    <w:rsid w:val="00BD1D7D"/>
    <w:rsid w:val="00BD2B4D"/>
    <w:rsid w:val="00BD2F08"/>
    <w:rsid w:val="00BD2FB9"/>
    <w:rsid w:val="00BD31C2"/>
    <w:rsid w:val="00BD3683"/>
    <w:rsid w:val="00BD450A"/>
    <w:rsid w:val="00BD4717"/>
    <w:rsid w:val="00BD48EA"/>
    <w:rsid w:val="00BD4BA8"/>
    <w:rsid w:val="00BD58A0"/>
    <w:rsid w:val="00BD59B3"/>
    <w:rsid w:val="00BD62E6"/>
    <w:rsid w:val="00BD6B0E"/>
    <w:rsid w:val="00BD7050"/>
    <w:rsid w:val="00BD720A"/>
    <w:rsid w:val="00BD7941"/>
    <w:rsid w:val="00BE0717"/>
    <w:rsid w:val="00BE0C55"/>
    <w:rsid w:val="00BE11A2"/>
    <w:rsid w:val="00BE246C"/>
    <w:rsid w:val="00BE2657"/>
    <w:rsid w:val="00BE2B83"/>
    <w:rsid w:val="00BE314D"/>
    <w:rsid w:val="00BE37AE"/>
    <w:rsid w:val="00BE3B14"/>
    <w:rsid w:val="00BE3C65"/>
    <w:rsid w:val="00BE400D"/>
    <w:rsid w:val="00BE472D"/>
    <w:rsid w:val="00BE7F4D"/>
    <w:rsid w:val="00BF03C0"/>
    <w:rsid w:val="00BF0608"/>
    <w:rsid w:val="00BF0EBF"/>
    <w:rsid w:val="00BF21D4"/>
    <w:rsid w:val="00BF26D3"/>
    <w:rsid w:val="00BF2DDC"/>
    <w:rsid w:val="00BF3D30"/>
    <w:rsid w:val="00BF4A15"/>
    <w:rsid w:val="00BF4DAE"/>
    <w:rsid w:val="00BF4E0E"/>
    <w:rsid w:val="00BF4E27"/>
    <w:rsid w:val="00BF537B"/>
    <w:rsid w:val="00BF5E2F"/>
    <w:rsid w:val="00BF626A"/>
    <w:rsid w:val="00BF6D77"/>
    <w:rsid w:val="00BF706B"/>
    <w:rsid w:val="00BF7EF5"/>
    <w:rsid w:val="00C01668"/>
    <w:rsid w:val="00C018E2"/>
    <w:rsid w:val="00C02C30"/>
    <w:rsid w:val="00C03442"/>
    <w:rsid w:val="00C0378E"/>
    <w:rsid w:val="00C042E1"/>
    <w:rsid w:val="00C05730"/>
    <w:rsid w:val="00C05AF4"/>
    <w:rsid w:val="00C05AFD"/>
    <w:rsid w:val="00C0661C"/>
    <w:rsid w:val="00C0675F"/>
    <w:rsid w:val="00C06B14"/>
    <w:rsid w:val="00C0702A"/>
    <w:rsid w:val="00C0724C"/>
    <w:rsid w:val="00C077AC"/>
    <w:rsid w:val="00C07C11"/>
    <w:rsid w:val="00C07D06"/>
    <w:rsid w:val="00C07E10"/>
    <w:rsid w:val="00C10015"/>
    <w:rsid w:val="00C12ECB"/>
    <w:rsid w:val="00C14229"/>
    <w:rsid w:val="00C14ABD"/>
    <w:rsid w:val="00C151E0"/>
    <w:rsid w:val="00C15B31"/>
    <w:rsid w:val="00C166D4"/>
    <w:rsid w:val="00C168E5"/>
    <w:rsid w:val="00C1696D"/>
    <w:rsid w:val="00C17AB5"/>
    <w:rsid w:val="00C17E3F"/>
    <w:rsid w:val="00C20051"/>
    <w:rsid w:val="00C20472"/>
    <w:rsid w:val="00C20B86"/>
    <w:rsid w:val="00C21145"/>
    <w:rsid w:val="00C235A2"/>
    <w:rsid w:val="00C23615"/>
    <w:rsid w:val="00C23633"/>
    <w:rsid w:val="00C2397E"/>
    <w:rsid w:val="00C23A83"/>
    <w:rsid w:val="00C24381"/>
    <w:rsid w:val="00C243FD"/>
    <w:rsid w:val="00C24C2E"/>
    <w:rsid w:val="00C24C7A"/>
    <w:rsid w:val="00C24FFB"/>
    <w:rsid w:val="00C25CDC"/>
    <w:rsid w:val="00C25CFF"/>
    <w:rsid w:val="00C25EA6"/>
    <w:rsid w:val="00C261C1"/>
    <w:rsid w:val="00C26DBF"/>
    <w:rsid w:val="00C26F6F"/>
    <w:rsid w:val="00C30B0B"/>
    <w:rsid w:val="00C316B4"/>
    <w:rsid w:val="00C332D4"/>
    <w:rsid w:val="00C33E51"/>
    <w:rsid w:val="00C33EF8"/>
    <w:rsid w:val="00C34A50"/>
    <w:rsid w:val="00C34C45"/>
    <w:rsid w:val="00C34C47"/>
    <w:rsid w:val="00C3701A"/>
    <w:rsid w:val="00C405C8"/>
    <w:rsid w:val="00C40C2F"/>
    <w:rsid w:val="00C415AC"/>
    <w:rsid w:val="00C41BD4"/>
    <w:rsid w:val="00C42679"/>
    <w:rsid w:val="00C4297A"/>
    <w:rsid w:val="00C42B6A"/>
    <w:rsid w:val="00C4360C"/>
    <w:rsid w:val="00C43A0B"/>
    <w:rsid w:val="00C43EDA"/>
    <w:rsid w:val="00C4414C"/>
    <w:rsid w:val="00C44606"/>
    <w:rsid w:val="00C45512"/>
    <w:rsid w:val="00C4602B"/>
    <w:rsid w:val="00C46564"/>
    <w:rsid w:val="00C46639"/>
    <w:rsid w:val="00C46762"/>
    <w:rsid w:val="00C47203"/>
    <w:rsid w:val="00C50A02"/>
    <w:rsid w:val="00C51149"/>
    <w:rsid w:val="00C5117E"/>
    <w:rsid w:val="00C512D1"/>
    <w:rsid w:val="00C5179D"/>
    <w:rsid w:val="00C51856"/>
    <w:rsid w:val="00C51AB9"/>
    <w:rsid w:val="00C51B04"/>
    <w:rsid w:val="00C5221C"/>
    <w:rsid w:val="00C53CE9"/>
    <w:rsid w:val="00C54749"/>
    <w:rsid w:val="00C54F07"/>
    <w:rsid w:val="00C5531B"/>
    <w:rsid w:val="00C55375"/>
    <w:rsid w:val="00C5685E"/>
    <w:rsid w:val="00C56906"/>
    <w:rsid w:val="00C56C98"/>
    <w:rsid w:val="00C56DEE"/>
    <w:rsid w:val="00C57120"/>
    <w:rsid w:val="00C571D5"/>
    <w:rsid w:val="00C575D4"/>
    <w:rsid w:val="00C6029A"/>
    <w:rsid w:val="00C6044C"/>
    <w:rsid w:val="00C61223"/>
    <w:rsid w:val="00C61246"/>
    <w:rsid w:val="00C61460"/>
    <w:rsid w:val="00C618A8"/>
    <w:rsid w:val="00C61A78"/>
    <w:rsid w:val="00C61B5F"/>
    <w:rsid w:val="00C62B88"/>
    <w:rsid w:val="00C634F9"/>
    <w:rsid w:val="00C637D4"/>
    <w:rsid w:val="00C643ED"/>
    <w:rsid w:val="00C64534"/>
    <w:rsid w:val="00C64B1D"/>
    <w:rsid w:val="00C64D93"/>
    <w:rsid w:val="00C64F49"/>
    <w:rsid w:val="00C65200"/>
    <w:rsid w:val="00C665DE"/>
    <w:rsid w:val="00C667C3"/>
    <w:rsid w:val="00C669A8"/>
    <w:rsid w:val="00C6728B"/>
    <w:rsid w:val="00C70FF3"/>
    <w:rsid w:val="00C71528"/>
    <w:rsid w:val="00C71CF4"/>
    <w:rsid w:val="00C71F09"/>
    <w:rsid w:val="00C72588"/>
    <w:rsid w:val="00C727B9"/>
    <w:rsid w:val="00C73670"/>
    <w:rsid w:val="00C737D1"/>
    <w:rsid w:val="00C739F6"/>
    <w:rsid w:val="00C73DE0"/>
    <w:rsid w:val="00C74609"/>
    <w:rsid w:val="00C749AB"/>
    <w:rsid w:val="00C75A8F"/>
    <w:rsid w:val="00C76C0C"/>
    <w:rsid w:val="00C776BA"/>
    <w:rsid w:val="00C776CE"/>
    <w:rsid w:val="00C77E23"/>
    <w:rsid w:val="00C81716"/>
    <w:rsid w:val="00C81FE1"/>
    <w:rsid w:val="00C822EB"/>
    <w:rsid w:val="00C832CB"/>
    <w:rsid w:val="00C84085"/>
    <w:rsid w:val="00C840E0"/>
    <w:rsid w:val="00C85E17"/>
    <w:rsid w:val="00C868A7"/>
    <w:rsid w:val="00C87164"/>
    <w:rsid w:val="00C87BD0"/>
    <w:rsid w:val="00C905E5"/>
    <w:rsid w:val="00C90754"/>
    <w:rsid w:val="00C90B95"/>
    <w:rsid w:val="00C90BC4"/>
    <w:rsid w:val="00C90CA9"/>
    <w:rsid w:val="00C90E2C"/>
    <w:rsid w:val="00C91566"/>
    <w:rsid w:val="00C91EBE"/>
    <w:rsid w:val="00C92E41"/>
    <w:rsid w:val="00C92F62"/>
    <w:rsid w:val="00C93097"/>
    <w:rsid w:val="00C93B40"/>
    <w:rsid w:val="00C93DB5"/>
    <w:rsid w:val="00C94CB9"/>
    <w:rsid w:val="00C94F2B"/>
    <w:rsid w:val="00C95C2F"/>
    <w:rsid w:val="00C95F87"/>
    <w:rsid w:val="00C968EF"/>
    <w:rsid w:val="00CA0492"/>
    <w:rsid w:val="00CA0A04"/>
    <w:rsid w:val="00CA2528"/>
    <w:rsid w:val="00CA3232"/>
    <w:rsid w:val="00CA3A65"/>
    <w:rsid w:val="00CA3CAB"/>
    <w:rsid w:val="00CA3FC0"/>
    <w:rsid w:val="00CA46E9"/>
    <w:rsid w:val="00CA6A2E"/>
    <w:rsid w:val="00CA7809"/>
    <w:rsid w:val="00CA7D3E"/>
    <w:rsid w:val="00CB0317"/>
    <w:rsid w:val="00CB0662"/>
    <w:rsid w:val="00CB0A82"/>
    <w:rsid w:val="00CB0F2F"/>
    <w:rsid w:val="00CB1556"/>
    <w:rsid w:val="00CB1A29"/>
    <w:rsid w:val="00CB2913"/>
    <w:rsid w:val="00CB3970"/>
    <w:rsid w:val="00CB3F63"/>
    <w:rsid w:val="00CB42B9"/>
    <w:rsid w:val="00CB4363"/>
    <w:rsid w:val="00CB4F39"/>
    <w:rsid w:val="00CB52A4"/>
    <w:rsid w:val="00CB537C"/>
    <w:rsid w:val="00CB547F"/>
    <w:rsid w:val="00CB5A26"/>
    <w:rsid w:val="00CB645B"/>
    <w:rsid w:val="00CB6A93"/>
    <w:rsid w:val="00CB7173"/>
    <w:rsid w:val="00CB77C3"/>
    <w:rsid w:val="00CB7E9C"/>
    <w:rsid w:val="00CB7F06"/>
    <w:rsid w:val="00CC0072"/>
    <w:rsid w:val="00CC0915"/>
    <w:rsid w:val="00CC1AF5"/>
    <w:rsid w:val="00CC1B74"/>
    <w:rsid w:val="00CC1EFF"/>
    <w:rsid w:val="00CC283D"/>
    <w:rsid w:val="00CC291E"/>
    <w:rsid w:val="00CC2D03"/>
    <w:rsid w:val="00CC2EB0"/>
    <w:rsid w:val="00CC3A4B"/>
    <w:rsid w:val="00CC4675"/>
    <w:rsid w:val="00CC4701"/>
    <w:rsid w:val="00CC56B4"/>
    <w:rsid w:val="00CC59F5"/>
    <w:rsid w:val="00CC5F95"/>
    <w:rsid w:val="00CC642A"/>
    <w:rsid w:val="00CC733D"/>
    <w:rsid w:val="00CC7E97"/>
    <w:rsid w:val="00CD1255"/>
    <w:rsid w:val="00CD1484"/>
    <w:rsid w:val="00CD1892"/>
    <w:rsid w:val="00CD1D00"/>
    <w:rsid w:val="00CD27AC"/>
    <w:rsid w:val="00CD2A82"/>
    <w:rsid w:val="00CD346D"/>
    <w:rsid w:val="00CD3CAB"/>
    <w:rsid w:val="00CD46A7"/>
    <w:rsid w:val="00CD4E50"/>
    <w:rsid w:val="00CD57CB"/>
    <w:rsid w:val="00CD64E1"/>
    <w:rsid w:val="00CD699D"/>
    <w:rsid w:val="00CD6AE5"/>
    <w:rsid w:val="00CD6BA3"/>
    <w:rsid w:val="00CD6CA3"/>
    <w:rsid w:val="00CD70DB"/>
    <w:rsid w:val="00CD7412"/>
    <w:rsid w:val="00CD7544"/>
    <w:rsid w:val="00CD78D4"/>
    <w:rsid w:val="00CE0697"/>
    <w:rsid w:val="00CE0ECB"/>
    <w:rsid w:val="00CE14E4"/>
    <w:rsid w:val="00CE2E2E"/>
    <w:rsid w:val="00CE3790"/>
    <w:rsid w:val="00CE3A51"/>
    <w:rsid w:val="00CE41F9"/>
    <w:rsid w:val="00CE4ED0"/>
    <w:rsid w:val="00CE5553"/>
    <w:rsid w:val="00CE56B8"/>
    <w:rsid w:val="00CE59F6"/>
    <w:rsid w:val="00CE66CD"/>
    <w:rsid w:val="00CE6BA9"/>
    <w:rsid w:val="00CE71C3"/>
    <w:rsid w:val="00CF0AF0"/>
    <w:rsid w:val="00CF1047"/>
    <w:rsid w:val="00CF157E"/>
    <w:rsid w:val="00CF1834"/>
    <w:rsid w:val="00CF1AAA"/>
    <w:rsid w:val="00CF1CE0"/>
    <w:rsid w:val="00CF1EC2"/>
    <w:rsid w:val="00CF2ACF"/>
    <w:rsid w:val="00CF345B"/>
    <w:rsid w:val="00CF46B9"/>
    <w:rsid w:val="00CF475F"/>
    <w:rsid w:val="00CF4FEB"/>
    <w:rsid w:val="00CF5008"/>
    <w:rsid w:val="00CF5069"/>
    <w:rsid w:val="00CF56B1"/>
    <w:rsid w:val="00CF5E34"/>
    <w:rsid w:val="00CF7385"/>
    <w:rsid w:val="00CF7B77"/>
    <w:rsid w:val="00CF7DF5"/>
    <w:rsid w:val="00D01897"/>
    <w:rsid w:val="00D01C22"/>
    <w:rsid w:val="00D0352D"/>
    <w:rsid w:val="00D03F7C"/>
    <w:rsid w:val="00D04406"/>
    <w:rsid w:val="00D0480C"/>
    <w:rsid w:val="00D04F01"/>
    <w:rsid w:val="00D04F8B"/>
    <w:rsid w:val="00D054EF"/>
    <w:rsid w:val="00D05637"/>
    <w:rsid w:val="00D05BA9"/>
    <w:rsid w:val="00D05EB1"/>
    <w:rsid w:val="00D064D1"/>
    <w:rsid w:val="00D0650B"/>
    <w:rsid w:val="00D0659F"/>
    <w:rsid w:val="00D06E71"/>
    <w:rsid w:val="00D0714B"/>
    <w:rsid w:val="00D0764E"/>
    <w:rsid w:val="00D07D82"/>
    <w:rsid w:val="00D100E5"/>
    <w:rsid w:val="00D10327"/>
    <w:rsid w:val="00D10BE1"/>
    <w:rsid w:val="00D11FE3"/>
    <w:rsid w:val="00D12945"/>
    <w:rsid w:val="00D1343A"/>
    <w:rsid w:val="00D13D50"/>
    <w:rsid w:val="00D14101"/>
    <w:rsid w:val="00D14919"/>
    <w:rsid w:val="00D14E25"/>
    <w:rsid w:val="00D160C4"/>
    <w:rsid w:val="00D165D8"/>
    <w:rsid w:val="00D1724E"/>
    <w:rsid w:val="00D1789C"/>
    <w:rsid w:val="00D17C26"/>
    <w:rsid w:val="00D200DB"/>
    <w:rsid w:val="00D206F6"/>
    <w:rsid w:val="00D20784"/>
    <w:rsid w:val="00D20FD1"/>
    <w:rsid w:val="00D21E6F"/>
    <w:rsid w:val="00D2371E"/>
    <w:rsid w:val="00D237E0"/>
    <w:rsid w:val="00D23A17"/>
    <w:rsid w:val="00D25676"/>
    <w:rsid w:val="00D259B0"/>
    <w:rsid w:val="00D27129"/>
    <w:rsid w:val="00D279E7"/>
    <w:rsid w:val="00D27F75"/>
    <w:rsid w:val="00D3046D"/>
    <w:rsid w:val="00D30497"/>
    <w:rsid w:val="00D30B67"/>
    <w:rsid w:val="00D30F5F"/>
    <w:rsid w:val="00D31B07"/>
    <w:rsid w:val="00D31B9D"/>
    <w:rsid w:val="00D32FA0"/>
    <w:rsid w:val="00D33112"/>
    <w:rsid w:val="00D331CB"/>
    <w:rsid w:val="00D34128"/>
    <w:rsid w:val="00D3497A"/>
    <w:rsid w:val="00D364A5"/>
    <w:rsid w:val="00D36BB8"/>
    <w:rsid w:val="00D374D0"/>
    <w:rsid w:val="00D401A1"/>
    <w:rsid w:val="00D40217"/>
    <w:rsid w:val="00D40385"/>
    <w:rsid w:val="00D404CE"/>
    <w:rsid w:val="00D40E8F"/>
    <w:rsid w:val="00D412BF"/>
    <w:rsid w:val="00D417C6"/>
    <w:rsid w:val="00D42B0C"/>
    <w:rsid w:val="00D42D6E"/>
    <w:rsid w:val="00D43BC9"/>
    <w:rsid w:val="00D43DEF"/>
    <w:rsid w:val="00D44259"/>
    <w:rsid w:val="00D45DDC"/>
    <w:rsid w:val="00D472E3"/>
    <w:rsid w:val="00D4752E"/>
    <w:rsid w:val="00D47DC2"/>
    <w:rsid w:val="00D5064C"/>
    <w:rsid w:val="00D50C94"/>
    <w:rsid w:val="00D5251C"/>
    <w:rsid w:val="00D525B8"/>
    <w:rsid w:val="00D52F56"/>
    <w:rsid w:val="00D539DA"/>
    <w:rsid w:val="00D54A50"/>
    <w:rsid w:val="00D5538D"/>
    <w:rsid w:val="00D5556D"/>
    <w:rsid w:val="00D55AEE"/>
    <w:rsid w:val="00D55C81"/>
    <w:rsid w:val="00D5674B"/>
    <w:rsid w:val="00D56AA2"/>
    <w:rsid w:val="00D56B56"/>
    <w:rsid w:val="00D56BF5"/>
    <w:rsid w:val="00D56CC3"/>
    <w:rsid w:val="00D56F99"/>
    <w:rsid w:val="00D5714C"/>
    <w:rsid w:val="00D5743F"/>
    <w:rsid w:val="00D605C2"/>
    <w:rsid w:val="00D60733"/>
    <w:rsid w:val="00D61E1D"/>
    <w:rsid w:val="00D629A4"/>
    <w:rsid w:val="00D62BDF"/>
    <w:rsid w:val="00D6312D"/>
    <w:rsid w:val="00D64345"/>
    <w:rsid w:val="00D64F1C"/>
    <w:rsid w:val="00D651CE"/>
    <w:rsid w:val="00D6570C"/>
    <w:rsid w:val="00D65A89"/>
    <w:rsid w:val="00D65F4B"/>
    <w:rsid w:val="00D66F50"/>
    <w:rsid w:val="00D673E0"/>
    <w:rsid w:val="00D675B0"/>
    <w:rsid w:val="00D678BB"/>
    <w:rsid w:val="00D67D81"/>
    <w:rsid w:val="00D67F85"/>
    <w:rsid w:val="00D700BF"/>
    <w:rsid w:val="00D70170"/>
    <w:rsid w:val="00D70552"/>
    <w:rsid w:val="00D70C42"/>
    <w:rsid w:val="00D70D42"/>
    <w:rsid w:val="00D71285"/>
    <w:rsid w:val="00D71ABC"/>
    <w:rsid w:val="00D71FAC"/>
    <w:rsid w:val="00D721C5"/>
    <w:rsid w:val="00D72454"/>
    <w:rsid w:val="00D72850"/>
    <w:rsid w:val="00D72A44"/>
    <w:rsid w:val="00D72A5B"/>
    <w:rsid w:val="00D72D47"/>
    <w:rsid w:val="00D73CD4"/>
    <w:rsid w:val="00D73F06"/>
    <w:rsid w:val="00D740B2"/>
    <w:rsid w:val="00D74247"/>
    <w:rsid w:val="00D743F1"/>
    <w:rsid w:val="00D744F1"/>
    <w:rsid w:val="00D7456E"/>
    <w:rsid w:val="00D753A9"/>
    <w:rsid w:val="00D755F7"/>
    <w:rsid w:val="00D75E4B"/>
    <w:rsid w:val="00D769E7"/>
    <w:rsid w:val="00D77AF6"/>
    <w:rsid w:val="00D804C5"/>
    <w:rsid w:val="00D80FDE"/>
    <w:rsid w:val="00D81A28"/>
    <w:rsid w:val="00D81A52"/>
    <w:rsid w:val="00D82B00"/>
    <w:rsid w:val="00D82BE4"/>
    <w:rsid w:val="00D82E05"/>
    <w:rsid w:val="00D8313F"/>
    <w:rsid w:val="00D838BE"/>
    <w:rsid w:val="00D83C0D"/>
    <w:rsid w:val="00D84392"/>
    <w:rsid w:val="00D846B5"/>
    <w:rsid w:val="00D8665E"/>
    <w:rsid w:val="00D869C1"/>
    <w:rsid w:val="00D86EC6"/>
    <w:rsid w:val="00D87418"/>
    <w:rsid w:val="00D876AF"/>
    <w:rsid w:val="00D87A39"/>
    <w:rsid w:val="00D87FE6"/>
    <w:rsid w:val="00D90BC3"/>
    <w:rsid w:val="00D90DB9"/>
    <w:rsid w:val="00D90FF7"/>
    <w:rsid w:val="00D91001"/>
    <w:rsid w:val="00D91337"/>
    <w:rsid w:val="00D915C9"/>
    <w:rsid w:val="00D918DA"/>
    <w:rsid w:val="00D9198F"/>
    <w:rsid w:val="00D91FCB"/>
    <w:rsid w:val="00D92078"/>
    <w:rsid w:val="00D92A87"/>
    <w:rsid w:val="00D9384E"/>
    <w:rsid w:val="00D93862"/>
    <w:rsid w:val="00D93AEE"/>
    <w:rsid w:val="00D9413E"/>
    <w:rsid w:val="00D94C8D"/>
    <w:rsid w:val="00D96698"/>
    <w:rsid w:val="00D96876"/>
    <w:rsid w:val="00D96940"/>
    <w:rsid w:val="00D969AD"/>
    <w:rsid w:val="00D96B12"/>
    <w:rsid w:val="00D96F59"/>
    <w:rsid w:val="00DA01DC"/>
    <w:rsid w:val="00DA099C"/>
    <w:rsid w:val="00DA0F18"/>
    <w:rsid w:val="00DA2125"/>
    <w:rsid w:val="00DA21EC"/>
    <w:rsid w:val="00DA24DE"/>
    <w:rsid w:val="00DA270C"/>
    <w:rsid w:val="00DA281F"/>
    <w:rsid w:val="00DA4A61"/>
    <w:rsid w:val="00DA61AB"/>
    <w:rsid w:val="00DA61CD"/>
    <w:rsid w:val="00DA65F4"/>
    <w:rsid w:val="00DA6EE2"/>
    <w:rsid w:val="00DA78CF"/>
    <w:rsid w:val="00DA78D5"/>
    <w:rsid w:val="00DA7A89"/>
    <w:rsid w:val="00DA7BF4"/>
    <w:rsid w:val="00DA7D1E"/>
    <w:rsid w:val="00DB00F7"/>
    <w:rsid w:val="00DB052F"/>
    <w:rsid w:val="00DB0D2C"/>
    <w:rsid w:val="00DB107D"/>
    <w:rsid w:val="00DB149F"/>
    <w:rsid w:val="00DB14D3"/>
    <w:rsid w:val="00DB154B"/>
    <w:rsid w:val="00DB1632"/>
    <w:rsid w:val="00DB1BDC"/>
    <w:rsid w:val="00DB2A95"/>
    <w:rsid w:val="00DB3490"/>
    <w:rsid w:val="00DB3593"/>
    <w:rsid w:val="00DB395F"/>
    <w:rsid w:val="00DB440B"/>
    <w:rsid w:val="00DB4426"/>
    <w:rsid w:val="00DB468E"/>
    <w:rsid w:val="00DB480F"/>
    <w:rsid w:val="00DB4B40"/>
    <w:rsid w:val="00DB4F12"/>
    <w:rsid w:val="00DB4F21"/>
    <w:rsid w:val="00DB5184"/>
    <w:rsid w:val="00DB5F7A"/>
    <w:rsid w:val="00DB6006"/>
    <w:rsid w:val="00DB6D32"/>
    <w:rsid w:val="00DB6F96"/>
    <w:rsid w:val="00DB71B9"/>
    <w:rsid w:val="00DC0281"/>
    <w:rsid w:val="00DC1395"/>
    <w:rsid w:val="00DC32FC"/>
    <w:rsid w:val="00DC3D89"/>
    <w:rsid w:val="00DC41B1"/>
    <w:rsid w:val="00DC4567"/>
    <w:rsid w:val="00DC4F47"/>
    <w:rsid w:val="00DC5BD0"/>
    <w:rsid w:val="00DC5BE2"/>
    <w:rsid w:val="00DC628E"/>
    <w:rsid w:val="00DC6747"/>
    <w:rsid w:val="00DC6AF3"/>
    <w:rsid w:val="00DC7608"/>
    <w:rsid w:val="00DC761E"/>
    <w:rsid w:val="00DC7CFC"/>
    <w:rsid w:val="00DD09F2"/>
    <w:rsid w:val="00DD100E"/>
    <w:rsid w:val="00DD1205"/>
    <w:rsid w:val="00DD15EE"/>
    <w:rsid w:val="00DD1633"/>
    <w:rsid w:val="00DD2831"/>
    <w:rsid w:val="00DD2A6D"/>
    <w:rsid w:val="00DD42DE"/>
    <w:rsid w:val="00DD4309"/>
    <w:rsid w:val="00DD4344"/>
    <w:rsid w:val="00DD573B"/>
    <w:rsid w:val="00DD5A1E"/>
    <w:rsid w:val="00DD5B8C"/>
    <w:rsid w:val="00DD5BEE"/>
    <w:rsid w:val="00DD5DFA"/>
    <w:rsid w:val="00DE0229"/>
    <w:rsid w:val="00DE1326"/>
    <w:rsid w:val="00DE148C"/>
    <w:rsid w:val="00DE1A9D"/>
    <w:rsid w:val="00DE1CB1"/>
    <w:rsid w:val="00DE2073"/>
    <w:rsid w:val="00DE2B27"/>
    <w:rsid w:val="00DE30AC"/>
    <w:rsid w:val="00DE4106"/>
    <w:rsid w:val="00DE466B"/>
    <w:rsid w:val="00DE48F4"/>
    <w:rsid w:val="00DE5563"/>
    <w:rsid w:val="00DE5D48"/>
    <w:rsid w:val="00DE6A47"/>
    <w:rsid w:val="00DE6E4D"/>
    <w:rsid w:val="00DE7371"/>
    <w:rsid w:val="00DE7498"/>
    <w:rsid w:val="00DE75EF"/>
    <w:rsid w:val="00DE7611"/>
    <w:rsid w:val="00DF05A0"/>
    <w:rsid w:val="00DF1BA8"/>
    <w:rsid w:val="00DF1F63"/>
    <w:rsid w:val="00DF28F2"/>
    <w:rsid w:val="00DF2BFF"/>
    <w:rsid w:val="00DF3798"/>
    <w:rsid w:val="00DF4FF1"/>
    <w:rsid w:val="00DF6FD2"/>
    <w:rsid w:val="00DF72EF"/>
    <w:rsid w:val="00DF7724"/>
    <w:rsid w:val="00E00956"/>
    <w:rsid w:val="00E00C1E"/>
    <w:rsid w:val="00E00F5F"/>
    <w:rsid w:val="00E014E7"/>
    <w:rsid w:val="00E0232F"/>
    <w:rsid w:val="00E026A9"/>
    <w:rsid w:val="00E0356F"/>
    <w:rsid w:val="00E03B42"/>
    <w:rsid w:val="00E03C10"/>
    <w:rsid w:val="00E0479F"/>
    <w:rsid w:val="00E04816"/>
    <w:rsid w:val="00E04D6A"/>
    <w:rsid w:val="00E05950"/>
    <w:rsid w:val="00E05CD4"/>
    <w:rsid w:val="00E06100"/>
    <w:rsid w:val="00E06E97"/>
    <w:rsid w:val="00E10DD1"/>
    <w:rsid w:val="00E11400"/>
    <w:rsid w:val="00E1224C"/>
    <w:rsid w:val="00E1254C"/>
    <w:rsid w:val="00E12BDF"/>
    <w:rsid w:val="00E12D66"/>
    <w:rsid w:val="00E13326"/>
    <w:rsid w:val="00E13E71"/>
    <w:rsid w:val="00E14356"/>
    <w:rsid w:val="00E14961"/>
    <w:rsid w:val="00E14D76"/>
    <w:rsid w:val="00E15485"/>
    <w:rsid w:val="00E15D6C"/>
    <w:rsid w:val="00E161DE"/>
    <w:rsid w:val="00E170C7"/>
    <w:rsid w:val="00E203DE"/>
    <w:rsid w:val="00E20CE7"/>
    <w:rsid w:val="00E217B1"/>
    <w:rsid w:val="00E222FA"/>
    <w:rsid w:val="00E229CE"/>
    <w:rsid w:val="00E22B4A"/>
    <w:rsid w:val="00E2495A"/>
    <w:rsid w:val="00E24A62"/>
    <w:rsid w:val="00E24F52"/>
    <w:rsid w:val="00E25433"/>
    <w:rsid w:val="00E25755"/>
    <w:rsid w:val="00E26D2E"/>
    <w:rsid w:val="00E279B2"/>
    <w:rsid w:val="00E30324"/>
    <w:rsid w:val="00E3055B"/>
    <w:rsid w:val="00E31699"/>
    <w:rsid w:val="00E31812"/>
    <w:rsid w:val="00E31889"/>
    <w:rsid w:val="00E31CE7"/>
    <w:rsid w:val="00E333D5"/>
    <w:rsid w:val="00E3394F"/>
    <w:rsid w:val="00E35A45"/>
    <w:rsid w:val="00E37A6F"/>
    <w:rsid w:val="00E401A6"/>
    <w:rsid w:val="00E40222"/>
    <w:rsid w:val="00E40406"/>
    <w:rsid w:val="00E40BCB"/>
    <w:rsid w:val="00E41DD2"/>
    <w:rsid w:val="00E41F44"/>
    <w:rsid w:val="00E4208F"/>
    <w:rsid w:val="00E43006"/>
    <w:rsid w:val="00E43551"/>
    <w:rsid w:val="00E437FA"/>
    <w:rsid w:val="00E45A2C"/>
    <w:rsid w:val="00E45BBC"/>
    <w:rsid w:val="00E46A9C"/>
    <w:rsid w:val="00E47010"/>
    <w:rsid w:val="00E477ED"/>
    <w:rsid w:val="00E50BDD"/>
    <w:rsid w:val="00E50C25"/>
    <w:rsid w:val="00E50DF3"/>
    <w:rsid w:val="00E510CF"/>
    <w:rsid w:val="00E513D7"/>
    <w:rsid w:val="00E5206C"/>
    <w:rsid w:val="00E52897"/>
    <w:rsid w:val="00E52AAB"/>
    <w:rsid w:val="00E52DF4"/>
    <w:rsid w:val="00E54310"/>
    <w:rsid w:val="00E5448E"/>
    <w:rsid w:val="00E54E0D"/>
    <w:rsid w:val="00E558E5"/>
    <w:rsid w:val="00E56144"/>
    <w:rsid w:val="00E56795"/>
    <w:rsid w:val="00E57932"/>
    <w:rsid w:val="00E606C4"/>
    <w:rsid w:val="00E60811"/>
    <w:rsid w:val="00E60AB8"/>
    <w:rsid w:val="00E63C60"/>
    <w:rsid w:val="00E64050"/>
    <w:rsid w:val="00E6514D"/>
    <w:rsid w:val="00E65161"/>
    <w:rsid w:val="00E652C9"/>
    <w:rsid w:val="00E6593B"/>
    <w:rsid w:val="00E672C6"/>
    <w:rsid w:val="00E70192"/>
    <w:rsid w:val="00E71809"/>
    <w:rsid w:val="00E718D0"/>
    <w:rsid w:val="00E71D1E"/>
    <w:rsid w:val="00E728E2"/>
    <w:rsid w:val="00E738FA"/>
    <w:rsid w:val="00E74A2B"/>
    <w:rsid w:val="00E75667"/>
    <w:rsid w:val="00E756D3"/>
    <w:rsid w:val="00E76004"/>
    <w:rsid w:val="00E760D7"/>
    <w:rsid w:val="00E762A3"/>
    <w:rsid w:val="00E769CC"/>
    <w:rsid w:val="00E77341"/>
    <w:rsid w:val="00E778B8"/>
    <w:rsid w:val="00E80AF8"/>
    <w:rsid w:val="00E816E8"/>
    <w:rsid w:val="00E82592"/>
    <w:rsid w:val="00E827BB"/>
    <w:rsid w:val="00E82D24"/>
    <w:rsid w:val="00E834D4"/>
    <w:rsid w:val="00E8357D"/>
    <w:rsid w:val="00E84212"/>
    <w:rsid w:val="00E84C04"/>
    <w:rsid w:val="00E84F72"/>
    <w:rsid w:val="00E856A2"/>
    <w:rsid w:val="00E8572B"/>
    <w:rsid w:val="00E8575B"/>
    <w:rsid w:val="00E85929"/>
    <w:rsid w:val="00E85AD2"/>
    <w:rsid w:val="00E874BB"/>
    <w:rsid w:val="00E879A8"/>
    <w:rsid w:val="00E87AE5"/>
    <w:rsid w:val="00E87CF7"/>
    <w:rsid w:val="00E87E4D"/>
    <w:rsid w:val="00E9026F"/>
    <w:rsid w:val="00E9036E"/>
    <w:rsid w:val="00E90449"/>
    <w:rsid w:val="00E9078A"/>
    <w:rsid w:val="00E90EBA"/>
    <w:rsid w:val="00E912FD"/>
    <w:rsid w:val="00E92C6E"/>
    <w:rsid w:val="00E92D0B"/>
    <w:rsid w:val="00E93195"/>
    <w:rsid w:val="00E944FE"/>
    <w:rsid w:val="00E9519E"/>
    <w:rsid w:val="00E951D8"/>
    <w:rsid w:val="00E95C2A"/>
    <w:rsid w:val="00E961CB"/>
    <w:rsid w:val="00E963BC"/>
    <w:rsid w:val="00E96E91"/>
    <w:rsid w:val="00E97B36"/>
    <w:rsid w:val="00E97DC6"/>
    <w:rsid w:val="00E97F7A"/>
    <w:rsid w:val="00EA0010"/>
    <w:rsid w:val="00EA0143"/>
    <w:rsid w:val="00EA0400"/>
    <w:rsid w:val="00EA089B"/>
    <w:rsid w:val="00EA0902"/>
    <w:rsid w:val="00EA1A55"/>
    <w:rsid w:val="00EA1D28"/>
    <w:rsid w:val="00EA2686"/>
    <w:rsid w:val="00EA2E21"/>
    <w:rsid w:val="00EA2F07"/>
    <w:rsid w:val="00EA37FA"/>
    <w:rsid w:val="00EA380C"/>
    <w:rsid w:val="00EA3870"/>
    <w:rsid w:val="00EA3C2B"/>
    <w:rsid w:val="00EA7308"/>
    <w:rsid w:val="00EB031B"/>
    <w:rsid w:val="00EB0444"/>
    <w:rsid w:val="00EB089C"/>
    <w:rsid w:val="00EB0AA8"/>
    <w:rsid w:val="00EB0C65"/>
    <w:rsid w:val="00EB1624"/>
    <w:rsid w:val="00EB169F"/>
    <w:rsid w:val="00EB1AE9"/>
    <w:rsid w:val="00EB1E7E"/>
    <w:rsid w:val="00EB2635"/>
    <w:rsid w:val="00EB2961"/>
    <w:rsid w:val="00EB2E1A"/>
    <w:rsid w:val="00EB2F17"/>
    <w:rsid w:val="00EB2F8A"/>
    <w:rsid w:val="00EB3268"/>
    <w:rsid w:val="00EB3298"/>
    <w:rsid w:val="00EB3CE6"/>
    <w:rsid w:val="00EB3E92"/>
    <w:rsid w:val="00EB526B"/>
    <w:rsid w:val="00EB54AB"/>
    <w:rsid w:val="00EB6257"/>
    <w:rsid w:val="00EB68E6"/>
    <w:rsid w:val="00EB71C9"/>
    <w:rsid w:val="00EB76BE"/>
    <w:rsid w:val="00EB7B67"/>
    <w:rsid w:val="00EC07F1"/>
    <w:rsid w:val="00EC1E8A"/>
    <w:rsid w:val="00EC328C"/>
    <w:rsid w:val="00EC5241"/>
    <w:rsid w:val="00EC56E1"/>
    <w:rsid w:val="00EC594C"/>
    <w:rsid w:val="00EC5C7B"/>
    <w:rsid w:val="00EC66AA"/>
    <w:rsid w:val="00EC6B8F"/>
    <w:rsid w:val="00EC7371"/>
    <w:rsid w:val="00EC7A28"/>
    <w:rsid w:val="00EC7B48"/>
    <w:rsid w:val="00ED0257"/>
    <w:rsid w:val="00ED071B"/>
    <w:rsid w:val="00ED1ADE"/>
    <w:rsid w:val="00ED4A77"/>
    <w:rsid w:val="00ED5981"/>
    <w:rsid w:val="00ED6514"/>
    <w:rsid w:val="00ED66B2"/>
    <w:rsid w:val="00ED71BA"/>
    <w:rsid w:val="00ED73A1"/>
    <w:rsid w:val="00ED7CA2"/>
    <w:rsid w:val="00EE00FB"/>
    <w:rsid w:val="00EE13DA"/>
    <w:rsid w:val="00EE1595"/>
    <w:rsid w:val="00EE2087"/>
    <w:rsid w:val="00EE2EA4"/>
    <w:rsid w:val="00EE3384"/>
    <w:rsid w:val="00EE499F"/>
    <w:rsid w:val="00EE56E2"/>
    <w:rsid w:val="00EE5E84"/>
    <w:rsid w:val="00EE6D45"/>
    <w:rsid w:val="00EE6E89"/>
    <w:rsid w:val="00EE7EEC"/>
    <w:rsid w:val="00EF0D4B"/>
    <w:rsid w:val="00EF0FE6"/>
    <w:rsid w:val="00EF10A9"/>
    <w:rsid w:val="00EF1432"/>
    <w:rsid w:val="00EF1511"/>
    <w:rsid w:val="00EF2C5F"/>
    <w:rsid w:val="00EF3AC4"/>
    <w:rsid w:val="00EF3C0C"/>
    <w:rsid w:val="00EF3FF9"/>
    <w:rsid w:val="00EF41AF"/>
    <w:rsid w:val="00EF4DB4"/>
    <w:rsid w:val="00EF53E2"/>
    <w:rsid w:val="00EF55E9"/>
    <w:rsid w:val="00EF5B41"/>
    <w:rsid w:val="00EF611C"/>
    <w:rsid w:val="00EF6A8F"/>
    <w:rsid w:val="00F00630"/>
    <w:rsid w:val="00F00922"/>
    <w:rsid w:val="00F00924"/>
    <w:rsid w:val="00F00AB5"/>
    <w:rsid w:val="00F0132E"/>
    <w:rsid w:val="00F01BE6"/>
    <w:rsid w:val="00F0217A"/>
    <w:rsid w:val="00F026D3"/>
    <w:rsid w:val="00F03395"/>
    <w:rsid w:val="00F033DB"/>
    <w:rsid w:val="00F034E6"/>
    <w:rsid w:val="00F03E4C"/>
    <w:rsid w:val="00F05E02"/>
    <w:rsid w:val="00F06340"/>
    <w:rsid w:val="00F0665D"/>
    <w:rsid w:val="00F06D42"/>
    <w:rsid w:val="00F07134"/>
    <w:rsid w:val="00F0724D"/>
    <w:rsid w:val="00F07378"/>
    <w:rsid w:val="00F10B81"/>
    <w:rsid w:val="00F117A4"/>
    <w:rsid w:val="00F14536"/>
    <w:rsid w:val="00F14591"/>
    <w:rsid w:val="00F145D3"/>
    <w:rsid w:val="00F14961"/>
    <w:rsid w:val="00F14B4B"/>
    <w:rsid w:val="00F14CBF"/>
    <w:rsid w:val="00F14CD1"/>
    <w:rsid w:val="00F15115"/>
    <w:rsid w:val="00F15C81"/>
    <w:rsid w:val="00F15D8C"/>
    <w:rsid w:val="00F15F18"/>
    <w:rsid w:val="00F1650D"/>
    <w:rsid w:val="00F16B86"/>
    <w:rsid w:val="00F16E1A"/>
    <w:rsid w:val="00F16F92"/>
    <w:rsid w:val="00F178AD"/>
    <w:rsid w:val="00F17904"/>
    <w:rsid w:val="00F17C3E"/>
    <w:rsid w:val="00F20197"/>
    <w:rsid w:val="00F20369"/>
    <w:rsid w:val="00F20570"/>
    <w:rsid w:val="00F20607"/>
    <w:rsid w:val="00F208BB"/>
    <w:rsid w:val="00F213D0"/>
    <w:rsid w:val="00F213D8"/>
    <w:rsid w:val="00F2163E"/>
    <w:rsid w:val="00F21760"/>
    <w:rsid w:val="00F2198B"/>
    <w:rsid w:val="00F21A5D"/>
    <w:rsid w:val="00F21C13"/>
    <w:rsid w:val="00F22362"/>
    <w:rsid w:val="00F22796"/>
    <w:rsid w:val="00F2363A"/>
    <w:rsid w:val="00F238F7"/>
    <w:rsid w:val="00F23BA0"/>
    <w:rsid w:val="00F2443F"/>
    <w:rsid w:val="00F254C4"/>
    <w:rsid w:val="00F25641"/>
    <w:rsid w:val="00F256D8"/>
    <w:rsid w:val="00F26065"/>
    <w:rsid w:val="00F266E3"/>
    <w:rsid w:val="00F2689C"/>
    <w:rsid w:val="00F27E44"/>
    <w:rsid w:val="00F30313"/>
    <w:rsid w:val="00F303BC"/>
    <w:rsid w:val="00F317EA"/>
    <w:rsid w:val="00F318A1"/>
    <w:rsid w:val="00F31CF5"/>
    <w:rsid w:val="00F322EF"/>
    <w:rsid w:val="00F3265C"/>
    <w:rsid w:val="00F343EE"/>
    <w:rsid w:val="00F353F4"/>
    <w:rsid w:val="00F35494"/>
    <w:rsid w:val="00F35607"/>
    <w:rsid w:val="00F35D47"/>
    <w:rsid w:val="00F35DBA"/>
    <w:rsid w:val="00F36175"/>
    <w:rsid w:val="00F3619D"/>
    <w:rsid w:val="00F36EC1"/>
    <w:rsid w:val="00F3722A"/>
    <w:rsid w:val="00F37366"/>
    <w:rsid w:val="00F37C99"/>
    <w:rsid w:val="00F40747"/>
    <w:rsid w:val="00F419B8"/>
    <w:rsid w:val="00F41C0F"/>
    <w:rsid w:val="00F42856"/>
    <w:rsid w:val="00F43777"/>
    <w:rsid w:val="00F43A4C"/>
    <w:rsid w:val="00F4482B"/>
    <w:rsid w:val="00F44F02"/>
    <w:rsid w:val="00F450EC"/>
    <w:rsid w:val="00F4526B"/>
    <w:rsid w:val="00F45F64"/>
    <w:rsid w:val="00F462DF"/>
    <w:rsid w:val="00F4662D"/>
    <w:rsid w:val="00F467BA"/>
    <w:rsid w:val="00F4689E"/>
    <w:rsid w:val="00F468AC"/>
    <w:rsid w:val="00F46A5F"/>
    <w:rsid w:val="00F47316"/>
    <w:rsid w:val="00F47507"/>
    <w:rsid w:val="00F47A01"/>
    <w:rsid w:val="00F47CEE"/>
    <w:rsid w:val="00F5052D"/>
    <w:rsid w:val="00F50C7C"/>
    <w:rsid w:val="00F5184B"/>
    <w:rsid w:val="00F51A82"/>
    <w:rsid w:val="00F51B78"/>
    <w:rsid w:val="00F5254B"/>
    <w:rsid w:val="00F52668"/>
    <w:rsid w:val="00F53A44"/>
    <w:rsid w:val="00F53E96"/>
    <w:rsid w:val="00F54E5E"/>
    <w:rsid w:val="00F551DB"/>
    <w:rsid w:val="00F559BE"/>
    <w:rsid w:val="00F561DD"/>
    <w:rsid w:val="00F56FEF"/>
    <w:rsid w:val="00F57521"/>
    <w:rsid w:val="00F60938"/>
    <w:rsid w:val="00F60C7E"/>
    <w:rsid w:val="00F60E0A"/>
    <w:rsid w:val="00F60ECE"/>
    <w:rsid w:val="00F61606"/>
    <w:rsid w:val="00F61918"/>
    <w:rsid w:val="00F61C45"/>
    <w:rsid w:val="00F62066"/>
    <w:rsid w:val="00F62151"/>
    <w:rsid w:val="00F62CA8"/>
    <w:rsid w:val="00F630B4"/>
    <w:rsid w:val="00F635EF"/>
    <w:rsid w:val="00F63BF4"/>
    <w:rsid w:val="00F63C55"/>
    <w:rsid w:val="00F63C60"/>
    <w:rsid w:val="00F64991"/>
    <w:rsid w:val="00F65BA9"/>
    <w:rsid w:val="00F65BC8"/>
    <w:rsid w:val="00F66205"/>
    <w:rsid w:val="00F6630F"/>
    <w:rsid w:val="00F66419"/>
    <w:rsid w:val="00F67362"/>
    <w:rsid w:val="00F67B58"/>
    <w:rsid w:val="00F67E81"/>
    <w:rsid w:val="00F71C68"/>
    <w:rsid w:val="00F724E2"/>
    <w:rsid w:val="00F72764"/>
    <w:rsid w:val="00F74103"/>
    <w:rsid w:val="00F745A4"/>
    <w:rsid w:val="00F74C0C"/>
    <w:rsid w:val="00F751E1"/>
    <w:rsid w:val="00F75BB5"/>
    <w:rsid w:val="00F75FD5"/>
    <w:rsid w:val="00F7604C"/>
    <w:rsid w:val="00F773A9"/>
    <w:rsid w:val="00F8130C"/>
    <w:rsid w:val="00F81623"/>
    <w:rsid w:val="00F81D19"/>
    <w:rsid w:val="00F81D25"/>
    <w:rsid w:val="00F826FC"/>
    <w:rsid w:val="00F829B9"/>
    <w:rsid w:val="00F83045"/>
    <w:rsid w:val="00F83615"/>
    <w:rsid w:val="00F8421D"/>
    <w:rsid w:val="00F85329"/>
    <w:rsid w:val="00F86079"/>
    <w:rsid w:val="00F87282"/>
    <w:rsid w:val="00F878CD"/>
    <w:rsid w:val="00F87905"/>
    <w:rsid w:val="00F90C1F"/>
    <w:rsid w:val="00F910AF"/>
    <w:rsid w:val="00F91A44"/>
    <w:rsid w:val="00F9217B"/>
    <w:rsid w:val="00F941E2"/>
    <w:rsid w:val="00F94A11"/>
    <w:rsid w:val="00F951DF"/>
    <w:rsid w:val="00F96655"/>
    <w:rsid w:val="00F9719A"/>
    <w:rsid w:val="00F97A34"/>
    <w:rsid w:val="00F97E4A"/>
    <w:rsid w:val="00F97EA1"/>
    <w:rsid w:val="00FA03BA"/>
    <w:rsid w:val="00FA05C8"/>
    <w:rsid w:val="00FA0678"/>
    <w:rsid w:val="00FA0DB6"/>
    <w:rsid w:val="00FA23F7"/>
    <w:rsid w:val="00FA27EB"/>
    <w:rsid w:val="00FA3EBC"/>
    <w:rsid w:val="00FA423C"/>
    <w:rsid w:val="00FA44D0"/>
    <w:rsid w:val="00FA55A2"/>
    <w:rsid w:val="00FA672F"/>
    <w:rsid w:val="00FA7792"/>
    <w:rsid w:val="00FA7AA8"/>
    <w:rsid w:val="00FA7F1D"/>
    <w:rsid w:val="00FB0D60"/>
    <w:rsid w:val="00FB2BF5"/>
    <w:rsid w:val="00FB2F8E"/>
    <w:rsid w:val="00FB30C3"/>
    <w:rsid w:val="00FB39B0"/>
    <w:rsid w:val="00FB3AC7"/>
    <w:rsid w:val="00FB44CA"/>
    <w:rsid w:val="00FB5138"/>
    <w:rsid w:val="00FB55B4"/>
    <w:rsid w:val="00FB5A71"/>
    <w:rsid w:val="00FB7823"/>
    <w:rsid w:val="00FC05B2"/>
    <w:rsid w:val="00FC08B3"/>
    <w:rsid w:val="00FC09D7"/>
    <w:rsid w:val="00FC22D0"/>
    <w:rsid w:val="00FC38D4"/>
    <w:rsid w:val="00FC391E"/>
    <w:rsid w:val="00FC3BB7"/>
    <w:rsid w:val="00FC412D"/>
    <w:rsid w:val="00FC4345"/>
    <w:rsid w:val="00FC444A"/>
    <w:rsid w:val="00FC453D"/>
    <w:rsid w:val="00FC4A89"/>
    <w:rsid w:val="00FC665F"/>
    <w:rsid w:val="00FC6D59"/>
    <w:rsid w:val="00FC78F5"/>
    <w:rsid w:val="00FC7AD2"/>
    <w:rsid w:val="00FC7FC0"/>
    <w:rsid w:val="00FD0130"/>
    <w:rsid w:val="00FD10B3"/>
    <w:rsid w:val="00FD11C3"/>
    <w:rsid w:val="00FD154E"/>
    <w:rsid w:val="00FD24D7"/>
    <w:rsid w:val="00FD29CE"/>
    <w:rsid w:val="00FD3AE2"/>
    <w:rsid w:val="00FD3E41"/>
    <w:rsid w:val="00FD5AE4"/>
    <w:rsid w:val="00FD5F25"/>
    <w:rsid w:val="00FD60BE"/>
    <w:rsid w:val="00FD6894"/>
    <w:rsid w:val="00FD6AF0"/>
    <w:rsid w:val="00FD6B07"/>
    <w:rsid w:val="00FD704D"/>
    <w:rsid w:val="00FD79B8"/>
    <w:rsid w:val="00FE09BE"/>
    <w:rsid w:val="00FE0AD1"/>
    <w:rsid w:val="00FE1852"/>
    <w:rsid w:val="00FE2532"/>
    <w:rsid w:val="00FE289B"/>
    <w:rsid w:val="00FE32B7"/>
    <w:rsid w:val="00FE33DB"/>
    <w:rsid w:val="00FE33F5"/>
    <w:rsid w:val="00FE37DD"/>
    <w:rsid w:val="00FE3C31"/>
    <w:rsid w:val="00FE4015"/>
    <w:rsid w:val="00FE44F5"/>
    <w:rsid w:val="00FE4783"/>
    <w:rsid w:val="00FE480D"/>
    <w:rsid w:val="00FE4ACC"/>
    <w:rsid w:val="00FE7DD1"/>
    <w:rsid w:val="00FF0B4F"/>
    <w:rsid w:val="00FF0B70"/>
    <w:rsid w:val="00FF1814"/>
    <w:rsid w:val="00FF1A06"/>
    <w:rsid w:val="00FF1AD3"/>
    <w:rsid w:val="00FF1B46"/>
    <w:rsid w:val="00FF219D"/>
    <w:rsid w:val="00FF2BB3"/>
    <w:rsid w:val="00FF2C3A"/>
    <w:rsid w:val="00FF48D2"/>
    <w:rsid w:val="00FF49B4"/>
    <w:rsid w:val="00FF49F4"/>
    <w:rsid w:val="00FF651D"/>
    <w:rsid w:val="00FF6843"/>
    <w:rsid w:val="00FF7724"/>
    <w:rsid w:val="00FF78E2"/>
    <w:rsid w:val="010651D9"/>
    <w:rsid w:val="01202A51"/>
    <w:rsid w:val="01204575"/>
    <w:rsid w:val="01A7647D"/>
    <w:rsid w:val="01C27E99"/>
    <w:rsid w:val="01DF79C5"/>
    <w:rsid w:val="025502F9"/>
    <w:rsid w:val="02E66B31"/>
    <w:rsid w:val="03DD35E4"/>
    <w:rsid w:val="03E45C6D"/>
    <w:rsid w:val="042038D1"/>
    <w:rsid w:val="04414865"/>
    <w:rsid w:val="04D408FB"/>
    <w:rsid w:val="05927CC1"/>
    <w:rsid w:val="05AA53DA"/>
    <w:rsid w:val="06283F63"/>
    <w:rsid w:val="065A6178"/>
    <w:rsid w:val="06776037"/>
    <w:rsid w:val="067A0837"/>
    <w:rsid w:val="069209B2"/>
    <w:rsid w:val="07B51E6B"/>
    <w:rsid w:val="082A70B9"/>
    <w:rsid w:val="088F355B"/>
    <w:rsid w:val="08CF3460"/>
    <w:rsid w:val="08DC1E32"/>
    <w:rsid w:val="08E45242"/>
    <w:rsid w:val="09A432A2"/>
    <w:rsid w:val="0A0F27DE"/>
    <w:rsid w:val="0A5B7E63"/>
    <w:rsid w:val="0A9D4A91"/>
    <w:rsid w:val="0AA46D50"/>
    <w:rsid w:val="0AB3379D"/>
    <w:rsid w:val="0B482A41"/>
    <w:rsid w:val="0B5909B4"/>
    <w:rsid w:val="0BF50081"/>
    <w:rsid w:val="0C2053F6"/>
    <w:rsid w:val="0C87121B"/>
    <w:rsid w:val="0C88680E"/>
    <w:rsid w:val="0CCF4115"/>
    <w:rsid w:val="0D5A05B1"/>
    <w:rsid w:val="0D5F0C58"/>
    <w:rsid w:val="0D6B4803"/>
    <w:rsid w:val="0D771D70"/>
    <w:rsid w:val="0DF702FE"/>
    <w:rsid w:val="0E091442"/>
    <w:rsid w:val="0EA359BF"/>
    <w:rsid w:val="0F0528B4"/>
    <w:rsid w:val="0F0A35B9"/>
    <w:rsid w:val="0F816ACD"/>
    <w:rsid w:val="0FA270BA"/>
    <w:rsid w:val="0FF1039F"/>
    <w:rsid w:val="1009346D"/>
    <w:rsid w:val="10482BD9"/>
    <w:rsid w:val="107F16E0"/>
    <w:rsid w:val="10FB6ED7"/>
    <w:rsid w:val="10FC16EA"/>
    <w:rsid w:val="110620B2"/>
    <w:rsid w:val="11163000"/>
    <w:rsid w:val="11847F8E"/>
    <w:rsid w:val="118963A1"/>
    <w:rsid w:val="11E903EC"/>
    <w:rsid w:val="12326A2D"/>
    <w:rsid w:val="123A3009"/>
    <w:rsid w:val="127723A9"/>
    <w:rsid w:val="128D6F5E"/>
    <w:rsid w:val="13072A44"/>
    <w:rsid w:val="13303AC5"/>
    <w:rsid w:val="13462F97"/>
    <w:rsid w:val="13640F25"/>
    <w:rsid w:val="138527B2"/>
    <w:rsid w:val="13986314"/>
    <w:rsid w:val="14122296"/>
    <w:rsid w:val="14184776"/>
    <w:rsid w:val="142B7220"/>
    <w:rsid w:val="147E4E1C"/>
    <w:rsid w:val="14D02DA7"/>
    <w:rsid w:val="14E21050"/>
    <w:rsid w:val="152E483E"/>
    <w:rsid w:val="15A42F1A"/>
    <w:rsid w:val="15CF5AE0"/>
    <w:rsid w:val="15E94F3A"/>
    <w:rsid w:val="15F84773"/>
    <w:rsid w:val="15FC6940"/>
    <w:rsid w:val="16451DF3"/>
    <w:rsid w:val="16F0570B"/>
    <w:rsid w:val="16F848F6"/>
    <w:rsid w:val="17701351"/>
    <w:rsid w:val="17DF5516"/>
    <w:rsid w:val="17FB25BB"/>
    <w:rsid w:val="182F595F"/>
    <w:rsid w:val="18D938E6"/>
    <w:rsid w:val="18F338FE"/>
    <w:rsid w:val="19FD6839"/>
    <w:rsid w:val="1A27385F"/>
    <w:rsid w:val="1A4563DB"/>
    <w:rsid w:val="1A91414C"/>
    <w:rsid w:val="1AB32061"/>
    <w:rsid w:val="1ACF1E76"/>
    <w:rsid w:val="1AE05A27"/>
    <w:rsid w:val="1B2A271F"/>
    <w:rsid w:val="1B724387"/>
    <w:rsid w:val="1B7E7DF7"/>
    <w:rsid w:val="1BB457E0"/>
    <w:rsid w:val="1BB6133F"/>
    <w:rsid w:val="1BF35191"/>
    <w:rsid w:val="1C3A5553"/>
    <w:rsid w:val="1CE209B9"/>
    <w:rsid w:val="1D236A29"/>
    <w:rsid w:val="1D266CE1"/>
    <w:rsid w:val="1D3963AF"/>
    <w:rsid w:val="1DA7332B"/>
    <w:rsid w:val="1DB41D02"/>
    <w:rsid w:val="1E022140"/>
    <w:rsid w:val="1E093CD7"/>
    <w:rsid w:val="1E217115"/>
    <w:rsid w:val="1E2930EA"/>
    <w:rsid w:val="1E714A66"/>
    <w:rsid w:val="1EB7510C"/>
    <w:rsid w:val="1EC46F2F"/>
    <w:rsid w:val="1EE42987"/>
    <w:rsid w:val="1EF57D12"/>
    <w:rsid w:val="1F743F54"/>
    <w:rsid w:val="1F927DC1"/>
    <w:rsid w:val="1FA92F69"/>
    <w:rsid w:val="1FB66BCA"/>
    <w:rsid w:val="1FE868A9"/>
    <w:rsid w:val="21236ACA"/>
    <w:rsid w:val="22B059C4"/>
    <w:rsid w:val="22BB723B"/>
    <w:rsid w:val="22BC6537"/>
    <w:rsid w:val="22D965D2"/>
    <w:rsid w:val="2329689A"/>
    <w:rsid w:val="23E44A61"/>
    <w:rsid w:val="24142B0B"/>
    <w:rsid w:val="242146F3"/>
    <w:rsid w:val="248544AB"/>
    <w:rsid w:val="254C0DA2"/>
    <w:rsid w:val="25660F04"/>
    <w:rsid w:val="25740E92"/>
    <w:rsid w:val="25E92311"/>
    <w:rsid w:val="262025D5"/>
    <w:rsid w:val="262B2D33"/>
    <w:rsid w:val="267A47F1"/>
    <w:rsid w:val="272824C4"/>
    <w:rsid w:val="273D2914"/>
    <w:rsid w:val="274F43F6"/>
    <w:rsid w:val="28031899"/>
    <w:rsid w:val="284303FE"/>
    <w:rsid w:val="28461E7C"/>
    <w:rsid w:val="287D2559"/>
    <w:rsid w:val="28C84AB6"/>
    <w:rsid w:val="28DC04D3"/>
    <w:rsid w:val="29177195"/>
    <w:rsid w:val="29C9741A"/>
    <w:rsid w:val="2B1343D9"/>
    <w:rsid w:val="2B3B63C9"/>
    <w:rsid w:val="2B574474"/>
    <w:rsid w:val="2BA137CB"/>
    <w:rsid w:val="2BF10171"/>
    <w:rsid w:val="2C58452B"/>
    <w:rsid w:val="2C76065F"/>
    <w:rsid w:val="2C800C4F"/>
    <w:rsid w:val="2CA23219"/>
    <w:rsid w:val="2CB4675C"/>
    <w:rsid w:val="2CE136D7"/>
    <w:rsid w:val="2CEC7352"/>
    <w:rsid w:val="2D594220"/>
    <w:rsid w:val="2DC7118A"/>
    <w:rsid w:val="2DD15014"/>
    <w:rsid w:val="2E1879D8"/>
    <w:rsid w:val="2E693FEF"/>
    <w:rsid w:val="2F8F26BD"/>
    <w:rsid w:val="2FCD0837"/>
    <w:rsid w:val="2FD25781"/>
    <w:rsid w:val="2FEF49EE"/>
    <w:rsid w:val="30254666"/>
    <w:rsid w:val="302679EF"/>
    <w:rsid w:val="302A1EA4"/>
    <w:rsid w:val="30D95FD3"/>
    <w:rsid w:val="31134E7C"/>
    <w:rsid w:val="313268CB"/>
    <w:rsid w:val="319C6071"/>
    <w:rsid w:val="31B373CF"/>
    <w:rsid w:val="328E7F43"/>
    <w:rsid w:val="32A82BF5"/>
    <w:rsid w:val="3310223A"/>
    <w:rsid w:val="332E4BC7"/>
    <w:rsid w:val="33487709"/>
    <w:rsid w:val="33914F66"/>
    <w:rsid w:val="33D526F6"/>
    <w:rsid w:val="342E63AB"/>
    <w:rsid w:val="346426BD"/>
    <w:rsid w:val="34757781"/>
    <w:rsid w:val="349B2321"/>
    <w:rsid w:val="34BB3D03"/>
    <w:rsid w:val="34D06249"/>
    <w:rsid w:val="34EF0B35"/>
    <w:rsid w:val="34FA5F7D"/>
    <w:rsid w:val="35467460"/>
    <w:rsid w:val="35953DE7"/>
    <w:rsid w:val="35AA386B"/>
    <w:rsid w:val="35FE2F11"/>
    <w:rsid w:val="361404A1"/>
    <w:rsid w:val="365302AE"/>
    <w:rsid w:val="367F45F6"/>
    <w:rsid w:val="374301D8"/>
    <w:rsid w:val="37730057"/>
    <w:rsid w:val="37DE3B35"/>
    <w:rsid w:val="38D5369C"/>
    <w:rsid w:val="393F295C"/>
    <w:rsid w:val="39884078"/>
    <w:rsid w:val="39D85952"/>
    <w:rsid w:val="3A1A2589"/>
    <w:rsid w:val="3A2B507B"/>
    <w:rsid w:val="3A4C3CE3"/>
    <w:rsid w:val="3AA84995"/>
    <w:rsid w:val="3B3C53EC"/>
    <w:rsid w:val="3B5F1F13"/>
    <w:rsid w:val="3B7A4728"/>
    <w:rsid w:val="3BC532B5"/>
    <w:rsid w:val="3C4A0221"/>
    <w:rsid w:val="3C5F759A"/>
    <w:rsid w:val="3CCE44E4"/>
    <w:rsid w:val="3DBB6A6C"/>
    <w:rsid w:val="3EBE1982"/>
    <w:rsid w:val="3F0C1519"/>
    <w:rsid w:val="406F3341"/>
    <w:rsid w:val="40894BF9"/>
    <w:rsid w:val="408A54F0"/>
    <w:rsid w:val="40A545D1"/>
    <w:rsid w:val="413B181B"/>
    <w:rsid w:val="41845972"/>
    <w:rsid w:val="41B55CEB"/>
    <w:rsid w:val="422C2C02"/>
    <w:rsid w:val="424405F6"/>
    <w:rsid w:val="42E1381E"/>
    <w:rsid w:val="43486471"/>
    <w:rsid w:val="434C1C7B"/>
    <w:rsid w:val="43C01432"/>
    <w:rsid w:val="43D41789"/>
    <w:rsid w:val="44123E6F"/>
    <w:rsid w:val="45354E74"/>
    <w:rsid w:val="457A50EF"/>
    <w:rsid w:val="464A50DA"/>
    <w:rsid w:val="46FD5548"/>
    <w:rsid w:val="47490A0A"/>
    <w:rsid w:val="47BC1B2E"/>
    <w:rsid w:val="47CF2EA1"/>
    <w:rsid w:val="47DD7AD0"/>
    <w:rsid w:val="47E50C20"/>
    <w:rsid w:val="48010ED3"/>
    <w:rsid w:val="487F0CA6"/>
    <w:rsid w:val="489B5295"/>
    <w:rsid w:val="49C12AD9"/>
    <w:rsid w:val="49E14C06"/>
    <w:rsid w:val="4B132CDA"/>
    <w:rsid w:val="4B3B2A32"/>
    <w:rsid w:val="4B75076E"/>
    <w:rsid w:val="4B9C37FE"/>
    <w:rsid w:val="4BC30D8B"/>
    <w:rsid w:val="4BEE7C6E"/>
    <w:rsid w:val="4C1910FC"/>
    <w:rsid w:val="4C4C7448"/>
    <w:rsid w:val="4C9444D5"/>
    <w:rsid w:val="4CE83F1B"/>
    <w:rsid w:val="4DB702D3"/>
    <w:rsid w:val="4E7105E9"/>
    <w:rsid w:val="4EF01CCD"/>
    <w:rsid w:val="4F027E1C"/>
    <w:rsid w:val="4F116C30"/>
    <w:rsid w:val="4F61533B"/>
    <w:rsid w:val="4FAB358E"/>
    <w:rsid w:val="51A0432A"/>
    <w:rsid w:val="51AD32C0"/>
    <w:rsid w:val="51B05663"/>
    <w:rsid w:val="51C30881"/>
    <w:rsid w:val="51E20DA7"/>
    <w:rsid w:val="52A96B6F"/>
    <w:rsid w:val="52FB4C31"/>
    <w:rsid w:val="536F0C64"/>
    <w:rsid w:val="540142C2"/>
    <w:rsid w:val="543A3F36"/>
    <w:rsid w:val="54696247"/>
    <w:rsid w:val="5477021B"/>
    <w:rsid w:val="5477163A"/>
    <w:rsid w:val="550764A4"/>
    <w:rsid w:val="554659C3"/>
    <w:rsid w:val="55512DB6"/>
    <w:rsid w:val="55EF10B1"/>
    <w:rsid w:val="56147232"/>
    <w:rsid w:val="56427575"/>
    <w:rsid w:val="57342B3C"/>
    <w:rsid w:val="577C0ACF"/>
    <w:rsid w:val="57A47E99"/>
    <w:rsid w:val="583A1613"/>
    <w:rsid w:val="587F3E79"/>
    <w:rsid w:val="58AE4F0C"/>
    <w:rsid w:val="590D5D3B"/>
    <w:rsid w:val="59341835"/>
    <w:rsid w:val="59537C95"/>
    <w:rsid w:val="59C42DDE"/>
    <w:rsid w:val="59EF2443"/>
    <w:rsid w:val="5A0F010C"/>
    <w:rsid w:val="5A2A7C7B"/>
    <w:rsid w:val="5AAA2B32"/>
    <w:rsid w:val="5AB3432F"/>
    <w:rsid w:val="5B3630C5"/>
    <w:rsid w:val="5BAE50D9"/>
    <w:rsid w:val="5C2D3F91"/>
    <w:rsid w:val="5C3C54A3"/>
    <w:rsid w:val="5C6309F6"/>
    <w:rsid w:val="5C80234E"/>
    <w:rsid w:val="5CC40BF6"/>
    <w:rsid w:val="5D010274"/>
    <w:rsid w:val="5D1A7E85"/>
    <w:rsid w:val="5D3B758B"/>
    <w:rsid w:val="5D4D2BAA"/>
    <w:rsid w:val="5DE104C1"/>
    <w:rsid w:val="5E0E058B"/>
    <w:rsid w:val="5E261785"/>
    <w:rsid w:val="5E4F1BB0"/>
    <w:rsid w:val="5EE07129"/>
    <w:rsid w:val="5EFA28BD"/>
    <w:rsid w:val="5F6F3391"/>
    <w:rsid w:val="5F8403D9"/>
    <w:rsid w:val="5FCC5339"/>
    <w:rsid w:val="5FD21144"/>
    <w:rsid w:val="5FDE2293"/>
    <w:rsid w:val="60996106"/>
    <w:rsid w:val="60AA2CF3"/>
    <w:rsid w:val="61054A27"/>
    <w:rsid w:val="61077514"/>
    <w:rsid w:val="611D2366"/>
    <w:rsid w:val="611F1F8B"/>
    <w:rsid w:val="612624E8"/>
    <w:rsid w:val="613E460C"/>
    <w:rsid w:val="61A80DCE"/>
    <w:rsid w:val="61AC338F"/>
    <w:rsid w:val="61DB57A4"/>
    <w:rsid w:val="61DD2632"/>
    <w:rsid w:val="62885958"/>
    <w:rsid w:val="63375F1A"/>
    <w:rsid w:val="63FF0976"/>
    <w:rsid w:val="643F687C"/>
    <w:rsid w:val="645F744A"/>
    <w:rsid w:val="64CE2EAA"/>
    <w:rsid w:val="65056EF3"/>
    <w:rsid w:val="65727C4B"/>
    <w:rsid w:val="65AC6DD1"/>
    <w:rsid w:val="65D567E4"/>
    <w:rsid w:val="65F269B2"/>
    <w:rsid w:val="65FA69A9"/>
    <w:rsid w:val="66060AEA"/>
    <w:rsid w:val="6612673F"/>
    <w:rsid w:val="66193947"/>
    <w:rsid w:val="662E75B1"/>
    <w:rsid w:val="66342C2E"/>
    <w:rsid w:val="663E784C"/>
    <w:rsid w:val="668313EA"/>
    <w:rsid w:val="67763E25"/>
    <w:rsid w:val="67FF35A1"/>
    <w:rsid w:val="689762F8"/>
    <w:rsid w:val="68F92CC8"/>
    <w:rsid w:val="69CA5396"/>
    <w:rsid w:val="69E5371F"/>
    <w:rsid w:val="6A047AA8"/>
    <w:rsid w:val="6A2536C5"/>
    <w:rsid w:val="6A7577E0"/>
    <w:rsid w:val="6A927E4E"/>
    <w:rsid w:val="6ADB46AA"/>
    <w:rsid w:val="6B915546"/>
    <w:rsid w:val="6B950FB3"/>
    <w:rsid w:val="6BE50022"/>
    <w:rsid w:val="6BE93B0A"/>
    <w:rsid w:val="6C1A459F"/>
    <w:rsid w:val="6C2B67AC"/>
    <w:rsid w:val="6DCD28A8"/>
    <w:rsid w:val="6DE8029B"/>
    <w:rsid w:val="6E1A0886"/>
    <w:rsid w:val="6E8E12EF"/>
    <w:rsid w:val="6EA6211A"/>
    <w:rsid w:val="6F5A2F04"/>
    <w:rsid w:val="6F73286F"/>
    <w:rsid w:val="707A3405"/>
    <w:rsid w:val="711D4ECD"/>
    <w:rsid w:val="71397984"/>
    <w:rsid w:val="714874B8"/>
    <w:rsid w:val="717464FF"/>
    <w:rsid w:val="71D43752"/>
    <w:rsid w:val="721C21C2"/>
    <w:rsid w:val="73461F54"/>
    <w:rsid w:val="73760242"/>
    <w:rsid w:val="740D6671"/>
    <w:rsid w:val="742842E9"/>
    <w:rsid w:val="745E1236"/>
    <w:rsid w:val="74610A4B"/>
    <w:rsid w:val="74812690"/>
    <w:rsid w:val="749C4185"/>
    <w:rsid w:val="75070EA6"/>
    <w:rsid w:val="756E7D31"/>
    <w:rsid w:val="75DA2C18"/>
    <w:rsid w:val="75FD29A4"/>
    <w:rsid w:val="762B73A9"/>
    <w:rsid w:val="76566CC1"/>
    <w:rsid w:val="773651D5"/>
    <w:rsid w:val="777F348A"/>
    <w:rsid w:val="77C47AB5"/>
    <w:rsid w:val="784C1B49"/>
    <w:rsid w:val="79271495"/>
    <w:rsid w:val="794E7A41"/>
    <w:rsid w:val="797A24BD"/>
    <w:rsid w:val="79C90BC8"/>
    <w:rsid w:val="7A28761C"/>
    <w:rsid w:val="7A67303B"/>
    <w:rsid w:val="7AAB1D04"/>
    <w:rsid w:val="7ABA4368"/>
    <w:rsid w:val="7AF00FC3"/>
    <w:rsid w:val="7B257FFD"/>
    <w:rsid w:val="7C2E0AC9"/>
    <w:rsid w:val="7C3764EE"/>
    <w:rsid w:val="7C6F0B02"/>
    <w:rsid w:val="7D590112"/>
    <w:rsid w:val="7D5E1AEE"/>
    <w:rsid w:val="7D6D10FB"/>
    <w:rsid w:val="7DF676A3"/>
    <w:rsid w:val="7E211ED6"/>
    <w:rsid w:val="7E2F04A3"/>
    <w:rsid w:val="7E492AC2"/>
    <w:rsid w:val="7ED90888"/>
    <w:rsid w:val="7EF60D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4"/>
    <w:qFormat/>
    <w:uiPriority w:val="0"/>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163"/>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24"/>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23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121"/>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11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8"/>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link w:val="120"/>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112"/>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semiHidden/>
    <w:qFormat/>
    <w:uiPriority w:val="0"/>
    <w:pPr>
      <w:shd w:val="clear" w:color="auto" w:fill="000080"/>
    </w:pPr>
  </w:style>
  <w:style w:type="paragraph" w:styleId="19">
    <w:name w:val="annotation text"/>
    <w:basedOn w:val="1"/>
    <w:link w:val="240"/>
    <w:qFormat/>
    <w:uiPriority w:val="0"/>
    <w:pPr>
      <w:jc w:val="left"/>
    </w:pPr>
  </w:style>
  <w:style w:type="paragraph" w:styleId="20">
    <w:name w:val="Salutation"/>
    <w:basedOn w:val="1"/>
    <w:next w:val="1"/>
    <w:link w:val="133"/>
    <w:qFormat/>
    <w:uiPriority w:val="0"/>
    <w:rPr>
      <w:rFonts w:ascii="仿宋_GB2312" w:eastAsia="仿宋_GB2312"/>
      <w:sz w:val="28"/>
      <w:szCs w:val="20"/>
    </w:rPr>
  </w:style>
  <w:style w:type="paragraph" w:styleId="21">
    <w:name w:val="Body Text 3"/>
    <w:basedOn w:val="1"/>
    <w:link w:val="238"/>
    <w:qFormat/>
    <w:uiPriority w:val="0"/>
    <w:pPr>
      <w:jc w:val="center"/>
    </w:pPr>
    <w:rPr>
      <w:szCs w:val="20"/>
    </w:rPr>
  </w:style>
  <w:style w:type="paragraph" w:styleId="22">
    <w:name w:val="Body Text"/>
    <w:basedOn w:val="1"/>
    <w:next w:val="1"/>
    <w:link w:val="84"/>
    <w:qFormat/>
    <w:uiPriority w:val="0"/>
    <w:pPr>
      <w:autoSpaceDE w:val="0"/>
      <w:autoSpaceDN w:val="0"/>
      <w:spacing w:line="360" w:lineRule="auto"/>
    </w:pPr>
    <w:rPr>
      <w:rFonts w:ascii="宋体" w:hAnsi="Arial" w:cs="Arial"/>
      <w:snapToGrid w:val="0"/>
      <w:sz w:val="24"/>
      <w:szCs w:val="21"/>
      <w:lang w:val="zh-CN"/>
    </w:rPr>
  </w:style>
  <w:style w:type="paragraph" w:styleId="23">
    <w:name w:val="Body Text Indent"/>
    <w:basedOn w:val="1"/>
    <w:link w:val="79"/>
    <w:qFormat/>
    <w:uiPriority w:val="0"/>
    <w:pPr>
      <w:spacing w:line="480" w:lineRule="exact"/>
      <w:ind w:firstLine="480" w:firstLineChars="200"/>
    </w:pPr>
    <w:rPr>
      <w:rFonts w:ascii="宋体" w:hAnsi="宋体"/>
      <w:sz w:val="24"/>
    </w:rPr>
  </w:style>
  <w:style w:type="paragraph" w:styleId="24">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5">
    <w:name w:val="List 2"/>
    <w:basedOn w:val="1"/>
    <w:qFormat/>
    <w:uiPriority w:val="0"/>
    <w:pPr>
      <w:adjustRightInd/>
      <w:spacing w:line="360" w:lineRule="auto"/>
      <w:ind w:left="100" w:leftChars="200" w:hanging="200" w:hangingChars="200"/>
    </w:pPr>
    <w:rPr>
      <w:rFonts w:eastAsia="微软雅黑"/>
    </w:rPr>
  </w:style>
  <w:style w:type="paragraph" w:styleId="26">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7">
    <w:name w:val="List Bullet 2"/>
    <w:basedOn w:val="1"/>
    <w:qFormat/>
    <w:uiPriority w:val="0"/>
    <w:pPr>
      <w:autoSpaceDE w:val="0"/>
      <w:autoSpaceDN w:val="0"/>
      <w:ind w:left="420"/>
      <w:jc w:val="left"/>
    </w:pPr>
    <w:rPr>
      <w:rFonts w:ascii="宋体" w:hAnsi="宋体"/>
      <w:color w:val="000000"/>
      <w:kern w:val="0"/>
      <w:sz w:val="24"/>
      <w:szCs w:val="20"/>
    </w:rPr>
  </w:style>
  <w:style w:type="paragraph" w:styleId="28">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29">
    <w:name w:val="toc 5"/>
    <w:basedOn w:val="1"/>
    <w:next w:val="1"/>
    <w:qFormat/>
    <w:uiPriority w:val="0"/>
    <w:pPr>
      <w:ind w:left="1680" w:leftChars="800"/>
    </w:pPr>
  </w:style>
  <w:style w:type="paragraph" w:styleId="30">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1">
    <w:name w:val="Plain Text"/>
    <w:basedOn w:val="1"/>
    <w:link w:val="202"/>
    <w:qFormat/>
    <w:uiPriority w:val="0"/>
    <w:rPr>
      <w:rFonts w:ascii="宋体" w:hAnsi="Courier New" w:cs="Arial"/>
      <w:snapToGrid w:val="0"/>
      <w:szCs w:val="21"/>
    </w:rPr>
  </w:style>
  <w:style w:type="paragraph" w:styleId="32">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3">
    <w:name w:val="toc 8"/>
    <w:basedOn w:val="1"/>
    <w:next w:val="1"/>
    <w:qFormat/>
    <w:uiPriority w:val="0"/>
    <w:pPr>
      <w:ind w:left="2940" w:leftChars="1400"/>
    </w:pPr>
  </w:style>
  <w:style w:type="paragraph" w:styleId="34">
    <w:name w:val="Date"/>
    <w:basedOn w:val="1"/>
    <w:next w:val="1"/>
    <w:link w:val="86"/>
    <w:qFormat/>
    <w:uiPriority w:val="0"/>
    <w:pPr>
      <w:ind w:left="100" w:leftChars="2500"/>
    </w:pPr>
    <w:rPr>
      <w:rFonts w:ascii="宋体"/>
      <w:sz w:val="24"/>
      <w:szCs w:val="21"/>
      <w:lang w:val="zh-CN"/>
    </w:rPr>
  </w:style>
  <w:style w:type="paragraph" w:styleId="35">
    <w:name w:val="Body Text Indent 2"/>
    <w:basedOn w:val="1"/>
    <w:link w:val="165"/>
    <w:qFormat/>
    <w:uiPriority w:val="0"/>
    <w:pPr>
      <w:spacing w:line="360" w:lineRule="auto"/>
      <w:ind w:firstLine="601"/>
      <w:textAlignment w:val="baseline"/>
    </w:pPr>
    <w:rPr>
      <w:rFonts w:ascii="宋体"/>
      <w:kern w:val="0"/>
      <w:sz w:val="28"/>
      <w:szCs w:val="20"/>
    </w:rPr>
  </w:style>
  <w:style w:type="paragraph" w:styleId="36">
    <w:name w:val="Balloon Text"/>
    <w:basedOn w:val="1"/>
    <w:link w:val="242"/>
    <w:semiHidden/>
    <w:qFormat/>
    <w:uiPriority w:val="0"/>
    <w:rPr>
      <w:sz w:val="18"/>
      <w:szCs w:val="18"/>
    </w:rPr>
  </w:style>
  <w:style w:type="paragraph" w:styleId="37">
    <w:name w:val="footer"/>
    <w:basedOn w:val="1"/>
    <w:qFormat/>
    <w:uiPriority w:val="99"/>
    <w:pPr>
      <w:tabs>
        <w:tab w:val="center" w:pos="4153"/>
        <w:tab w:val="right" w:pos="8306"/>
      </w:tabs>
      <w:snapToGrid w:val="0"/>
      <w:jc w:val="left"/>
    </w:pPr>
    <w:rPr>
      <w:sz w:val="18"/>
      <w:szCs w:val="18"/>
    </w:rPr>
  </w:style>
  <w:style w:type="paragraph" w:styleId="38">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39">
    <w:name w:val="Signature"/>
    <w:basedOn w:val="1"/>
    <w:link w:val="253"/>
    <w:qFormat/>
    <w:uiPriority w:val="0"/>
    <w:pPr>
      <w:spacing w:after="600" w:line="312" w:lineRule="atLeast"/>
      <w:jc w:val="center"/>
      <w:textAlignment w:val="baseline"/>
    </w:pPr>
    <w:rPr>
      <w:rFonts w:eastAsia="仿宋_GB2312"/>
      <w:kern w:val="0"/>
      <w:sz w:val="24"/>
      <w:szCs w:val="20"/>
    </w:rPr>
  </w:style>
  <w:style w:type="paragraph" w:styleId="40">
    <w:name w:val="toc 1"/>
    <w:basedOn w:val="1"/>
    <w:next w:val="1"/>
    <w:qFormat/>
    <w:uiPriority w:val="0"/>
  </w:style>
  <w:style w:type="paragraph" w:styleId="41">
    <w:name w:val="toc 4"/>
    <w:basedOn w:val="1"/>
    <w:next w:val="1"/>
    <w:qFormat/>
    <w:uiPriority w:val="0"/>
    <w:pPr>
      <w:ind w:left="1260" w:leftChars="600"/>
    </w:pPr>
  </w:style>
  <w:style w:type="paragraph" w:styleId="42">
    <w:name w:val="index heading"/>
    <w:basedOn w:val="1"/>
    <w:next w:val="43"/>
    <w:qFormat/>
    <w:uiPriority w:val="0"/>
    <w:pPr>
      <w:adjustRightInd/>
      <w:ind w:firstLine="200" w:firstLineChars="200"/>
    </w:pPr>
  </w:style>
  <w:style w:type="paragraph" w:styleId="43">
    <w:name w:val="index 1"/>
    <w:basedOn w:val="1"/>
    <w:next w:val="1"/>
    <w:qFormat/>
    <w:uiPriority w:val="0"/>
    <w:pPr>
      <w:adjustRightInd/>
      <w:spacing w:line="360" w:lineRule="auto"/>
      <w:ind w:firstLine="200" w:firstLineChars="200"/>
      <w:jc w:val="center"/>
    </w:pPr>
    <w:rPr>
      <w:sz w:val="24"/>
      <w:szCs w:val="20"/>
    </w:rPr>
  </w:style>
  <w:style w:type="paragraph" w:styleId="44">
    <w:name w:val="Subtitle"/>
    <w:link w:val="10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5">
    <w:name w:val="List Number 5"/>
    <w:basedOn w:val="1"/>
    <w:qFormat/>
    <w:uiPriority w:val="0"/>
    <w:pPr>
      <w:tabs>
        <w:tab w:val="left" w:pos="902"/>
      </w:tabs>
      <w:adjustRightInd/>
      <w:spacing w:line="400" w:lineRule="exact"/>
      <w:ind w:left="902" w:hanging="420"/>
    </w:pPr>
    <w:rPr>
      <w:sz w:val="24"/>
      <w:szCs w:val="20"/>
    </w:rPr>
  </w:style>
  <w:style w:type="paragraph" w:styleId="46">
    <w:name w:val="List"/>
    <w:basedOn w:val="1"/>
    <w:qFormat/>
    <w:uiPriority w:val="0"/>
    <w:pPr>
      <w:ind w:left="200" w:hanging="200" w:hangingChars="200"/>
    </w:pPr>
  </w:style>
  <w:style w:type="paragraph" w:styleId="47">
    <w:name w:val="footnote text"/>
    <w:basedOn w:val="15"/>
    <w:link w:val="270"/>
    <w:qFormat/>
    <w:uiPriority w:val="0"/>
    <w:pPr>
      <w:adjustRightInd/>
      <w:snapToGrid/>
      <w:spacing w:before="60" w:after="60" w:line="300" w:lineRule="exact"/>
      <w:ind w:firstLine="0"/>
    </w:pPr>
    <w:rPr>
      <w:rFonts w:ascii="Times New Roman"/>
      <w:snapToGrid/>
      <w:color w:val="0000FF"/>
      <w:kern w:val="0"/>
      <w:sz w:val="21"/>
    </w:rPr>
  </w:style>
  <w:style w:type="paragraph" w:styleId="48">
    <w:name w:val="toc 6"/>
    <w:basedOn w:val="1"/>
    <w:next w:val="1"/>
    <w:qFormat/>
    <w:uiPriority w:val="0"/>
    <w:pPr>
      <w:ind w:left="2100" w:leftChars="1000"/>
    </w:pPr>
  </w:style>
  <w:style w:type="paragraph" w:styleId="49">
    <w:name w:val="List 5"/>
    <w:basedOn w:val="1"/>
    <w:qFormat/>
    <w:uiPriority w:val="0"/>
    <w:pPr>
      <w:adjustRightInd/>
      <w:ind w:left="100" w:leftChars="800" w:hanging="200" w:hangingChars="200"/>
    </w:pPr>
  </w:style>
  <w:style w:type="paragraph" w:styleId="50">
    <w:name w:val="Body Text Indent 3"/>
    <w:basedOn w:val="1"/>
    <w:link w:val="109"/>
    <w:qFormat/>
    <w:uiPriority w:val="0"/>
    <w:pPr>
      <w:spacing w:line="360" w:lineRule="auto"/>
      <w:ind w:firstLine="420"/>
    </w:pPr>
    <w:rPr>
      <w:sz w:val="24"/>
      <w:szCs w:val="20"/>
    </w:rPr>
  </w:style>
  <w:style w:type="paragraph" w:styleId="51">
    <w:name w:val="toc 2"/>
    <w:basedOn w:val="1"/>
    <w:next w:val="1"/>
    <w:qFormat/>
    <w:uiPriority w:val="0"/>
    <w:pPr>
      <w:ind w:left="420" w:leftChars="200"/>
    </w:pPr>
  </w:style>
  <w:style w:type="paragraph" w:styleId="52">
    <w:name w:val="toc 9"/>
    <w:basedOn w:val="1"/>
    <w:next w:val="1"/>
    <w:qFormat/>
    <w:uiPriority w:val="0"/>
    <w:pPr>
      <w:ind w:left="3360" w:leftChars="1600"/>
    </w:pPr>
  </w:style>
  <w:style w:type="paragraph" w:styleId="53">
    <w:name w:val="Body Text 2"/>
    <w:basedOn w:val="1"/>
    <w:qFormat/>
    <w:uiPriority w:val="0"/>
    <w:pPr>
      <w:spacing w:after="120" w:line="480" w:lineRule="auto"/>
    </w:pPr>
  </w:style>
  <w:style w:type="paragraph" w:styleId="54">
    <w:name w:val="HTML Preformatted"/>
    <w:basedOn w:val="1"/>
    <w:link w:val="8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5">
    <w:name w:val="Normal (Web)"/>
    <w:basedOn w:val="1"/>
    <w:qFormat/>
    <w:uiPriority w:val="99"/>
    <w:pPr>
      <w:widowControl/>
      <w:spacing w:before="100" w:beforeAutospacing="1" w:after="100" w:afterAutospacing="1"/>
      <w:jc w:val="left"/>
    </w:pPr>
    <w:rPr>
      <w:rFonts w:ascii="宋体" w:hAnsi="宋体"/>
      <w:kern w:val="0"/>
      <w:sz w:val="24"/>
    </w:rPr>
  </w:style>
  <w:style w:type="paragraph" w:styleId="56">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7">
    <w:name w:val="annotation subject"/>
    <w:basedOn w:val="19"/>
    <w:next w:val="19"/>
    <w:semiHidden/>
    <w:qFormat/>
    <w:uiPriority w:val="0"/>
    <w:rPr>
      <w:b/>
      <w:bCs/>
    </w:rPr>
  </w:style>
  <w:style w:type="paragraph" w:styleId="58">
    <w:name w:val="Body Text First Indent"/>
    <w:basedOn w:val="1"/>
    <w:link w:val="104"/>
    <w:qFormat/>
    <w:uiPriority w:val="0"/>
    <w:pPr>
      <w:ind w:firstLine="420"/>
    </w:pPr>
    <w:rPr>
      <w:szCs w:val="20"/>
    </w:rPr>
  </w:style>
  <w:style w:type="paragraph" w:styleId="59">
    <w:name w:val="Body Text First Indent 2"/>
    <w:basedOn w:val="23"/>
    <w:link w:val="90"/>
    <w:qFormat/>
    <w:uiPriority w:val="0"/>
    <w:pPr>
      <w:adjustRightInd/>
      <w:spacing w:after="120" w:line="240" w:lineRule="auto"/>
      <w:ind w:left="420" w:leftChars="200" w:firstLine="210"/>
    </w:pPr>
    <w:rPr>
      <w:sz w:val="21"/>
    </w:rPr>
  </w:style>
  <w:style w:type="table" w:styleId="61">
    <w:name w:val="Table Grid"/>
    <w:basedOn w:val="60"/>
    <w:semiHidden/>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Heading1"/>
    <w:basedOn w:val="1"/>
    <w:next w:val="1"/>
    <w:qFormat/>
    <w:uiPriority w:val="0"/>
    <w:pPr>
      <w:keepNext/>
      <w:keepLines/>
      <w:spacing w:before="340" w:after="330" w:line="576" w:lineRule="auto"/>
      <w:textAlignment w:val="baseline"/>
    </w:pPr>
    <w:rPr>
      <w:b/>
      <w:bCs/>
      <w:kern w:val="44"/>
      <w:sz w:val="44"/>
      <w:szCs w:val="44"/>
    </w:rPr>
  </w:style>
  <w:style w:type="character" w:customStyle="1" w:styleId="72">
    <w:name w:val="Char Char2"/>
    <w:qFormat/>
    <w:uiPriority w:val="0"/>
    <w:rPr>
      <w:rFonts w:eastAsia="宋体"/>
      <w:b/>
      <w:bCs/>
      <w:kern w:val="2"/>
      <w:sz w:val="21"/>
      <w:szCs w:val="24"/>
      <w:lang w:val="en-US" w:eastAsia="zh-CN" w:bidi="ar-SA"/>
    </w:rPr>
  </w:style>
  <w:style w:type="character" w:customStyle="1" w:styleId="73">
    <w:name w:val="Char Char5"/>
    <w:qFormat/>
    <w:uiPriority w:val="0"/>
    <w:rPr>
      <w:rFonts w:ascii="宋体" w:hAnsi="Courier New" w:eastAsia="宋体"/>
      <w:kern w:val="2"/>
      <w:sz w:val="21"/>
      <w:lang w:val="en-US" w:eastAsia="zh-CN"/>
    </w:rPr>
  </w:style>
  <w:style w:type="character" w:customStyle="1" w:styleId="74">
    <w:name w:val="标题 1 Char"/>
    <w:link w:val="2"/>
    <w:qFormat/>
    <w:uiPriority w:val="0"/>
    <w:rPr>
      <w:b/>
      <w:bCs/>
      <w:kern w:val="44"/>
      <w:sz w:val="44"/>
      <w:szCs w:val="44"/>
    </w:rPr>
  </w:style>
  <w:style w:type="character" w:customStyle="1" w:styleId="75">
    <w:name w:val="Comment Text Char"/>
    <w:semiHidden/>
    <w:qFormat/>
    <w:locked/>
    <w:uiPriority w:val="0"/>
    <w:rPr>
      <w:rFonts w:ascii="宋体" w:hAnsi="宋体" w:eastAsia="宋体"/>
      <w:kern w:val="2"/>
      <w:sz w:val="24"/>
      <w:lang w:val="en-US" w:eastAsia="zh-CN" w:bidi="ar-SA"/>
    </w:rPr>
  </w:style>
  <w:style w:type="character" w:customStyle="1" w:styleId="76">
    <w:name w:val="正文缩进 Char"/>
    <w:qFormat/>
    <w:uiPriority w:val="0"/>
    <w:rPr>
      <w:rFonts w:eastAsia="宋体"/>
      <w:kern w:val="2"/>
      <w:sz w:val="21"/>
      <w:lang w:val="en-US" w:eastAsia="zh-CN"/>
    </w:rPr>
  </w:style>
  <w:style w:type="character" w:customStyle="1" w:styleId="77">
    <w:name w:val="PI Char"/>
    <w:qFormat/>
    <w:uiPriority w:val="0"/>
    <w:rPr>
      <w:rFonts w:ascii="宋体" w:hAnsi="宋体" w:eastAsia="宋体"/>
      <w:kern w:val="2"/>
      <w:sz w:val="24"/>
      <w:szCs w:val="24"/>
      <w:lang w:val="en-US" w:eastAsia="zh-CN" w:bidi="ar-SA"/>
    </w:rPr>
  </w:style>
  <w:style w:type="character" w:customStyle="1" w:styleId="78">
    <w:name w:val="纯文本 字符"/>
    <w:qFormat/>
    <w:uiPriority w:val="0"/>
    <w:rPr>
      <w:rFonts w:ascii="宋体" w:hAnsi="Courier New" w:eastAsia="宋体" w:cs="Arial"/>
      <w:snapToGrid/>
      <w:kern w:val="2"/>
      <w:sz w:val="21"/>
      <w:szCs w:val="21"/>
      <w:lang w:val="en-US" w:eastAsia="zh-CN" w:bidi="ar-SA"/>
    </w:rPr>
  </w:style>
  <w:style w:type="character" w:customStyle="1" w:styleId="79">
    <w:name w:val="正文文本缩进 Char1"/>
    <w:link w:val="23"/>
    <w:qFormat/>
    <w:uiPriority w:val="0"/>
    <w:rPr>
      <w:rFonts w:ascii="宋体" w:hAnsi="宋体"/>
      <w:kern w:val="2"/>
      <w:sz w:val="24"/>
      <w:szCs w:val="24"/>
    </w:rPr>
  </w:style>
  <w:style w:type="character" w:customStyle="1" w:styleId="80">
    <w:name w:val="tw4winTerm"/>
    <w:qFormat/>
    <w:uiPriority w:val="0"/>
    <w:rPr>
      <w:color w:val="0000FF"/>
    </w:rPr>
  </w:style>
  <w:style w:type="character" w:customStyle="1" w:styleId="81">
    <w:name w:val="big1"/>
    <w:qFormat/>
    <w:uiPriority w:val="0"/>
    <w:rPr>
      <w:rFonts w:hint="eastAsia" w:ascii="宋体" w:hAnsi="宋体" w:eastAsia="宋体"/>
      <w:color w:val="333333"/>
      <w:sz w:val="22"/>
      <w:szCs w:val="22"/>
    </w:rPr>
  </w:style>
  <w:style w:type="character" w:customStyle="1" w:styleId="82">
    <w:name w:val="Heading 7 Char"/>
    <w:qFormat/>
    <w:locked/>
    <w:uiPriority w:val="0"/>
    <w:rPr>
      <w:rFonts w:ascii="宋体" w:hAnsi="宋体" w:eastAsia="宋体"/>
      <w:b/>
      <w:bCs/>
      <w:kern w:val="2"/>
      <w:sz w:val="24"/>
      <w:szCs w:val="24"/>
      <w:lang w:val="en-US" w:eastAsia="zh-CN" w:bidi="ar-SA"/>
    </w:rPr>
  </w:style>
  <w:style w:type="character" w:customStyle="1" w:styleId="83">
    <w:name w:val="bookmark-item"/>
    <w:basedOn w:val="62"/>
    <w:qFormat/>
    <w:uiPriority w:val="0"/>
  </w:style>
  <w:style w:type="character" w:customStyle="1" w:styleId="84">
    <w:name w:val="正文文本 Char1"/>
    <w:link w:val="22"/>
    <w:semiHidden/>
    <w:qFormat/>
    <w:uiPriority w:val="0"/>
    <w:rPr>
      <w:rFonts w:ascii="宋体" w:hAnsi="Arial" w:eastAsia="宋体" w:cs="Arial"/>
      <w:snapToGrid w:val="0"/>
      <w:kern w:val="2"/>
      <w:sz w:val="24"/>
      <w:szCs w:val="21"/>
      <w:lang w:val="zh-CN" w:eastAsia="zh-CN" w:bidi="ar-SA"/>
    </w:rPr>
  </w:style>
  <w:style w:type="character" w:customStyle="1" w:styleId="85">
    <w:name w:val="正文 编号 Char"/>
    <w:qFormat/>
    <w:uiPriority w:val="0"/>
    <w:rPr>
      <w:rFonts w:ascii="仿宋_GB2312" w:hAnsi="仿宋_GB2312" w:eastAsia="仿宋_GB2312"/>
      <w:kern w:val="2"/>
      <w:sz w:val="24"/>
      <w:lang w:bidi="ar-SA"/>
    </w:rPr>
  </w:style>
  <w:style w:type="character" w:customStyle="1" w:styleId="86">
    <w:name w:val="日期 Char"/>
    <w:link w:val="34"/>
    <w:qFormat/>
    <w:uiPriority w:val="0"/>
    <w:rPr>
      <w:rFonts w:ascii="宋体"/>
      <w:kern w:val="2"/>
      <w:sz w:val="24"/>
      <w:szCs w:val="21"/>
      <w:lang w:val="zh-CN"/>
    </w:rPr>
  </w:style>
  <w:style w:type="character" w:customStyle="1" w:styleId="87">
    <w:name w:val="unnamed31"/>
    <w:qFormat/>
    <w:uiPriority w:val="0"/>
    <w:rPr>
      <w:rFonts w:ascii="Tahoma" w:hAnsi="Tahoma" w:eastAsia="宋体"/>
      <w:b/>
      <w:kern w:val="2"/>
      <w:sz w:val="24"/>
      <w:szCs w:val="32"/>
      <w:u w:val="none"/>
      <w:lang w:val="en-US" w:eastAsia="zh-CN" w:bidi="ar-SA"/>
    </w:rPr>
  </w:style>
  <w:style w:type="character" w:customStyle="1" w:styleId="88">
    <w:name w:val="Footer-Even Char1"/>
    <w:qFormat/>
    <w:uiPriority w:val="0"/>
    <w:rPr>
      <w:rFonts w:eastAsia="宋体"/>
      <w:kern w:val="2"/>
      <w:sz w:val="18"/>
      <w:szCs w:val="18"/>
      <w:lang w:val="en-US" w:eastAsia="zh-CN" w:bidi="ar-SA"/>
    </w:rPr>
  </w:style>
  <w:style w:type="character" w:customStyle="1" w:styleId="89">
    <w:name w:val="HTML 预设格式 Char"/>
    <w:link w:val="54"/>
    <w:qFormat/>
    <w:uiPriority w:val="0"/>
    <w:rPr>
      <w:rFonts w:ascii="黑体" w:hAnsi="Courier New" w:eastAsia="黑体"/>
    </w:rPr>
  </w:style>
  <w:style w:type="character" w:customStyle="1" w:styleId="90">
    <w:name w:val="正文首行缩进 2 Char"/>
    <w:link w:val="59"/>
    <w:qFormat/>
    <w:uiPriority w:val="0"/>
    <w:rPr>
      <w:rFonts w:ascii="宋体" w:hAnsi="宋体"/>
      <w:kern w:val="2"/>
      <w:sz w:val="21"/>
      <w:szCs w:val="24"/>
    </w:rPr>
  </w:style>
  <w:style w:type="character" w:customStyle="1" w:styleId="91">
    <w:name w:val="链接"/>
    <w:qFormat/>
    <w:uiPriority w:val="0"/>
    <w:rPr>
      <w:color w:val="0000FF"/>
      <w:sz w:val="21"/>
      <w:szCs w:val="21"/>
      <w:u w:val="single"/>
    </w:rPr>
  </w:style>
  <w:style w:type="character" w:customStyle="1" w:styleId="92">
    <w:name w:val="正文 项目 Char"/>
    <w:qFormat/>
    <w:uiPriority w:val="0"/>
    <w:rPr>
      <w:rFonts w:ascii="仿宋_GB2312" w:hAnsi="仿宋_GB2312" w:eastAsia="仿宋_GB2312"/>
      <w:kern w:val="2"/>
      <w:sz w:val="24"/>
      <w:lang w:bidi="ar-SA"/>
    </w:rPr>
  </w:style>
  <w:style w:type="character" w:customStyle="1" w:styleId="93">
    <w:name w:val="纯文本 Char Char Char"/>
    <w:qFormat/>
    <w:uiPriority w:val="0"/>
    <w:rPr>
      <w:rFonts w:ascii="宋体" w:hAnsi="Courier New" w:eastAsia="宋体"/>
      <w:kern w:val="2"/>
      <w:sz w:val="21"/>
      <w:lang w:val="en-US" w:eastAsia="zh-CN" w:bidi="ar-SA"/>
    </w:rPr>
  </w:style>
  <w:style w:type="character" w:customStyle="1" w:styleId="94">
    <w:name w:val="pt141"/>
    <w:qFormat/>
    <w:uiPriority w:val="0"/>
    <w:rPr>
      <w:color w:val="330066"/>
      <w:sz w:val="22"/>
      <w:szCs w:val="22"/>
    </w:rPr>
  </w:style>
  <w:style w:type="character" w:customStyle="1" w:styleId="95">
    <w:name w:val="dandyren_title1"/>
    <w:qFormat/>
    <w:uiPriority w:val="0"/>
    <w:rPr>
      <w:b/>
      <w:bCs/>
      <w:color w:val="FF6633"/>
      <w:sz w:val="18"/>
      <w:szCs w:val="18"/>
    </w:rPr>
  </w:style>
  <w:style w:type="character" w:customStyle="1" w:styleId="96">
    <w:name w:val="仿宋正文 Char"/>
    <w:link w:val="97"/>
    <w:qFormat/>
    <w:uiPriority w:val="0"/>
    <w:rPr>
      <w:rFonts w:ascii="仿宋_GB2312" w:eastAsia="仿宋_GB2312"/>
      <w:kern w:val="2"/>
      <w:sz w:val="24"/>
      <w:lang w:val="en-US" w:eastAsia="zh-CN" w:bidi="ar-SA"/>
    </w:rPr>
  </w:style>
  <w:style w:type="paragraph" w:customStyle="1" w:styleId="97">
    <w:name w:val="仿宋正文"/>
    <w:basedOn w:val="1"/>
    <w:link w:val="96"/>
    <w:qFormat/>
    <w:uiPriority w:val="0"/>
    <w:pPr>
      <w:adjustRightInd/>
      <w:spacing w:line="360" w:lineRule="auto"/>
      <w:ind w:firstLine="480" w:firstLineChars="200"/>
    </w:pPr>
    <w:rPr>
      <w:rFonts w:ascii="仿宋_GB2312" w:eastAsia="仿宋_GB2312"/>
      <w:sz w:val="24"/>
      <w:szCs w:val="20"/>
    </w:rPr>
  </w:style>
  <w:style w:type="character" w:customStyle="1" w:styleId="98">
    <w:name w:val="Char Char7"/>
    <w:semiHidden/>
    <w:qFormat/>
    <w:uiPriority w:val="0"/>
    <w:rPr>
      <w:rFonts w:eastAsia="宋体"/>
      <w:kern w:val="2"/>
      <w:sz w:val="21"/>
      <w:szCs w:val="24"/>
      <w:lang w:val="en-US" w:eastAsia="zh-CN" w:bidi="ar-SA"/>
    </w:rPr>
  </w:style>
  <w:style w:type="character" w:customStyle="1" w:styleId="99">
    <w:name w:val="正文（缩进2汉字） Char"/>
    <w:link w:val="100"/>
    <w:qFormat/>
    <w:uiPriority w:val="0"/>
    <w:rPr>
      <w:rFonts w:ascii="宋体"/>
    </w:rPr>
  </w:style>
  <w:style w:type="paragraph" w:customStyle="1" w:styleId="100">
    <w:name w:val="正文（缩进2汉字）"/>
    <w:basedOn w:val="1"/>
    <w:link w:val="99"/>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101">
    <w:name w:val="unnamed11"/>
    <w:qFormat/>
    <w:uiPriority w:val="0"/>
    <w:rPr>
      <w:sz w:val="20"/>
      <w:szCs w:val="20"/>
    </w:rPr>
  </w:style>
  <w:style w:type="character" w:customStyle="1" w:styleId="102">
    <w:name w:val="页眉 Char1"/>
    <w:qFormat/>
    <w:uiPriority w:val="0"/>
    <w:rPr>
      <w:rFonts w:eastAsia="宋体"/>
      <w:kern w:val="2"/>
      <w:sz w:val="18"/>
      <w:szCs w:val="18"/>
      <w:lang w:val="en-US" w:eastAsia="zh-CN" w:bidi="ar-SA"/>
    </w:rPr>
  </w:style>
  <w:style w:type="character" w:customStyle="1" w:styleId="10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04">
    <w:name w:val="正文首行缩进 Char"/>
    <w:link w:val="58"/>
    <w:qFormat/>
    <w:uiPriority w:val="0"/>
    <w:rPr>
      <w:rFonts w:ascii="宋体"/>
      <w:kern w:val="2"/>
      <w:sz w:val="24"/>
      <w:lang w:val="zh-CN"/>
    </w:rPr>
  </w:style>
  <w:style w:type="character" w:customStyle="1" w:styleId="105">
    <w:name w:val="副标题 Char"/>
    <w:link w:val="44"/>
    <w:qFormat/>
    <w:uiPriority w:val="0"/>
    <w:rPr>
      <w:rFonts w:ascii="Arial" w:hAnsi="Arial" w:eastAsia="隶书"/>
      <w:b/>
      <w:bCs/>
      <w:kern w:val="28"/>
      <w:sz w:val="44"/>
      <w:szCs w:val="32"/>
      <w:lang w:val="en-US" w:eastAsia="zh-CN" w:bidi="ar-SA"/>
    </w:rPr>
  </w:style>
  <w:style w:type="character" w:customStyle="1" w:styleId="106">
    <w:name w:val="样式4 Char"/>
    <w:qFormat/>
    <w:uiPriority w:val="0"/>
    <w:rPr>
      <w:rFonts w:ascii="仿宋_GB2312" w:hAnsi="仿宋" w:eastAsia="仿宋_GB2312"/>
      <w:b/>
      <w:kern w:val="2"/>
      <w:sz w:val="32"/>
      <w:szCs w:val="32"/>
      <w:lang w:bidi="ar-SA"/>
    </w:rPr>
  </w:style>
  <w:style w:type="character" w:customStyle="1" w:styleId="107">
    <w:name w:val="font21"/>
    <w:qFormat/>
    <w:uiPriority w:val="0"/>
    <w:rPr>
      <w:rFonts w:hint="eastAsia" w:ascii="宋体" w:hAnsi="宋体" w:eastAsia="宋体"/>
      <w:kern w:val="2"/>
      <w:sz w:val="28"/>
      <w:szCs w:val="28"/>
      <w:lang w:val="en-US" w:eastAsia="zh-CN" w:bidi="ar-SA"/>
    </w:rPr>
  </w:style>
  <w:style w:type="character" w:customStyle="1" w:styleId="108">
    <w:name w:val="正文首行缩进两字 Char"/>
    <w:qFormat/>
    <w:uiPriority w:val="0"/>
    <w:rPr>
      <w:sz w:val="24"/>
      <w:szCs w:val="24"/>
      <w:lang w:val="en-US" w:eastAsia="zh-CN" w:bidi="ar-SA"/>
    </w:rPr>
  </w:style>
  <w:style w:type="character" w:customStyle="1" w:styleId="109">
    <w:name w:val="正文文本缩进 3 Char"/>
    <w:link w:val="50"/>
    <w:qFormat/>
    <w:uiPriority w:val="0"/>
    <w:rPr>
      <w:kern w:val="2"/>
      <w:sz w:val="24"/>
    </w:rPr>
  </w:style>
  <w:style w:type="character" w:customStyle="1" w:styleId="110">
    <w:name w:val="px14"/>
    <w:qFormat/>
    <w:uiPriority w:val="0"/>
    <w:rPr>
      <w:rFonts w:ascii="仿宋_GB2312" w:eastAsia="微软雅黑" w:cs="Times New Roman"/>
      <w:b/>
      <w:kern w:val="2"/>
      <w:sz w:val="32"/>
      <w:szCs w:val="32"/>
      <w:lang w:val="en-US" w:eastAsia="zh-CN" w:bidi="ar-SA"/>
    </w:rPr>
  </w:style>
  <w:style w:type="character" w:customStyle="1" w:styleId="111">
    <w:name w:val="Body Text(ch) Char Char"/>
    <w:qFormat/>
    <w:uiPriority w:val="0"/>
    <w:rPr>
      <w:rFonts w:ascii="宋体"/>
      <w:kern w:val="2"/>
      <w:sz w:val="24"/>
      <w:szCs w:val="21"/>
      <w:lang w:val="zh-CN"/>
    </w:rPr>
  </w:style>
  <w:style w:type="character" w:customStyle="1" w:styleId="112">
    <w:name w:val="题注 Char"/>
    <w:link w:val="16"/>
    <w:qFormat/>
    <w:uiPriority w:val="0"/>
    <w:rPr>
      <w:b/>
      <w:kern w:val="2"/>
      <w:sz w:val="28"/>
    </w:rPr>
  </w:style>
  <w:style w:type="character" w:customStyle="1" w:styleId="113">
    <w:name w:val="标书正文格式 Char"/>
    <w:qFormat/>
    <w:uiPriority w:val="0"/>
    <w:rPr>
      <w:rFonts w:eastAsia="楷体_GB2312"/>
      <w:kern w:val="2"/>
      <w:sz w:val="24"/>
      <w:szCs w:val="24"/>
      <w:lang w:bidi="ar-SA"/>
    </w:rPr>
  </w:style>
  <w:style w:type="character" w:customStyle="1" w:styleId="114">
    <w:name w:val="Balloon Text Char"/>
    <w:semiHidden/>
    <w:qFormat/>
    <w:locked/>
    <w:uiPriority w:val="0"/>
    <w:rPr>
      <w:rFonts w:eastAsia="宋体"/>
      <w:kern w:val="2"/>
      <w:sz w:val="18"/>
      <w:szCs w:val="18"/>
      <w:lang w:val="en-US" w:eastAsia="zh-CN" w:bidi="ar-SA"/>
    </w:rPr>
  </w:style>
  <w:style w:type="character" w:customStyle="1" w:styleId="115">
    <w:name w:val="标题4-dyf Char"/>
    <w:link w:val="116"/>
    <w:qFormat/>
    <w:uiPriority w:val="0"/>
    <w:rPr>
      <w:rFonts w:ascii="Cambria" w:hAnsi="Cambria"/>
      <w:b/>
      <w:bCs/>
      <w:color w:val="000000"/>
      <w:kern w:val="2"/>
      <w:sz w:val="21"/>
      <w:szCs w:val="21"/>
    </w:rPr>
  </w:style>
  <w:style w:type="paragraph" w:customStyle="1" w:styleId="116">
    <w:name w:val="标题4-dyf"/>
    <w:basedOn w:val="5"/>
    <w:link w:val="115"/>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117">
    <w:name w:val="公文正文 Char"/>
    <w:qFormat/>
    <w:uiPriority w:val="0"/>
    <w:rPr>
      <w:rFonts w:ascii="仿宋_GB2312" w:eastAsia="仿宋_GB2312"/>
      <w:kern w:val="2"/>
      <w:sz w:val="24"/>
      <w:szCs w:val="24"/>
      <w:lang w:val="en-US" w:eastAsia="zh-CN" w:bidi="ar-SA"/>
    </w:rPr>
  </w:style>
  <w:style w:type="character" w:customStyle="1" w:styleId="118">
    <w:name w:val="标题 8 Char"/>
    <w:link w:val="9"/>
    <w:qFormat/>
    <w:uiPriority w:val="0"/>
    <w:rPr>
      <w:rFonts w:ascii="Arial" w:hAnsi="Arial" w:eastAsia="黑体"/>
      <w:kern w:val="2"/>
      <w:sz w:val="24"/>
      <w:szCs w:val="24"/>
    </w:rPr>
  </w:style>
  <w:style w:type="character" w:customStyle="1" w:styleId="119">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120">
    <w:name w:val="正文缩进 Char2"/>
    <w:link w:val="15"/>
    <w:qFormat/>
    <w:uiPriority w:val="0"/>
    <w:rPr>
      <w:rFonts w:ascii="宋体" w:eastAsia="宋体"/>
      <w:snapToGrid w:val="0"/>
      <w:color w:val="000000"/>
      <w:kern w:val="28"/>
      <w:sz w:val="28"/>
      <w:lang w:val="en-US" w:eastAsia="zh-CN" w:bidi="ar-SA"/>
    </w:rPr>
  </w:style>
  <w:style w:type="character" w:customStyle="1" w:styleId="121">
    <w:name w:val="标题 7 Char"/>
    <w:link w:val="8"/>
    <w:qFormat/>
    <w:uiPriority w:val="0"/>
    <w:rPr>
      <w:b/>
      <w:bCs/>
      <w:kern w:val="2"/>
      <w:sz w:val="24"/>
      <w:szCs w:val="24"/>
    </w:rPr>
  </w:style>
  <w:style w:type="character" w:customStyle="1" w:styleId="122">
    <w:name w:val="b11_01b Char"/>
    <w:link w:val="123"/>
    <w:qFormat/>
    <w:uiPriority w:val="0"/>
    <w:rPr>
      <w:rFonts w:ascii="Verdana" w:hAnsi="Verdana"/>
      <w:b/>
      <w:bCs/>
      <w:color w:val="4A82CA"/>
      <w:sz w:val="17"/>
      <w:szCs w:val="17"/>
    </w:rPr>
  </w:style>
  <w:style w:type="paragraph" w:customStyle="1" w:styleId="123">
    <w:name w:val="b11_01b"/>
    <w:basedOn w:val="1"/>
    <w:next w:val="1"/>
    <w:link w:val="12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124">
    <w:name w:val="插图说明 Char"/>
    <w:qFormat/>
    <w:uiPriority w:val="0"/>
    <w:rPr>
      <w:rFonts w:eastAsia="黑体"/>
      <w:sz w:val="24"/>
      <w:lang w:val="en-US" w:eastAsia="zh-CN"/>
    </w:rPr>
  </w:style>
  <w:style w:type="character" w:customStyle="1" w:styleId="125">
    <w:name w:val="hui"/>
    <w:basedOn w:val="62"/>
    <w:qFormat/>
    <w:uiPriority w:val="0"/>
  </w:style>
  <w:style w:type="character" w:customStyle="1" w:styleId="126">
    <w:name w:val="Bold"/>
    <w:qFormat/>
    <w:uiPriority w:val="0"/>
    <w:rPr>
      <w:rFonts w:ascii="Arial" w:hAnsi="Arial" w:eastAsia="黑体" w:cs="Times New Roman"/>
      <w:b/>
      <w:kern w:val="2"/>
      <w:sz w:val="32"/>
      <w:szCs w:val="32"/>
      <w:lang w:val="en-US" w:eastAsia="zh-CN" w:bidi="ar-SA"/>
    </w:rPr>
  </w:style>
  <w:style w:type="character" w:customStyle="1" w:styleId="127">
    <w:name w:val="样式 标题 4h4H4Fab-4T5Ref Heading 1rh1Heading sqlsect 1.2.3.... Char"/>
    <w:link w:val="128"/>
    <w:qFormat/>
    <w:uiPriority w:val="0"/>
    <w:rPr>
      <w:rFonts w:ascii="微软雅黑" w:hAnsi="微软雅黑" w:eastAsia="微软雅黑"/>
      <w:b/>
      <w:bCs/>
      <w:kern w:val="2"/>
      <w:sz w:val="24"/>
      <w:szCs w:val="28"/>
    </w:rPr>
  </w:style>
  <w:style w:type="paragraph" w:customStyle="1" w:styleId="128">
    <w:name w:val="样式 标题 4h4H4Fab-4T5Ref Heading 1rh1Heading sqlsect 1.2.3...."/>
    <w:basedOn w:val="5"/>
    <w:link w:val="127"/>
    <w:qFormat/>
    <w:uiPriority w:val="0"/>
    <w:pPr>
      <w:tabs>
        <w:tab w:val="left" w:pos="2356"/>
      </w:tabs>
      <w:adjustRightInd/>
      <w:spacing w:line="360" w:lineRule="auto"/>
      <w:ind w:left="1984" w:leftChars="75" w:hanging="708" w:firstLineChars="200"/>
    </w:pPr>
    <w:rPr>
      <w:rFonts w:ascii="微软雅黑" w:hAnsi="微软雅黑" w:eastAsia="微软雅黑"/>
      <w:sz w:val="24"/>
    </w:rPr>
  </w:style>
  <w:style w:type="character" w:customStyle="1" w:styleId="129">
    <w:name w:val="myp1111"/>
    <w:qFormat/>
    <w:uiPriority w:val="0"/>
    <w:rPr>
      <w:rFonts w:hint="default" w:ascii="ˎ̥" w:hAnsi="ˎ̥"/>
      <w:color w:val="000000"/>
      <w:sz w:val="20"/>
      <w:szCs w:val="20"/>
      <w:u w:val="none"/>
    </w:rPr>
  </w:style>
  <w:style w:type="character" w:customStyle="1" w:styleId="130">
    <w:name w:val="blue1"/>
    <w:basedOn w:val="62"/>
    <w:qFormat/>
    <w:uiPriority w:val="0"/>
  </w:style>
  <w:style w:type="character" w:customStyle="1" w:styleId="131">
    <w:name w:val="普通文字 Char3"/>
    <w:qFormat/>
    <w:uiPriority w:val="0"/>
    <w:rPr>
      <w:rFonts w:ascii="宋体" w:hAnsi="Courier New" w:eastAsia="宋体"/>
      <w:kern w:val="2"/>
      <w:sz w:val="21"/>
      <w:lang w:val="en-US" w:eastAsia="zh-CN" w:bidi="ar-SA"/>
    </w:rPr>
  </w:style>
  <w:style w:type="character" w:customStyle="1" w:styleId="132">
    <w:name w:val="Char Char"/>
    <w:qFormat/>
    <w:uiPriority w:val="0"/>
    <w:rPr>
      <w:rFonts w:ascii="宋体" w:hAnsi="Courier New" w:eastAsia="宋体"/>
      <w:kern w:val="2"/>
      <w:sz w:val="21"/>
      <w:lang w:val="en-US" w:eastAsia="zh-CN" w:bidi="ar-SA"/>
    </w:rPr>
  </w:style>
  <w:style w:type="character" w:customStyle="1" w:styleId="133">
    <w:name w:val="称呼 Char"/>
    <w:link w:val="20"/>
    <w:qFormat/>
    <w:uiPriority w:val="0"/>
    <w:rPr>
      <w:rFonts w:ascii="仿宋_GB2312" w:eastAsia="仿宋_GB2312"/>
      <w:kern w:val="2"/>
      <w:sz w:val="28"/>
    </w:rPr>
  </w:style>
  <w:style w:type="character" w:customStyle="1" w:styleId="134">
    <w:name w:val="样式8 Char"/>
    <w:qFormat/>
    <w:uiPriority w:val="0"/>
    <w:rPr>
      <w:rFonts w:ascii="仿宋_GB2312" w:hAnsi="宋体" w:eastAsia="仿宋_GB2312"/>
      <w:b/>
      <w:bCs/>
      <w:kern w:val="2"/>
      <w:sz w:val="24"/>
      <w:szCs w:val="24"/>
    </w:rPr>
  </w:style>
  <w:style w:type="character" w:customStyle="1" w:styleId="135">
    <w:name w:val="正文 项目2 Char"/>
    <w:basedOn w:val="92"/>
    <w:qFormat/>
    <w:uiPriority w:val="0"/>
  </w:style>
  <w:style w:type="character" w:customStyle="1" w:styleId="136">
    <w:name w:val="tw4winExternal"/>
    <w:qFormat/>
    <w:uiPriority w:val="0"/>
    <w:rPr>
      <w:rFonts w:ascii="Courier New" w:hAnsi="Courier New" w:cs="Courier New"/>
      <w:color w:val="808080"/>
      <w:lang w:val="en-US" w:eastAsia="zh-CN"/>
    </w:rPr>
  </w:style>
  <w:style w:type="character" w:customStyle="1" w:styleId="137">
    <w:name w:val="solutionfonts"/>
    <w:qFormat/>
    <w:uiPriority w:val="0"/>
  </w:style>
  <w:style w:type="character" w:customStyle="1" w:styleId="138">
    <w:name w:val="标书1 Char"/>
    <w:qFormat/>
    <w:uiPriority w:val="0"/>
    <w:rPr>
      <w:rFonts w:eastAsia="宋体"/>
      <w:b/>
      <w:bCs/>
      <w:kern w:val="44"/>
      <w:sz w:val="44"/>
      <w:szCs w:val="44"/>
      <w:lang w:val="en-US" w:eastAsia="zh-CN" w:bidi="ar-SA"/>
    </w:rPr>
  </w:style>
  <w:style w:type="character" w:customStyle="1" w:styleId="139">
    <w:name w:val="Font Style82"/>
    <w:qFormat/>
    <w:uiPriority w:val="99"/>
    <w:rPr>
      <w:rFonts w:ascii="宋体" w:eastAsia="宋体" w:cs="宋体"/>
      <w:color w:val="000000"/>
      <w:sz w:val="14"/>
      <w:szCs w:val="14"/>
    </w:rPr>
  </w:style>
  <w:style w:type="character" w:customStyle="1" w:styleId="140">
    <w:name w:val="副标题 Char1"/>
    <w:qFormat/>
    <w:uiPriority w:val="0"/>
    <w:rPr>
      <w:rFonts w:ascii="Cambria" w:hAnsi="Cambria" w:eastAsia="宋体" w:cs="Times New Roman"/>
      <w:b/>
      <w:bCs/>
      <w:snapToGrid w:val="0"/>
      <w:kern w:val="28"/>
      <w:sz w:val="32"/>
      <w:szCs w:val="32"/>
    </w:rPr>
  </w:style>
  <w:style w:type="character" w:customStyle="1" w:styleId="141">
    <w:name w:val="f141"/>
    <w:qFormat/>
    <w:uiPriority w:val="0"/>
    <w:rPr>
      <w:rFonts w:ascii="Tahoma" w:hAnsi="Tahoma" w:eastAsia="宋体"/>
      <w:b/>
      <w:kern w:val="2"/>
      <w:sz w:val="21"/>
      <w:szCs w:val="21"/>
      <w:lang w:val="en-US" w:eastAsia="zh-CN" w:bidi="ar-SA"/>
    </w:rPr>
  </w:style>
  <w:style w:type="character" w:customStyle="1" w:styleId="142">
    <w:name w:val="hei16b1"/>
    <w:qFormat/>
    <w:uiPriority w:val="0"/>
    <w:rPr>
      <w:rFonts w:hint="default" w:ascii="Arial" w:hAnsi="Arial" w:cs="Arial"/>
      <w:b/>
      <w:bCs/>
      <w:color w:val="000000"/>
      <w:sz w:val="24"/>
      <w:szCs w:val="24"/>
    </w:rPr>
  </w:style>
  <w:style w:type="character" w:customStyle="1" w:styleId="143">
    <w:name w:val="Char Char6"/>
    <w:qFormat/>
    <w:uiPriority w:val="0"/>
    <w:rPr>
      <w:rFonts w:eastAsia="宋体"/>
      <w:kern w:val="2"/>
      <w:sz w:val="21"/>
      <w:szCs w:val="24"/>
      <w:lang w:val="en-US" w:eastAsia="zh-CN" w:bidi="ar-SA"/>
    </w:rPr>
  </w:style>
  <w:style w:type="character" w:customStyle="1" w:styleId="144">
    <w:name w:val="DO_NOT_TRANSLATE"/>
    <w:qFormat/>
    <w:uiPriority w:val="0"/>
    <w:rPr>
      <w:rFonts w:ascii="Courier New" w:hAnsi="Courier New" w:cs="Courier New"/>
      <w:color w:val="800000"/>
      <w:lang w:val="en-US" w:eastAsia="zh-CN"/>
    </w:rPr>
  </w:style>
  <w:style w:type="character" w:customStyle="1" w:styleId="145">
    <w:name w:val="标题 2 Char"/>
    <w:qFormat/>
    <w:uiPriority w:val="0"/>
    <w:rPr>
      <w:rFonts w:ascii="Arial" w:hAnsi="Arial" w:eastAsia="黑体"/>
      <w:b/>
      <w:kern w:val="2"/>
      <w:sz w:val="32"/>
      <w:lang w:val="en-US" w:eastAsia="zh-CN"/>
    </w:rPr>
  </w:style>
  <w:style w:type="character" w:customStyle="1" w:styleId="146">
    <w:name w:val="正文2 Char"/>
    <w:qFormat/>
    <w:uiPriority w:val="0"/>
    <w:rPr>
      <w:rFonts w:eastAsia="宋体"/>
      <w:kern w:val="2"/>
      <w:sz w:val="24"/>
      <w:lang w:val="en-US" w:eastAsia="zh-CN" w:bidi="ar-SA"/>
    </w:rPr>
  </w:style>
  <w:style w:type="character" w:customStyle="1" w:styleId="147">
    <w:name w:val="myp11"/>
    <w:qFormat/>
    <w:uiPriority w:val="0"/>
    <w:rPr>
      <w:rFonts w:ascii="仿宋_GB2312" w:eastAsia="微软雅黑"/>
      <w:b/>
      <w:kern w:val="2"/>
      <w:sz w:val="32"/>
      <w:szCs w:val="32"/>
      <w:lang w:val="en-US" w:eastAsia="zh-CN" w:bidi="ar-SA"/>
    </w:rPr>
  </w:style>
  <w:style w:type="character" w:customStyle="1" w:styleId="148">
    <w:name w:val="正文1 Char"/>
    <w:qFormat/>
    <w:uiPriority w:val="0"/>
    <w:rPr>
      <w:rFonts w:ascii="宋体" w:eastAsia="宋体"/>
      <w:snapToGrid w:val="0"/>
      <w:color w:val="000000"/>
      <w:kern w:val="28"/>
      <w:sz w:val="28"/>
      <w:lang w:val="en-US" w:eastAsia="zh-CN" w:bidi="ar-SA"/>
    </w:rPr>
  </w:style>
  <w:style w:type="character" w:customStyle="1" w:styleId="149">
    <w:name w:val="普通文字 Char Char1"/>
    <w:qFormat/>
    <w:uiPriority w:val="0"/>
    <w:rPr>
      <w:rFonts w:ascii="宋体" w:hAnsi="Courier New"/>
      <w:kern w:val="2"/>
      <w:sz w:val="21"/>
    </w:rPr>
  </w:style>
  <w:style w:type="character" w:customStyle="1" w:styleId="150">
    <w:name w:val="正文缩进 字符"/>
    <w:qFormat/>
    <w:uiPriority w:val="0"/>
    <w:rPr>
      <w:rFonts w:ascii="宋体" w:eastAsia="宋体"/>
      <w:snapToGrid/>
      <w:color w:val="000000"/>
      <w:kern w:val="28"/>
      <w:sz w:val="28"/>
      <w:lang w:val="en-US" w:eastAsia="zh-CN"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正文1 Char1"/>
    <w:qFormat/>
    <w:uiPriority w:val="0"/>
    <w:rPr>
      <w:rFonts w:ascii="仿宋_GB2312" w:hAnsi="Courier New" w:eastAsia="仿宋_GB2312"/>
      <w:kern w:val="28"/>
      <w:sz w:val="24"/>
      <w:szCs w:val="24"/>
      <w:lang w:val="en-US" w:eastAsia="zh-CN"/>
    </w:rPr>
  </w:style>
  <w:style w:type="character" w:customStyle="1" w:styleId="153">
    <w:name w:val="gray6"/>
    <w:basedOn w:val="62"/>
    <w:qFormat/>
    <w:uiPriority w:val="0"/>
  </w:style>
  <w:style w:type="character" w:customStyle="1" w:styleId="154">
    <w:name w:val="页眉 Char"/>
    <w:qFormat/>
    <w:uiPriority w:val="99"/>
    <w:rPr>
      <w:rFonts w:eastAsia="仿宋_GB2312"/>
      <w:kern w:val="2"/>
      <w:sz w:val="18"/>
      <w:lang w:val="en-US" w:eastAsia="zh-CN"/>
    </w:rPr>
  </w:style>
  <w:style w:type="character" w:customStyle="1" w:styleId="155">
    <w:name w:val="content"/>
    <w:qFormat/>
    <w:uiPriority w:val="0"/>
  </w:style>
  <w:style w:type="character" w:customStyle="1" w:styleId="156">
    <w:name w:val="Header Char"/>
    <w:semiHidden/>
    <w:qFormat/>
    <w:locked/>
    <w:uiPriority w:val="0"/>
    <w:rPr>
      <w:rFonts w:eastAsia="宋体"/>
      <w:kern w:val="2"/>
      <w:sz w:val="18"/>
      <w:szCs w:val="18"/>
      <w:lang w:val="en-US" w:eastAsia="zh-CN" w:bidi="ar-SA"/>
    </w:rPr>
  </w:style>
  <w:style w:type="character" w:customStyle="1" w:styleId="157">
    <w:name w:val="纯文本 Char1"/>
    <w:link w:val="158"/>
    <w:qFormat/>
    <w:uiPriority w:val="0"/>
    <w:rPr>
      <w:rFonts w:ascii="宋体" w:hAnsi="Courier New"/>
    </w:rPr>
  </w:style>
  <w:style w:type="paragraph" w:customStyle="1" w:styleId="158">
    <w:name w:val="纯文本1"/>
    <w:basedOn w:val="1"/>
    <w:link w:val="157"/>
    <w:qFormat/>
    <w:uiPriority w:val="0"/>
    <w:pPr>
      <w:adjustRightInd/>
    </w:pPr>
    <w:rPr>
      <w:rFonts w:ascii="宋体" w:hAnsi="Courier New"/>
      <w:kern w:val="0"/>
      <w:sz w:val="20"/>
      <w:szCs w:val="20"/>
    </w:rPr>
  </w:style>
  <w:style w:type="character" w:customStyle="1" w:styleId="159">
    <w:name w:val="带编号样式 Char"/>
    <w:qFormat/>
    <w:uiPriority w:val="0"/>
    <w:rPr>
      <w:rFonts w:ascii="仿宋_GB2312" w:eastAsia="仿宋_GB2312"/>
      <w:color w:val="000000"/>
      <w:sz w:val="24"/>
      <w:lang w:bidi="ar-SA"/>
    </w:rPr>
  </w:style>
  <w:style w:type="character" w:customStyle="1" w:styleId="160">
    <w:name w:val="ca-131"/>
    <w:qFormat/>
    <w:uiPriority w:val="0"/>
    <w:rPr>
      <w:rFonts w:hint="eastAsia" w:ascii="仿宋_GB2312" w:eastAsia="仿宋_GB2312"/>
      <w:b/>
      <w:bCs/>
      <w:color w:val="000000"/>
      <w:spacing w:val="-20"/>
      <w:sz w:val="24"/>
      <w:szCs w:val="24"/>
    </w:rPr>
  </w:style>
  <w:style w:type="character" w:customStyle="1" w:styleId="161">
    <w:name w:val="正文首行缩进 Char Char Char Char Char Char"/>
    <w:qFormat/>
    <w:uiPriority w:val="0"/>
    <w:rPr>
      <w:rFonts w:ascii="宋体" w:eastAsia="宋体"/>
      <w:kern w:val="2"/>
      <w:sz w:val="24"/>
      <w:lang w:val="zh-CN" w:bidi="ar-SA"/>
    </w:rPr>
  </w:style>
  <w:style w:type="character" w:customStyle="1" w:styleId="162">
    <w:name w:val="Char Char12"/>
    <w:qFormat/>
    <w:uiPriority w:val="0"/>
    <w:rPr>
      <w:rFonts w:ascii="仿宋_GB2312" w:eastAsia="仿宋_GB2312"/>
      <w:b/>
      <w:bCs/>
      <w:kern w:val="2"/>
      <w:sz w:val="24"/>
      <w:szCs w:val="24"/>
      <w:lang w:val="zh-CN" w:eastAsia="zh-CN" w:bidi="ar-SA"/>
    </w:rPr>
  </w:style>
  <w:style w:type="character" w:customStyle="1" w:styleId="163">
    <w:name w:val="标题 4 Char"/>
    <w:link w:val="5"/>
    <w:qFormat/>
    <w:uiPriority w:val="0"/>
    <w:rPr>
      <w:rFonts w:ascii="Arial" w:hAnsi="Arial" w:eastAsia="黑体"/>
      <w:b/>
      <w:bCs/>
      <w:kern w:val="2"/>
      <w:sz w:val="28"/>
      <w:szCs w:val="28"/>
      <w:lang w:val="zh-CN"/>
    </w:rPr>
  </w:style>
  <w:style w:type="character" w:customStyle="1" w:styleId="164">
    <w:name w:val="标题 2 Char Char"/>
    <w:qFormat/>
    <w:uiPriority w:val="0"/>
    <w:rPr>
      <w:rFonts w:ascii="楷体_GB2312" w:hAnsi="Arial" w:eastAsia="楷体_GB2312"/>
      <w:b/>
      <w:bCs/>
      <w:kern w:val="2"/>
      <w:sz w:val="24"/>
      <w:szCs w:val="32"/>
      <w:lang w:val="en-US" w:eastAsia="zh-CN" w:bidi="ar-SA"/>
    </w:rPr>
  </w:style>
  <w:style w:type="character" w:customStyle="1" w:styleId="165">
    <w:name w:val="正文文本缩进 2 Char"/>
    <w:link w:val="35"/>
    <w:qFormat/>
    <w:uiPriority w:val="0"/>
    <w:rPr>
      <w:rFonts w:ascii="宋体"/>
      <w:sz w:val="28"/>
    </w:rPr>
  </w:style>
  <w:style w:type="character" w:customStyle="1" w:styleId="166">
    <w:name w:val="tw4winError"/>
    <w:qFormat/>
    <w:uiPriority w:val="0"/>
    <w:rPr>
      <w:rFonts w:ascii="Courier New" w:hAnsi="Courier New" w:cs="Courier New"/>
      <w:color w:val="00FF00"/>
      <w:sz w:val="40"/>
      <w:szCs w:val="40"/>
    </w:rPr>
  </w:style>
  <w:style w:type="character" w:customStyle="1" w:styleId="167">
    <w:name w:val="Char Char4"/>
    <w:qFormat/>
    <w:uiPriority w:val="0"/>
    <w:rPr>
      <w:rFonts w:eastAsia="宋体"/>
      <w:b/>
      <w:sz w:val="24"/>
      <w:lang w:val="en-GB" w:eastAsia="zh-CN" w:bidi="ar-SA"/>
    </w:rPr>
  </w:style>
  <w:style w:type="character" w:customStyle="1" w:styleId="168">
    <w:name w:val="Char Char10"/>
    <w:semiHidden/>
    <w:qFormat/>
    <w:uiPriority w:val="0"/>
    <w:rPr>
      <w:rFonts w:ascii="宋体" w:hAnsi="宋体"/>
      <w:kern w:val="2"/>
      <w:sz w:val="21"/>
      <w:szCs w:val="24"/>
      <w:lang w:val="en-US" w:eastAsia="zh-CN"/>
    </w:rPr>
  </w:style>
  <w:style w:type="character" w:customStyle="1" w:styleId="169">
    <w:name w:val="Ò³Ã¼ Char Char"/>
    <w:qFormat/>
    <w:uiPriority w:val="0"/>
    <w:rPr>
      <w:rFonts w:eastAsia="宋体"/>
      <w:kern w:val="2"/>
      <w:sz w:val="18"/>
      <w:lang w:val="en-US" w:eastAsia="zh-CN" w:bidi="ar-SA"/>
    </w:rPr>
  </w:style>
  <w:style w:type="character" w:customStyle="1" w:styleId="170">
    <w:name w:val="页脚 Char1"/>
    <w:qFormat/>
    <w:uiPriority w:val="0"/>
    <w:rPr>
      <w:rFonts w:eastAsia="宋体"/>
      <w:kern w:val="2"/>
      <w:sz w:val="18"/>
      <w:szCs w:val="18"/>
      <w:lang w:val="en-US" w:eastAsia="zh-CN" w:bidi="ar-SA"/>
    </w:rPr>
  </w:style>
  <w:style w:type="character" w:customStyle="1" w:styleId="171">
    <w:name w:val="c7 style3"/>
    <w:qFormat/>
    <w:uiPriority w:val="0"/>
  </w:style>
  <w:style w:type="character" w:customStyle="1" w:styleId="172">
    <w:name w:val="标准正文格式 Char"/>
    <w:qFormat/>
    <w:uiPriority w:val="0"/>
    <w:rPr>
      <w:rFonts w:ascii="宋体" w:eastAsia="仿宋_GB2312" w:cs="宋体"/>
      <w:color w:val="000000"/>
      <w:sz w:val="24"/>
      <w:lang w:val="en-US" w:eastAsia="zh-CN" w:bidi="ar-SA"/>
    </w:rPr>
  </w:style>
  <w:style w:type="character" w:customStyle="1" w:styleId="173">
    <w:name w:val="javascript"/>
    <w:qFormat/>
    <w:uiPriority w:val="0"/>
  </w:style>
  <w:style w:type="character" w:customStyle="1" w:styleId="174">
    <w:name w:val="Char Char11"/>
    <w:qFormat/>
    <w:locked/>
    <w:uiPriority w:val="0"/>
    <w:rPr>
      <w:rFonts w:ascii="宋体" w:hAnsi="宋体" w:eastAsia="宋体"/>
      <w:b/>
      <w:kern w:val="2"/>
      <w:sz w:val="24"/>
      <w:szCs w:val="24"/>
      <w:lang w:val="en-US" w:eastAsia="zh-CN" w:bidi="ar-SA"/>
    </w:rPr>
  </w:style>
  <w:style w:type="character" w:customStyle="1" w:styleId="175">
    <w:name w:val="Char Char51"/>
    <w:qFormat/>
    <w:uiPriority w:val="0"/>
    <w:rPr>
      <w:rFonts w:ascii="宋体" w:hAnsi="Courier New" w:eastAsia="宋体"/>
      <w:kern w:val="2"/>
      <w:sz w:val="21"/>
      <w:lang w:val="en-US" w:eastAsia="zh-CN"/>
    </w:rPr>
  </w:style>
  <w:style w:type="character" w:customStyle="1" w:styleId="176">
    <w:name w:val="标题 3 Char2"/>
    <w:qFormat/>
    <w:uiPriority w:val="0"/>
    <w:rPr>
      <w:rFonts w:eastAsia="宋体"/>
      <w:b/>
      <w:bCs/>
      <w:kern w:val="2"/>
      <w:sz w:val="32"/>
      <w:szCs w:val="32"/>
      <w:lang w:val="en-US" w:eastAsia="zh-CN" w:bidi="ar-SA"/>
    </w:rPr>
  </w:style>
  <w:style w:type="character" w:customStyle="1" w:styleId="177">
    <w:name w:val="h Char Char"/>
    <w:qFormat/>
    <w:uiPriority w:val="0"/>
    <w:rPr>
      <w:rFonts w:eastAsia="宋体"/>
      <w:kern w:val="2"/>
      <w:sz w:val="18"/>
      <w:lang w:val="en-US" w:eastAsia="zh-CN" w:bidi="ar-SA"/>
    </w:rPr>
  </w:style>
  <w:style w:type="character" w:customStyle="1" w:styleId="178">
    <w:name w:val="普通文字 Char1"/>
    <w:qFormat/>
    <w:uiPriority w:val="0"/>
    <w:rPr>
      <w:rFonts w:ascii="宋体" w:hAnsi="Courier New" w:eastAsia="宋体"/>
      <w:kern w:val="2"/>
      <w:sz w:val="21"/>
      <w:lang w:val="en-US" w:eastAsia="zh-CN"/>
    </w:rPr>
  </w:style>
  <w:style w:type="character" w:customStyle="1" w:styleId="179">
    <w:name w:val="Char Char3"/>
    <w:qFormat/>
    <w:uiPriority w:val="0"/>
    <w:rPr>
      <w:rFonts w:eastAsia="宋体"/>
      <w:kern w:val="2"/>
      <w:sz w:val="21"/>
      <w:szCs w:val="24"/>
      <w:lang w:val="en-US" w:eastAsia="zh-CN" w:bidi="ar-SA"/>
    </w:rPr>
  </w:style>
  <w:style w:type="character" w:customStyle="1" w:styleId="180">
    <w:name w:val="正文文本缩进 字符"/>
    <w:qFormat/>
    <w:uiPriority w:val="0"/>
    <w:rPr>
      <w:rFonts w:ascii="宋体" w:hAnsi="宋体"/>
      <w:kern w:val="2"/>
      <w:sz w:val="24"/>
      <w:szCs w:val="24"/>
    </w:rPr>
  </w:style>
  <w:style w:type="character" w:customStyle="1" w:styleId="181">
    <w:name w:val="No Spacing Char"/>
    <w:link w:val="182"/>
    <w:qFormat/>
    <w:uiPriority w:val="1"/>
    <w:rPr>
      <w:rFonts w:ascii="Calibri" w:hAnsi="Calibri"/>
      <w:sz w:val="22"/>
      <w:szCs w:val="22"/>
      <w:lang w:val="en-US" w:eastAsia="zh-CN" w:bidi="ar-SA"/>
    </w:rPr>
  </w:style>
  <w:style w:type="paragraph" w:customStyle="1" w:styleId="182">
    <w:name w:val="无间隔1"/>
    <w:link w:val="181"/>
    <w:qFormat/>
    <w:uiPriority w:val="1"/>
    <w:rPr>
      <w:rFonts w:ascii="Calibri" w:hAnsi="Calibri" w:eastAsia="宋体" w:cs="Times New Roman"/>
      <w:sz w:val="22"/>
      <w:szCs w:val="22"/>
      <w:lang w:val="en-US" w:eastAsia="zh-CN" w:bidi="ar-SA"/>
    </w:rPr>
  </w:style>
  <w:style w:type="character" w:customStyle="1" w:styleId="183">
    <w:name w:val="h3 Char"/>
    <w:qFormat/>
    <w:uiPriority w:val="0"/>
    <w:rPr>
      <w:rFonts w:eastAsia="宋体"/>
      <w:b/>
      <w:kern w:val="2"/>
      <w:sz w:val="32"/>
      <w:lang w:val="en-US" w:eastAsia="zh-CN" w:bidi="ar-SA"/>
    </w:rPr>
  </w:style>
  <w:style w:type="character" w:customStyle="1" w:styleId="184">
    <w:name w:val="Char Char8"/>
    <w:qFormat/>
    <w:uiPriority w:val="0"/>
    <w:rPr>
      <w:rFonts w:eastAsia="宋体"/>
      <w:b/>
      <w:sz w:val="24"/>
      <w:lang w:val="en-GB" w:eastAsia="zh-CN"/>
    </w:rPr>
  </w:style>
  <w:style w:type="character" w:customStyle="1" w:styleId="185">
    <w:name w:val="批注文字 Char"/>
    <w:qFormat/>
    <w:uiPriority w:val="99"/>
    <w:rPr>
      <w:kern w:val="2"/>
      <w:sz w:val="21"/>
      <w:szCs w:val="24"/>
    </w:rPr>
  </w:style>
  <w:style w:type="character" w:customStyle="1" w:styleId="186">
    <w:name w:val="highlight1"/>
    <w:qFormat/>
    <w:uiPriority w:val="0"/>
    <w:rPr>
      <w:rFonts w:ascii="仿宋_GB2312" w:eastAsia="微软雅黑"/>
      <w:b/>
      <w:kern w:val="2"/>
      <w:sz w:val="23"/>
      <w:szCs w:val="23"/>
      <w:lang w:val="en-US" w:eastAsia="zh-CN" w:bidi="ar-SA"/>
    </w:rPr>
  </w:style>
  <w:style w:type="character" w:customStyle="1" w:styleId="187">
    <w:name w:val="style91"/>
    <w:qFormat/>
    <w:uiPriority w:val="0"/>
    <w:rPr>
      <w:color w:val="333333"/>
    </w:rPr>
  </w:style>
  <w:style w:type="character" w:customStyle="1" w:styleId="188">
    <w:name w:val="标题 9 Char"/>
    <w:link w:val="10"/>
    <w:qFormat/>
    <w:uiPriority w:val="0"/>
    <w:rPr>
      <w:rFonts w:ascii="Arial" w:hAnsi="Arial" w:eastAsia="黑体"/>
      <w:kern w:val="2"/>
      <w:sz w:val="21"/>
      <w:szCs w:val="21"/>
    </w:rPr>
  </w:style>
  <w:style w:type="character" w:customStyle="1" w:styleId="189">
    <w:name w:val="正文文本 2 Char"/>
    <w:qFormat/>
    <w:uiPriority w:val="0"/>
    <w:rPr>
      <w:rFonts w:eastAsia="宋体"/>
      <w:kern w:val="2"/>
      <w:sz w:val="21"/>
      <w:szCs w:val="24"/>
      <w:lang w:val="en-US" w:eastAsia="zh-CN" w:bidi="ar-SA"/>
    </w:rPr>
  </w:style>
  <w:style w:type="character" w:customStyle="1" w:styleId="190">
    <w:name w:val="mdeck"/>
    <w:qFormat/>
    <w:uiPriority w:val="0"/>
    <w:rPr>
      <w:rFonts w:ascii="仿宋_GB2312" w:eastAsia="微软雅黑"/>
      <w:b/>
      <w:kern w:val="2"/>
      <w:sz w:val="32"/>
      <w:szCs w:val="32"/>
      <w:lang w:val="en-US" w:eastAsia="zh-CN" w:bidi="ar-SA"/>
    </w:rPr>
  </w:style>
  <w:style w:type="character" w:customStyle="1" w:styleId="191">
    <w:name w:val="哈哈正文 Char"/>
    <w:link w:val="192"/>
    <w:qFormat/>
    <w:uiPriority w:val="0"/>
    <w:rPr>
      <w:rFonts w:ascii="宋体" w:hAnsi="宋体" w:eastAsia="宋体"/>
      <w:kern w:val="2"/>
      <w:sz w:val="24"/>
      <w:lang w:bidi="ar-SA"/>
    </w:rPr>
  </w:style>
  <w:style w:type="paragraph" w:customStyle="1" w:styleId="192">
    <w:name w:val="哈哈正文"/>
    <w:basedOn w:val="1"/>
    <w:link w:val="191"/>
    <w:qFormat/>
    <w:uiPriority w:val="0"/>
    <w:pPr>
      <w:adjustRightInd/>
      <w:spacing w:line="360" w:lineRule="auto"/>
      <w:ind w:firstLine="200" w:firstLineChars="200"/>
    </w:pPr>
    <w:rPr>
      <w:rFonts w:ascii="宋体" w:hAnsi="宋体"/>
      <w:sz w:val="24"/>
      <w:szCs w:val="20"/>
    </w:rPr>
  </w:style>
  <w:style w:type="character" w:customStyle="1" w:styleId="193">
    <w:name w:val="Char Char81"/>
    <w:qFormat/>
    <w:uiPriority w:val="0"/>
    <w:rPr>
      <w:rFonts w:eastAsia="宋体"/>
      <w:b/>
      <w:sz w:val="24"/>
      <w:lang w:val="en-GB" w:eastAsia="zh-CN"/>
    </w:rPr>
  </w:style>
  <w:style w:type="character" w:customStyle="1" w:styleId="194">
    <w:name w:val="此正文 Char"/>
    <w:link w:val="195"/>
    <w:qFormat/>
    <w:uiPriority w:val="0"/>
    <w:rPr>
      <w:kern w:val="2"/>
      <w:sz w:val="24"/>
      <w:szCs w:val="24"/>
    </w:rPr>
  </w:style>
  <w:style w:type="paragraph" w:customStyle="1" w:styleId="195">
    <w:name w:val="此正文"/>
    <w:basedOn w:val="1"/>
    <w:link w:val="194"/>
    <w:qFormat/>
    <w:uiPriority w:val="0"/>
    <w:pPr>
      <w:adjustRightInd/>
      <w:spacing w:line="360" w:lineRule="auto"/>
      <w:ind w:firstLine="200" w:firstLineChars="200"/>
    </w:pPr>
    <w:rPr>
      <w:sz w:val="24"/>
    </w:rPr>
  </w:style>
  <w:style w:type="character" w:customStyle="1" w:styleId="196">
    <w:name w:val="批注主题 Char"/>
    <w:qFormat/>
    <w:uiPriority w:val="0"/>
    <w:rPr>
      <w:rFonts w:eastAsia="宋体"/>
      <w:b/>
      <w:bCs/>
      <w:kern w:val="2"/>
      <w:sz w:val="21"/>
      <w:szCs w:val="24"/>
      <w:lang w:val="en-US" w:eastAsia="zh-CN" w:bidi="ar-SA"/>
    </w:rPr>
  </w:style>
  <w:style w:type="character" w:customStyle="1" w:styleId="197">
    <w:name w:val="Footer-Even Char"/>
    <w:qFormat/>
    <w:uiPriority w:val="0"/>
    <w:rPr>
      <w:rFonts w:eastAsia="宋体"/>
      <w:kern w:val="2"/>
      <w:sz w:val="18"/>
      <w:lang w:val="en-US" w:eastAsia="zh-CN" w:bidi="ar-SA"/>
    </w:rPr>
  </w:style>
  <w:style w:type="character" w:customStyle="1" w:styleId="198">
    <w:name w:val="普通文字 Char1 Char"/>
    <w:qFormat/>
    <w:uiPriority w:val="0"/>
    <w:rPr>
      <w:rFonts w:ascii="宋体" w:hAnsi="Courier New" w:eastAsia="宋体"/>
      <w:kern w:val="2"/>
      <w:sz w:val="21"/>
      <w:szCs w:val="24"/>
      <w:lang w:val="en-US" w:eastAsia="zh-CN" w:bidi="ar-SA"/>
    </w:rPr>
  </w:style>
  <w:style w:type="character" w:customStyle="1" w:styleId="19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0">
    <w:name w:val="Used by Word for text of Help footnotes Char Char"/>
    <w:semiHidden/>
    <w:qFormat/>
    <w:uiPriority w:val="0"/>
    <w:rPr>
      <w:rFonts w:ascii="Times New Roman" w:hAnsi="Times New Roman" w:eastAsia="宋体" w:cs="Times New Roman"/>
      <w:sz w:val="20"/>
      <w:szCs w:val="20"/>
    </w:rPr>
  </w:style>
  <w:style w:type="character" w:customStyle="1" w:styleId="201">
    <w:name w:val="Document Map Char"/>
    <w:semiHidden/>
    <w:qFormat/>
    <w:locked/>
    <w:uiPriority w:val="0"/>
    <w:rPr>
      <w:rFonts w:eastAsia="宋体"/>
      <w:kern w:val="2"/>
      <w:sz w:val="21"/>
      <w:szCs w:val="24"/>
      <w:lang w:val="en-US" w:eastAsia="zh-CN" w:bidi="ar-SA"/>
    </w:rPr>
  </w:style>
  <w:style w:type="character" w:customStyle="1" w:styleId="202">
    <w:name w:val="纯文本 Char"/>
    <w:link w:val="31"/>
    <w:qFormat/>
    <w:uiPriority w:val="0"/>
    <w:rPr>
      <w:rFonts w:ascii="宋体" w:hAnsi="Courier New" w:eastAsia="宋体" w:cs="Arial"/>
      <w:snapToGrid w:val="0"/>
      <w:kern w:val="2"/>
      <w:sz w:val="21"/>
      <w:szCs w:val="21"/>
      <w:lang w:val="en-US" w:eastAsia="zh-CN" w:bidi="ar-SA"/>
    </w:rPr>
  </w:style>
  <w:style w:type="character" w:customStyle="1" w:styleId="203">
    <w:name w:val="正文文本缩进 Char"/>
    <w:qFormat/>
    <w:uiPriority w:val="0"/>
    <w:rPr>
      <w:rFonts w:ascii="宋体" w:hAnsi="宋体"/>
      <w:kern w:val="2"/>
      <w:sz w:val="24"/>
      <w:szCs w:val="24"/>
    </w:rPr>
  </w:style>
  <w:style w:type="character" w:customStyle="1" w:styleId="204">
    <w:name w:val="文本正文 Char Char"/>
    <w:qFormat/>
    <w:locked/>
    <w:uiPriority w:val="0"/>
    <w:rPr>
      <w:sz w:val="24"/>
      <w:lang w:bidi="ar-SA"/>
    </w:rPr>
  </w:style>
  <w:style w:type="character" w:customStyle="1" w:styleId="205">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206">
    <w:name w:val="样式7 Char"/>
    <w:qFormat/>
    <w:uiPriority w:val="0"/>
    <w:rPr>
      <w:rFonts w:ascii="仿宋_GB2312" w:hAnsi="仿宋" w:eastAsia="仿宋_GB2312"/>
      <w:b/>
      <w:kern w:val="2"/>
      <w:sz w:val="24"/>
      <w:szCs w:val="24"/>
    </w:rPr>
  </w:style>
  <w:style w:type="character" w:customStyle="1" w:styleId="207">
    <w:name w:val="表正文 Char"/>
    <w:qFormat/>
    <w:uiPriority w:val="0"/>
    <w:rPr>
      <w:rFonts w:ascii="宋体" w:eastAsia="宋体"/>
      <w:snapToGrid w:val="0"/>
      <w:color w:val="000000"/>
      <w:kern w:val="28"/>
      <w:sz w:val="28"/>
      <w:lang w:val="en-US" w:eastAsia="zh-CN" w:bidi="ar-SA"/>
    </w:rPr>
  </w:style>
  <w:style w:type="character" w:customStyle="1" w:styleId="208">
    <w:name w:val="样式3 Char"/>
    <w:basedOn w:val="209"/>
    <w:qFormat/>
    <w:uiPriority w:val="0"/>
  </w:style>
  <w:style w:type="character" w:customStyle="1" w:styleId="209">
    <w:name w:val="样式2 Char"/>
    <w:qFormat/>
    <w:uiPriority w:val="0"/>
    <w:rPr>
      <w:rFonts w:ascii="仿宋_GB2312" w:hAnsi="仿宋" w:eastAsia="仿宋_GB2312" w:cs="仿宋_GB2312"/>
      <w:b/>
      <w:bCs/>
      <w:sz w:val="32"/>
      <w:szCs w:val="30"/>
      <w:lang w:val="zh-CN"/>
    </w:rPr>
  </w:style>
  <w:style w:type="character" w:customStyle="1" w:styleId="210">
    <w:name w:val="pt9"/>
    <w:qFormat/>
    <w:uiPriority w:val="0"/>
    <w:rPr>
      <w:rFonts w:ascii="仿宋_GB2312" w:eastAsia="微软雅黑"/>
      <w:b/>
      <w:kern w:val="2"/>
      <w:sz w:val="32"/>
      <w:szCs w:val="32"/>
      <w:lang w:val="en-US" w:eastAsia="zh-CN" w:bidi="ar-SA"/>
    </w:rPr>
  </w:style>
  <w:style w:type="character" w:customStyle="1" w:styleId="211">
    <w:name w:val="冯广丽 Char"/>
    <w:link w:val="212"/>
    <w:qFormat/>
    <w:uiPriority w:val="0"/>
    <w:rPr>
      <w:rFonts w:ascii="宋体" w:hAnsi="宋体"/>
      <w:kern w:val="2"/>
      <w:sz w:val="24"/>
      <w:szCs w:val="22"/>
    </w:rPr>
  </w:style>
  <w:style w:type="paragraph" w:customStyle="1" w:styleId="212">
    <w:name w:val="冯广丽"/>
    <w:basedOn w:val="1"/>
    <w:link w:val="211"/>
    <w:qFormat/>
    <w:uiPriority w:val="0"/>
    <w:pPr>
      <w:adjustRightInd/>
      <w:spacing w:line="360" w:lineRule="auto"/>
      <w:ind w:firstLine="480" w:firstLineChars="200"/>
    </w:pPr>
    <w:rPr>
      <w:rFonts w:ascii="宋体" w:hAnsi="宋体"/>
      <w:sz w:val="24"/>
      <w:szCs w:val="22"/>
    </w:rPr>
  </w:style>
  <w:style w:type="character" w:customStyle="1" w:styleId="213">
    <w:name w:val="二级标题 Char Char"/>
    <w:qFormat/>
    <w:uiPriority w:val="0"/>
    <w:rPr>
      <w:rFonts w:ascii="宋体" w:hAnsi="宋体" w:eastAsia="宋体"/>
      <w:b/>
      <w:snapToGrid w:val="0"/>
      <w:kern w:val="2"/>
      <w:sz w:val="24"/>
      <w:szCs w:val="24"/>
      <w:lang w:val="en-US" w:eastAsia="zh-CN" w:bidi="ar-SA"/>
    </w:rPr>
  </w:style>
  <w:style w:type="character" w:customStyle="1" w:styleId="214">
    <w:name w:val="表正文 Char1"/>
    <w:qFormat/>
    <w:uiPriority w:val="0"/>
    <w:rPr>
      <w:rFonts w:ascii="宋体" w:eastAsia="宋体"/>
      <w:snapToGrid w:val="0"/>
      <w:color w:val="000000"/>
      <w:kern w:val="28"/>
      <w:sz w:val="28"/>
    </w:rPr>
  </w:style>
  <w:style w:type="character" w:customStyle="1" w:styleId="215">
    <w:name w:val="Table Text Char1"/>
    <w:qFormat/>
    <w:uiPriority w:val="0"/>
    <w:rPr>
      <w:rFonts w:eastAsia="宋体"/>
      <w:sz w:val="24"/>
      <w:szCs w:val="24"/>
      <w:lang w:val="en-US" w:eastAsia="zh-CN" w:bidi="ar-SA"/>
    </w:rPr>
  </w:style>
  <w:style w:type="character" w:customStyle="1" w:styleId="216">
    <w:name w:val="正文非缩进 Char"/>
    <w:qFormat/>
    <w:uiPriority w:val="0"/>
    <w:rPr>
      <w:rFonts w:ascii="宋体" w:eastAsia="宋体"/>
      <w:snapToGrid w:val="0"/>
      <w:color w:val="000000"/>
      <w:kern w:val="28"/>
      <w:sz w:val="28"/>
      <w:lang w:val="en-US" w:eastAsia="zh-CN" w:bidi="ar-SA"/>
    </w:rPr>
  </w:style>
  <w:style w:type="character" w:customStyle="1" w:styleId="217">
    <w:name w:val="shadow11"/>
    <w:qFormat/>
    <w:uiPriority w:val="0"/>
    <w:rPr>
      <w:color w:val="000000"/>
      <w:sz w:val="21"/>
    </w:rPr>
  </w:style>
  <w:style w:type="character" w:customStyle="1" w:styleId="218">
    <w:name w:val="large1"/>
    <w:qFormat/>
    <w:uiPriority w:val="0"/>
    <w:rPr>
      <w:rFonts w:hint="eastAsia" w:ascii="宋体" w:hAnsi="宋体" w:eastAsia="宋体"/>
      <w:sz w:val="21"/>
      <w:szCs w:val="21"/>
    </w:rPr>
  </w:style>
  <w:style w:type="character" w:customStyle="1" w:styleId="219">
    <w:name w:val="HTML 地址 Char"/>
    <w:link w:val="28"/>
    <w:qFormat/>
    <w:uiPriority w:val="0"/>
    <w:rPr>
      <w:rFonts w:ascii="宋体" w:hAnsi="宋体"/>
      <w:i/>
      <w:iCs/>
      <w:sz w:val="24"/>
      <w:szCs w:val="24"/>
    </w:rPr>
  </w:style>
  <w:style w:type="character" w:customStyle="1" w:styleId="220">
    <w:name w:val="样式 样式 标题 4h4H4Fab-4T5Ref Heading 1rh1Heading sqlsect 1.2.3.... +... Char"/>
    <w:link w:val="221"/>
    <w:qFormat/>
    <w:uiPriority w:val="0"/>
    <w:rPr>
      <w:rFonts w:ascii="微软雅黑" w:hAnsi="微软雅黑" w:eastAsia="微软雅黑"/>
      <w:b/>
      <w:bCs/>
      <w:kern w:val="2"/>
      <w:sz w:val="24"/>
      <w:szCs w:val="28"/>
    </w:rPr>
  </w:style>
  <w:style w:type="paragraph" w:customStyle="1" w:styleId="221">
    <w:name w:val="样式 样式 标题 4h4H4Fab-4T5Ref Heading 1rh1Heading sqlsect 1.2.3.... +..."/>
    <w:basedOn w:val="128"/>
    <w:link w:val="220"/>
    <w:qFormat/>
    <w:uiPriority w:val="0"/>
  </w:style>
  <w:style w:type="character" w:customStyle="1" w:styleId="222">
    <w:name w:val="Char Char21"/>
    <w:qFormat/>
    <w:uiPriority w:val="0"/>
    <w:rPr>
      <w:rFonts w:eastAsia="宋体"/>
      <w:b/>
      <w:bCs/>
      <w:kern w:val="2"/>
      <w:sz w:val="21"/>
      <w:szCs w:val="24"/>
      <w:lang w:val="en-US" w:eastAsia="zh-CN" w:bidi="ar-SA"/>
    </w:rPr>
  </w:style>
  <w:style w:type="character" w:customStyle="1" w:styleId="223">
    <w:name w:val="标题 1 Char Char"/>
    <w:qFormat/>
    <w:uiPriority w:val="0"/>
    <w:rPr>
      <w:rFonts w:hint="eastAsia" w:ascii="宋体" w:hAnsi="宋体" w:eastAsia="宋体"/>
      <w:b/>
      <w:spacing w:val="-2"/>
      <w:sz w:val="24"/>
      <w:lang w:val="en-US" w:eastAsia="zh-CN" w:bidi="ar-SA"/>
    </w:rPr>
  </w:style>
  <w:style w:type="character" w:customStyle="1" w:styleId="224">
    <w:name w:val="标题 5 Char"/>
    <w:link w:val="6"/>
    <w:qFormat/>
    <w:uiPriority w:val="0"/>
    <w:rPr>
      <w:b/>
      <w:bCs/>
      <w:kern w:val="2"/>
      <w:sz w:val="28"/>
      <w:szCs w:val="28"/>
    </w:rPr>
  </w:style>
  <w:style w:type="character" w:customStyle="1" w:styleId="225">
    <w:name w:val="标题 4 Char1"/>
    <w:semiHidden/>
    <w:qFormat/>
    <w:uiPriority w:val="9"/>
    <w:rPr>
      <w:rFonts w:ascii="Cambria" w:hAnsi="Cambria" w:eastAsia="宋体" w:cs="Times New Roman"/>
      <w:b/>
      <w:bCs/>
      <w:kern w:val="2"/>
      <w:sz w:val="28"/>
      <w:szCs w:val="28"/>
    </w:rPr>
  </w:style>
  <w:style w:type="character" w:customStyle="1" w:styleId="226">
    <w:name w:val="h3 Char1"/>
    <w:qFormat/>
    <w:uiPriority w:val="0"/>
    <w:rPr>
      <w:rFonts w:eastAsia="宋体"/>
      <w:b/>
      <w:bCs/>
      <w:kern w:val="2"/>
      <w:sz w:val="32"/>
      <w:szCs w:val="32"/>
      <w:lang w:bidi="ar-SA"/>
    </w:rPr>
  </w:style>
  <w:style w:type="character" w:customStyle="1" w:styleId="227">
    <w:name w:val="正文2 Char Char"/>
    <w:link w:val="228"/>
    <w:qFormat/>
    <w:uiPriority w:val="0"/>
    <w:rPr>
      <w:rFonts w:eastAsia="宋体"/>
      <w:kern w:val="2"/>
      <w:sz w:val="24"/>
      <w:lang w:val="en-US" w:eastAsia="zh-CN" w:bidi="ar-SA"/>
    </w:rPr>
  </w:style>
  <w:style w:type="paragraph" w:customStyle="1" w:styleId="228">
    <w:name w:val="正文2"/>
    <w:basedOn w:val="1"/>
    <w:link w:val="227"/>
    <w:qFormat/>
    <w:uiPriority w:val="0"/>
    <w:pPr>
      <w:spacing w:before="156" w:line="360" w:lineRule="auto"/>
      <w:ind w:firstLine="510" w:firstLineChars="200"/>
    </w:pPr>
    <w:rPr>
      <w:sz w:val="24"/>
      <w:szCs w:val="20"/>
    </w:rPr>
  </w:style>
  <w:style w:type="character" w:customStyle="1" w:styleId="229">
    <w:name w:val="FA正文 Char Char"/>
    <w:qFormat/>
    <w:uiPriority w:val="0"/>
    <w:rPr>
      <w:rFonts w:hAnsi="宋体"/>
      <w:kern w:val="2"/>
      <w:sz w:val="24"/>
      <w:lang w:bidi="ar-SA"/>
    </w:rPr>
  </w:style>
  <w:style w:type="character" w:customStyle="1" w:styleId="230">
    <w:name w:val="zbggmain style9"/>
    <w:qFormat/>
    <w:uiPriority w:val="0"/>
  </w:style>
  <w:style w:type="character" w:customStyle="1" w:styleId="231">
    <w:name w:val="首行缩进 Char"/>
    <w:qFormat/>
    <w:uiPriority w:val="0"/>
    <w:rPr>
      <w:rFonts w:ascii="宋体" w:eastAsia="宋体"/>
      <w:kern w:val="2"/>
      <w:sz w:val="24"/>
      <w:lang w:val="en-US" w:eastAsia="zh-CN" w:bidi="ar-SA"/>
    </w:rPr>
  </w:style>
  <w:style w:type="character" w:customStyle="1" w:styleId="232">
    <w:name w:val="tw4winMark"/>
    <w:qFormat/>
    <w:uiPriority w:val="0"/>
    <w:rPr>
      <w:rFonts w:ascii="Courier New" w:hAnsi="Courier New" w:cs="Courier New"/>
      <w:vanish/>
      <w:color w:val="800080"/>
      <w:sz w:val="24"/>
      <w:szCs w:val="24"/>
      <w:vertAlign w:val="subscript"/>
    </w:rPr>
  </w:style>
  <w:style w:type="character" w:customStyle="1" w:styleId="233">
    <w:name w:val="tw4winPopup"/>
    <w:qFormat/>
    <w:uiPriority w:val="0"/>
    <w:rPr>
      <w:rFonts w:ascii="Courier New" w:hAnsi="Courier New" w:cs="Courier New"/>
      <w:color w:val="008000"/>
      <w:lang w:val="en-US" w:eastAsia="zh-CN"/>
    </w:rPr>
  </w:style>
  <w:style w:type="character" w:customStyle="1" w:styleId="234">
    <w:name w:val="样式 宋体"/>
    <w:qFormat/>
    <w:uiPriority w:val="0"/>
    <w:rPr>
      <w:rFonts w:ascii="宋体" w:hAnsi="宋体"/>
      <w:sz w:val="24"/>
    </w:rPr>
  </w:style>
  <w:style w:type="character" w:customStyle="1" w:styleId="235">
    <w:name w:val="标题 Char"/>
    <w:qFormat/>
    <w:uiPriority w:val="0"/>
    <w:rPr>
      <w:rFonts w:eastAsia="宋体"/>
      <w:b/>
      <w:sz w:val="24"/>
      <w:lang w:val="en-GB" w:eastAsia="zh-CN" w:bidi="ar-SA"/>
    </w:rPr>
  </w:style>
  <w:style w:type="character" w:customStyle="1" w:styleId="236">
    <w:name w:val="标题 6 Char"/>
    <w:link w:val="7"/>
    <w:qFormat/>
    <w:uiPriority w:val="0"/>
    <w:rPr>
      <w:rFonts w:ascii="Arial" w:hAnsi="Arial" w:eastAsia="黑体"/>
      <w:b/>
      <w:bCs/>
      <w:kern w:val="2"/>
      <w:sz w:val="24"/>
      <w:szCs w:val="24"/>
    </w:rPr>
  </w:style>
  <w:style w:type="character" w:customStyle="1" w:styleId="237">
    <w:name w:val="Char Char61"/>
    <w:qFormat/>
    <w:uiPriority w:val="0"/>
    <w:rPr>
      <w:rFonts w:eastAsia="宋体"/>
      <w:kern w:val="2"/>
      <w:sz w:val="21"/>
      <w:szCs w:val="24"/>
      <w:lang w:val="en-US" w:eastAsia="zh-CN" w:bidi="ar-SA"/>
    </w:rPr>
  </w:style>
  <w:style w:type="character" w:customStyle="1" w:styleId="238">
    <w:name w:val="正文文本 3 Char"/>
    <w:link w:val="21"/>
    <w:qFormat/>
    <w:uiPriority w:val="0"/>
    <w:rPr>
      <w:kern w:val="2"/>
      <w:sz w:val="21"/>
    </w:rPr>
  </w:style>
  <w:style w:type="character" w:customStyle="1" w:styleId="239">
    <w:name w:val="message1"/>
    <w:qFormat/>
    <w:uiPriority w:val="0"/>
    <w:rPr>
      <w:rFonts w:hint="default" w:ascii="Tahoma" w:hAnsi="Tahoma" w:cs="Tahoma"/>
      <w:sz w:val="18"/>
      <w:szCs w:val="18"/>
    </w:rPr>
  </w:style>
  <w:style w:type="character" w:customStyle="1" w:styleId="240">
    <w:name w:val="批注文字 Char1"/>
    <w:link w:val="19"/>
    <w:qFormat/>
    <w:uiPriority w:val="0"/>
    <w:rPr>
      <w:kern w:val="2"/>
      <w:sz w:val="21"/>
      <w:szCs w:val="24"/>
    </w:rPr>
  </w:style>
  <w:style w:type="character" w:customStyle="1" w:styleId="241">
    <w:name w:val="Heading 2 Hidden Char"/>
    <w:qFormat/>
    <w:uiPriority w:val="0"/>
    <w:rPr>
      <w:rFonts w:ascii="仿宋_GB2312" w:eastAsia="仿宋_GB2312"/>
      <w:b/>
      <w:bCs/>
      <w:kern w:val="2"/>
      <w:sz w:val="24"/>
      <w:szCs w:val="24"/>
      <w:lang w:val="zh-CN" w:eastAsia="zh-CN" w:bidi="ar-SA"/>
    </w:rPr>
  </w:style>
  <w:style w:type="character" w:customStyle="1" w:styleId="242">
    <w:name w:val="批注框文本 Char"/>
    <w:link w:val="36"/>
    <w:semiHidden/>
    <w:qFormat/>
    <w:uiPriority w:val="0"/>
    <w:rPr>
      <w:kern w:val="2"/>
      <w:sz w:val="18"/>
      <w:szCs w:val="18"/>
    </w:rPr>
  </w:style>
  <w:style w:type="character" w:customStyle="1" w:styleId="243">
    <w:name w:val="tw4winInternal"/>
    <w:qFormat/>
    <w:uiPriority w:val="0"/>
    <w:rPr>
      <w:rFonts w:ascii="Courier New" w:hAnsi="Courier New" w:cs="Courier New"/>
      <w:color w:val="FF0000"/>
      <w:lang w:val="en-US" w:eastAsia="zh-CN"/>
    </w:rPr>
  </w:style>
  <w:style w:type="character" w:customStyle="1" w:styleId="244">
    <w:name w:val="Footer Char"/>
    <w:qFormat/>
    <w:locked/>
    <w:uiPriority w:val="0"/>
    <w:rPr>
      <w:rFonts w:eastAsia="宋体"/>
      <w:kern w:val="2"/>
      <w:sz w:val="18"/>
      <w:lang w:val="en-US" w:eastAsia="zh-CN" w:bidi="ar-SA"/>
    </w:rPr>
  </w:style>
  <w:style w:type="character" w:customStyle="1" w:styleId="245">
    <w:name w:val="Char Char41"/>
    <w:qFormat/>
    <w:uiPriority w:val="0"/>
    <w:rPr>
      <w:rFonts w:eastAsia="宋体"/>
      <w:b/>
      <w:sz w:val="24"/>
      <w:lang w:val="en-GB" w:eastAsia="zh-CN" w:bidi="ar-SA"/>
    </w:rPr>
  </w:style>
  <w:style w:type="character" w:customStyle="1" w:styleId="246">
    <w:name w:val="页脚 Char"/>
    <w:qFormat/>
    <w:uiPriority w:val="99"/>
    <w:rPr>
      <w:rFonts w:eastAsia="仿宋_GB2312"/>
      <w:kern w:val="2"/>
      <w:sz w:val="18"/>
      <w:lang w:val="en-US" w:eastAsia="zh-CN"/>
    </w:rPr>
  </w:style>
  <w:style w:type="character" w:customStyle="1" w:styleId="247">
    <w:name w:val="gf正文1 Char"/>
    <w:qFormat/>
    <w:uiPriority w:val="0"/>
    <w:rPr>
      <w:rFonts w:ascii="宋体" w:hAnsi="宋体" w:eastAsia="宋体" w:cs="宋体"/>
      <w:kern w:val="2"/>
      <w:sz w:val="24"/>
      <w:szCs w:val="24"/>
      <w:lang w:val="en-US" w:eastAsia="zh-CN" w:bidi="ar-SA"/>
    </w:rPr>
  </w:style>
  <w:style w:type="character" w:customStyle="1" w:styleId="248">
    <w:name w:val="正文缩进 Char1"/>
    <w:qFormat/>
    <w:uiPriority w:val="0"/>
    <w:rPr>
      <w:rFonts w:ascii="宋体" w:eastAsia="宋体"/>
      <w:snapToGrid w:val="0"/>
      <w:color w:val="000000"/>
      <w:kern w:val="28"/>
      <w:sz w:val="28"/>
      <w:lang w:val="en-US" w:eastAsia="zh-CN" w:bidi="ar-SA"/>
    </w:rPr>
  </w:style>
  <w:style w:type="character" w:customStyle="1" w:styleId="249">
    <w:name w:val="Char Char91"/>
    <w:qFormat/>
    <w:uiPriority w:val="0"/>
    <w:rPr>
      <w:rFonts w:eastAsia="宋体"/>
      <w:kern w:val="2"/>
      <w:sz w:val="18"/>
      <w:szCs w:val="18"/>
      <w:lang w:val="en-US" w:eastAsia="zh-CN" w:bidi="ar-SA"/>
    </w:rPr>
  </w:style>
  <w:style w:type="character" w:customStyle="1" w:styleId="250">
    <w:name w:val="正文文本 Char"/>
    <w:qFormat/>
    <w:uiPriority w:val="0"/>
    <w:rPr>
      <w:rFonts w:eastAsia="宋体"/>
      <w:kern w:val="2"/>
      <w:sz w:val="24"/>
      <w:szCs w:val="24"/>
      <w:lang w:val="en-US" w:eastAsia="zh-CN" w:bidi="ar-SA"/>
    </w:rPr>
  </w:style>
  <w:style w:type="character" w:customStyle="1" w:styleId="251">
    <w:name w:val="标书表格字体格式 Char"/>
    <w:qFormat/>
    <w:uiPriority w:val="0"/>
    <w:rPr>
      <w:kern w:val="2"/>
      <w:sz w:val="21"/>
      <w:szCs w:val="24"/>
      <w:lang w:bidi="ar-SA"/>
    </w:rPr>
  </w:style>
  <w:style w:type="character" w:customStyle="1" w:styleId="252">
    <w:name w:val="style36"/>
    <w:basedOn w:val="62"/>
    <w:qFormat/>
    <w:uiPriority w:val="0"/>
  </w:style>
  <w:style w:type="character" w:customStyle="1" w:styleId="253">
    <w:name w:val="签名 Char"/>
    <w:link w:val="39"/>
    <w:qFormat/>
    <w:uiPriority w:val="0"/>
    <w:rPr>
      <w:rFonts w:eastAsia="仿宋_GB2312"/>
      <w:sz w:val="24"/>
    </w:rPr>
  </w:style>
  <w:style w:type="character" w:customStyle="1" w:styleId="254">
    <w:name w:val="hui3"/>
    <w:qFormat/>
    <w:uiPriority w:val="0"/>
    <w:rPr>
      <w:color w:val="333333"/>
    </w:rPr>
  </w:style>
  <w:style w:type="character" w:customStyle="1" w:styleId="255">
    <w:name w:val="方案正文 Char"/>
    <w:qFormat/>
    <w:uiPriority w:val="0"/>
    <w:rPr>
      <w:rFonts w:ascii="仿宋_GB2312" w:eastAsia="仿宋_GB2312"/>
      <w:b/>
      <w:color w:val="000000"/>
      <w:kern w:val="2"/>
      <w:sz w:val="24"/>
      <w:lang w:val="en-US" w:eastAsia="zh-CN" w:bidi="ar-SA"/>
    </w:rPr>
  </w:style>
  <w:style w:type="character" w:customStyle="1" w:styleId="256">
    <w:name w:val="列出段落 Char"/>
    <w:qFormat/>
    <w:uiPriority w:val="34"/>
    <w:rPr>
      <w:rFonts w:eastAsia="楷体_GB2312" w:cs="Lucida Sans"/>
      <w:kern w:val="2"/>
      <w:sz w:val="24"/>
      <w:szCs w:val="24"/>
      <w:lang w:val="en-US" w:eastAsia="zh-CN" w:bidi="ar-SA"/>
    </w:rPr>
  </w:style>
  <w:style w:type="character" w:customStyle="1" w:styleId="257">
    <w:name w:val="apple-converted-space"/>
    <w:qFormat/>
    <w:uiPriority w:val="0"/>
  </w:style>
  <w:style w:type="character" w:customStyle="1" w:styleId="258">
    <w:name w:val="样式6 Char"/>
    <w:qFormat/>
    <w:uiPriority w:val="0"/>
    <w:rPr>
      <w:rFonts w:ascii="仿宋_GB2312" w:hAnsi="宋体" w:eastAsia="仿宋_GB2312"/>
      <w:b/>
      <w:bCs/>
      <w:kern w:val="2"/>
      <w:sz w:val="24"/>
      <w:szCs w:val="24"/>
      <w:lang w:val="en-US" w:eastAsia="zh-CN" w:bidi="ar-SA"/>
    </w:rPr>
  </w:style>
  <w:style w:type="character" w:customStyle="1" w:styleId="259">
    <w:name w:val="文档结构图 Char"/>
    <w:qFormat/>
    <w:uiPriority w:val="0"/>
    <w:rPr>
      <w:rFonts w:eastAsia="宋体"/>
      <w:kern w:val="2"/>
      <w:sz w:val="21"/>
      <w:szCs w:val="24"/>
      <w:lang w:val="en-US" w:eastAsia="zh-CN" w:bidi="ar-SA"/>
    </w:rPr>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正文非缩进 Char3"/>
    <w:qFormat/>
    <w:uiPriority w:val="0"/>
    <w:rPr>
      <w:rFonts w:ascii="宋体" w:eastAsia="宋体"/>
      <w:snapToGrid w:val="0"/>
      <w:color w:val="000000"/>
      <w:kern w:val="28"/>
      <w:sz w:val="28"/>
      <w:lang w:val="en-US" w:eastAsia="zh-CN" w:bidi="ar-SA"/>
    </w:rPr>
  </w:style>
  <w:style w:type="character" w:customStyle="1" w:styleId="262">
    <w:name w:val="md"/>
    <w:basedOn w:val="62"/>
    <w:qFormat/>
    <w:uiPriority w:val="0"/>
  </w:style>
  <w:style w:type="character" w:customStyle="1" w:styleId="263">
    <w:name w:val="dectext1"/>
    <w:qFormat/>
    <w:uiPriority w:val="0"/>
    <w:rPr>
      <w:rFonts w:ascii="宋体" w:hAnsi="宋体" w:eastAsia="宋体"/>
      <w:color w:val="333333"/>
      <w:sz w:val="21"/>
      <w:szCs w:val="21"/>
      <w:u w:val="none"/>
    </w:rPr>
  </w:style>
  <w:style w:type="character" w:customStyle="1" w:styleId="264">
    <w:name w:val="样式5 Char"/>
    <w:qFormat/>
    <w:uiPriority w:val="0"/>
    <w:rPr>
      <w:rFonts w:ascii="仿宋_GB2312" w:hAnsi="仿宋" w:eastAsia="仿宋_GB2312"/>
      <w:kern w:val="2"/>
      <w:sz w:val="24"/>
      <w:szCs w:val="24"/>
    </w:rPr>
  </w:style>
  <w:style w:type="character" w:customStyle="1" w:styleId="265">
    <w:name w:val="t21"/>
    <w:qFormat/>
    <w:uiPriority w:val="0"/>
    <w:rPr>
      <w:rFonts w:ascii="仿宋_GB2312" w:eastAsia="微软雅黑"/>
      <w:b/>
      <w:kern w:val="2"/>
      <w:sz w:val="23"/>
      <w:szCs w:val="23"/>
      <w:lang w:val="en-US" w:eastAsia="zh-CN" w:bidi="ar-SA"/>
    </w:rPr>
  </w:style>
  <w:style w:type="character" w:customStyle="1" w:styleId="266">
    <w:name w:val="冯 Char"/>
    <w:link w:val="267"/>
    <w:qFormat/>
    <w:uiPriority w:val="0"/>
    <w:rPr>
      <w:rFonts w:ascii="宋体" w:hAnsi="宋体"/>
      <w:color w:val="000000"/>
      <w:sz w:val="24"/>
      <w:szCs w:val="24"/>
    </w:rPr>
  </w:style>
  <w:style w:type="paragraph" w:customStyle="1" w:styleId="267">
    <w:name w:val="冯"/>
    <w:basedOn w:val="1"/>
    <w:link w:val="266"/>
    <w:qFormat/>
    <w:uiPriority w:val="0"/>
    <w:pPr>
      <w:widowControl/>
      <w:adjustRightInd/>
      <w:spacing w:line="360" w:lineRule="auto"/>
      <w:ind w:firstLine="480" w:firstLineChars="200"/>
    </w:pPr>
    <w:rPr>
      <w:rFonts w:ascii="宋体" w:hAnsi="宋体"/>
      <w:color w:val="000000"/>
      <w:kern w:val="0"/>
      <w:sz w:val="24"/>
    </w:rPr>
  </w:style>
  <w:style w:type="character" w:customStyle="1" w:styleId="268">
    <w:name w:val="Normal Indent Char Char"/>
    <w:qFormat/>
    <w:uiPriority w:val="0"/>
    <w:rPr>
      <w:rFonts w:eastAsia="宋体"/>
      <w:kern w:val="2"/>
      <w:sz w:val="21"/>
      <w:lang w:val="en-US" w:eastAsia="zh-CN" w:bidi="ar-SA"/>
    </w:rPr>
  </w:style>
  <w:style w:type="character" w:customStyle="1" w:styleId="269">
    <w:name w:val="表格 Char Char"/>
    <w:qFormat/>
    <w:uiPriority w:val="0"/>
    <w:rPr>
      <w:rFonts w:ascii="宋体" w:hAnsi="宋体" w:eastAsia="宋体"/>
      <w:lang w:bidi="ar-SA"/>
    </w:rPr>
  </w:style>
  <w:style w:type="character" w:customStyle="1" w:styleId="270">
    <w:name w:val="脚注文本 Char"/>
    <w:link w:val="47"/>
    <w:qFormat/>
    <w:uiPriority w:val="0"/>
    <w:rPr>
      <w:color w:val="0000FF"/>
      <w:sz w:val="21"/>
    </w:rPr>
  </w:style>
  <w:style w:type="character" w:customStyle="1" w:styleId="271">
    <w:name w:val="font12gray1"/>
    <w:qFormat/>
    <w:uiPriority w:val="0"/>
    <w:rPr>
      <w:rFonts w:ascii="仿宋_GB2312" w:eastAsia="微软雅黑"/>
      <w:b/>
      <w:spacing w:val="300"/>
      <w:kern w:val="2"/>
      <w:sz w:val="18"/>
      <w:szCs w:val="18"/>
      <w:lang w:val="en-US" w:eastAsia="zh-CN" w:bidi="ar-SA"/>
    </w:rPr>
  </w:style>
  <w:style w:type="character" w:customStyle="1" w:styleId="272">
    <w:name w:val="txt"/>
    <w:qFormat/>
    <w:uiPriority w:val="0"/>
    <w:rPr>
      <w:rFonts w:ascii="仿宋_GB2312" w:eastAsia="微软雅黑"/>
      <w:b/>
      <w:kern w:val="2"/>
      <w:sz w:val="32"/>
      <w:szCs w:val="32"/>
      <w:lang w:val="en-US" w:eastAsia="zh-CN" w:bidi="ar-SA"/>
    </w:rPr>
  </w:style>
  <w:style w:type="character" w:customStyle="1" w:styleId="273">
    <w:name w:val="tw4winJump"/>
    <w:qFormat/>
    <w:uiPriority w:val="0"/>
    <w:rPr>
      <w:rFonts w:ascii="Courier New" w:hAnsi="Courier New" w:cs="Courier New"/>
      <w:color w:val="008080"/>
      <w:lang w:val="en-US" w:eastAsia="zh-CN"/>
    </w:rPr>
  </w:style>
  <w:style w:type="character" w:customStyle="1" w:styleId="274">
    <w:name w:val="Item List Char"/>
    <w:link w:val="275"/>
    <w:qFormat/>
    <w:uiPriority w:val="0"/>
    <w:rPr>
      <w:rFonts w:ascii="Arial"/>
      <w:bCs/>
      <w:sz w:val="21"/>
      <w:szCs w:val="21"/>
      <w:lang w:val="en-US" w:eastAsia="zh-CN" w:bidi="ar-SA"/>
    </w:rPr>
  </w:style>
  <w:style w:type="paragraph" w:customStyle="1" w:styleId="275">
    <w:name w:val="Item List"/>
    <w:link w:val="27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276">
    <w:name w:val="Char Char121"/>
    <w:qFormat/>
    <w:uiPriority w:val="0"/>
    <w:rPr>
      <w:rFonts w:ascii="仿宋_GB2312" w:eastAsia="仿宋_GB2312"/>
      <w:b/>
      <w:bCs/>
      <w:kern w:val="2"/>
      <w:sz w:val="24"/>
      <w:szCs w:val="24"/>
      <w:lang w:val="zh-CN" w:eastAsia="zh-CN" w:bidi="ar-SA"/>
    </w:rPr>
  </w:style>
  <w:style w:type="character" w:customStyle="1" w:styleId="277">
    <w:name w:val="纯文本 Char_0"/>
    <w:link w:val="278"/>
    <w:qFormat/>
    <w:uiPriority w:val="0"/>
    <w:rPr>
      <w:rFonts w:ascii="宋体" w:hAnsi="Courier New"/>
      <w:kern w:val="2"/>
      <w:sz w:val="21"/>
      <w:szCs w:val="21"/>
      <w:lang w:val="en-US" w:eastAsia="zh-CN"/>
    </w:rPr>
  </w:style>
  <w:style w:type="paragraph" w:customStyle="1" w:styleId="278">
    <w:name w:val="纯文本_0_0"/>
    <w:basedOn w:val="279"/>
    <w:link w:val="277"/>
    <w:qFormat/>
    <w:uiPriority w:val="0"/>
    <w:rPr>
      <w:rFonts w:ascii="宋体" w:hAnsi="Courier New"/>
      <w:szCs w:val="21"/>
    </w:rPr>
  </w:style>
  <w:style w:type="paragraph" w:customStyle="1" w:styleId="27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0">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28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8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284">
    <w:name w:val="WW-正文文字缩进 2"/>
    <w:basedOn w:val="1"/>
    <w:qFormat/>
    <w:uiPriority w:val="0"/>
    <w:pPr>
      <w:suppressAutoHyphens/>
      <w:adjustRightInd/>
      <w:ind w:firstLine="420"/>
    </w:pPr>
    <w:rPr>
      <w:kern w:val="1"/>
      <w:szCs w:val="20"/>
    </w:rPr>
  </w:style>
  <w:style w:type="paragraph" w:customStyle="1" w:styleId="28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286">
    <w:name w:val="标书表格字体格式"/>
    <w:next w:val="287"/>
    <w:qFormat/>
    <w:uiPriority w:val="0"/>
    <w:rPr>
      <w:rFonts w:ascii="Times New Roman" w:hAnsi="Times New Roman" w:eastAsia="宋体" w:cs="Times New Roman"/>
      <w:kern w:val="2"/>
      <w:sz w:val="21"/>
      <w:szCs w:val="24"/>
      <w:lang w:val="en-US" w:eastAsia="zh-CN" w:bidi="ar-SA"/>
    </w:rPr>
  </w:style>
  <w:style w:type="paragraph" w:customStyle="1" w:styleId="28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288">
    <w:name w:val="Char2"/>
    <w:basedOn w:val="1"/>
    <w:qFormat/>
    <w:uiPriority w:val="0"/>
    <w:rPr>
      <w:rFonts w:ascii="仿宋_GB2312" w:eastAsia="仿宋_GB2312"/>
      <w:b/>
      <w:sz w:val="32"/>
      <w:szCs w:val="32"/>
    </w:rPr>
  </w:style>
  <w:style w:type="paragraph" w:customStyle="1" w:styleId="28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290">
    <w:name w:val="正文文字缩进项目"/>
    <w:basedOn w:val="2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91">
    <w:name w:val="数字标题6"/>
    <w:basedOn w:val="7"/>
    <w:next w:val="1"/>
    <w:qFormat/>
    <w:uiPriority w:val="0"/>
    <w:pPr>
      <w:tabs>
        <w:tab w:val="left" w:pos="480"/>
        <w:tab w:val="left" w:pos="1080"/>
      </w:tabs>
      <w:ind w:left="480" w:hanging="480"/>
    </w:pPr>
    <w:rPr>
      <w:rFonts w:ascii="Times New Roman" w:hAnsi="Times New Roman" w:eastAsia="宋体"/>
      <w:i/>
    </w:rPr>
  </w:style>
  <w:style w:type="paragraph" w:customStyle="1" w:styleId="292">
    <w:name w:val="Char Char1 Char Char Char Char Char Char"/>
    <w:basedOn w:val="1"/>
    <w:qFormat/>
    <w:uiPriority w:val="0"/>
    <w:rPr>
      <w:rFonts w:ascii="仿宋_GB2312" w:eastAsia="仿宋_GB2312"/>
      <w:b/>
      <w:sz w:val="32"/>
      <w:szCs w:val="20"/>
    </w:rPr>
  </w:style>
  <w:style w:type="paragraph" w:customStyle="1" w:styleId="293">
    <w:name w:val="默认段落字体 Para Char Char Char1 Char"/>
    <w:basedOn w:val="1"/>
    <w:qFormat/>
    <w:uiPriority w:val="0"/>
    <w:pPr>
      <w:spacing w:line="240" w:lineRule="atLeast"/>
      <w:ind w:left="420" w:firstLine="420"/>
    </w:pPr>
    <w:rPr>
      <w:sz w:val="24"/>
    </w:rPr>
  </w:style>
  <w:style w:type="paragraph" w:customStyle="1" w:styleId="294">
    <w:name w:val="文章标题"/>
    <w:next w:val="295"/>
    <w:qFormat/>
    <w:uiPriority w:val="0"/>
    <w:pPr>
      <w:spacing w:beforeLines="800" w:afterLines="100"/>
      <w:jc w:val="center"/>
    </w:pPr>
    <w:rPr>
      <w:rFonts w:ascii="Arial" w:hAnsi="Arial" w:eastAsia="黑体" w:cs="宋体"/>
      <w:bCs/>
      <w:kern w:val="2"/>
      <w:sz w:val="52"/>
      <w:lang w:val="en-US" w:eastAsia="zh-CN" w:bidi="ar-SA"/>
    </w:rPr>
  </w:style>
  <w:style w:type="paragraph" w:customStyle="1" w:styleId="295">
    <w:name w:val="封面公司名"/>
    <w:qFormat/>
    <w:uiPriority w:val="0"/>
    <w:pPr>
      <w:jc w:val="center"/>
    </w:pPr>
    <w:rPr>
      <w:rFonts w:ascii="Arial" w:hAnsi="Arial" w:eastAsia="楷体_GB2312" w:cs="宋体"/>
      <w:bCs/>
      <w:kern w:val="2"/>
      <w:sz w:val="28"/>
      <w:lang w:val="en-US" w:eastAsia="zh-CN" w:bidi="ar-SA"/>
    </w:rPr>
  </w:style>
  <w:style w:type="paragraph" w:customStyle="1" w:styleId="29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297">
    <w:name w:val="Char1 Char Char Char1"/>
    <w:basedOn w:val="1"/>
    <w:qFormat/>
    <w:uiPriority w:val="0"/>
    <w:pPr>
      <w:adjustRightInd/>
      <w:ind w:firstLine="200" w:firstLineChars="200"/>
    </w:pPr>
    <w:rPr>
      <w:rFonts w:ascii="Tahoma" w:hAnsi="Tahoma"/>
      <w:sz w:val="24"/>
      <w:szCs w:val="20"/>
    </w:rPr>
  </w:style>
  <w:style w:type="paragraph" w:customStyle="1" w:styleId="298">
    <w:name w:val="Bulleting First Indent 1"/>
    <w:basedOn w:val="58"/>
    <w:qFormat/>
    <w:uiPriority w:val="0"/>
    <w:pPr>
      <w:tabs>
        <w:tab w:val="left" w:pos="840"/>
      </w:tabs>
      <w:adjustRightInd/>
      <w:spacing w:before="20" w:after="20" w:line="300" w:lineRule="auto"/>
      <w:ind w:left="840" w:hanging="420"/>
    </w:pPr>
    <w:rPr>
      <w:rFonts w:ascii="Tahoma" w:hAnsi="Tahoma"/>
      <w:kern w:val="0"/>
      <w:szCs w:val="21"/>
    </w:rPr>
  </w:style>
  <w:style w:type="paragraph" w:customStyle="1" w:styleId="299">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0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30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02">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303">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304">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30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06">
    <w:name w:val="表格（小）"/>
    <w:basedOn w:val="1"/>
    <w:qFormat/>
    <w:uiPriority w:val="0"/>
    <w:pPr>
      <w:adjustRightInd/>
      <w:snapToGrid w:val="0"/>
      <w:spacing w:line="300" w:lineRule="auto"/>
    </w:pPr>
    <w:rPr>
      <w:rFonts w:eastAsia="仿宋"/>
      <w:szCs w:val="21"/>
    </w:rPr>
  </w:style>
  <w:style w:type="paragraph" w:customStyle="1" w:styleId="30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30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309">
    <w:name w:val="Char11"/>
    <w:basedOn w:val="1"/>
    <w:qFormat/>
    <w:uiPriority w:val="0"/>
    <w:pPr>
      <w:tabs>
        <w:tab w:val="left" w:pos="432"/>
      </w:tabs>
      <w:adjustRightInd/>
      <w:spacing w:beforeLines="50" w:afterLines="50"/>
      <w:ind w:left="432" w:hanging="432" w:firstLineChars="200"/>
    </w:pPr>
    <w:rPr>
      <w:sz w:val="24"/>
    </w:rPr>
  </w:style>
  <w:style w:type="paragraph" w:customStyle="1" w:styleId="31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311">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312">
    <w:name w:val="标书标题3"/>
    <w:basedOn w:val="4"/>
    <w:qFormat/>
    <w:uiPriority w:val="0"/>
    <w:pPr>
      <w:keepLines w:val="0"/>
      <w:widowControl/>
      <w:snapToGrid w:val="0"/>
      <w:spacing w:before="120" w:after="60" w:line="300" w:lineRule="auto"/>
      <w:ind w:left="0" w:firstLine="0"/>
      <w:jc w:val="left"/>
    </w:pPr>
    <w:rPr>
      <w:rFonts w:ascii="Arial Narrow" w:hAnsi="Arial Narrow" w:eastAsia="仿宋_GB2312"/>
      <w:b w:val="0"/>
      <w:bCs w:val="0"/>
      <w:color w:val="000000"/>
      <w:kern w:val="0"/>
      <w:sz w:val="28"/>
    </w:rPr>
  </w:style>
  <w:style w:type="paragraph" w:customStyle="1" w:styleId="313">
    <w:name w:val="表格"/>
    <w:basedOn w:val="1"/>
    <w:qFormat/>
    <w:uiPriority w:val="0"/>
    <w:pPr>
      <w:snapToGrid w:val="0"/>
      <w:ind w:firstLine="42" w:firstLineChars="21"/>
    </w:pPr>
    <w:rPr>
      <w:rFonts w:ascii="宋体" w:hAnsi="宋体"/>
      <w:kern w:val="0"/>
      <w:sz w:val="20"/>
      <w:szCs w:val="20"/>
    </w:rPr>
  </w:style>
  <w:style w:type="paragraph" w:customStyle="1" w:styleId="314">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5">
    <w:name w:val="Char19"/>
    <w:basedOn w:val="1"/>
    <w:qFormat/>
    <w:uiPriority w:val="0"/>
    <w:pPr>
      <w:adjustRightInd/>
    </w:pPr>
    <w:rPr>
      <w:szCs w:val="20"/>
    </w:rPr>
  </w:style>
  <w:style w:type="paragraph" w:customStyle="1" w:styleId="3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17">
    <w:name w:val="正文 首行缩进:  2 字符 Char"/>
    <w:basedOn w:val="1"/>
    <w:qFormat/>
    <w:uiPriority w:val="0"/>
    <w:pPr>
      <w:adjustRightInd/>
      <w:spacing w:line="360" w:lineRule="auto"/>
      <w:ind w:firstLine="480"/>
    </w:pPr>
    <w:rPr>
      <w:rFonts w:cs="宋体"/>
      <w:sz w:val="24"/>
      <w:szCs w:val="20"/>
    </w:rPr>
  </w:style>
  <w:style w:type="paragraph" w:customStyle="1" w:styleId="31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1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32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21">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322">
    <w:name w:val="样式1 + (中宋体"/>
    <w:basedOn w:val="323"/>
    <w:qFormat/>
    <w:uiPriority w:val="0"/>
    <w:pPr>
      <w:widowControl w:val="0"/>
      <w:tabs>
        <w:tab w:val="left" w:pos="1200"/>
        <w:tab w:val="left" w:pos="1212"/>
        <w:tab w:val="left" w:pos="3888"/>
      </w:tabs>
      <w:adjustRightInd/>
      <w:snapToGrid/>
      <w:spacing w:line="360" w:lineRule="auto"/>
      <w:ind w:left="1200" w:hanging="360" w:firstLineChars="200"/>
      <w:jc w:val="both"/>
    </w:pPr>
    <w:rPr>
      <w:kern w:val="2"/>
      <w:szCs w:val="24"/>
    </w:rPr>
  </w:style>
  <w:style w:type="paragraph" w:customStyle="1" w:styleId="3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24">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25">
    <w:name w:val="带编号样式"/>
    <w:basedOn w:val="326"/>
    <w:qFormat/>
    <w:uiPriority w:val="0"/>
    <w:pPr>
      <w:tabs>
        <w:tab w:val="left" w:pos="840"/>
      </w:tabs>
      <w:snapToGrid w:val="0"/>
      <w:ind w:left="840" w:hanging="420" w:firstLineChars="0"/>
    </w:pPr>
    <w:rPr>
      <w:rFonts w:ascii="仿宋_GB2312" w:eastAsia="仿宋_GB2312"/>
      <w:color w:val="000000"/>
    </w:rPr>
  </w:style>
  <w:style w:type="paragraph" w:customStyle="1" w:styleId="326">
    <w:name w:val="文本正文 Char"/>
    <w:basedOn w:val="1"/>
    <w:qFormat/>
    <w:uiPriority w:val="0"/>
    <w:pPr>
      <w:spacing w:line="360" w:lineRule="auto"/>
      <w:ind w:firstLine="200" w:firstLineChars="200"/>
    </w:pPr>
    <w:rPr>
      <w:kern w:val="0"/>
      <w:sz w:val="24"/>
      <w:szCs w:val="20"/>
    </w:rPr>
  </w:style>
  <w:style w:type="paragraph" w:customStyle="1" w:styleId="32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28">
    <w:name w:val="Char Char Char Char Char Char Char Char Char Char"/>
    <w:basedOn w:val="1"/>
    <w:qFormat/>
    <w:uiPriority w:val="0"/>
    <w:rPr>
      <w:rFonts w:ascii="仿宋_GB2312" w:eastAsia="仿宋_GB2312"/>
      <w:b/>
      <w:sz w:val="32"/>
      <w:szCs w:val="32"/>
    </w:rPr>
  </w:style>
  <w:style w:type="paragraph" w:customStyle="1" w:styleId="32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30">
    <w:name w:val="正文文字表格居中"/>
    <w:basedOn w:val="1"/>
    <w:next w:val="53"/>
    <w:qFormat/>
    <w:uiPriority w:val="0"/>
    <w:pPr>
      <w:snapToGrid w:val="0"/>
      <w:spacing w:line="360" w:lineRule="auto"/>
    </w:pPr>
    <w:rPr>
      <w:rFonts w:ascii="宋体"/>
      <w:b/>
      <w:sz w:val="24"/>
      <w:szCs w:val="20"/>
    </w:rPr>
  </w:style>
  <w:style w:type="paragraph" w:customStyle="1" w:styleId="331">
    <w:name w:val="修订1"/>
    <w:qFormat/>
    <w:uiPriority w:val="0"/>
    <w:rPr>
      <w:rFonts w:ascii="Times New Roman" w:hAnsi="Times New Roman" w:eastAsia="宋体" w:cs="Times New Roman"/>
      <w:kern w:val="2"/>
      <w:sz w:val="21"/>
      <w:lang w:val="en-US" w:eastAsia="zh-CN" w:bidi="ar-SA"/>
    </w:rPr>
  </w:style>
  <w:style w:type="paragraph" w:customStyle="1" w:styleId="332">
    <w:name w:val="Char2 Char Char"/>
    <w:basedOn w:val="1"/>
    <w:qFormat/>
    <w:uiPriority w:val="0"/>
    <w:pPr>
      <w:adjustRightInd/>
    </w:pPr>
    <w:rPr>
      <w:rFonts w:ascii="Tahoma" w:hAnsi="Tahoma"/>
      <w:sz w:val="24"/>
      <w:szCs w:val="20"/>
    </w:rPr>
  </w:style>
  <w:style w:type="paragraph" w:customStyle="1" w:styleId="33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34">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35">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336">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33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38">
    <w:name w:val="列出段落2"/>
    <w:basedOn w:val="1"/>
    <w:qFormat/>
    <w:uiPriority w:val="0"/>
    <w:pPr>
      <w:adjustRightInd/>
      <w:ind w:firstLine="420" w:firstLineChars="200"/>
    </w:pPr>
    <w:rPr>
      <w:rFonts w:ascii="宋体" w:hAnsi="宋体"/>
      <w:sz w:val="24"/>
    </w:rPr>
  </w:style>
  <w:style w:type="paragraph" w:customStyle="1" w:styleId="33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340">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41">
    <w:name w:val="MM Topic 1"/>
    <w:basedOn w:val="2"/>
    <w:qFormat/>
    <w:uiPriority w:val="0"/>
    <w:pPr>
      <w:tabs>
        <w:tab w:val="left" w:pos="840"/>
      </w:tabs>
      <w:adjustRightInd/>
      <w:ind w:left="840" w:hanging="420"/>
    </w:pPr>
  </w:style>
  <w:style w:type="paragraph" w:customStyle="1" w:styleId="342">
    <w:name w:val="样式7"/>
    <w:basedOn w:val="343"/>
    <w:next w:val="1"/>
    <w:qFormat/>
    <w:uiPriority w:val="0"/>
    <w:pPr>
      <w:spacing w:afterLines="50"/>
      <w:jc w:val="left"/>
      <w:outlineLvl w:val="3"/>
    </w:pPr>
    <w:rPr>
      <w:sz w:val="24"/>
      <w:szCs w:val="24"/>
    </w:rPr>
  </w:style>
  <w:style w:type="paragraph" w:customStyle="1" w:styleId="343">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4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45">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346">
    <w:name w:val="三级条标题"/>
    <w:basedOn w:val="347"/>
    <w:next w:val="350"/>
    <w:qFormat/>
    <w:uiPriority w:val="0"/>
    <w:pPr>
      <w:tabs>
        <w:tab w:val="left" w:pos="1260"/>
        <w:tab w:val="left" w:pos="1680"/>
        <w:tab w:val="left" w:pos="2100"/>
        <w:tab w:val="left" w:pos="2520"/>
      </w:tabs>
      <w:ind w:left="2520"/>
      <w:outlineLvl w:val="4"/>
    </w:pPr>
  </w:style>
  <w:style w:type="paragraph" w:customStyle="1" w:styleId="347">
    <w:name w:val="二级条标题"/>
    <w:basedOn w:val="348"/>
    <w:next w:val="350"/>
    <w:qFormat/>
    <w:uiPriority w:val="0"/>
    <w:pPr>
      <w:tabs>
        <w:tab w:val="left" w:pos="1260"/>
        <w:tab w:val="left" w:pos="1680"/>
        <w:tab w:val="left" w:pos="2100"/>
      </w:tabs>
      <w:ind w:left="0"/>
      <w:outlineLvl w:val="3"/>
    </w:pPr>
  </w:style>
  <w:style w:type="paragraph" w:customStyle="1" w:styleId="348">
    <w:name w:val="一级条标题"/>
    <w:basedOn w:val="349"/>
    <w:next w:val="350"/>
    <w:qFormat/>
    <w:uiPriority w:val="0"/>
    <w:pPr>
      <w:tabs>
        <w:tab w:val="left" w:pos="1260"/>
        <w:tab w:val="left" w:pos="1680"/>
      </w:tabs>
      <w:spacing w:beforeLines="0" w:afterLines="0"/>
      <w:ind w:left="1680"/>
      <w:outlineLvl w:val="2"/>
    </w:pPr>
  </w:style>
  <w:style w:type="paragraph" w:customStyle="1" w:styleId="349">
    <w:name w:val="章标题"/>
    <w:next w:val="350"/>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35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51">
    <w:name w:val="Char Char Char Char Char Char Char Char"/>
    <w:basedOn w:val="1"/>
    <w:qFormat/>
    <w:uiPriority w:val="0"/>
    <w:pPr>
      <w:tabs>
        <w:tab w:val="left" w:pos="360"/>
      </w:tabs>
    </w:pPr>
    <w:rPr>
      <w:sz w:val="24"/>
      <w:szCs w:val="20"/>
    </w:rPr>
  </w:style>
  <w:style w:type="paragraph" w:customStyle="1" w:styleId="352">
    <w:name w:val="小节"/>
    <w:basedOn w:val="4"/>
    <w:qFormat/>
    <w:uiPriority w:val="0"/>
    <w:pPr>
      <w:adjustRightInd/>
      <w:spacing w:before="200" w:after="200" w:line="560" w:lineRule="exact"/>
      <w:ind w:left="0" w:firstLine="0"/>
      <w:jc w:val="left"/>
    </w:pPr>
    <w:rPr>
      <w:rFonts w:ascii="宋体" w:hAnsi="宋体"/>
      <w:bCs w:val="0"/>
      <w:color w:val="000000"/>
      <w:spacing w:val="10"/>
      <w:kern w:val="24"/>
      <w:sz w:val="28"/>
    </w:rPr>
  </w:style>
  <w:style w:type="paragraph" w:customStyle="1" w:styleId="353">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5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55">
    <w:name w:val="默认段落字体 Para Char Char Char Char Char Char Char Char Char1 Char Char Char Char"/>
    <w:basedOn w:val="1"/>
    <w:qFormat/>
    <w:uiPriority w:val="0"/>
    <w:pPr>
      <w:adjustRightInd/>
    </w:pPr>
    <w:rPr>
      <w:rFonts w:ascii="Tahoma" w:hAnsi="Tahoma"/>
      <w:sz w:val="24"/>
      <w:szCs w:val="20"/>
    </w:rPr>
  </w:style>
  <w:style w:type="paragraph" w:styleId="356">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35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358">
    <w:name w:val="Char Char Char Char Char Char Char"/>
    <w:basedOn w:val="1"/>
    <w:qFormat/>
    <w:uiPriority w:val="0"/>
    <w:rPr>
      <w:rFonts w:ascii="仿宋_GB2312" w:eastAsia="仿宋_GB2312"/>
      <w:b/>
      <w:sz w:val="32"/>
      <w:szCs w:val="32"/>
    </w:rPr>
  </w:style>
  <w:style w:type="paragraph" w:customStyle="1" w:styleId="359">
    <w:name w:val="样式 样式2 + 左侧:  1 字符 右侧:  1 字符"/>
    <w:basedOn w:val="360"/>
    <w:qFormat/>
    <w:uiPriority w:val="0"/>
    <w:pPr>
      <w:tabs>
        <w:tab w:val="left" w:pos="2790"/>
        <w:tab w:val="left"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361">
    <w:name w:val="样式 正文文本缩进 + 左侧:  2 字符 首行缩进:  2 字符"/>
    <w:basedOn w:val="2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362">
    <w:name w:val="正文表标题"/>
    <w:next w:val="35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63">
    <w:name w:val="Char Char Char1 Char"/>
    <w:basedOn w:val="1"/>
    <w:qFormat/>
    <w:uiPriority w:val="0"/>
    <w:rPr>
      <w:szCs w:val="20"/>
    </w:rPr>
  </w:style>
  <w:style w:type="paragraph" w:customStyle="1" w:styleId="3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365">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36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67">
    <w:name w:val="Char1 Char Char Char5"/>
    <w:basedOn w:val="1"/>
    <w:qFormat/>
    <w:uiPriority w:val="0"/>
    <w:pPr>
      <w:adjustRightInd/>
      <w:ind w:firstLine="200" w:firstLineChars="200"/>
    </w:pPr>
    <w:rPr>
      <w:rFonts w:ascii="Tahoma" w:hAnsi="Tahoma"/>
      <w:sz w:val="24"/>
      <w:szCs w:val="20"/>
    </w:rPr>
  </w:style>
  <w:style w:type="paragraph" w:customStyle="1" w:styleId="36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369">
    <w:name w:val="Char"/>
    <w:basedOn w:val="1"/>
    <w:qFormat/>
    <w:uiPriority w:val="0"/>
    <w:rPr>
      <w:rFonts w:ascii="仿宋_GB2312" w:eastAsia="仿宋_GB2312"/>
      <w:b/>
      <w:sz w:val="32"/>
      <w:szCs w:val="32"/>
    </w:rPr>
  </w:style>
  <w:style w:type="paragraph" w:customStyle="1" w:styleId="370">
    <w:name w:val="Char Char1"/>
    <w:basedOn w:val="1"/>
    <w:qFormat/>
    <w:uiPriority w:val="0"/>
    <w:pPr>
      <w:widowControl/>
      <w:spacing w:after="160" w:line="240" w:lineRule="exact"/>
      <w:jc w:val="left"/>
    </w:pPr>
    <w:rPr>
      <w:rFonts w:eastAsia="仿宋_GB2312"/>
      <w:sz w:val="28"/>
    </w:rPr>
  </w:style>
  <w:style w:type="paragraph" w:customStyle="1" w:styleId="371">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372">
    <w:name w:val="Table Text"/>
    <w:basedOn w:val="1"/>
    <w:qFormat/>
    <w:uiPriority w:val="0"/>
    <w:pPr>
      <w:widowControl/>
      <w:spacing w:before="60" w:after="60"/>
      <w:jc w:val="left"/>
    </w:pPr>
    <w:rPr>
      <w:kern w:val="0"/>
      <w:sz w:val="24"/>
    </w:rPr>
  </w:style>
  <w:style w:type="paragraph" w:customStyle="1" w:styleId="37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74">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75">
    <w:name w:val="标书标题4"/>
    <w:basedOn w:val="5"/>
    <w:qFormat/>
    <w:uiPriority w:val="0"/>
    <w:pPr>
      <w:keepLines w:val="0"/>
      <w:snapToGrid w:val="0"/>
      <w:spacing w:before="0" w:after="0" w:line="300" w:lineRule="auto"/>
      <w:ind w:left="0" w:firstLine="0"/>
    </w:pPr>
    <w:rPr>
      <w:rFonts w:ascii="Arial Narrow" w:hAnsi="Arial Narrow" w:eastAsia="仿宋_GB2312"/>
      <w:bCs w:val="0"/>
      <w:color w:val="000000"/>
      <w:kern w:val="0"/>
      <w:szCs w:val="32"/>
      <w:lang w:val="en-US"/>
    </w:rPr>
  </w:style>
  <w:style w:type="paragraph" w:customStyle="1" w:styleId="376">
    <w:name w:val="bullet"/>
    <w:basedOn w:val="1"/>
    <w:qFormat/>
    <w:uiPriority w:val="0"/>
    <w:pPr>
      <w:tabs>
        <w:tab w:val="left" w:pos="840"/>
      </w:tabs>
      <w:adjustRightInd/>
      <w:ind w:left="840" w:hanging="420"/>
    </w:pPr>
  </w:style>
  <w:style w:type="paragraph" w:customStyle="1" w:styleId="37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78">
    <w:name w:val="样式3"/>
    <w:basedOn w:val="360"/>
    <w:qFormat/>
    <w:uiPriority w:val="0"/>
    <w:pPr>
      <w:spacing w:beforeLines="100"/>
      <w:jc w:val="left"/>
    </w:pPr>
  </w:style>
  <w:style w:type="paragraph" w:customStyle="1" w:styleId="379">
    <w:name w:val="数字标题2"/>
    <w:basedOn w:val="3"/>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80">
    <w:name w:val="Char Char Char Char Char Char Char Char Char Char Char Char1 Char"/>
    <w:basedOn w:val="1"/>
    <w:qFormat/>
    <w:uiPriority w:val="0"/>
    <w:rPr>
      <w:rFonts w:ascii="Tahoma" w:hAnsi="Tahoma" w:cs="仿宋_GB2312"/>
      <w:sz w:val="24"/>
      <w:szCs w:val="20"/>
    </w:rPr>
  </w:style>
  <w:style w:type="paragraph" w:customStyle="1" w:styleId="381">
    <w:name w:val="样式 标题 3标题 3 Char第二层条h33Bold Headbh章标题1小标题level_3PIM 3..."/>
    <w:basedOn w:val="4"/>
    <w:qFormat/>
    <w:uiPriority w:val="0"/>
    <w:pPr>
      <w:snapToGrid w:val="0"/>
      <w:spacing w:before="0" w:after="0" w:line="360" w:lineRule="auto"/>
      <w:ind w:left="0" w:firstLine="0"/>
    </w:pPr>
    <w:rPr>
      <w:rFonts w:ascii="黑体" w:hAnsi="宋体" w:eastAsia="黑体" w:cs="宋体"/>
      <w:b w:val="0"/>
      <w:bCs w:val="0"/>
      <w:color w:val="000000"/>
      <w:kern w:val="0"/>
      <w:sz w:val="28"/>
      <w:szCs w:val="20"/>
    </w:rPr>
  </w:style>
  <w:style w:type="paragraph" w:customStyle="1" w:styleId="382">
    <w:name w:val="Char1 Char Char Char2"/>
    <w:basedOn w:val="1"/>
    <w:qFormat/>
    <w:uiPriority w:val="0"/>
    <w:pPr>
      <w:adjustRightInd/>
      <w:ind w:firstLine="200" w:firstLineChars="200"/>
    </w:pPr>
    <w:rPr>
      <w:rFonts w:ascii="Tahoma" w:hAnsi="Tahoma"/>
      <w:sz w:val="24"/>
      <w:szCs w:val="20"/>
    </w:rPr>
  </w:style>
  <w:style w:type="paragraph" w:customStyle="1" w:styleId="38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8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5">
    <w:name w:val="数字标题3"/>
    <w:basedOn w:val="4"/>
    <w:next w:val="1"/>
    <w:qFormat/>
    <w:uiPriority w:val="0"/>
    <w:pPr>
      <w:spacing w:line="240" w:lineRule="auto"/>
      <w:ind w:left="0" w:firstLine="0"/>
    </w:pPr>
    <w:rPr>
      <w:sz w:val="28"/>
      <w:szCs w:val="28"/>
    </w:rPr>
  </w:style>
  <w:style w:type="paragraph" w:customStyle="1" w:styleId="38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387">
    <w:name w:val="MM Topic 4"/>
    <w:basedOn w:val="5"/>
    <w:qFormat/>
    <w:uiPriority w:val="0"/>
    <w:pPr>
      <w:tabs>
        <w:tab w:val="left" w:pos="840"/>
        <w:tab w:val="left" w:pos="2100"/>
        <w:tab w:val="clear" w:pos="864"/>
      </w:tabs>
      <w:adjustRightInd/>
      <w:ind w:left="840" w:hanging="420"/>
    </w:pPr>
    <w:rPr>
      <w:lang w:val="en-US"/>
    </w:rPr>
  </w:style>
  <w:style w:type="paragraph" w:customStyle="1" w:styleId="388">
    <w:name w:val="Char1 Char Char Char"/>
    <w:basedOn w:val="1"/>
    <w:qFormat/>
    <w:uiPriority w:val="0"/>
    <w:rPr>
      <w:rFonts w:ascii="Tahoma" w:hAnsi="Tahoma"/>
      <w:sz w:val="24"/>
      <w:szCs w:val="20"/>
    </w:rPr>
  </w:style>
  <w:style w:type="paragraph" w:customStyle="1" w:styleId="389">
    <w:name w:val="正文段"/>
    <w:basedOn w:val="1"/>
    <w:qFormat/>
    <w:uiPriority w:val="0"/>
    <w:pPr>
      <w:widowControl/>
      <w:snapToGrid w:val="0"/>
      <w:spacing w:afterLines="50"/>
      <w:ind w:firstLine="200" w:firstLineChars="200"/>
    </w:pPr>
    <w:rPr>
      <w:kern w:val="0"/>
      <w:sz w:val="24"/>
      <w:szCs w:val="20"/>
    </w:rPr>
  </w:style>
  <w:style w:type="paragraph" w:customStyle="1" w:styleId="390">
    <w:name w:val="样式 标题 4PIM 4H4h4bulletblbbH41H42H43H44H45H46H47H48...1"/>
    <w:basedOn w:val="5"/>
    <w:qFormat/>
    <w:uiPriority w:val="0"/>
    <w:pPr>
      <w:widowControl/>
      <w:jc w:val="left"/>
    </w:pPr>
    <w:rPr>
      <w:rFonts w:cs="宋体"/>
      <w:sz w:val="24"/>
      <w:szCs w:val="20"/>
    </w:rPr>
  </w:style>
  <w:style w:type="paragraph" w:customStyle="1" w:styleId="391">
    <w:name w:val="Char Char Char1 Char1"/>
    <w:basedOn w:val="1"/>
    <w:qFormat/>
    <w:uiPriority w:val="0"/>
    <w:rPr>
      <w:szCs w:val="20"/>
    </w:rPr>
  </w:style>
  <w:style w:type="paragraph" w:customStyle="1" w:styleId="39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39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394">
    <w:name w:val="文档正文"/>
    <w:basedOn w:val="1"/>
    <w:qFormat/>
    <w:uiPriority w:val="0"/>
    <w:pPr>
      <w:spacing w:line="480" w:lineRule="atLeast"/>
      <w:ind w:firstLine="567"/>
      <w:textAlignment w:val="baseline"/>
    </w:pPr>
    <w:rPr>
      <w:kern w:val="0"/>
      <w:sz w:val="24"/>
      <w:szCs w:val="20"/>
    </w:rPr>
  </w:style>
  <w:style w:type="paragraph" w:customStyle="1" w:styleId="395">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96">
    <w:name w:val="Normal0"/>
    <w:qFormat/>
    <w:uiPriority w:val="0"/>
    <w:rPr>
      <w:rFonts w:ascii="Times New Roman" w:hAnsi="Times New Roman" w:eastAsia="宋体" w:cs="Times New Roman"/>
      <w:lang w:val="en-US" w:eastAsia="en-US" w:bidi="ar-SA"/>
    </w:rPr>
  </w:style>
  <w:style w:type="paragraph" w:customStyle="1" w:styleId="397">
    <w:name w:val="正文（标题三）"/>
    <w:basedOn w:val="1"/>
    <w:qFormat/>
    <w:uiPriority w:val="0"/>
    <w:pPr>
      <w:spacing w:line="360" w:lineRule="auto"/>
      <w:ind w:firstLine="200" w:firstLineChars="200"/>
    </w:pPr>
    <w:rPr>
      <w:sz w:val="24"/>
    </w:rPr>
  </w:style>
  <w:style w:type="paragraph" w:customStyle="1" w:styleId="39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399">
    <w:name w:val="正文 项目2"/>
    <w:basedOn w:val="400"/>
    <w:qFormat/>
    <w:uiPriority w:val="0"/>
    <w:pPr>
      <w:tabs>
        <w:tab w:val="left" w:pos="840"/>
      </w:tabs>
      <w:spacing w:after="0"/>
      <w:ind w:left="900"/>
    </w:pPr>
  </w:style>
  <w:style w:type="paragraph" w:customStyle="1" w:styleId="400">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01">
    <w:name w:val="Bulleted List"/>
    <w:basedOn w:val="1"/>
    <w:qFormat/>
    <w:uiPriority w:val="0"/>
    <w:pPr>
      <w:tabs>
        <w:tab w:val="left" w:pos="1260"/>
      </w:tabs>
      <w:adjustRightInd/>
      <w:ind w:left="1260" w:hanging="420"/>
    </w:pPr>
  </w:style>
  <w:style w:type="paragraph" w:customStyle="1" w:styleId="40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03">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404">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05">
    <w:name w:val="表格项目符号 2"/>
    <w:basedOn w:val="27"/>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406">
    <w:name w:val="Char Char13"/>
    <w:basedOn w:val="1"/>
    <w:qFormat/>
    <w:uiPriority w:val="0"/>
    <w:pPr>
      <w:widowControl/>
      <w:spacing w:after="160" w:line="240" w:lineRule="exact"/>
      <w:jc w:val="left"/>
    </w:pPr>
    <w:rPr>
      <w:rFonts w:eastAsia="仿宋_GB2312"/>
      <w:sz w:val="28"/>
    </w:rPr>
  </w:style>
  <w:style w:type="paragraph" w:customStyle="1" w:styleId="407">
    <w:name w:val="0"/>
    <w:basedOn w:val="1"/>
    <w:qFormat/>
    <w:uiPriority w:val="0"/>
    <w:pPr>
      <w:widowControl/>
    </w:pPr>
    <w:rPr>
      <w:kern w:val="0"/>
      <w:sz w:val="24"/>
      <w:szCs w:val="20"/>
    </w:rPr>
  </w:style>
  <w:style w:type="paragraph" w:customStyle="1" w:styleId="408">
    <w:name w:val="Char3 Char Char Char"/>
    <w:basedOn w:val="1"/>
    <w:qFormat/>
    <w:uiPriority w:val="0"/>
    <w:pPr>
      <w:widowControl/>
      <w:adjustRightInd/>
      <w:spacing w:after="160" w:line="240" w:lineRule="exact"/>
      <w:jc w:val="left"/>
    </w:pPr>
    <w:rPr>
      <w:szCs w:val="20"/>
    </w:rPr>
  </w:style>
  <w:style w:type="paragraph" w:customStyle="1" w:styleId="409">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410">
    <w:name w:val="标题4_自定义"/>
    <w:basedOn w:val="5"/>
    <w:qFormat/>
    <w:uiPriority w:val="0"/>
    <w:pPr>
      <w:adjustRightInd/>
      <w:spacing w:before="0" w:after="0" w:line="360" w:lineRule="auto"/>
      <w:ind w:left="0" w:firstLine="0"/>
    </w:pPr>
    <w:rPr>
      <w:rFonts w:ascii="Verdana" w:eastAsia="Verdana"/>
      <w:sz w:val="21"/>
      <w:lang w:val="en-US"/>
    </w:rPr>
  </w:style>
  <w:style w:type="paragraph" w:customStyle="1" w:styleId="411">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412">
    <w:name w:val="Char Char11 Char Char Char Char Char Char Char Char Char"/>
    <w:basedOn w:val="1"/>
    <w:qFormat/>
    <w:uiPriority w:val="0"/>
    <w:pPr>
      <w:spacing w:line="360" w:lineRule="auto"/>
    </w:pPr>
    <w:rPr>
      <w:szCs w:val="20"/>
    </w:rPr>
  </w:style>
  <w:style w:type="paragraph" w:customStyle="1" w:styleId="413">
    <w:name w:val="Char Char Char Char Char Char Char Char1"/>
    <w:basedOn w:val="1"/>
    <w:qFormat/>
    <w:uiPriority w:val="0"/>
    <w:pPr>
      <w:tabs>
        <w:tab w:val="left" w:pos="360"/>
      </w:tabs>
    </w:pPr>
    <w:rPr>
      <w:sz w:val="24"/>
      <w:szCs w:val="20"/>
    </w:rPr>
  </w:style>
  <w:style w:type="paragraph" w:customStyle="1" w:styleId="414">
    <w:name w:val="左对齐表格文字"/>
    <w:basedOn w:val="1"/>
    <w:qFormat/>
    <w:uiPriority w:val="0"/>
    <w:pPr>
      <w:adjustRightInd/>
      <w:ind w:firstLine="200" w:firstLineChars="200"/>
      <w:jc w:val="right"/>
    </w:pPr>
  </w:style>
  <w:style w:type="paragraph" w:customStyle="1" w:styleId="41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1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417">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418">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41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42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421">
    <w:name w:val="表格内文"/>
    <w:basedOn w:val="1"/>
    <w:qFormat/>
    <w:uiPriority w:val="0"/>
    <w:pPr>
      <w:adjustRightInd/>
      <w:spacing w:line="360" w:lineRule="auto"/>
    </w:pPr>
    <w:rPr>
      <w:rFonts w:ascii="宋体" w:hAnsi="宋体" w:cs="宋体"/>
      <w:color w:val="000000"/>
      <w:szCs w:val="20"/>
    </w:rPr>
  </w:style>
  <w:style w:type="paragraph" w:customStyle="1" w:styleId="422">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23">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424">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425">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26">
    <w:name w:val="表格标题2"/>
    <w:basedOn w:val="421"/>
    <w:qFormat/>
    <w:uiPriority w:val="0"/>
    <w:rPr>
      <w:b/>
    </w:rPr>
  </w:style>
  <w:style w:type="paragraph" w:customStyle="1" w:styleId="427">
    <w:name w:val="正文文字缩进2字"/>
    <w:basedOn w:val="22"/>
    <w:qFormat/>
    <w:uiPriority w:val="0"/>
    <w:pPr>
      <w:autoSpaceDE/>
      <w:autoSpaceDN/>
      <w:adjustRightInd/>
      <w:spacing w:before="60" w:after="60"/>
      <w:ind w:firstLine="200" w:firstLineChars="200"/>
    </w:pPr>
    <w:rPr>
      <w:rFonts w:ascii="Times New Roman"/>
      <w:szCs w:val="20"/>
      <w:lang w:val="en-US"/>
    </w:rPr>
  </w:style>
  <w:style w:type="paragraph" w:customStyle="1" w:styleId="428">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2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43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31">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3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33">
    <w:name w:val="Proposals body"/>
    <w:next w:val="1"/>
    <w:qFormat/>
    <w:uiPriority w:val="0"/>
    <w:pPr>
      <w:spacing w:line="360" w:lineRule="auto"/>
    </w:pPr>
    <w:rPr>
      <w:rFonts w:ascii="宋体" w:hAnsi="Times New Roman" w:eastAsia="宋体" w:cs="Times New Roman"/>
      <w:snapToGrid w:val="0"/>
      <w:color w:val="000000"/>
      <w:sz w:val="24"/>
      <w:lang w:val="en-US" w:eastAsia="zh-CN" w:bidi="ar-SA"/>
    </w:rPr>
  </w:style>
  <w:style w:type="paragraph" w:customStyle="1" w:styleId="43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435">
    <w:name w:val="标题五"/>
    <w:basedOn w:val="1"/>
    <w:qFormat/>
    <w:uiPriority w:val="0"/>
    <w:pPr>
      <w:adjustRightInd/>
      <w:spacing w:beforeLines="50" w:line="360" w:lineRule="auto"/>
    </w:pPr>
    <w:rPr>
      <w:b/>
      <w:sz w:val="24"/>
    </w:rPr>
  </w:style>
  <w:style w:type="paragraph" w:customStyle="1" w:styleId="43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7">
    <w:name w:val="Char3"/>
    <w:basedOn w:val="1"/>
    <w:qFormat/>
    <w:uiPriority w:val="0"/>
    <w:pPr>
      <w:adjustRightInd/>
      <w:ind w:firstLine="200" w:firstLineChars="200"/>
    </w:pPr>
    <w:rPr>
      <w:rFonts w:ascii="Tahoma" w:hAnsi="Tahoma"/>
      <w:sz w:val="24"/>
      <w:szCs w:val="20"/>
    </w:rPr>
  </w:style>
  <w:style w:type="paragraph" w:customStyle="1" w:styleId="438">
    <w:name w:val="单元格居中"/>
    <w:basedOn w:val="1"/>
    <w:qFormat/>
    <w:uiPriority w:val="0"/>
    <w:pPr>
      <w:adjustRightInd/>
      <w:spacing w:line="360" w:lineRule="auto"/>
      <w:jc w:val="center"/>
    </w:pPr>
    <w:rPr>
      <w:sz w:val="24"/>
    </w:rPr>
  </w:style>
  <w:style w:type="paragraph" w:customStyle="1" w:styleId="439">
    <w:name w:val="有符号正文"/>
    <w:basedOn w:val="1"/>
    <w:qFormat/>
    <w:uiPriority w:val="0"/>
    <w:pPr>
      <w:adjustRightInd/>
      <w:spacing w:line="400" w:lineRule="exact"/>
      <w:ind w:firstLine="200" w:firstLineChars="200"/>
    </w:pPr>
    <w:rPr>
      <w:rFonts w:ascii="Arial" w:hAnsi="Arial"/>
    </w:rPr>
  </w:style>
  <w:style w:type="paragraph" w:customStyle="1" w:styleId="440">
    <w:name w:val="正文首行缩进1"/>
    <w:basedOn w:val="2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44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42">
    <w:name w:val="Char Char Char Char Char Char Char1"/>
    <w:basedOn w:val="1"/>
    <w:qFormat/>
    <w:uiPriority w:val="0"/>
    <w:rPr>
      <w:rFonts w:ascii="仿宋_GB2312" w:eastAsia="仿宋_GB2312"/>
      <w:b/>
      <w:sz w:val="32"/>
      <w:szCs w:val="32"/>
    </w:rPr>
  </w:style>
  <w:style w:type="paragraph" w:customStyle="1" w:styleId="44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444">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446">
    <w:name w:val="表文字"/>
    <w:qFormat/>
    <w:uiPriority w:val="0"/>
    <w:rPr>
      <w:rFonts w:ascii="宋体" w:hAnsi="Times New Roman" w:eastAsia="宋体" w:cs="Times New Roman"/>
      <w:kern w:val="2"/>
      <w:lang w:val="en-US" w:eastAsia="zh-CN" w:bidi="ar-SA"/>
    </w:rPr>
  </w:style>
  <w:style w:type="paragraph" w:customStyle="1" w:styleId="44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4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49">
    <w:name w:val="!大节"/>
    <w:basedOn w:val="3"/>
    <w:qFormat/>
    <w:uiPriority w:val="0"/>
    <w:pPr>
      <w:spacing w:before="260" w:after="260" w:line="415" w:lineRule="auto"/>
      <w:ind w:left="420" w:hanging="420"/>
    </w:pPr>
    <w:rPr>
      <w:rFonts w:ascii="Arial" w:hAnsi="Arial" w:eastAsia="微软雅黑"/>
      <w:lang w:val="en-US"/>
    </w:rPr>
  </w:style>
  <w:style w:type="paragraph" w:customStyle="1" w:styleId="450">
    <w:name w:val="trademark"/>
    <w:qFormat/>
    <w:uiPriority w:val="0"/>
    <w:pPr>
      <w:spacing w:after="60"/>
    </w:pPr>
    <w:rPr>
      <w:rFonts w:ascii="Futura Bk" w:hAnsi="Futura Bk" w:eastAsia="宋体" w:cs="Times New Roman"/>
      <w:sz w:val="15"/>
      <w:lang w:val="en-US" w:eastAsia="en-US" w:bidi="ar-SA"/>
    </w:rPr>
  </w:style>
  <w:style w:type="paragraph" w:customStyle="1" w:styleId="451">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211"/>
    <w:basedOn w:val="1"/>
    <w:qFormat/>
    <w:uiPriority w:val="0"/>
    <w:rPr>
      <w:rFonts w:ascii="仿宋_GB2312" w:eastAsia="仿宋_GB2312"/>
      <w:b/>
      <w:sz w:val="32"/>
      <w:szCs w:val="32"/>
    </w:rPr>
  </w:style>
  <w:style w:type="paragraph" w:customStyle="1" w:styleId="454">
    <w:name w:val="Char Char1 Char Char Char"/>
    <w:basedOn w:val="1"/>
    <w:qFormat/>
    <w:uiPriority w:val="0"/>
    <w:rPr>
      <w:rFonts w:ascii="仿宋_GB2312" w:eastAsia="仿宋_GB2312"/>
      <w:b/>
      <w:sz w:val="32"/>
      <w:szCs w:val="20"/>
    </w:rPr>
  </w:style>
  <w:style w:type="paragraph" w:customStyle="1" w:styleId="455">
    <w:name w:val="五级条标题"/>
    <w:basedOn w:val="456"/>
    <w:next w:val="350"/>
    <w:qFormat/>
    <w:uiPriority w:val="0"/>
    <w:pPr>
      <w:tabs>
        <w:tab w:val="left" w:pos="1260"/>
        <w:tab w:val="left" w:pos="1680"/>
        <w:tab w:val="left" w:pos="2100"/>
        <w:tab w:val="left" w:pos="2940"/>
        <w:tab w:val="left" w:pos="3360"/>
      </w:tabs>
      <w:ind w:left="3360"/>
      <w:outlineLvl w:val="6"/>
    </w:pPr>
  </w:style>
  <w:style w:type="paragraph" w:customStyle="1" w:styleId="456">
    <w:name w:val="四级条标题"/>
    <w:basedOn w:val="346"/>
    <w:next w:val="350"/>
    <w:qFormat/>
    <w:uiPriority w:val="0"/>
    <w:pPr>
      <w:tabs>
        <w:tab w:val="left" w:pos="2940"/>
        <w:tab w:val="clear" w:pos="2520"/>
      </w:tabs>
      <w:ind w:left="2940"/>
      <w:outlineLvl w:val="5"/>
    </w:pPr>
  </w:style>
  <w:style w:type="paragraph" w:customStyle="1" w:styleId="457">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458">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45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60">
    <w:name w:val="Char2 Char Char Char"/>
    <w:basedOn w:val="1"/>
    <w:qFormat/>
    <w:uiPriority w:val="0"/>
    <w:rPr>
      <w:rFonts w:ascii="仿宋_GB2312" w:eastAsia="仿宋_GB2312"/>
      <w:b/>
      <w:sz w:val="32"/>
      <w:szCs w:val="32"/>
    </w:rPr>
  </w:style>
  <w:style w:type="paragraph" w:customStyle="1" w:styleId="461">
    <w:name w:val="Char Char Char Char Char Char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462">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3">
    <w:name w:val="Char31"/>
    <w:basedOn w:val="1"/>
    <w:qFormat/>
    <w:uiPriority w:val="0"/>
    <w:pPr>
      <w:adjustRightInd/>
    </w:pPr>
    <w:rPr>
      <w:rFonts w:ascii="仿宋_GB2312" w:eastAsia="仿宋_GB2312"/>
      <w:b/>
      <w:sz w:val="32"/>
      <w:szCs w:val="32"/>
    </w:rPr>
  </w:style>
  <w:style w:type="paragraph" w:customStyle="1" w:styleId="464">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465">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4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6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6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469">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4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471">
    <w:name w:val="默认段落字体 Para Char"/>
    <w:basedOn w:val="1"/>
    <w:qFormat/>
    <w:uiPriority w:val="0"/>
    <w:rPr>
      <w:rFonts w:ascii="Tahoma" w:hAnsi="Tahoma"/>
      <w:sz w:val="24"/>
      <w:szCs w:val="20"/>
    </w:rPr>
  </w:style>
  <w:style w:type="paragraph" w:customStyle="1" w:styleId="472">
    <w:name w:val="Char Char11 Char Char Char"/>
    <w:basedOn w:val="1"/>
    <w:qFormat/>
    <w:uiPriority w:val="0"/>
    <w:pPr>
      <w:spacing w:line="360" w:lineRule="auto"/>
    </w:pPr>
    <w:rPr>
      <w:szCs w:val="20"/>
    </w:rPr>
  </w:style>
  <w:style w:type="paragraph" w:customStyle="1" w:styleId="473">
    <w:name w:val="正文缩进1"/>
    <w:basedOn w:val="1"/>
    <w:next w:val="2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474">
    <w:name w:val="Char Char111"/>
    <w:basedOn w:val="1"/>
    <w:qFormat/>
    <w:uiPriority w:val="0"/>
    <w:pPr>
      <w:spacing w:line="360" w:lineRule="auto"/>
    </w:pPr>
    <w:rPr>
      <w:szCs w:val="20"/>
    </w:rPr>
  </w:style>
  <w:style w:type="paragraph" w:customStyle="1" w:styleId="475">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476">
    <w:name w:val="标书标题2"/>
    <w:basedOn w:val="3"/>
    <w:qFormat/>
    <w:uiPriority w:val="0"/>
    <w:pPr>
      <w:keepLines w:val="0"/>
      <w:widowControl/>
      <w:tabs>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77">
    <w:name w:val="标准小四"/>
    <w:basedOn w:val="1"/>
    <w:qFormat/>
    <w:uiPriority w:val="0"/>
    <w:pPr>
      <w:spacing w:line="360" w:lineRule="auto"/>
      <w:ind w:firstLine="480" w:firstLineChars="200"/>
    </w:pPr>
    <w:rPr>
      <w:rFonts w:ascii="Arial" w:hAnsi="Arial"/>
      <w:sz w:val="24"/>
      <w:szCs w:val="21"/>
    </w:rPr>
  </w:style>
  <w:style w:type="paragraph" w:customStyle="1" w:styleId="47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79">
    <w:name w:val="正文（首行缩进2字符）"/>
    <w:basedOn w:val="1"/>
    <w:qFormat/>
    <w:uiPriority w:val="0"/>
    <w:pPr>
      <w:adjustRightInd/>
      <w:spacing w:line="360" w:lineRule="auto"/>
      <w:ind w:firstLine="480" w:firstLineChars="200"/>
    </w:pPr>
    <w:rPr>
      <w:sz w:val="24"/>
      <w:szCs w:val="20"/>
    </w:rPr>
  </w:style>
  <w:style w:type="paragraph" w:customStyle="1" w:styleId="48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81">
    <w:name w:val="MM Topic 3"/>
    <w:basedOn w:val="4"/>
    <w:qFormat/>
    <w:uiPriority w:val="0"/>
    <w:pPr>
      <w:tabs>
        <w:tab w:val="left" w:pos="840"/>
        <w:tab w:val="left" w:pos="1680"/>
      </w:tabs>
      <w:adjustRightInd/>
      <w:ind w:left="840" w:hanging="420"/>
    </w:pPr>
  </w:style>
  <w:style w:type="paragraph" w:customStyle="1" w:styleId="482">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483">
    <w:name w:val="彩色列表 - 强调文字颜色 11"/>
    <w:basedOn w:val="1"/>
    <w:qFormat/>
    <w:uiPriority w:val="0"/>
    <w:pPr>
      <w:adjustRightInd/>
      <w:ind w:firstLine="420" w:firstLineChars="200"/>
    </w:pPr>
    <w:rPr>
      <w:rFonts w:ascii="Calibri" w:hAnsi="Calibri"/>
      <w:szCs w:val="22"/>
    </w:rPr>
  </w:style>
  <w:style w:type="paragraph" w:customStyle="1" w:styleId="484">
    <w:name w:val="Char Char1 Char1"/>
    <w:basedOn w:val="1"/>
    <w:qFormat/>
    <w:uiPriority w:val="0"/>
    <w:rPr>
      <w:rFonts w:ascii="仿宋_GB2312" w:eastAsia="仿宋_GB2312"/>
      <w:b/>
      <w:sz w:val="32"/>
      <w:szCs w:val="32"/>
    </w:rPr>
  </w:style>
  <w:style w:type="paragraph" w:customStyle="1" w:styleId="48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86">
    <w:name w:val="正文（首行缩进）"/>
    <w:basedOn w:val="23"/>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487">
    <w:name w:val="数字标题5"/>
    <w:basedOn w:val="6"/>
    <w:next w:val="1"/>
    <w:qFormat/>
    <w:uiPriority w:val="0"/>
    <w:pPr>
      <w:tabs>
        <w:tab w:val="left" w:pos="480"/>
        <w:tab w:val="left" w:pos="1080"/>
      </w:tabs>
      <w:ind w:left="480" w:hanging="480"/>
    </w:pPr>
  </w:style>
  <w:style w:type="paragraph" w:customStyle="1" w:styleId="488">
    <w:name w:val="Char Char Char Char Char Char Char Char Char Char1"/>
    <w:basedOn w:val="1"/>
    <w:qFormat/>
    <w:uiPriority w:val="0"/>
    <w:rPr>
      <w:rFonts w:ascii="仿宋_GB2312" w:eastAsia="仿宋_GB2312"/>
      <w:b/>
      <w:sz w:val="32"/>
      <w:szCs w:val="32"/>
    </w:rPr>
  </w:style>
  <w:style w:type="paragraph" w:customStyle="1" w:styleId="48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9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49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9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493">
    <w:name w:val="4"/>
    <w:basedOn w:val="1"/>
    <w:next w:val="35"/>
    <w:qFormat/>
    <w:uiPriority w:val="0"/>
    <w:pPr>
      <w:spacing w:after="120" w:line="480" w:lineRule="auto"/>
      <w:ind w:left="420" w:leftChars="200"/>
    </w:pPr>
    <w:rPr>
      <w:sz w:val="24"/>
      <w:szCs w:val="20"/>
    </w:rPr>
  </w:style>
  <w:style w:type="paragraph" w:customStyle="1" w:styleId="4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495">
    <w:name w:val="Char Char11 Char Char Char Char Char Char Char Char Char1"/>
    <w:basedOn w:val="1"/>
    <w:qFormat/>
    <w:uiPriority w:val="0"/>
    <w:pPr>
      <w:spacing w:line="360" w:lineRule="auto"/>
    </w:pPr>
    <w:rPr>
      <w:szCs w:val="20"/>
    </w:rPr>
  </w:style>
  <w:style w:type="paragraph" w:customStyle="1" w:styleId="49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497">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98">
    <w:name w:val="TOC 标题1"/>
    <w:basedOn w:val="2"/>
    <w:next w:val="1"/>
    <w:unhideWhenUsed/>
    <w:qFormat/>
    <w:uiPriority w:val="3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00">
    <w:name w:val="Char12"/>
    <w:basedOn w:val="1"/>
    <w:qFormat/>
    <w:uiPriority w:val="0"/>
    <w:rPr>
      <w:rFonts w:ascii="仿宋_GB2312" w:eastAsia="仿宋_GB2312"/>
      <w:b/>
      <w:sz w:val="32"/>
      <w:szCs w:val="32"/>
    </w:rPr>
  </w:style>
  <w:style w:type="paragraph" w:customStyle="1" w:styleId="501">
    <w:name w:val="首行缩进"/>
    <w:basedOn w:val="1"/>
    <w:qFormat/>
    <w:uiPriority w:val="0"/>
    <w:pPr>
      <w:spacing w:line="360" w:lineRule="auto"/>
      <w:ind w:firstLine="480" w:firstLineChars="200"/>
    </w:pPr>
    <w:rPr>
      <w:rFonts w:ascii="宋体"/>
      <w:sz w:val="24"/>
      <w:szCs w:val="20"/>
    </w:rPr>
  </w:style>
  <w:style w:type="paragraph" w:customStyle="1" w:styleId="502">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503">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504">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505">
    <w:name w:val="样式 正文文本缩进 2 + 仿宋_GB2312 黑色 行距: 1.5 倍行距"/>
    <w:basedOn w:val="35"/>
    <w:qFormat/>
    <w:uiPriority w:val="0"/>
    <w:pPr>
      <w:adjustRightInd/>
      <w:ind w:firstLine="560" w:firstLineChars="200"/>
      <w:textAlignment w:val="auto"/>
    </w:pPr>
    <w:rPr>
      <w:rFonts w:hAnsi="宋体" w:cs="宋体"/>
      <w:color w:val="000000"/>
      <w:kern w:val="2"/>
      <w:sz w:val="24"/>
    </w:rPr>
  </w:style>
  <w:style w:type="paragraph" w:customStyle="1" w:styleId="50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507">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08">
    <w:name w:val="EB_表格"/>
    <w:basedOn w:val="1"/>
    <w:qFormat/>
    <w:uiPriority w:val="0"/>
    <w:pPr>
      <w:adjustRightInd/>
      <w:spacing w:line="300" w:lineRule="auto"/>
      <w:jc w:val="center"/>
    </w:pPr>
  </w:style>
  <w:style w:type="paragraph" w:customStyle="1" w:styleId="509">
    <w:name w:val="Char Char Char Char Char Char Char Char Char Char Char1 Char"/>
    <w:basedOn w:val="1"/>
    <w:qFormat/>
    <w:uiPriority w:val="0"/>
    <w:pPr>
      <w:adjustRightInd/>
    </w:pPr>
    <w:rPr>
      <w:rFonts w:ascii="Tahoma" w:hAnsi="Tahoma"/>
      <w:sz w:val="24"/>
    </w:rPr>
  </w:style>
  <w:style w:type="paragraph" w:customStyle="1" w:styleId="510">
    <w:name w:val="Char Char1 Char Char Char Char Char Char1"/>
    <w:basedOn w:val="1"/>
    <w:qFormat/>
    <w:uiPriority w:val="0"/>
    <w:rPr>
      <w:rFonts w:ascii="仿宋_GB2312" w:eastAsia="仿宋_GB2312"/>
      <w:b/>
      <w:sz w:val="32"/>
      <w:szCs w:val="20"/>
    </w:rPr>
  </w:style>
  <w:style w:type="paragraph" w:customStyle="1" w:styleId="511">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12">
    <w:name w:val="默认段落样式"/>
    <w:basedOn w:val="228"/>
    <w:qFormat/>
    <w:uiPriority w:val="0"/>
    <w:pPr>
      <w:spacing w:before="0"/>
      <w:ind w:firstLine="480"/>
      <w:outlineLvl w:val="2"/>
    </w:pPr>
    <w:rPr>
      <w:rFonts w:ascii="仿宋_GB2312" w:hAnsi="宋体" w:eastAsia="仿宋_GB2312"/>
      <w:color w:val="000000"/>
      <w:szCs w:val="24"/>
    </w:rPr>
  </w:style>
  <w:style w:type="paragraph" w:customStyle="1" w:styleId="513">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14">
    <w:name w:val="正文1"/>
    <w:basedOn w:val="30"/>
    <w:qFormat/>
    <w:uiPriority w:val="0"/>
    <w:pPr>
      <w:ind w:left="0" w:leftChars="0" w:firstLine="480" w:firstLineChars="200"/>
    </w:pPr>
    <w:rPr>
      <w:rFonts w:ascii="仿宋_GB2312" w:hAnsi="Courier New" w:eastAsia="仿宋_GB2312"/>
      <w:kern w:val="28"/>
      <w:sz w:val="24"/>
    </w:rPr>
  </w:style>
  <w:style w:type="paragraph" w:customStyle="1" w:styleId="515">
    <w:name w:val="四号　首行缩进"/>
    <w:basedOn w:val="1"/>
    <w:qFormat/>
    <w:uiPriority w:val="0"/>
    <w:pPr>
      <w:adjustRightInd/>
      <w:spacing w:line="360" w:lineRule="auto"/>
    </w:pPr>
    <w:rPr>
      <w:rFonts w:ascii="宋体" w:hAnsi="宋体"/>
      <w:szCs w:val="20"/>
    </w:rPr>
  </w:style>
  <w:style w:type="paragraph" w:customStyle="1" w:styleId="516">
    <w:name w:val="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517">
    <w:name w:val="模板普通正文"/>
    <w:basedOn w:val="23"/>
    <w:qFormat/>
    <w:uiPriority w:val="0"/>
    <w:pPr>
      <w:adjustRightInd/>
      <w:spacing w:beforeLines="50" w:after="10" w:line="360" w:lineRule="auto"/>
      <w:ind w:firstLine="175" w:firstLineChars="175"/>
      <w:jc w:val="left"/>
    </w:pPr>
    <w:rPr>
      <w:rFonts w:ascii="Times New Roman" w:hAnsi="Times New Roman"/>
    </w:rPr>
  </w:style>
  <w:style w:type="paragraph" w:customStyle="1" w:styleId="51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51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520">
    <w:name w:val="Char3 Char Char Char1"/>
    <w:basedOn w:val="1"/>
    <w:qFormat/>
    <w:uiPriority w:val="0"/>
    <w:pPr>
      <w:widowControl/>
      <w:adjustRightInd/>
      <w:spacing w:after="160" w:line="240" w:lineRule="exact"/>
      <w:jc w:val="left"/>
    </w:pPr>
    <w:rPr>
      <w:szCs w:val="20"/>
    </w:rPr>
  </w:style>
  <w:style w:type="paragraph" w:customStyle="1" w:styleId="521">
    <w:name w:val="MM Topic 2"/>
    <w:basedOn w:val="3"/>
    <w:qFormat/>
    <w:uiPriority w:val="0"/>
    <w:pPr>
      <w:tabs>
        <w:tab w:val="left" w:pos="1260"/>
        <w:tab w:val="clear" w:pos="432"/>
      </w:tabs>
      <w:ind w:left="1260" w:hanging="420"/>
    </w:pPr>
    <w:rPr>
      <w:rFonts w:ascii="Arial" w:hAnsi="Arial" w:eastAsia="黑体"/>
      <w:lang w:val="en-US"/>
    </w:rPr>
  </w:style>
  <w:style w:type="paragraph" w:customStyle="1" w:styleId="52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23">
    <w:name w:val="样式6"/>
    <w:basedOn w:val="31"/>
    <w:qFormat/>
    <w:uiPriority w:val="0"/>
    <w:pPr>
      <w:spacing w:line="460" w:lineRule="exact"/>
      <w:outlineLvl w:val="2"/>
    </w:pPr>
    <w:rPr>
      <w:rFonts w:ascii="仿宋_GB2312" w:hAnsi="宋体" w:eastAsia="仿宋_GB2312"/>
      <w:b/>
      <w:bCs/>
      <w:sz w:val="24"/>
      <w:szCs w:val="24"/>
    </w:rPr>
  </w:style>
  <w:style w:type="paragraph" w:customStyle="1" w:styleId="52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25">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526">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52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28">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529">
    <w:name w:val="Char1 Char Char Char3"/>
    <w:basedOn w:val="1"/>
    <w:qFormat/>
    <w:uiPriority w:val="0"/>
    <w:pPr>
      <w:adjustRightInd/>
      <w:ind w:firstLine="200" w:firstLineChars="200"/>
    </w:pPr>
    <w:rPr>
      <w:rFonts w:ascii="Tahoma" w:hAnsi="Tahoma"/>
      <w:sz w:val="24"/>
      <w:szCs w:val="20"/>
    </w:rPr>
  </w:style>
  <w:style w:type="paragraph" w:customStyle="1" w:styleId="530">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531">
    <w:name w:val="Char Char14"/>
    <w:basedOn w:val="1"/>
    <w:qFormat/>
    <w:uiPriority w:val="0"/>
    <w:pPr>
      <w:spacing w:line="360" w:lineRule="auto"/>
    </w:pPr>
    <w:rPr>
      <w:rFonts w:ascii="Tahoma" w:hAnsi="Tahoma"/>
      <w:sz w:val="24"/>
      <w:szCs w:val="20"/>
    </w:rPr>
  </w:style>
  <w:style w:type="paragraph" w:customStyle="1" w:styleId="53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533">
    <w:name w:val="Char1 Char Char Char41"/>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34">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535">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36">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3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538">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539">
    <w:name w:val="Char Char Char Char Char Char Char Char Char Char Char Char1 Char1"/>
    <w:basedOn w:val="1"/>
    <w:qFormat/>
    <w:uiPriority w:val="0"/>
    <w:rPr>
      <w:rFonts w:ascii="Tahoma" w:hAnsi="Tahoma" w:cs="仿宋_GB2312"/>
      <w:sz w:val="24"/>
      <w:szCs w:val="20"/>
    </w:rPr>
  </w:style>
  <w:style w:type="paragraph" w:customStyle="1" w:styleId="540">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54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542">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43">
    <w:name w:val="彩色列表 - 强调文字颜色 12"/>
    <w:basedOn w:val="1"/>
    <w:qFormat/>
    <w:uiPriority w:val="0"/>
    <w:pPr>
      <w:adjustRightInd/>
      <w:ind w:firstLine="420" w:firstLineChars="200"/>
    </w:pPr>
    <w:rPr>
      <w:rFonts w:ascii="Calibri" w:hAnsi="Calibri"/>
      <w:szCs w:val="22"/>
    </w:rPr>
  </w:style>
  <w:style w:type="paragraph" w:customStyle="1" w:styleId="544">
    <w:name w:val="默认段落字体 Para Char Char Char Char Char Char Char"/>
    <w:basedOn w:val="1"/>
    <w:qFormat/>
    <w:uiPriority w:val="0"/>
    <w:rPr>
      <w:rFonts w:eastAsia="仿宋_GB2312"/>
      <w:sz w:val="28"/>
      <w:szCs w:val="20"/>
    </w:rPr>
  </w:style>
  <w:style w:type="paragraph" w:customStyle="1" w:styleId="545">
    <w:name w:val="Char13"/>
    <w:basedOn w:val="1"/>
    <w:qFormat/>
    <w:uiPriority w:val="0"/>
    <w:rPr>
      <w:rFonts w:ascii="仿宋_GB2312" w:eastAsia="仿宋_GB2312"/>
      <w:b/>
      <w:sz w:val="32"/>
      <w:szCs w:val="32"/>
    </w:rPr>
  </w:style>
  <w:style w:type="paragraph" w:customStyle="1" w:styleId="546">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547">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48">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54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50">
    <w:name w:val="数字标题4"/>
    <w:basedOn w:val="5"/>
    <w:qFormat/>
    <w:uiPriority w:val="0"/>
    <w:pPr>
      <w:tabs>
        <w:tab w:val="left" w:pos="0"/>
      </w:tabs>
      <w:spacing w:before="0" w:after="0" w:line="360" w:lineRule="auto"/>
      <w:ind w:left="1" w:firstLine="0"/>
    </w:pPr>
    <w:rPr>
      <w:rFonts w:eastAsia="仿宋_GB2312" w:cs="Arial"/>
      <w:b w:val="0"/>
      <w:bCs w:val="0"/>
      <w:color w:val="000000"/>
      <w:kern w:val="0"/>
      <w:sz w:val="24"/>
      <w:szCs w:val="24"/>
      <w:lang w:val="en-US"/>
    </w:rPr>
  </w:style>
  <w:style w:type="paragraph" w:customStyle="1" w:styleId="551">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554">
    <w:name w:val="Char2 Char Char1"/>
    <w:basedOn w:val="1"/>
    <w:qFormat/>
    <w:uiPriority w:val="0"/>
    <w:pPr>
      <w:adjustRightInd/>
    </w:pPr>
    <w:rPr>
      <w:rFonts w:ascii="Tahoma" w:hAnsi="Tahoma"/>
      <w:sz w:val="24"/>
      <w:szCs w:val="20"/>
    </w:rPr>
  </w:style>
  <w:style w:type="paragraph" w:customStyle="1" w:styleId="555">
    <w:name w:val="Char Char Char"/>
    <w:basedOn w:val="1"/>
    <w:qFormat/>
    <w:uiPriority w:val="0"/>
    <w:rPr>
      <w:rFonts w:ascii="Tahoma" w:hAnsi="Tahoma"/>
      <w:sz w:val="24"/>
      <w:szCs w:val="20"/>
    </w:rPr>
  </w:style>
  <w:style w:type="paragraph" w:customStyle="1" w:styleId="556">
    <w:name w:val="索引 11"/>
    <w:basedOn w:val="1"/>
    <w:next w:val="1"/>
    <w:qFormat/>
    <w:uiPriority w:val="0"/>
    <w:pPr>
      <w:adjustRightInd/>
      <w:spacing w:line="360" w:lineRule="auto"/>
    </w:pPr>
    <w:rPr>
      <w:rFonts w:ascii="仿宋_GB2312" w:eastAsia="仿宋_GB2312"/>
      <w:sz w:val="24"/>
      <w:szCs w:val="20"/>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59">
    <w:name w:val="a1"/>
    <w:basedOn w:val="1"/>
    <w:qFormat/>
    <w:uiPriority w:val="0"/>
    <w:pPr>
      <w:widowControl/>
      <w:spacing w:line="300" w:lineRule="atLeast"/>
      <w:jc w:val="left"/>
    </w:pPr>
    <w:rPr>
      <w:rFonts w:ascii="宋体" w:hAnsi="宋体"/>
      <w:kern w:val="0"/>
      <w:sz w:val="18"/>
      <w:szCs w:val="20"/>
    </w:rPr>
  </w:style>
  <w:style w:type="paragraph" w:customStyle="1" w:styleId="560">
    <w:name w:val="默认段落字体 Para Char Char Char Char"/>
    <w:basedOn w:val="1"/>
    <w:qFormat/>
    <w:uiPriority w:val="0"/>
    <w:pPr>
      <w:spacing w:line="360" w:lineRule="auto"/>
    </w:pPr>
    <w:rPr>
      <w:szCs w:val="20"/>
    </w:rPr>
  </w:style>
  <w:style w:type="paragraph" w:customStyle="1" w:styleId="561">
    <w:name w:val="Char Char4 Char Char"/>
    <w:basedOn w:val="1"/>
    <w:qFormat/>
    <w:uiPriority w:val="0"/>
    <w:pPr>
      <w:widowControl/>
      <w:adjustRightInd/>
      <w:spacing w:after="160" w:line="240" w:lineRule="exact"/>
      <w:jc w:val="left"/>
    </w:pPr>
  </w:style>
  <w:style w:type="paragraph" w:customStyle="1" w:styleId="562">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563">
    <w:name w:val="MM Title"/>
    <w:basedOn w:val="56"/>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564">
    <w:name w:val="Char Char1 Char Char1 Char Char1"/>
    <w:basedOn w:val="1"/>
    <w:qFormat/>
    <w:uiPriority w:val="0"/>
    <w:pPr>
      <w:tabs>
        <w:tab w:val="left" w:pos="840"/>
      </w:tabs>
      <w:ind w:left="840" w:hanging="420"/>
    </w:pPr>
    <w:rPr>
      <w:rFonts w:ascii="Tahoma" w:hAnsi="Tahoma"/>
      <w:sz w:val="24"/>
    </w:rPr>
  </w:style>
  <w:style w:type="paragraph" w:customStyle="1" w:styleId="565">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56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567">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68">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69">
    <w:name w:val="正文21"/>
    <w:basedOn w:val="1"/>
    <w:qFormat/>
    <w:uiPriority w:val="0"/>
    <w:pPr>
      <w:adjustRightInd/>
      <w:spacing w:before="156" w:line="360" w:lineRule="auto"/>
      <w:ind w:firstLine="510" w:firstLineChars="200"/>
    </w:pPr>
    <w:rPr>
      <w:sz w:val="24"/>
      <w:szCs w:val="20"/>
    </w:rPr>
  </w:style>
  <w:style w:type="paragraph" w:customStyle="1" w:styleId="570">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71">
    <w:name w:val="Char Char Char Char2"/>
    <w:basedOn w:val="1"/>
    <w:qFormat/>
    <w:uiPriority w:val="0"/>
    <w:rPr>
      <w:rFonts w:ascii="Tahoma" w:hAnsi="Tahoma"/>
      <w:sz w:val="24"/>
      <w:szCs w:val="20"/>
    </w:rPr>
  </w:style>
  <w:style w:type="paragraph" w:customStyle="1" w:styleId="572">
    <w:name w:val="MM Empty"/>
    <w:basedOn w:val="1"/>
    <w:qFormat/>
    <w:uiPriority w:val="0"/>
    <w:pPr>
      <w:adjustRightInd/>
    </w:pPr>
  </w:style>
  <w:style w:type="paragraph" w:customStyle="1" w:styleId="573">
    <w:name w:val="CM14"/>
    <w:basedOn w:val="336"/>
    <w:next w:val="336"/>
    <w:qFormat/>
    <w:uiPriority w:val="0"/>
    <w:pPr>
      <w:spacing w:after="68"/>
    </w:pPr>
    <w:rPr>
      <w:rFonts w:ascii="FHLHE E+ Futura Bk" w:eastAsia="FHLHE E+ Futura Bk" w:cs="Times New Roman"/>
      <w:color w:val="auto"/>
    </w:rPr>
  </w:style>
  <w:style w:type="paragraph" w:customStyle="1" w:styleId="574">
    <w:name w:val="封面"/>
    <w:basedOn w:val="1"/>
    <w:qFormat/>
    <w:uiPriority w:val="0"/>
    <w:pPr>
      <w:spacing w:line="360" w:lineRule="atLeast"/>
      <w:jc w:val="right"/>
      <w:textAlignment w:val="baseline"/>
    </w:pPr>
    <w:rPr>
      <w:rFonts w:ascii="Symbol" w:hAnsi="Symbol"/>
      <w:kern w:val="0"/>
      <w:szCs w:val="20"/>
    </w:rPr>
  </w:style>
  <w:style w:type="paragraph" w:customStyle="1" w:styleId="575">
    <w:name w:val="加粗正文"/>
    <w:basedOn w:val="1"/>
    <w:qFormat/>
    <w:uiPriority w:val="0"/>
    <w:pPr>
      <w:adjustRightInd/>
      <w:spacing w:beforeLines="50" w:afterLines="50" w:line="360" w:lineRule="auto"/>
      <w:ind w:firstLine="422" w:firstLineChars="200"/>
    </w:pPr>
    <w:rPr>
      <w:b/>
      <w:bCs/>
      <w:szCs w:val="21"/>
    </w:rPr>
  </w:style>
  <w:style w:type="paragraph" w:customStyle="1" w:styleId="57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577">
    <w:name w:val="Char Char11 Char Char Char1"/>
    <w:basedOn w:val="1"/>
    <w:qFormat/>
    <w:uiPriority w:val="0"/>
    <w:pPr>
      <w:spacing w:line="360" w:lineRule="auto"/>
    </w:pPr>
    <w:rPr>
      <w:szCs w:val="20"/>
    </w:rPr>
  </w:style>
  <w:style w:type="paragraph" w:customStyle="1" w:styleId="578">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579">
    <w:name w:val="列表内容"/>
    <w:basedOn w:val="1"/>
    <w:next w:val="1"/>
    <w:qFormat/>
    <w:uiPriority w:val="0"/>
    <w:pPr>
      <w:widowControl/>
      <w:tabs>
        <w:tab w:val="left" w:pos="840"/>
      </w:tabs>
      <w:ind w:left="840" w:hanging="420"/>
      <w:jc w:val="left"/>
    </w:pPr>
    <w:rPr>
      <w:kern w:val="0"/>
      <w:sz w:val="18"/>
    </w:rPr>
  </w:style>
  <w:style w:type="paragraph" w:customStyle="1" w:styleId="580">
    <w:name w:val="图中文字"/>
    <w:basedOn w:val="1"/>
    <w:qFormat/>
    <w:uiPriority w:val="0"/>
    <w:pPr>
      <w:snapToGrid w:val="0"/>
      <w:spacing w:line="0" w:lineRule="atLeast"/>
      <w:ind w:firstLine="200" w:firstLineChars="200"/>
      <w:jc w:val="center"/>
    </w:pPr>
    <w:rPr>
      <w:sz w:val="24"/>
      <w:szCs w:val="20"/>
    </w:rPr>
  </w:style>
  <w:style w:type="paragraph" w:customStyle="1" w:styleId="58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2">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8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584">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6">
    <w:name w:val="Char2 Char Char Char1"/>
    <w:basedOn w:val="1"/>
    <w:qFormat/>
    <w:uiPriority w:val="0"/>
    <w:rPr>
      <w:rFonts w:ascii="仿宋_GB2312" w:eastAsia="仿宋_GB2312"/>
      <w:b/>
      <w:sz w:val="32"/>
      <w:szCs w:val="32"/>
    </w:rPr>
  </w:style>
  <w:style w:type="paragraph" w:customStyle="1" w:styleId="587">
    <w:name w:val="TOC 标题2"/>
    <w:basedOn w:val="2"/>
    <w:next w:val="1"/>
    <w:qFormat/>
    <w:uiPriority w:val="3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88">
    <w:name w:val="样式 正文文本缩进 + 段前: 2 字符"/>
    <w:basedOn w:val="1"/>
    <w:qFormat/>
    <w:uiPriority w:val="0"/>
    <w:pPr>
      <w:adjustRightInd/>
      <w:ind w:left="420" w:leftChars="200"/>
      <w:jc w:val="left"/>
    </w:pPr>
    <w:rPr>
      <w:sz w:val="28"/>
      <w:szCs w:val="20"/>
      <w:lang w:eastAsia="zh-TW"/>
    </w:rPr>
  </w:style>
  <w:style w:type="paragraph" w:customStyle="1" w:styleId="58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9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591">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592">
    <w:name w:val="MM Topic 5"/>
    <w:basedOn w:val="6"/>
    <w:qFormat/>
    <w:uiPriority w:val="0"/>
    <w:pPr>
      <w:tabs>
        <w:tab w:val="left" w:pos="840"/>
        <w:tab w:val="left" w:pos="2520"/>
      </w:tabs>
      <w:adjustRightInd/>
      <w:ind w:left="840" w:hanging="420"/>
    </w:pPr>
  </w:style>
  <w:style w:type="paragraph" w:customStyle="1" w:styleId="593">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94">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5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59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97">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598">
    <w:name w:val="body text bold"/>
    <w:basedOn w:val="2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599">
    <w:name w:val="正文文字 2"/>
    <w:basedOn w:val="336"/>
    <w:next w:val="336"/>
    <w:qFormat/>
    <w:uiPriority w:val="0"/>
    <w:rPr>
      <w:rFonts w:ascii="宋体" w:eastAsia="宋体" w:cs="Times New Roman"/>
      <w:color w:val="auto"/>
    </w:rPr>
  </w:style>
  <w:style w:type="paragraph" w:customStyle="1" w:styleId="600">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01">
    <w:name w:val="_Style 12"/>
    <w:basedOn w:val="18"/>
    <w:qFormat/>
    <w:uiPriority w:val="0"/>
    <w:pPr>
      <w:snapToGrid w:val="0"/>
      <w:spacing w:line="360" w:lineRule="auto"/>
    </w:pPr>
  </w:style>
  <w:style w:type="paragraph" w:customStyle="1" w:styleId="60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603">
    <w:name w:val="p0"/>
    <w:basedOn w:val="1"/>
    <w:qFormat/>
    <w:uiPriority w:val="0"/>
    <w:pPr>
      <w:widowControl/>
      <w:adjustRightInd/>
    </w:pPr>
    <w:rPr>
      <w:kern w:val="0"/>
      <w:szCs w:val="21"/>
    </w:rPr>
  </w:style>
  <w:style w:type="paragraph" w:customStyle="1" w:styleId="604">
    <w:name w:val="P1"/>
    <w:basedOn w:val="1"/>
    <w:qFormat/>
    <w:uiPriority w:val="0"/>
    <w:pPr>
      <w:adjustRightInd/>
      <w:spacing w:line="288" w:lineRule="auto"/>
      <w:ind w:firstLine="425" w:firstLineChars="200"/>
    </w:pPr>
  </w:style>
  <w:style w:type="paragraph" w:customStyle="1" w:styleId="605">
    <w:name w:val="Thf"/>
    <w:basedOn w:val="606"/>
    <w:qFormat/>
    <w:uiPriority w:val="0"/>
    <w:pPr>
      <w:ind w:left="0"/>
    </w:pPr>
  </w:style>
  <w:style w:type="paragraph" w:customStyle="1" w:styleId="606">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607">
    <w:name w:val="单元格左对齐"/>
    <w:basedOn w:val="1"/>
    <w:qFormat/>
    <w:uiPriority w:val="0"/>
    <w:pPr>
      <w:adjustRightInd/>
      <w:spacing w:line="360" w:lineRule="auto"/>
    </w:pPr>
    <w:rPr>
      <w:sz w:val="24"/>
    </w:rPr>
  </w:style>
  <w:style w:type="paragraph" w:customStyle="1" w:styleId="608">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60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610">
    <w:name w:val="Char21"/>
    <w:basedOn w:val="1"/>
    <w:qFormat/>
    <w:uiPriority w:val="0"/>
    <w:pPr>
      <w:adjustRightInd/>
      <w:ind w:firstLine="200" w:firstLineChars="200"/>
    </w:pPr>
    <w:rPr>
      <w:rFonts w:ascii="仿宋_GB2312" w:eastAsia="仿宋_GB2312"/>
      <w:b/>
      <w:sz w:val="32"/>
      <w:szCs w:val="32"/>
    </w:rPr>
  </w:style>
  <w:style w:type="paragraph" w:customStyle="1" w:styleId="611">
    <w:name w:val="注释"/>
    <w:basedOn w:val="1"/>
    <w:qFormat/>
    <w:uiPriority w:val="0"/>
    <w:pPr>
      <w:adjustRightInd/>
      <w:spacing w:line="360" w:lineRule="auto"/>
      <w:ind w:firstLine="480"/>
    </w:pPr>
    <w:rPr>
      <w:sz w:val="24"/>
    </w:rPr>
  </w:style>
  <w:style w:type="paragraph" w:customStyle="1" w:styleId="612">
    <w:name w:val="Char1 Char Char Char4"/>
    <w:basedOn w:val="1"/>
    <w:qFormat/>
    <w:uiPriority w:val="0"/>
    <w:pPr>
      <w:adjustRightInd/>
      <w:ind w:firstLine="200" w:firstLineChars="200"/>
    </w:pPr>
    <w:rPr>
      <w:rFonts w:ascii="Tahoma" w:hAnsi="Tahoma"/>
      <w:sz w:val="24"/>
      <w:szCs w:val="20"/>
    </w:rPr>
  </w:style>
  <w:style w:type="paragraph" w:customStyle="1" w:styleId="61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614">
    <w:name w:val="FA正文"/>
    <w:basedOn w:val="1"/>
    <w:qFormat/>
    <w:uiPriority w:val="0"/>
    <w:pPr>
      <w:spacing w:line="360" w:lineRule="auto"/>
      <w:ind w:firstLine="480" w:firstLineChars="200"/>
    </w:pPr>
    <w:rPr>
      <w:rFonts w:hAnsi="宋体"/>
      <w:sz w:val="24"/>
      <w:szCs w:val="20"/>
    </w:rPr>
  </w:style>
  <w:style w:type="paragraph" w:styleId="615">
    <w:name w:val="List Paragraph"/>
    <w:basedOn w:val="1"/>
    <w:qFormat/>
    <w:uiPriority w:val="34"/>
    <w:pPr>
      <w:spacing w:line="360" w:lineRule="auto"/>
      <w:ind w:firstLine="200" w:firstLineChars="200"/>
    </w:pPr>
    <w:rPr>
      <w:rFonts w:eastAsia="楷体_GB2312" w:cs="Lucida Sans"/>
      <w:sz w:val="24"/>
    </w:rPr>
  </w:style>
  <w:style w:type="paragraph" w:customStyle="1" w:styleId="616">
    <w:name w:val="样式 标题 3H3 + 两端对齐"/>
    <w:basedOn w:val="4"/>
    <w:qFormat/>
    <w:uiPriority w:val="0"/>
    <w:pPr>
      <w:keepLines w:val="0"/>
      <w:spacing w:before="0" w:after="0" w:line="240" w:lineRule="auto"/>
      <w:ind w:left="0" w:firstLine="0"/>
      <w:jc w:val="left"/>
    </w:pPr>
    <w:rPr>
      <w:rFonts w:cs="宋体"/>
      <w:sz w:val="21"/>
      <w:szCs w:val="20"/>
    </w:rPr>
  </w:style>
  <w:style w:type="paragraph" w:customStyle="1" w:styleId="617">
    <w:name w:val="Char Char1 Char Char Char1"/>
    <w:basedOn w:val="1"/>
    <w:qFormat/>
    <w:uiPriority w:val="0"/>
    <w:rPr>
      <w:rFonts w:ascii="仿宋_GB2312" w:eastAsia="仿宋_GB2312"/>
      <w:b/>
      <w:sz w:val="32"/>
      <w:szCs w:val="32"/>
    </w:rPr>
  </w:style>
  <w:style w:type="paragraph" w:customStyle="1" w:styleId="618">
    <w:name w:val="数字标题1"/>
    <w:basedOn w:val="2"/>
    <w:next w:val="1"/>
    <w:qFormat/>
    <w:uiPriority w:val="0"/>
    <w:pPr>
      <w:tabs>
        <w:tab w:val="left" w:pos="480"/>
      </w:tabs>
      <w:ind w:left="480" w:hanging="480"/>
    </w:pPr>
  </w:style>
  <w:style w:type="paragraph" w:customStyle="1" w:styleId="619">
    <w:name w:val="List Paragraph1"/>
    <w:basedOn w:val="1"/>
    <w:qFormat/>
    <w:uiPriority w:val="34"/>
    <w:pPr>
      <w:spacing w:line="360" w:lineRule="auto"/>
      <w:ind w:firstLine="200" w:firstLineChars="200"/>
    </w:pPr>
    <w:rPr>
      <w:rFonts w:eastAsia="楷体_GB2312" w:cs="Lucida Sans"/>
      <w:sz w:val="24"/>
    </w:rPr>
  </w:style>
  <w:style w:type="paragraph" w:customStyle="1" w:styleId="620">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21">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2">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62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24">
    <w:name w:val="列出段落3"/>
    <w:basedOn w:val="1"/>
    <w:qFormat/>
    <w:uiPriority w:val="0"/>
    <w:pPr>
      <w:adjustRightInd/>
      <w:spacing w:line="360" w:lineRule="auto"/>
      <w:ind w:firstLine="420" w:firstLineChars="200"/>
    </w:pPr>
    <w:rPr>
      <w:rFonts w:ascii="Calibri" w:hAnsi="Calibri"/>
      <w:sz w:val="24"/>
      <w:szCs w:val="22"/>
    </w:rPr>
  </w:style>
  <w:style w:type="paragraph" w:customStyle="1" w:styleId="625">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26">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27">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628">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character" w:customStyle="1" w:styleId="629">
    <w:name w:val="fontstyle01"/>
    <w:basedOn w:val="62"/>
    <w:qFormat/>
    <w:uiPriority w:val="0"/>
    <w:rPr>
      <w:rFonts w:hint="eastAsia" w:ascii="宋体" w:hAnsi="宋体" w:eastAsia="宋体" w:cs="宋体"/>
      <w:color w:val="000000"/>
      <w:sz w:val="24"/>
      <w:szCs w:val="24"/>
    </w:rPr>
  </w:style>
  <w:style w:type="paragraph" w:customStyle="1" w:styleId="630">
    <w:name w:val="正文_2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631">
    <w:name w:val="_Style 2"/>
    <w:basedOn w:val="1"/>
    <w:unhideWhenUsed/>
    <w:qFormat/>
    <w:uiPriority w:val="0"/>
    <w:pPr>
      <w:spacing w:beforeLines="0" w:afterLines="0"/>
      <w:ind w:firstLine="200" w:firstLineChars="200"/>
    </w:pPr>
    <w:rPr>
      <w:rFonts w:hint="default" w:ascii="Calibri" w:hAnsi="Calibri"/>
      <w:sz w:val="28"/>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theme" Target="theme/theme1.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57</Pages>
  <Words>26613</Words>
  <Characters>28629</Characters>
  <Lines>241</Lines>
  <Paragraphs>68</Paragraphs>
  <TotalTime>2</TotalTime>
  <ScaleCrop>false</ScaleCrop>
  <LinksUpToDate>false</LinksUpToDate>
  <CharactersWithSpaces>29742</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2023-03-01T11:49:00Z</dcterms:created>
  <dc:creator>玥</dc:creator>
  <cp:lastModifiedBy>沈涛</cp:lastModifiedBy>
  <cp:lastPrinted>2020-09-23T02:09:00Z</cp:lastPrinted>
  <dcterms:modified xsi:type="dcterms:W3CDTF">2025-04-07T10:24:49Z</dcterms:modified>
  <dc:title>绍兴市柯桥区政府采购招标文件示范文本</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F12F649CE5754012ACB719FB20BB51AF_13</vt:lpwstr>
  </property>
  <property fmtid="{D5CDD505-2E9C-101B-9397-08002B2CF9AE}" pid="4" name="commondata">
    <vt:lpwstr>eyJoZGlkIjoiODFmYmMyZjEwNmQ4NDQ2NjViNTZlYzU2ZDAyZGYzYzYifQ==</vt:lpwstr>
  </property>
</Properties>
</file>