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144144">
      <w:pPr>
        <w:pStyle w:val="19"/>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庙山湾综合能园项目10kV供配电工程</w:t>
      </w:r>
    </w:p>
    <w:p w14:paraId="1D804EB3">
      <w:pPr>
        <w:pStyle w:val="19"/>
        <w:spacing w:line="960" w:lineRule="auto"/>
        <w:jc w:val="center"/>
        <w:rPr>
          <w:rFonts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55B4CB10">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TLHT-CG-2024-037</w:t>
      </w:r>
      <w:r>
        <w:rPr>
          <w:rFonts w:hint="eastAsia" w:asciiTheme="minorEastAsia" w:hAnsiTheme="minorEastAsia" w:eastAsiaTheme="minorEastAsia"/>
          <w:sz w:val="30"/>
          <w:szCs w:val="30"/>
        </w:rPr>
        <w:t>）</w:t>
      </w:r>
    </w:p>
    <w:p w14:paraId="62D2177B">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4E5CBC01">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桐庐县交通发展集团有限公司</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5553E680">
      <w:pPr>
        <w:tabs>
          <w:tab w:val="left" w:pos="1980"/>
          <w:tab w:val="left" w:pos="3240"/>
          <w:tab w:val="left" w:pos="3420"/>
          <w:tab w:val="left" w:pos="3600"/>
          <w:tab w:val="left" w:pos="3780"/>
        </w:tabs>
        <w:rPr>
          <w:rFonts w:asciiTheme="minorEastAsia" w:hAnsiTheme="minorEastAsia" w:eastAsiaTheme="minorEastAsia"/>
          <w:sz w:val="32"/>
        </w:rPr>
      </w:pPr>
    </w:p>
    <w:p w14:paraId="2F15EBA8">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吴鹏飞</w:t>
      </w:r>
      <w:r>
        <w:rPr>
          <w:rFonts w:hint="eastAsia" w:asciiTheme="minorEastAsia" w:hAnsiTheme="minorEastAsia" w:eastAsiaTheme="minorEastAsia"/>
          <w:sz w:val="32"/>
          <w:u w:val="single"/>
        </w:rPr>
        <w:t xml:space="preserve">             </w:t>
      </w:r>
    </w:p>
    <w:p w14:paraId="6771FD26">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2A20330F">
      <w:pPr>
        <w:tabs>
          <w:tab w:val="left" w:pos="1620"/>
          <w:tab w:val="left" w:pos="1800"/>
          <w:tab w:val="left" w:pos="1980"/>
        </w:tabs>
        <w:rPr>
          <w:rFonts w:asciiTheme="minorEastAsia" w:hAnsiTheme="minorEastAsia" w:eastAsiaTheme="minorEastAsia"/>
          <w:sz w:val="32"/>
          <w:u w:val="single"/>
        </w:rPr>
      </w:pPr>
      <w:r>
        <w:rPr>
          <w:rFonts w:hint="eastAsia" w:asciiTheme="minorEastAsia" w:hAnsiTheme="minorEastAsia" w:eastAsiaTheme="minorEastAsia"/>
          <w:sz w:val="33"/>
          <w:szCs w:val="33"/>
        </w:rPr>
        <w:t xml:space="preserve">   采购机构 ：</w:t>
      </w:r>
      <w:r>
        <w:rPr>
          <w:rFonts w:hint="eastAsia" w:asciiTheme="minorEastAsia" w:hAnsiTheme="minorEastAsia" w:eastAsiaTheme="minorEastAsia"/>
          <w:sz w:val="32"/>
          <w:u w:val="single"/>
        </w:rPr>
        <w:t xml:space="preserve">        桐庐鸿泰工程咨询有限公司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63723183">
      <w:pPr>
        <w:tabs>
          <w:tab w:val="left" w:pos="1620"/>
          <w:tab w:val="left" w:pos="1800"/>
          <w:tab w:val="left" w:pos="1980"/>
        </w:tabs>
        <w:rPr>
          <w:rFonts w:asciiTheme="minorEastAsia" w:hAnsiTheme="minorEastAsia" w:eastAsiaTheme="minorEastAsia"/>
          <w:sz w:val="33"/>
          <w:szCs w:val="33"/>
          <w:u w:val="single"/>
        </w:rPr>
      </w:pPr>
    </w:p>
    <w:p w14:paraId="07572A17">
      <w:pPr>
        <w:tabs>
          <w:tab w:val="left" w:pos="1620"/>
          <w:tab w:val="left" w:pos="1800"/>
          <w:tab w:val="left" w:pos="1980"/>
        </w:tabs>
        <w:ind w:firstLine="480" w:firstLineChars="150"/>
        <w:rPr>
          <w:rFonts w:asciiTheme="minorEastAsia" w:hAnsiTheme="minorEastAsia" w:eastAsiaTheme="minorEastAsia"/>
          <w:sz w:val="33"/>
          <w:szCs w:val="33"/>
          <w:u w:val="single"/>
        </w:rPr>
      </w:pPr>
      <w:r>
        <w:rPr>
          <w:rFonts w:hint="eastAsia" w:asciiTheme="minorEastAsia" w:hAnsiTheme="minorEastAsia" w:eastAsiaTheme="minorEastAsia"/>
          <w:sz w:val="32"/>
        </w:rPr>
        <w:t>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孙鸣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5482DA51">
      <w:pPr>
        <w:tabs>
          <w:tab w:val="left" w:pos="1620"/>
          <w:tab w:val="left" w:pos="1800"/>
          <w:tab w:val="left" w:pos="1980"/>
        </w:tabs>
        <w:rPr>
          <w:rFonts w:asciiTheme="minorEastAsia" w:hAnsiTheme="minorEastAsia" w:eastAsiaTheme="minorEastAsia"/>
          <w:spacing w:val="20"/>
          <w:sz w:val="33"/>
          <w:szCs w:val="33"/>
        </w:rPr>
      </w:pPr>
    </w:p>
    <w:p w14:paraId="55ACFCB2">
      <w:pPr>
        <w:tabs>
          <w:tab w:val="left" w:pos="1620"/>
          <w:tab w:val="left" w:pos="1800"/>
          <w:tab w:val="left" w:pos="1980"/>
        </w:tabs>
        <w:rPr>
          <w:rFonts w:asciiTheme="minorEastAsia" w:hAnsiTheme="minorEastAsia" w:eastAsiaTheme="minorEastAsia"/>
          <w:spacing w:val="20"/>
          <w:sz w:val="33"/>
          <w:szCs w:val="33"/>
        </w:rPr>
      </w:pPr>
    </w:p>
    <w:p w14:paraId="62DB800A">
      <w:pPr>
        <w:tabs>
          <w:tab w:val="left" w:pos="1620"/>
          <w:tab w:val="left" w:pos="1800"/>
          <w:tab w:val="left" w:pos="1980"/>
        </w:tabs>
        <w:rPr>
          <w:rFonts w:asciiTheme="minorEastAsia" w:hAnsiTheme="minorEastAsia" w:eastAsiaTheme="minorEastAsia"/>
          <w:spacing w:val="20"/>
          <w:sz w:val="33"/>
          <w:szCs w:val="33"/>
        </w:rPr>
      </w:pPr>
    </w:p>
    <w:p w14:paraId="394B9471">
      <w:pPr>
        <w:pStyle w:val="20"/>
        <w:ind w:left="98" w:leftChars="47"/>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11</w:t>
      </w:r>
      <w:r>
        <w:rPr>
          <w:rFonts w:hint="eastAsia" w:asciiTheme="minorEastAsia" w:hAnsiTheme="minorEastAsia" w:eastAsiaTheme="minorEastAsia"/>
          <w:sz w:val="33"/>
          <w:szCs w:val="33"/>
        </w:rPr>
        <w:t>月</w:t>
      </w:r>
    </w:p>
    <w:p w14:paraId="147E0C70">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204F2087">
      <w:pPr>
        <w:rPr>
          <w:rFonts w:asciiTheme="minorEastAsia" w:hAnsiTheme="minorEastAsia" w:eastAsiaTheme="minorEastAsia"/>
        </w:rPr>
      </w:pPr>
    </w:p>
    <w:p w14:paraId="2DA16B0F">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5098CA84">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34AB8F2B">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0727EEF0">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0CBA410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6CA08066">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651A30F2">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103CD604">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65E4FBD7">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022C74A0">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50825E8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63624FB7">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0684FE9E">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00B77CE1">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36DEC469">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6131BF4D">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庙山湾综合能园项目10kV供配电工程</w:t>
      </w:r>
      <w:r>
        <w:rPr>
          <w:rFonts w:hint="eastAsia" w:asciiTheme="minorEastAsia" w:hAnsiTheme="minorEastAsia" w:eastAsiaTheme="minorEastAsia"/>
          <w:color w:val="000000"/>
          <w:sz w:val="24"/>
        </w:rPr>
        <w:t>进行公开采购，欢迎符合资格条件的供应商前来投标：</w:t>
      </w:r>
    </w:p>
    <w:p w14:paraId="7F6562F0">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asciiTheme="minorEastAsia" w:hAnsiTheme="minorEastAsia" w:eastAsiaTheme="minorEastAsia"/>
          <w:sz w:val="24"/>
          <w:lang w:eastAsia="zh-CN"/>
        </w:rPr>
        <w:t>TLHT-CG-2024-037</w:t>
      </w:r>
    </w:p>
    <w:p w14:paraId="78FC6BCE">
      <w:pPr>
        <w:pStyle w:val="61"/>
        <w:numPr>
          <w:ilvl w:val="0"/>
          <w:numId w:val="6"/>
        </w:numPr>
        <w:spacing w:line="360" w:lineRule="auto"/>
        <w:ind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rPr>
        <w:t>国企采购</w:t>
      </w:r>
    </w:p>
    <w:p w14:paraId="01D5736B">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37387F6F">
      <w:pPr>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kern w:val="0"/>
          <w:sz w:val="24"/>
        </w:rPr>
        <w:t>四、采购内容及数量：具体详见招标需求</w:t>
      </w:r>
    </w:p>
    <w:tbl>
      <w:tblPr>
        <w:tblStyle w:val="32"/>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253"/>
        <w:gridCol w:w="1275"/>
        <w:gridCol w:w="1914"/>
      </w:tblGrid>
      <w:tr w14:paraId="7DFC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vAlign w:val="center"/>
          </w:tcPr>
          <w:p w14:paraId="3FA4534F">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序号</w:t>
            </w:r>
          </w:p>
        </w:tc>
        <w:tc>
          <w:tcPr>
            <w:tcW w:w="4253" w:type="dxa"/>
            <w:tcBorders>
              <w:top w:val="single" w:color="auto" w:sz="4" w:space="0"/>
              <w:left w:val="single" w:color="auto" w:sz="4" w:space="0"/>
              <w:right w:val="single" w:color="auto" w:sz="4" w:space="0"/>
            </w:tcBorders>
            <w:vAlign w:val="center"/>
          </w:tcPr>
          <w:p w14:paraId="22EE81E7">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采购内容</w:t>
            </w:r>
          </w:p>
        </w:tc>
        <w:tc>
          <w:tcPr>
            <w:tcW w:w="1275" w:type="dxa"/>
            <w:tcBorders>
              <w:top w:val="single" w:color="auto" w:sz="4" w:space="0"/>
              <w:left w:val="single" w:color="auto" w:sz="4" w:space="0"/>
              <w:right w:val="single" w:color="auto" w:sz="4" w:space="0"/>
            </w:tcBorders>
            <w:vAlign w:val="center"/>
          </w:tcPr>
          <w:p w14:paraId="7511EAB5">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数量</w:t>
            </w:r>
          </w:p>
        </w:tc>
        <w:tc>
          <w:tcPr>
            <w:tcW w:w="1914" w:type="dxa"/>
            <w:tcBorders>
              <w:top w:val="single" w:color="auto" w:sz="4" w:space="0"/>
              <w:left w:val="single" w:color="auto" w:sz="4" w:space="0"/>
              <w:right w:val="single" w:color="auto" w:sz="4" w:space="0"/>
            </w:tcBorders>
            <w:vAlign w:val="center"/>
          </w:tcPr>
          <w:p w14:paraId="7DABA21F">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最高限价</w:t>
            </w:r>
          </w:p>
        </w:tc>
      </w:tr>
      <w:tr w14:paraId="270C3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14:paraId="630A3C90">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w:t>
            </w:r>
          </w:p>
        </w:tc>
        <w:tc>
          <w:tcPr>
            <w:tcW w:w="4253" w:type="dxa"/>
            <w:tcBorders>
              <w:top w:val="single" w:color="auto" w:sz="4" w:space="0"/>
              <w:left w:val="single" w:color="auto" w:sz="4" w:space="0"/>
              <w:bottom w:val="single" w:color="auto" w:sz="4" w:space="0"/>
              <w:right w:val="single" w:color="auto" w:sz="4" w:space="0"/>
            </w:tcBorders>
            <w:vAlign w:val="center"/>
          </w:tcPr>
          <w:p w14:paraId="749E0D89">
            <w:pPr>
              <w:widowControl/>
              <w:spacing w:line="360" w:lineRule="exact"/>
              <w:jc w:val="center"/>
              <w:rPr>
                <w:rFonts w:hint="eastAsia" w:cs="仿宋" w:asciiTheme="minorEastAsia" w:hAnsiTheme="minorEastAsia" w:eastAsiaTheme="minorEastAsia"/>
                <w:bCs/>
                <w:kern w:val="0"/>
                <w:sz w:val="24"/>
                <w:lang w:eastAsia="zh-CN"/>
              </w:rPr>
            </w:pPr>
            <w:r>
              <w:rPr>
                <w:rFonts w:hint="eastAsia" w:cs="宋体" w:asciiTheme="minorEastAsia" w:hAnsiTheme="minorEastAsia" w:eastAsiaTheme="minorEastAsia"/>
                <w:sz w:val="24"/>
                <w:szCs w:val="20"/>
                <w:lang w:eastAsia="zh-CN"/>
              </w:rPr>
              <w:t>庙山湾综合能园项目10kV供配电工程</w:t>
            </w:r>
          </w:p>
        </w:tc>
        <w:tc>
          <w:tcPr>
            <w:tcW w:w="1275" w:type="dxa"/>
            <w:tcBorders>
              <w:top w:val="single" w:color="auto" w:sz="4" w:space="0"/>
              <w:left w:val="single" w:color="auto" w:sz="4" w:space="0"/>
              <w:bottom w:val="single" w:color="auto" w:sz="4" w:space="0"/>
              <w:right w:val="single" w:color="auto" w:sz="4" w:space="0"/>
            </w:tcBorders>
            <w:vAlign w:val="center"/>
          </w:tcPr>
          <w:p w14:paraId="3067B159">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14:paraId="5CDC41F2">
            <w:pPr>
              <w:widowControl/>
              <w:spacing w:line="360" w:lineRule="exact"/>
              <w:jc w:val="center"/>
              <w:rPr>
                <w:rFonts w:hint="eastAsia" w:cs="仿宋" w:asciiTheme="minorEastAsia" w:hAnsiTheme="minorEastAsia" w:eastAsiaTheme="minorEastAsia"/>
                <w:bCs/>
                <w:kern w:val="0"/>
                <w:sz w:val="24"/>
                <w:lang w:eastAsia="zh-CN"/>
              </w:rPr>
            </w:pPr>
            <w:r>
              <w:rPr>
                <w:rFonts w:hint="eastAsia" w:cs="宋体" w:asciiTheme="minorEastAsia" w:hAnsiTheme="minorEastAsia" w:eastAsiaTheme="minorEastAsia"/>
                <w:sz w:val="24"/>
                <w:szCs w:val="20"/>
                <w:lang w:eastAsia="zh-CN"/>
              </w:rPr>
              <w:t>53.0964万元</w:t>
            </w:r>
          </w:p>
        </w:tc>
      </w:tr>
    </w:tbl>
    <w:p w14:paraId="1CA64746">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sz w:val="24"/>
        </w:rPr>
        <w:t>五</w:t>
      </w:r>
      <w:r>
        <w:rPr>
          <w:rFonts w:hint="eastAsia" w:cs="Arial" w:asciiTheme="minorEastAsia" w:hAnsiTheme="minorEastAsia" w:eastAsiaTheme="minorEastAsia"/>
          <w:sz w:val="24"/>
        </w:rPr>
        <w:t>、</w:t>
      </w:r>
      <w:r>
        <w:rPr>
          <w:rFonts w:hint="eastAsia" w:cs="Arial" w:asciiTheme="minorEastAsia" w:hAnsiTheme="minorEastAsia" w:eastAsiaTheme="minorEastAsia"/>
          <w:b/>
          <w:bCs/>
          <w:sz w:val="24"/>
        </w:rPr>
        <w:t>合格投标人的资格要求</w:t>
      </w:r>
    </w:p>
    <w:p w14:paraId="5937A8B4">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（一）具有独立承担民事责任的能力；</w:t>
      </w:r>
    </w:p>
    <w:p w14:paraId="5780572B">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（二）具有良好的商业信誉和健全的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cs="宋体" w:asciiTheme="minorEastAsia" w:hAnsiTheme="minorEastAsia" w:eastAsiaTheme="minorEastAsia"/>
          <w:sz w:val="24"/>
        </w:rPr>
        <w:t>财务会计制度</w:t>
      </w:r>
      <w:r>
        <w:rPr>
          <w:rFonts w:cs="宋体" w:asciiTheme="minorEastAsia" w:hAnsiTheme="minorEastAsia" w:eastAsiaTheme="minorEastAsia"/>
          <w:sz w:val="24"/>
        </w:rPr>
        <w:fldChar w:fldCharType="end"/>
      </w:r>
      <w:r>
        <w:rPr>
          <w:rFonts w:cs="宋体" w:asciiTheme="minorEastAsia" w:hAnsiTheme="minorEastAsia" w:eastAsiaTheme="minorEastAsia"/>
          <w:sz w:val="24"/>
        </w:rPr>
        <w:t>；</w:t>
      </w:r>
    </w:p>
    <w:p w14:paraId="6B2A30A4">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（三）具有履行合同所必需的设备和专业技术能力；</w:t>
      </w:r>
    </w:p>
    <w:p w14:paraId="1B1C6613">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（四）有依法缴纳税收和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cs="宋体" w:asciiTheme="minorEastAsia" w:hAnsiTheme="minorEastAsia" w:eastAsiaTheme="minorEastAsia"/>
          <w:sz w:val="24"/>
        </w:rPr>
        <w:t>社会保障资金</w:t>
      </w:r>
      <w:r>
        <w:rPr>
          <w:rFonts w:cs="宋体" w:asciiTheme="minorEastAsia" w:hAnsiTheme="minorEastAsia" w:eastAsiaTheme="minorEastAsia"/>
          <w:sz w:val="24"/>
        </w:rPr>
        <w:fldChar w:fldCharType="end"/>
      </w:r>
      <w:r>
        <w:rPr>
          <w:rFonts w:cs="宋体" w:asciiTheme="minorEastAsia" w:hAnsiTheme="minorEastAsia" w:eastAsiaTheme="minorEastAsia"/>
          <w:sz w:val="24"/>
        </w:rPr>
        <w:t>的良好记录；</w:t>
      </w:r>
    </w:p>
    <w:p w14:paraId="0D95A4EB">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（五）参加采购活动前三年内，在经营活动中没有重大违法记录；</w:t>
      </w:r>
    </w:p>
    <w:p w14:paraId="3045C761">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六）参加本项目投标供应商需具备良好的商业信誉，且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21E98830">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（七）</w:t>
      </w:r>
      <w:r>
        <w:rPr>
          <w:rFonts w:cs="宋体" w:asciiTheme="minorEastAsia" w:hAnsiTheme="minorEastAsia" w:eastAsiaTheme="minorEastAsia"/>
          <w:sz w:val="24"/>
        </w:rPr>
        <w:t>本项目拒绝联合体投标，禁止转包。</w:t>
      </w:r>
    </w:p>
    <w:p w14:paraId="7A0D77FE">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特定资格要求：</w:t>
      </w:r>
    </w:p>
    <w:p w14:paraId="052EEF4D">
      <w:pPr>
        <w:numPr>
          <w:ilvl w:val="0"/>
          <w:numId w:val="7"/>
        </w:numPr>
        <w:spacing w:line="408" w:lineRule="auto"/>
        <w:ind w:firstLine="480" w:firstLineChars="200"/>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投标人须具有电力工程施工总承包或输变电工程专业承包三级及以上资质且具有有效的安全生产许可证；</w:t>
      </w:r>
    </w:p>
    <w:p w14:paraId="56E2B81E">
      <w:pPr>
        <w:numPr>
          <w:ilvl w:val="0"/>
          <w:numId w:val="7"/>
        </w:numPr>
        <w:spacing w:line="408" w:lineRule="auto"/>
        <w:ind w:left="0" w:leftChars="0" w:firstLine="480" w:firstLineChars="200"/>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国家电力监管委员会颁发的承装（修、试）电力设施许可证承装（修、试）五级及以上。</w:t>
      </w:r>
    </w:p>
    <w:p w14:paraId="67D91063">
      <w:pPr>
        <w:numPr>
          <w:ilvl w:val="0"/>
          <w:numId w:val="0"/>
        </w:numPr>
        <w:spacing w:line="408" w:lineRule="auto"/>
        <w:ind w:left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rPr>
        <w:t>六</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03996A78">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1、本项目招标文件实行“政府采购云平台”在线获取，不提供招标文件纸质版。供应商获取招标文件前应先完成“政府采购云平台”的账号注册；</w:t>
      </w:r>
    </w:p>
    <w:p w14:paraId="099E97EF">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2、地点：浙江政府采购网（http://zfcg.czt.zj.gov.cn）；</w:t>
      </w:r>
    </w:p>
    <w:p w14:paraId="516B5FA4">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eastAsia="zh-CN"/>
        </w:rPr>
        <w:t>乐采云</w:t>
      </w:r>
      <w:r>
        <w:rPr>
          <w:rFonts w:hint="eastAsia" w:asciiTheme="minorEastAsia" w:hAnsiTheme="minorEastAsia" w:eastAsiaTheme="minorEastAsia"/>
          <w:b/>
          <w:bCs/>
          <w:kern w:val="0"/>
          <w:sz w:val="24"/>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6B89E32">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14:paraId="4D511155">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093AC9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w:t>
      </w:r>
      <w:r>
        <w:rPr>
          <w:rFonts w:hint="eastAsia" w:asciiTheme="minorEastAsia" w:hAnsiTheme="minorEastAsia" w:eastAsiaTheme="minorEastAsia"/>
          <w:b/>
          <w:bCs/>
          <w:kern w:val="0"/>
          <w:sz w:val="24"/>
          <w:lang w:eastAsia="zh-CN"/>
        </w:rPr>
        <w:t>乐采云</w:t>
      </w:r>
      <w:r>
        <w:rPr>
          <w:rFonts w:hint="eastAsia" w:asciiTheme="minorEastAsia" w:hAnsiTheme="minorEastAsia" w:eastAsiaTheme="minorEastAsia"/>
          <w:b/>
          <w:bCs/>
          <w:kern w:val="0"/>
          <w:sz w:val="24"/>
        </w:rPr>
        <w:t>”系统内完成相关流程，引起的投标无效责任自负。</w:t>
      </w:r>
    </w:p>
    <w:p w14:paraId="47BFB664">
      <w:pPr>
        <w:spacing w:line="360" w:lineRule="auto"/>
        <w:ind w:firstLine="482" w:firstLineChars="200"/>
        <w:rPr>
          <w:rFonts w:hint="eastAsia" w:asciiTheme="minorEastAsia" w:hAnsiTheme="minorEastAsia" w:eastAsiaTheme="minorEastAsia"/>
          <w:b/>
          <w:bCs/>
          <w:color w:val="FF0000"/>
          <w:sz w:val="24"/>
          <w:lang w:eastAsia="zh-CN"/>
        </w:rPr>
      </w:pPr>
      <w:r>
        <w:rPr>
          <w:rFonts w:hint="eastAsia" w:cs="Arial" w:asciiTheme="minorEastAsia" w:hAnsiTheme="minorEastAsia" w:eastAsiaTheme="minorEastAsia"/>
          <w:b/>
          <w:bCs/>
          <w:color w:val="000000"/>
          <w:sz w:val="24"/>
        </w:rPr>
        <w:t>七、投标截止时间和地点：</w:t>
      </w:r>
      <w:r>
        <w:rPr>
          <w:rFonts w:hint="eastAsia" w:asciiTheme="minorEastAsia" w:hAnsiTheme="minorEastAsia" w:eastAsiaTheme="minorEastAsia"/>
          <w:b/>
          <w:bCs/>
          <w:color w:val="FF0000"/>
          <w:sz w:val="24"/>
          <w:lang w:eastAsia="zh-CN"/>
        </w:rPr>
        <w:t>2024年12月17日10时00分</w:t>
      </w:r>
    </w:p>
    <w:p w14:paraId="2BDDB186">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rPr>
        <w:t>八、开标时间及地点：</w:t>
      </w:r>
    </w:p>
    <w:p w14:paraId="1F851B5A">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2024年12月17日10时00分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p w14:paraId="74C237D3">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rPr>
        <w:t>九、投标保证金：</w:t>
      </w:r>
      <w:r>
        <w:rPr>
          <w:rFonts w:hint="eastAsia" w:asciiTheme="minorEastAsia" w:hAnsiTheme="minorEastAsia" w:eastAsiaTheme="minorEastAsia"/>
          <w:sz w:val="24"/>
        </w:rPr>
        <w:t>无</w:t>
      </w:r>
    </w:p>
    <w:p w14:paraId="430C57F7">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十、在线投标响应（电子投标）说明</w:t>
      </w:r>
    </w:p>
    <w:p w14:paraId="7221B101">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1、本项目通过“政府采购云平台（</w:t>
      </w:r>
      <w:r>
        <w:rPr>
          <w:rFonts w:hint="eastAsia" w:asciiTheme="minorEastAsia" w:hAnsiTheme="minorEastAsia" w:eastAsiaTheme="minorEastAsia"/>
          <w:b/>
          <w:bCs/>
          <w:sz w:val="24"/>
          <w:lang w:eastAsia="zh-CN"/>
        </w:rPr>
        <w:t>www.lecaiyun.com</w:t>
      </w:r>
      <w:r>
        <w:rPr>
          <w:rFonts w:hint="eastAsia" w:asciiTheme="minorEastAsia" w:hAnsiTheme="minorEastAsia" w:eastAsiaTheme="minorEastAsia"/>
          <w:b/>
          <w:bCs/>
          <w:sz w:val="24"/>
        </w:rPr>
        <w:t>）”实行在线投标响应（电子投标），供应商应先安装“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电子交易客户端”，并按照本招标文件和“政府采购云平台”的要求，通过“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电子交易客户端”编制并加密投标文件。供应商未按规定加密的投标文件，“政府采购云平台”将予以拒收。</w:t>
      </w:r>
    </w:p>
    <w:p w14:paraId="51723BE6">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1998083B">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2、为确保网上操作合法、有效和安全，投标供应商应当在投标截止时间前完成在“政府采购云平台”的身份认证，确保在电子投标过程中能够对相关数据电文进行加密和使用电子签章。使用“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14:paraId="0A5AFFB0">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3、投标供应商应当在投标截止时间前，将生成的“电子加密投标文件”上传递交至“政府采购云平台”。投标截止时间以后上传递交的投标文件将被“政府采购云平台”拒收。</w:t>
      </w:r>
    </w:p>
    <w:p w14:paraId="3DED4863">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69EFFC08">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9C4440A">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十一、其他事项：</w:t>
      </w:r>
    </w:p>
    <w:p w14:paraId="1E944504">
      <w:pPr>
        <w:pStyle w:val="167"/>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14:paraId="10761CE2">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rPr>
        <w:t>二</w:t>
      </w:r>
      <w:r>
        <w:rPr>
          <w:rFonts w:cs="Arial" w:asciiTheme="minorEastAsia" w:hAnsiTheme="minorEastAsia" w:eastAsiaTheme="minorEastAsia"/>
          <w:b/>
          <w:bCs/>
          <w:sz w:val="24"/>
        </w:rPr>
        <w:t>、业务咨询：</w:t>
      </w:r>
    </w:p>
    <w:p w14:paraId="599E8C6F">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1、采购机构名称：桐庐鸿泰工程咨询有限公司</w:t>
      </w:r>
    </w:p>
    <w:p w14:paraId="27E996B5">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地址：浙江省桐庐县城南街道迎春南路88号华桐大厦20楼</w:t>
      </w:r>
    </w:p>
    <w:p w14:paraId="27C6C48B">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联系人：孙鸣</w:t>
      </w:r>
    </w:p>
    <w:p w14:paraId="3EE912B3">
      <w:pPr>
        <w:snapToGrid w:val="0"/>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val="en-US" w:eastAsia="zh-CN"/>
        </w:rPr>
        <w:t>15168292397</w:t>
      </w:r>
    </w:p>
    <w:p w14:paraId="686DF77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2、书面质疑受理地点：桐庐县城南街道迎春南路88号华桐大厦20楼</w:t>
      </w:r>
    </w:p>
    <w:p w14:paraId="6D683347">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联系人：孙鸣</w:t>
      </w:r>
    </w:p>
    <w:p w14:paraId="5081FE17">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 xml:space="preserve">联系电话：0571-64622020  </w:t>
      </w:r>
    </w:p>
    <w:p w14:paraId="723600F2">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座机/传真：0571-64622020</w:t>
      </w:r>
    </w:p>
    <w:p w14:paraId="01FE5E2D">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3、采购单位：</w:t>
      </w:r>
      <w:r>
        <w:rPr>
          <w:rFonts w:hint="eastAsia" w:asciiTheme="minorEastAsia" w:hAnsiTheme="minorEastAsia" w:eastAsiaTheme="minorEastAsia"/>
          <w:sz w:val="24"/>
          <w:lang w:eastAsia="zh-CN"/>
        </w:rPr>
        <w:t>桐庐县交通发展集团有限公司</w:t>
      </w:r>
    </w:p>
    <w:p w14:paraId="60061CF1">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auto"/>
          <w:sz w:val="24"/>
        </w:rPr>
        <w:t xml:space="preserve"> 联系人：</w:t>
      </w:r>
      <w:r>
        <w:rPr>
          <w:rFonts w:hint="eastAsia" w:asciiTheme="minorEastAsia" w:hAnsiTheme="minorEastAsia" w:eastAsiaTheme="minorEastAsia"/>
          <w:color w:val="auto"/>
          <w:sz w:val="24"/>
          <w:lang w:val="en-US" w:eastAsia="zh-CN"/>
        </w:rPr>
        <w:t>吴鹏飞</w:t>
      </w:r>
    </w:p>
    <w:p w14:paraId="0D74DB56">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color w:val="auto"/>
          <w:sz w:val="24"/>
        </w:rPr>
        <w:t xml:space="preserve">      联系</w:t>
      </w:r>
      <w:r>
        <w:rPr>
          <w:rFonts w:asciiTheme="minorEastAsia" w:hAnsiTheme="minorEastAsia" w:eastAsiaTheme="minorEastAsia"/>
          <w:color w:val="auto"/>
          <w:sz w:val="24"/>
        </w:rPr>
        <w:t>电话</w:t>
      </w:r>
      <w:r>
        <w:rPr>
          <w:rFonts w:hint="eastAsia" w:asciiTheme="minorEastAsia" w:hAnsiTheme="minorEastAsia" w:eastAsiaTheme="minorEastAsia"/>
          <w:color w:val="auto"/>
          <w:sz w:val="24"/>
        </w:rPr>
        <w:t>：</w:t>
      </w:r>
      <w:r>
        <w:rPr>
          <w:rFonts w:hint="eastAsia" w:ascii="宋体" w:hAnsi="宋体" w:eastAsiaTheme="minorEastAsia"/>
          <w:color w:val="auto"/>
          <w:sz w:val="24"/>
          <w:lang w:val="en-US" w:eastAsia="zh-CN"/>
        </w:rPr>
        <w:t>15068811918</w:t>
      </w:r>
    </w:p>
    <w:p w14:paraId="789B84E7">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4、监管部门：</w:t>
      </w:r>
      <w:r>
        <w:rPr>
          <w:rFonts w:hint="eastAsia" w:asciiTheme="minorEastAsia" w:hAnsiTheme="minorEastAsia" w:eastAsiaTheme="minorEastAsia"/>
          <w:sz w:val="24"/>
          <w:lang w:eastAsia="zh-CN"/>
        </w:rPr>
        <w:t>桐庐县国有资产监督管理办公室</w:t>
      </w:r>
      <w:r>
        <w:rPr>
          <w:rFonts w:hint="eastAsia" w:asciiTheme="minorEastAsia" w:hAnsiTheme="minorEastAsia" w:eastAsiaTheme="minorEastAsia"/>
          <w:sz w:val="24"/>
          <w:lang w:val="en-US" w:eastAsia="zh-CN"/>
        </w:rPr>
        <w:t xml:space="preserve"> </w:t>
      </w:r>
    </w:p>
    <w:p w14:paraId="0B43372E">
      <w:pPr>
        <w:spacing w:line="360" w:lineRule="auto"/>
        <w:ind w:firstLine="700" w:firstLineChars="292"/>
        <w:rPr>
          <w:rFonts w:hint="eastAsia"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龚兴法</w:t>
      </w:r>
      <w:r>
        <w:rPr>
          <w:rFonts w:hint="eastAsia" w:asciiTheme="minorEastAsia" w:hAnsiTheme="minorEastAsia" w:eastAsiaTheme="minorEastAsia"/>
          <w:sz w:val="24"/>
          <w:lang w:val="en-US" w:eastAsia="zh-CN"/>
        </w:rPr>
        <w:t xml:space="preserve"> </w:t>
      </w:r>
    </w:p>
    <w:p w14:paraId="710CDDCE">
      <w:pPr>
        <w:spacing w:line="360" w:lineRule="auto"/>
        <w:ind w:firstLine="700" w:firstLineChars="292"/>
        <w:rPr>
          <w:rFonts w:hint="eastAsia" w:asciiTheme="minorEastAsia" w:hAnsiTheme="minorEastAsia" w:eastAsiaTheme="minorEastAsia"/>
          <w:sz w:val="24"/>
          <w:lang w:eastAsia="zh-CN"/>
        </w:rPr>
        <w:sectPr>
          <w:footerReference r:id="rId11" w:type="default"/>
          <w:pgSz w:w="11910" w:h="16840"/>
          <w:pgMar w:top="1134" w:right="1344" w:bottom="1134" w:left="1304" w:header="0" w:footer="993" w:gutter="0"/>
          <w:cols w:space="0" w:num="1"/>
        </w:sectPr>
      </w:pPr>
      <w:r>
        <w:rPr>
          <w:rFonts w:hint="eastAsia" w:asciiTheme="minorEastAsia" w:hAnsiTheme="minorEastAsia" w:eastAsiaTheme="minorEastAsia"/>
          <w:sz w:val="24"/>
        </w:rPr>
        <w:t>监督投诉电话：</w:t>
      </w:r>
      <w:bookmarkStart w:id="0" w:name="_Hlk521930958"/>
      <w:r>
        <w:rPr>
          <w:rFonts w:hint="eastAsia" w:asciiTheme="minorEastAsia" w:hAnsiTheme="minorEastAsia" w:eastAsiaTheme="minorEastAsia"/>
          <w:sz w:val="24"/>
          <w:lang w:eastAsia="zh-CN"/>
        </w:rPr>
        <w:t>15967118898</w:t>
      </w:r>
      <w:r>
        <w:rPr>
          <w:rFonts w:hint="eastAsia" w:asciiTheme="minorEastAsia" w:hAnsiTheme="minorEastAsia" w:eastAsiaTheme="minorEastAsia"/>
          <w:sz w:val="24"/>
          <w:lang w:val="en-US" w:eastAsia="zh-CN"/>
        </w:rPr>
        <w:t xml:space="preserve"> </w:t>
      </w:r>
    </w:p>
    <w:p w14:paraId="35B0A61C">
      <w:pPr>
        <w:numPr>
          <w:ilvl w:val="0"/>
          <w:numId w:val="8"/>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14:paraId="280D48D6">
      <w:pPr>
        <w:autoSpaceDE w:val="0"/>
        <w:autoSpaceDN w:val="0"/>
        <w:adjustRightInd w:val="0"/>
        <w:spacing w:line="400" w:lineRule="exact"/>
        <w:ind w:firstLine="420" w:firstLineChars="200"/>
        <w:rPr>
          <w:rFonts w:hint="eastAsia" w:ascii="微软雅黑" w:hAnsi="微软雅黑" w:eastAsia="微软雅黑"/>
          <w:kern w:val="0"/>
          <w:szCs w:val="30"/>
        </w:rPr>
      </w:pPr>
      <w:r>
        <w:rPr>
          <w:rFonts w:hint="eastAsia" w:ascii="微软雅黑" w:hAnsi="微软雅黑" w:eastAsia="微软雅黑"/>
          <w:kern w:val="0"/>
        </w:rPr>
        <w:t>本招标文件中带</w:t>
      </w:r>
      <w:r>
        <w:rPr>
          <w:rFonts w:hint="eastAsia" w:ascii="微软雅黑" w:hAnsi="微软雅黑" w:eastAsia="微软雅黑"/>
          <w:szCs w:val="21"/>
        </w:rPr>
        <w:t>▲</w:t>
      </w:r>
      <w:r>
        <w:rPr>
          <w:rFonts w:hint="eastAsia" w:ascii="微软雅黑" w:hAnsi="微软雅黑" w:eastAsia="微软雅黑"/>
          <w:kern w:val="0"/>
        </w:rPr>
        <w:t>号的条款内容，为本次招标的主要条款和实质性内容，投标人必须全部响应，否则将作无效标处理。</w:t>
      </w:r>
      <w:bookmarkStart w:id="1" w:name="_Toc393990405"/>
      <w:bookmarkEnd w:id="1"/>
      <w:bookmarkStart w:id="2" w:name="_Toc395958552"/>
      <w:bookmarkEnd w:id="2"/>
      <w:bookmarkStart w:id="3" w:name="_Toc393990508"/>
      <w:bookmarkEnd w:id="3"/>
      <w:bookmarkStart w:id="4" w:name="_Toc393990403"/>
      <w:bookmarkEnd w:id="4"/>
      <w:bookmarkStart w:id="5" w:name="_Toc393990506"/>
      <w:bookmarkEnd w:id="5"/>
      <w:bookmarkStart w:id="6" w:name="_Toc395958550"/>
      <w:bookmarkEnd w:id="6"/>
      <w:bookmarkStart w:id="7" w:name="_Toc393990404"/>
      <w:bookmarkEnd w:id="7"/>
      <w:bookmarkStart w:id="8" w:name="_Toc395958551"/>
      <w:bookmarkEnd w:id="8"/>
      <w:bookmarkStart w:id="9" w:name="_Toc393990507"/>
      <w:bookmarkEnd w:id="9"/>
    </w:p>
    <w:p w14:paraId="375DA22B">
      <w:pPr>
        <w:pStyle w:val="5"/>
        <w:numPr>
          <w:ilvl w:val="1"/>
          <w:numId w:val="0"/>
        </w:numPr>
        <w:spacing w:line="400" w:lineRule="exact"/>
        <w:rPr>
          <w:rFonts w:hint="eastAsia" w:ascii="微软雅黑" w:hAnsi="微软雅黑" w:eastAsia="微软雅黑"/>
          <w:color w:val="auto"/>
          <w:szCs w:val="21"/>
        </w:rPr>
      </w:pPr>
      <w:bookmarkStart w:id="10" w:name="_Toc423875581"/>
      <w:bookmarkStart w:id="11" w:name="_Toc404763999"/>
      <w:r>
        <w:rPr>
          <w:rFonts w:hint="eastAsia" w:ascii="微软雅黑" w:hAnsi="微软雅黑" w:eastAsia="微软雅黑"/>
          <w:color w:val="auto"/>
          <w:szCs w:val="21"/>
        </w:rPr>
        <w:t>一、项目概况</w:t>
      </w:r>
      <w:bookmarkEnd w:id="10"/>
      <w:bookmarkEnd w:id="11"/>
    </w:p>
    <w:p w14:paraId="757D2EC4">
      <w:pPr>
        <w:autoSpaceDE w:val="0"/>
        <w:autoSpaceDN w:val="0"/>
        <w:adjustRightInd w:val="0"/>
        <w:spacing w:line="400" w:lineRule="exact"/>
        <w:ind w:firstLine="420" w:firstLineChars="200"/>
        <w:jc w:val="left"/>
        <w:rPr>
          <w:rFonts w:hint="eastAsia" w:ascii="微软雅黑" w:hAnsi="微软雅黑" w:eastAsia="微软雅黑"/>
          <w:b/>
          <w:kern w:val="0"/>
          <w:szCs w:val="21"/>
        </w:rPr>
      </w:pPr>
      <w:r>
        <w:rPr>
          <w:rFonts w:hint="eastAsia" w:ascii="微软雅黑" w:hAnsi="微软雅黑" w:eastAsia="微软雅黑"/>
          <w:b/>
          <w:kern w:val="0"/>
          <w:szCs w:val="21"/>
        </w:rPr>
        <w:t>1、项目编号：</w:t>
      </w:r>
      <w:r>
        <w:rPr>
          <w:rFonts w:hint="eastAsia" w:ascii="微软雅黑" w:hAnsi="微软雅黑" w:eastAsia="微软雅黑"/>
          <w:b/>
          <w:kern w:val="0"/>
          <w:szCs w:val="21"/>
          <w:lang w:eastAsia="zh-CN"/>
        </w:rPr>
        <w:t>TLHT-CG-2024-037</w:t>
      </w:r>
    </w:p>
    <w:p w14:paraId="11C47CF7">
      <w:pPr>
        <w:widowControl/>
        <w:spacing w:line="400" w:lineRule="exact"/>
        <w:ind w:firstLine="420" w:firstLineChars="200"/>
        <w:jc w:val="left"/>
        <w:rPr>
          <w:rFonts w:hint="eastAsia" w:ascii="微软雅黑" w:hAnsi="微软雅黑" w:eastAsia="微软雅黑"/>
          <w:bCs/>
          <w:szCs w:val="21"/>
        </w:rPr>
      </w:pPr>
      <w:r>
        <w:rPr>
          <w:rFonts w:hint="eastAsia" w:ascii="微软雅黑" w:hAnsi="微软雅黑" w:eastAsia="微软雅黑"/>
          <w:b/>
          <w:szCs w:val="21"/>
        </w:rPr>
        <w:t>2、项目名称：</w:t>
      </w:r>
      <w:r>
        <w:rPr>
          <w:rFonts w:hint="eastAsia" w:ascii="微软雅黑" w:hAnsi="微软雅黑" w:eastAsia="微软雅黑"/>
          <w:b/>
          <w:kern w:val="0"/>
          <w:szCs w:val="21"/>
          <w:lang w:eastAsia="zh-CN"/>
        </w:rPr>
        <w:t xml:space="preserve">庙山湾综合能园项目10kV供配电工程 </w:t>
      </w:r>
    </w:p>
    <w:p w14:paraId="59F8A25D">
      <w:pPr>
        <w:pStyle w:val="5"/>
        <w:numPr>
          <w:ilvl w:val="1"/>
          <w:numId w:val="0"/>
        </w:numPr>
        <w:spacing w:line="400" w:lineRule="exact"/>
        <w:rPr>
          <w:rFonts w:hint="eastAsia" w:ascii="微软雅黑" w:hAnsi="微软雅黑" w:eastAsia="微软雅黑"/>
          <w:color w:val="auto"/>
          <w:szCs w:val="21"/>
        </w:rPr>
      </w:pPr>
      <w:bookmarkStart w:id="12" w:name="_Toc423875582"/>
      <w:bookmarkStart w:id="13" w:name="_Toc404764000"/>
      <w:r>
        <w:rPr>
          <w:rFonts w:hint="eastAsia" w:ascii="微软雅黑" w:hAnsi="微软雅黑" w:eastAsia="微软雅黑"/>
          <w:color w:val="auto"/>
          <w:szCs w:val="21"/>
        </w:rPr>
        <w:t>二、采购项目内容</w:t>
      </w:r>
      <w:bookmarkEnd w:id="12"/>
      <w:bookmarkEnd w:id="13"/>
    </w:p>
    <w:p w14:paraId="2BD6BC20">
      <w:pPr>
        <w:rPr>
          <w:rFonts w:hint="eastAsia" w:ascii="微软雅黑" w:hAnsi="微软雅黑" w:eastAsia="微软雅黑"/>
          <w:b/>
          <w:szCs w:val="21"/>
          <w:lang w:val="en-US" w:eastAsia="zh-CN"/>
        </w:rPr>
      </w:pPr>
      <w:bookmarkStart w:id="14" w:name="_Toc384299180"/>
      <w:bookmarkStart w:id="15" w:name="_Toc312346225"/>
      <w:r>
        <w:rPr>
          <w:rFonts w:hint="eastAsia" w:ascii="微软雅黑" w:hAnsi="微软雅黑" w:eastAsia="微软雅黑"/>
          <w:b/>
          <w:szCs w:val="21"/>
          <w:lang w:val="en-US" w:eastAsia="zh-CN"/>
        </w:rPr>
        <w:t>1、采购清单</w:t>
      </w:r>
    </w:p>
    <w:tbl>
      <w:tblPr>
        <w:tblStyle w:val="33"/>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19"/>
        <w:gridCol w:w="4866"/>
        <w:gridCol w:w="718"/>
        <w:gridCol w:w="857"/>
      </w:tblGrid>
      <w:tr w14:paraId="2537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FE5B6B2">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序号</w:t>
            </w:r>
          </w:p>
        </w:tc>
        <w:tc>
          <w:tcPr>
            <w:tcW w:w="2819" w:type="dxa"/>
            <w:vAlign w:val="center"/>
          </w:tcPr>
          <w:p w14:paraId="36205050">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项目名称</w:t>
            </w:r>
          </w:p>
        </w:tc>
        <w:tc>
          <w:tcPr>
            <w:tcW w:w="4866" w:type="dxa"/>
            <w:vAlign w:val="center"/>
          </w:tcPr>
          <w:p w14:paraId="31CBE4B0">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项目特征描述</w:t>
            </w:r>
          </w:p>
        </w:tc>
        <w:tc>
          <w:tcPr>
            <w:tcW w:w="718" w:type="dxa"/>
            <w:vAlign w:val="center"/>
          </w:tcPr>
          <w:p w14:paraId="00D75592">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计量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单位</w:t>
            </w:r>
          </w:p>
        </w:tc>
        <w:tc>
          <w:tcPr>
            <w:tcW w:w="857" w:type="dxa"/>
            <w:vAlign w:val="center"/>
          </w:tcPr>
          <w:p w14:paraId="1C21749C">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工程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数量</w:t>
            </w:r>
          </w:p>
        </w:tc>
      </w:tr>
      <w:tr w14:paraId="184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1BB234A">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w:t>
            </w:r>
          </w:p>
        </w:tc>
        <w:tc>
          <w:tcPr>
            <w:tcW w:w="2819" w:type="dxa"/>
            <w:vAlign w:val="center"/>
          </w:tcPr>
          <w:p w14:paraId="0821DF02">
            <w:pPr>
              <w:keepNext w:val="0"/>
              <w:keepLines w:val="0"/>
              <w:widowControl/>
              <w:suppressLineNumbers w:val="0"/>
              <w:spacing w:line="360" w:lineRule="auto"/>
              <w:jc w:val="center"/>
              <w:textAlignment w:val="center"/>
              <w:rPr>
                <w:rStyle w:val="56"/>
                <w:rFonts w:hint="default" w:ascii="宋体" w:hAnsi="宋体" w:eastAsia="宋体" w:cs="宋体"/>
                <w:b/>
                <w:color w:val="auto"/>
                <w:sz w:val="21"/>
                <w:szCs w:val="21"/>
                <w:vertAlign w:val="baseline"/>
                <w:lang w:val="en-US"/>
              </w:rPr>
            </w:pPr>
            <w:r>
              <w:rPr>
                <w:rFonts w:hint="eastAsia" w:ascii="宋体" w:hAnsi="宋体" w:eastAsia="宋体" w:cs="宋体"/>
                <w:i w:val="0"/>
                <w:iCs w:val="0"/>
                <w:color w:val="auto"/>
                <w:kern w:val="0"/>
                <w:sz w:val="21"/>
                <w:szCs w:val="21"/>
                <w:u w:val="none"/>
                <w:lang w:val="en-US" w:eastAsia="zh-CN" w:bidi="ar"/>
              </w:rPr>
              <w:t>箱变基础</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3.1*5 1</w:t>
            </w:r>
            <w:r>
              <w:rPr>
                <w:rFonts w:hint="eastAsia" w:ascii="宋体" w:hAnsi="宋体" w:cs="宋体"/>
                <w:i w:val="0"/>
                <w:iCs w:val="0"/>
                <w:color w:val="auto"/>
                <w:kern w:val="0"/>
                <w:sz w:val="21"/>
                <w:szCs w:val="21"/>
                <w:u w:val="none"/>
                <w:lang w:val="en-US" w:eastAsia="zh-CN" w:bidi="ar"/>
              </w:rPr>
              <w:t>)</w:t>
            </w:r>
          </w:p>
        </w:tc>
        <w:tc>
          <w:tcPr>
            <w:tcW w:w="4866" w:type="dxa"/>
            <w:vAlign w:val="center"/>
          </w:tcPr>
          <w:p w14:paraId="2E5B8491">
            <w:pPr>
              <w:keepNext w:val="0"/>
              <w:keepLines w:val="0"/>
              <w:widowControl/>
              <w:suppressLineNumbers w:val="0"/>
              <w:spacing w:line="360" w:lineRule="auto"/>
              <w:jc w:val="left"/>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1、挖土石方                                                                  2、碎石垫层                                                              3、混凝土垫层                                                           4、带形基础                                                                5、圈梁</w:t>
            </w:r>
            <w:r>
              <w:rPr>
                <w:rFonts w:hint="eastAsia" w:ascii="宋体" w:hAnsi="宋体" w:cs="宋体"/>
                <w:i w:val="0"/>
                <w:iCs w:val="0"/>
                <w:color w:val="auto"/>
                <w:kern w:val="0"/>
                <w:sz w:val="21"/>
                <w:szCs w:val="21"/>
                <w:u w:val="none"/>
                <w:lang w:val="en-US" w:eastAsia="zh-CN" w:bidi="ar"/>
              </w:rPr>
              <w:t>、过梁</w:t>
            </w:r>
            <w:r>
              <w:rPr>
                <w:rFonts w:hint="eastAsia" w:ascii="宋体" w:hAnsi="宋体" w:eastAsia="宋体" w:cs="宋体"/>
                <w:i w:val="0"/>
                <w:iCs w:val="0"/>
                <w:color w:val="auto"/>
                <w:kern w:val="0"/>
                <w:sz w:val="21"/>
                <w:szCs w:val="21"/>
                <w:u w:val="none"/>
                <w:lang w:val="en-US" w:eastAsia="zh-CN" w:bidi="ar"/>
              </w:rPr>
              <w:t xml:space="preserve">                                       6、不锈钢防盗格栅窗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7、钢筋</w:t>
            </w:r>
            <w:r>
              <w:rPr>
                <w:rFonts w:hint="eastAsia" w:ascii="宋体" w:hAnsi="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8、接地</w:t>
            </w: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、包括但不限于以上工作内容，以完成设计图纸内容以及甲方相应需求，具体位置做法详见图纸</w:t>
            </w:r>
          </w:p>
        </w:tc>
        <w:tc>
          <w:tcPr>
            <w:tcW w:w="718" w:type="dxa"/>
            <w:vAlign w:val="center"/>
          </w:tcPr>
          <w:p w14:paraId="3E4286D6">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lang w:val="en-US" w:eastAsia="zh-CN"/>
              </w:rPr>
            </w:pPr>
            <w:r>
              <w:rPr>
                <w:rStyle w:val="56"/>
                <w:rFonts w:hint="eastAsia" w:ascii="宋体" w:hAnsi="宋体" w:cs="宋体"/>
                <w:b/>
                <w:color w:val="auto"/>
                <w:sz w:val="21"/>
                <w:szCs w:val="21"/>
                <w:vertAlign w:val="baseline"/>
                <w:lang w:val="en-US" w:eastAsia="zh-CN"/>
              </w:rPr>
              <w:t>座</w:t>
            </w:r>
          </w:p>
        </w:tc>
        <w:tc>
          <w:tcPr>
            <w:tcW w:w="857" w:type="dxa"/>
            <w:vAlign w:val="center"/>
          </w:tcPr>
          <w:p w14:paraId="7EB01A6D">
            <w:pPr>
              <w:keepNext w:val="0"/>
              <w:keepLines w:val="0"/>
              <w:widowControl/>
              <w:suppressLineNumbers w:val="0"/>
              <w:spacing w:line="360" w:lineRule="auto"/>
              <w:jc w:val="center"/>
              <w:textAlignment w:val="center"/>
              <w:rPr>
                <w:rStyle w:val="56"/>
                <w:rFonts w:hint="default" w:ascii="宋体" w:hAnsi="宋体" w:eastAsia="宋体" w:cs="宋体"/>
                <w:b/>
                <w:color w:val="auto"/>
                <w:sz w:val="21"/>
                <w:szCs w:val="21"/>
                <w:vertAlign w:val="baseline"/>
                <w:lang w:val="en-US"/>
              </w:rPr>
            </w:pPr>
            <w:r>
              <w:rPr>
                <w:rFonts w:hint="eastAsia" w:ascii="宋体" w:hAnsi="宋体" w:cs="宋体"/>
                <w:i w:val="0"/>
                <w:iCs w:val="0"/>
                <w:color w:val="auto"/>
                <w:kern w:val="0"/>
                <w:sz w:val="21"/>
                <w:szCs w:val="21"/>
                <w:u w:val="none"/>
                <w:lang w:val="en-US" w:eastAsia="zh-CN" w:bidi="ar"/>
              </w:rPr>
              <w:t>1</w:t>
            </w:r>
          </w:p>
        </w:tc>
      </w:tr>
      <w:tr w14:paraId="5C1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A3700D3">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2</w:t>
            </w:r>
          </w:p>
        </w:tc>
        <w:tc>
          <w:tcPr>
            <w:tcW w:w="2819" w:type="dxa"/>
            <w:vAlign w:val="center"/>
          </w:tcPr>
          <w:p w14:paraId="2EC1AE34">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孔1</w:t>
            </w:r>
            <w:r>
              <w:rPr>
                <w:rFonts w:hint="eastAsia" w:ascii="宋体" w:hAnsi="宋体" w:cs="宋体"/>
                <w:i w:val="0"/>
                <w:iCs w:val="0"/>
                <w:color w:val="auto"/>
                <w:kern w:val="0"/>
                <w:sz w:val="21"/>
                <w:szCs w:val="21"/>
                <w:u w:val="none"/>
                <w:lang w:val="en-US" w:eastAsia="zh-CN" w:bidi="ar"/>
              </w:rPr>
              <w:t>75</w:t>
            </w:r>
            <w:r>
              <w:rPr>
                <w:rFonts w:hint="eastAsia" w:ascii="宋体" w:hAnsi="宋体" w:eastAsia="宋体" w:cs="宋体"/>
                <w:i w:val="0"/>
                <w:iCs w:val="0"/>
                <w:color w:val="auto"/>
                <w:kern w:val="0"/>
                <w:sz w:val="21"/>
                <w:szCs w:val="21"/>
                <w:u w:val="none"/>
                <w:lang w:val="en-US" w:eastAsia="zh-CN" w:bidi="ar"/>
              </w:rPr>
              <w:t>管道</w:t>
            </w:r>
          </w:p>
        </w:tc>
        <w:tc>
          <w:tcPr>
            <w:tcW w:w="4866" w:type="dxa"/>
            <w:vAlign w:val="center"/>
          </w:tcPr>
          <w:p w14:paraId="768B248E">
            <w:pPr>
              <w:keepNext w:val="0"/>
              <w:keepLines w:val="0"/>
              <w:widowControl/>
              <w:suppressLineNumbers w:val="0"/>
              <w:spacing w:line="360" w:lineRule="auto"/>
              <w:jc w:val="left"/>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1、挖土石方                                                                  2、碎石垫层                                                              3、混凝土垫层                                                           4、管道包方                                                                5、高强度聚氯乙烯双壁波纹管 管径1</w:t>
            </w:r>
            <w:r>
              <w:rPr>
                <w:rFonts w:hint="eastAsia" w:ascii="宋体" w:hAnsi="宋体" w:cs="宋体"/>
                <w:i w:val="0"/>
                <w:iCs w:val="0"/>
                <w:color w:val="auto"/>
                <w:kern w:val="0"/>
                <w:sz w:val="21"/>
                <w:szCs w:val="21"/>
                <w:u w:val="none"/>
                <w:lang w:val="en-US" w:eastAsia="zh-CN" w:bidi="ar"/>
              </w:rPr>
              <w:t>75</w:t>
            </w:r>
            <w:r>
              <w:rPr>
                <w:rFonts w:hint="eastAsia" w:ascii="宋体" w:hAnsi="宋体" w:eastAsia="宋体" w:cs="宋体"/>
                <w:i w:val="0"/>
                <w:iCs w:val="0"/>
                <w:color w:val="auto"/>
                <w:kern w:val="0"/>
                <w:sz w:val="21"/>
                <w:szCs w:val="21"/>
                <w:u w:val="none"/>
                <w:lang w:val="en-US" w:eastAsia="zh-CN" w:bidi="ar"/>
              </w:rPr>
              <w:t xml:space="preserve">埋地敷设                                                                                                              </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 xml:space="preserve">、防火堵洞保护管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7、道路沥青破除及修复</w:t>
            </w:r>
            <w:r>
              <w:rPr>
                <w:rFonts w:hint="eastAsia" w:ascii="宋体" w:hAnsi="宋体" w:eastAsia="宋体" w:cs="宋体"/>
                <w:i w:val="0"/>
                <w:iCs w:val="0"/>
                <w:color w:val="auto"/>
                <w:kern w:val="0"/>
                <w:sz w:val="21"/>
                <w:szCs w:val="21"/>
                <w:u w:val="none"/>
                <w:lang w:val="en-US" w:eastAsia="zh-CN" w:bidi="ar"/>
              </w:rPr>
              <w:t xml:space="preserve">                                                                     8、含沿线各种电缆井，具体位置做法详见图纸                                             9、包括但不限于以上工作内容，以完成设计图纸内容以及甲方相应需求，具体位置做法详见图纸</w:t>
            </w:r>
          </w:p>
        </w:tc>
        <w:tc>
          <w:tcPr>
            <w:tcW w:w="718" w:type="dxa"/>
            <w:vAlign w:val="center"/>
          </w:tcPr>
          <w:p w14:paraId="2408480C">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m</w:t>
            </w:r>
          </w:p>
        </w:tc>
        <w:tc>
          <w:tcPr>
            <w:tcW w:w="857" w:type="dxa"/>
            <w:vAlign w:val="center"/>
          </w:tcPr>
          <w:p w14:paraId="3554E4FA">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56</w:t>
            </w:r>
            <w:r>
              <w:rPr>
                <w:rFonts w:hint="eastAsia" w:ascii="宋体" w:hAnsi="宋体" w:eastAsia="宋体" w:cs="宋体"/>
                <w:i w:val="0"/>
                <w:iCs w:val="0"/>
                <w:color w:val="auto"/>
                <w:kern w:val="0"/>
                <w:sz w:val="21"/>
                <w:szCs w:val="21"/>
                <w:u w:val="none"/>
                <w:lang w:val="en-US" w:eastAsia="zh-CN" w:bidi="ar"/>
              </w:rPr>
              <w:t xml:space="preserve"> </w:t>
            </w:r>
          </w:p>
        </w:tc>
      </w:tr>
      <w:tr w14:paraId="3EFB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2066CA5D">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3</w:t>
            </w:r>
          </w:p>
        </w:tc>
        <w:tc>
          <w:tcPr>
            <w:tcW w:w="2819" w:type="dxa"/>
            <w:vAlign w:val="center"/>
          </w:tcPr>
          <w:p w14:paraId="3246766D">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清苗及场地租赁费</w:t>
            </w:r>
          </w:p>
        </w:tc>
        <w:tc>
          <w:tcPr>
            <w:tcW w:w="4866" w:type="dxa"/>
            <w:vAlign w:val="center"/>
          </w:tcPr>
          <w:p w14:paraId="20DCA49F">
            <w:pPr>
              <w:keepNext w:val="0"/>
              <w:keepLines w:val="0"/>
              <w:widowControl/>
              <w:suppressLineNumbers w:val="0"/>
              <w:spacing w:line="360" w:lineRule="auto"/>
              <w:jc w:val="left"/>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清苗及场地租赁费</w:t>
            </w:r>
          </w:p>
        </w:tc>
        <w:tc>
          <w:tcPr>
            <w:tcW w:w="718" w:type="dxa"/>
            <w:vAlign w:val="center"/>
          </w:tcPr>
          <w:p w14:paraId="54E9AA18">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项</w:t>
            </w:r>
          </w:p>
        </w:tc>
        <w:tc>
          <w:tcPr>
            <w:tcW w:w="857" w:type="dxa"/>
            <w:vAlign w:val="center"/>
          </w:tcPr>
          <w:p w14:paraId="6D9D7001">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1</w:t>
            </w:r>
          </w:p>
        </w:tc>
      </w:tr>
      <w:tr w14:paraId="68D3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808" w:type="dxa"/>
            <w:vAlign w:val="center"/>
          </w:tcPr>
          <w:p w14:paraId="7D0F083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2819" w:type="dxa"/>
            <w:vAlign w:val="center"/>
          </w:tcPr>
          <w:p w14:paraId="3181DA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电力设备</w:t>
            </w:r>
          </w:p>
        </w:tc>
        <w:tc>
          <w:tcPr>
            <w:tcW w:w="4866" w:type="dxa"/>
            <w:vAlign w:val="center"/>
          </w:tcPr>
          <w:p w14:paraId="3889D7F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1、250kVA箱式变压器(带高压开关柜(变压器容量kV·A以下)630)</w:t>
            </w:r>
            <w:r>
              <w:rPr>
                <w:rFonts w:hint="eastAsia" w:ascii="宋体" w:hAnsi="宋体" w:cs="宋体"/>
                <w:i w:val="0"/>
                <w:iCs w:val="0"/>
                <w:color w:val="auto"/>
                <w:kern w:val="0"/>
                <w:sz w:val="21"/>
                <w:szCs w:val="21"/>
                <w:u w:val="none"/>
                <w:lang w:val="en-US" w:eastAsia="zh-CN" w:bidi="ar"/>
              </w:rPr>
              <w:t>含</w:t>
            </w:r>
            <w:r>
              <w:rPr>
                <w:rFonts w:hint="eastAsia" w:ascii="宋体" w:hAnsi="宋体" w:eastAsia="宋体" w:cs="宋体"/>
                <w:i w:val="0"/>
                <w:iCs w:val="0"/>
                <w:color w:val="auto"/>
                <w:kern w:val="0"/>
                <w:sz w:val="21"/>
                <w:szCs w:val="21"/>
                <w:u w:val="none"/>
                <w:lang w:val="en-US" w:eastAsia="zh-CN" w:bidi="ar"/>
              </w:rPr>
              <w:t>安装、测试、调试</w:t>
            </w:r>
            <w:r>
              <w:rPr>
                <w:rFonts w:hint="eastAsia" w:ascii="宋体" w:hAnsi="宋体" w:cs="宋体"/>
                <w:i w:val="0"/>
                <w:iCs w:val="0"/>
                <w:color w:val="auto"/>
                <w:kern w:val="0"/>
                <w:sz w:val="21"/>
                <w:szCs w:val="21"/>
                <w:u w:val="none"/>
                <w:lang w:val="en-US" w:eastAsia="zh-CN" w:bidi="ar"/>
              </w:rPr>
              <w:t>、接地、围栏、标志牌</w:t>
            </w:r>
            <w:r>
              <w:rPr>
                <w:rFonts w:hint="eastAsia" w:ascii="宋体" w:hAnsi="宋体" w:eastAsia="宋体" w:cs="宋体"/>
                <w:i w:val="0"/>
                <w:iCs w:val="0"/>
                <w:color w:val="auto"/>
                <w:kern w:val="0"/>
                <w:sz w:val="21"/>
                <w:szCs w:val="21"/>
                <w:u w:val="none"/>
                <w:lang w:val="en-US" w:eastAsia="zh-CN" w:bidi="ar"/>
              </w:rPr>
              <w:t xml:space="preserve">等                                                    2、包括但不限于以上工作内容（含安装、测试、调试等），以完成设计图纸内容以及甲方相应需求，具体位置做法详见图纸                                     </w:t>
            </w:r>
          </w:p>
        </w:tc>
        <w:tc>
          <w:tcPr>
            <w:tcW w:w="718" w:type="dxa"/>
            <w:vAlign w:val="center"/>
          </w:tcPr>
          <w:p w14:paraId="62D527D4">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857" w:type="dxa"/>
            <w:vAlign w:val="center"/>
          </w:tcPr>
          <w:p w14:paraId="619323D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14:paraId="2C69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C147E11">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5</w:t>
            </w:r>
          </w:p>
        </w:tc>
        <w:tc>
          <w:tcPr>
            <w:tcW w:w="2819" w:type="dxa"/>
            <w:vAlign w:val="center"/>
          </w:tcPr>
          <w:p w14:paraId="518ED251">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电力电缆</w:t>
            </w:r>
          </w:p>
        </w:tc>
        <w:tc>
          <w:tcPr>
            <w:tcW w:w="4866" w:type="dxa"/>
            <w:vAlign w:val="center"/>
          </w:tcPr>
          <w:p w14:paraId="241F17D8">
            <w:pPr>
              <w:keepNext w:val="0"/>
              <w:keepLines w:val="0"/>
              <w:widowControl/>
              <w:numPr>
                <w:ilvl w:val="0"/>
                <w:numId w:val="9"/>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10kV电力电缆,ZC-YJV22-8.7/15-3*70排管内铜芯电力电缆敷设 电缆、测试、调试等                         </w:t>
            </w:r>
          </w:p>
          <w:p w14:paraId="32F0456D">
            <w:pPr>
              <w:keepNext w:val="0"/>
              <w:keepLines w:val="0"/>
              <w:widowControl/>
              <w:numPr>
                <w:ilvl w:val="0"/>
                <w:numId w:val="0"/>
              </w:numPr>
              <w:suppressLineNumbers w:val="0"/>
              <w:spacing w:line="360" w:lineRule="auto"/>
              <w:jc w:val="left"/>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2、电力电缆终端头、电缆终端、电缆接线端子</w:t>
            </w:r>
            <w:r>
              <w:rPr>
                <w:rFonts w:hint="eastAsia" w:ascii="宋体" w:hAnsi="宋体" w:cs="宋体"/>
                <w:i w:val="0"/>
                <w:iCs w:val="0"/>
                <w:color w:val="auto"/>
                <w:kern w:val="0"/>
                <w:sz w:val="21"/>
                <w:szCs w:val="21"/>
                <w:u w:val="none"/>
                <w:lang w:val="en-US" w:eastAsia="zh-CN" w:bidi="ar"/>
              </w:rPr>
              <w:t>、防火泥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3、包括但不限于以上工作内容，以完成设计图纸内容以及甲方相应需求，位置详见图纸</w:t>
            </w:r>
          </w:p>
        </w:tc>
        <w:tc>
          <w:tcPr>
            <w:tcW w:w="718" w:type="dxa"/>
            <w:vAlign w:val="center"/>
          </w:tcPr>
          <w:p w14:paraId="7081760C">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m</w:t>
            </w:r>
          </w:p>
        </w:tc>
        <w:tc>
          <w:tcPr>
            <w:tcW w:w="857" w:type="dxa"/>
            <w:vAlign w:val="center"/>
          </w:tcPr>
          <w:p w14:paraId="2239A6C7">
            <w:pPr>
              <w:keepNext w:val="0"/>
              <w:keepLines w:val="0"/>
              <w:widowControl/>
              <w:suppressLineNumbers w:val="0"/>
              <w:spacing w:line="360" w:lineRule="auto"/>
              <w:jc w:val="center"/>
              <w:textAlignment w:val="center"/>
              <w:rPr>
                <w:rStyle w:val="56"/>
                <w:rFonts w:hint="eastAsia" w:ascii="宋体" w:hAnsi="宋体" w:eastAsia="宋体" w:cs="宋体"/>
                <w:b/>
                <w:color w:val="auto"/>
                <w:sz w:val="21"/>
                <w:szCs w:val="21"/>
                <w:vertAlign w:val="baseline"/>
              </w:rPr>
            </w:pPr>
            <w:r>
              <w:rPr>
                <w:rFonts w:hint="eastAsia" w:ascii="宋体" w:hAnsi="宋体" w:cs="宋体"/>
                <w:i w:val="0"/>
                <w:iCs w:val="0"/>
                <w:color w:val="auto"/>
                <w:kern w:val="0"/>
                <w:sz w:val="21"/>
                <w:szCs w:val="21"/>
                <w:u w:val="none"/>
                <w:lang w:val="en-US" w:eastAsia="zh-CN" w:bidi="ar"/>
              </w:rPr>
              <w:t>65</w:t>
            </w:r>
            <w:r>
              <w:rPr>
                <w:rFonts w:hint="eastAsia" w:ascii="宋体" w:hAnsi="宋体" w:eastAsia="宋体" w:cs="宋体"/>
                <w:i w:val="0"/>
                <w:iCs w:val="0"/>
                <w:color w:val="auto"/>
                <w:kern w:val="0"/>
                <w:sz w:val="21"/>
                <w:szCs w:val="21"/>
                <w:u w:val="none"/>
                <w:lang w:val="en-US" w:eastAsia="zh-CN" w:bidi="ar"/>
              </w:rPr>
              <w:t xml:space="preserve"> </w:t>
            </w:r>
          </w:p>
        </w:tc>
      </w:tr>
    </w:tbl>
    <w:p w14:paraId="5B96CB94">
      <w:pPr>
        <w:pStyle w:val="40"/>
        <w:rPr>
          <w:rFonts w:hint="eastAsia"/>
          <w:lang w:val="en-US" w:eastAsia="zh-CN"/>
        </w:rPr>
      </w:pPr>
    </w:p>
    <w:p w14:paraId="0E572FD7">
      <w:pPr>
        <w:rPr>
          <w:rFonts w:hint="eastAsia" w:ascii="微软雅黑" w:hAnsi="微软雅黑" w:eastAsia="微软雅黑"/>
          <w:b/>
          <w:szCs w:val="21"/>
        </w:rPr>
      </w:pPr>
      <w:r>
        <w:rPr>
          <w:rFonts w:hint="eastAsia" w:ascii="微软雅黑" w:hAnsi="微软雅黑" w:eastAsia="微软雅黑"/>
          <w:b/>
          <w:szCs w:val="21"/>
        </w:rPr>
        <w:t>2、遵循的技术规范与规定</w:t>
      </w:r>
      <w:bookmarkEnd w:id="14"/>
      <w:bookmarkEnd w:id="15"/>
    </w:p>
    <w:p w14:paraId="3BA3F854">
      <w:pPr>
        <w:pStyle w:val="40"/>
        <w:ind w:firstLine="480" w:firstLineChars="200"/>
        <w:rPr>
          <w:rFonts w:hint="eastAsia" w:eastAsia="微软雅黑"/>
          <w:lang w:eastAsia="zh-CN"/>
        </w:rPr>
      </w:pPr>
    </w:p>
    <w:p w14:paraId="103E74FD">
      <w:pPr>
        <w:pStyle w:val="5"/>
        <w:numPr>
          <w:ilvl w:val="1"/>
          <w:numId w:val="0"/>
        </w:numPr>
        <w:spacing w:line="400" w:lineRule="exact"/>
        <w:ind w:firstLine="647" w:firstLineChars="202"/>
        <w:rPr>
          <w:rFonts w:ascii="微软雅黑" w:hAnsi="微软雅黑" w:eastAsia="微软雅黑"/>
          <w:color w:val="auto"/>
          <w:szCs w:val="21"/>
        </w:rPr>
      </w:pPr>
      <w:bookmarkStart w:id="16" w:name="_Toc423875583"/>
      <w:bookmarkStart w:id="17" w:name="_Toc404764002"/>
      <w:r>
        <w:rPr>
          <w:rFonts w:hint="eastAsia" w:ascii="微软雅黑" w:hAnsi="微软雅黑" w:eastAsia="微软雅黑"/>
          <w:color w:val="auto"/>
          <w:szCs w:val="21"/>
        </w:rPr>
        <w:t>三、建设周期要求</w:t>
      </w:r>
      <w:bookmarkEnd w:id="16"/>
      <w:bookmarkEnd w:id="17"/>
    </w:p>
    <w:p w14:paraId="39625748">
      <w:pPr>
        <w:spacing w:line="400" w:lineRule="exact"/>
        <w:ind w:firstLine="420" w:firstLineChars="200"/>
        <w:rPr>
          <w:rFonts w:hint="default" w:ascii="微软雅黑" w:hAnsi="微软雅黑" w:eastAsia="微软雅黑" w:cs="宋体"/>
          <w:kern w:val="0"/>
          <w:szCs w:val="21"/>
          <w:lang w:val="en-US" w:eastAsia="zh-CN"/>
        </w:rPr>
      </w:pPr>
      <w:r>
        <w:rPr>
          <w:rFonts w:hint="eastAsia" w:ascii="微软雅黑" w:hAnsi="微软雅黑" w:eastAsia="微软雅黑" w:cs="宋体"/>
          <w:color w:val="FF0000"/>
          <w:kern w:val="0"/>
          <w:szCs w:val="21"/>
          <w:lang w:eastAsia="zh-CN"/>
        </w:rPr>
        <w:t>服务期：</w:t>
      </w:r>
      <w:r>
        <w:rPr>
          <w:rFonts w:hint="eastAsia" w:ascii="微软雅黑" w:hAnsi="微软雅黑" w:eastAsia="微软雅黑" w:cs="宋体"/>
          <w:color w:val="FF0000"/>
          <w:kern w:val="0"/>
          <w:szCs w:val="21"/>
          <w:lang w:val="en-US" w:eastAsia="zh-CN"/>
        </w:rPr>
        <w:t>35天完成所有供货及安装。</w:t>
      </w:r>
    </w:p>
    <w:p w14:paraId="04C6C1EA">
      <w:pPr>
        <w:pStyle w:val="5"/>
        <w:numPr>
          <w:ilvl w:val="1"/>
          <w:numId w:val="0"/>
        </w:numPr>
        <w:spacing w:line="400" w:lineRule="exact"/>
        <w:ind w:firstLine="640" w:firstLineChars="200"/>
        <w:rPr>
          <w:rFonts w:hint="eastAsia" w:ascii="微软雅黑" w:hAnsi="微软雅黑" w:eastAsia="微软雅黑"/>
          <w:color w:val="auto"/>
          <w:szCs w:val="21"/>
        </w:rPr>
      </w:pPr>
      <w:bookmarkStart w:id="18" w:name="_Toc423875584"/>
      <w:r>
        <w:rPr>
          <w:rFonts w:hint="eastAsia" w:ascii="微软雅黑" w:hAnsi="微软雅黑" w:eastAsia="微软雅黑"/>
          <w:color w:val="auto"/>
          <w:szCs w:val="21"/>
        </w:rPr>
        <w:t>四、供货、安装、调试与验收</w:t>
      </w:r>
      <w:bookmarkEnd w:id="18"/>
    </w:p>
    <w:p w14:paraId="7BC9A134">
      <w:pPr>
        <w:pStyle w:val="144"/>
        <w:widowControl w:val="0"/>
        <w:spacing w:before="156" w:beforeLines="50" w:after="120" w:afterLines="0" w:line="400" w:lineRule="exact"/>
        <w:ind w:firstLine="0" w:firstLineChars="0"/>
        <w:rPr>
          <w:rFonts w:hint="eastAsia" w:ascii="微软雅黑" w:hAnsi="微软雅黑" w:eastAsia="微软雅黑"/>
          <w:b/>
          <w:kern w:val="2"/>
          <w:sz w:val="21"/>
          <w:szCs w:val="21"/>
        </w:rPr>
      </w:pPr>
      <w:r>
        <w:rPr>
          <w:rFonts w:hint="eastAsia" w:ascii="微软雅黑" w:hAnsi="微软雅黑" w:eastAsia="微软雅黑"/>
          <w:b/>
          <w:kern w:val="2"/>
          <w:sz w:val="21"/>
          <w:szCs w:val="21"/>
        </w:rPr>
        <w:t>（一）供货</w:t>
      </w:r>
    </w:p>
    <w:p w14:paraId="7794CF41">
      <w:pPr>
        <w:tabs>
          <w:tab w:val="left" w:pos="525"/>
        </w:tabs>
        <w:spacing w:line="400" w:lineRule="exact"/>
        <w:ind w:left="-178" w:leftChars="-85" w:firstLine="411" w:firstLineChars="196"/>
        <w:rPr>
          <w:rFonts w:hint="eastAsia" w:ascii="微软雅黑" w:hAnsi="微软雅黑" w:eastAsia="微软雅黑"/>
          <w:szCs w:val="21"/>
        </w:rPr>
      </w:pPr>
      <w:r>
        <w:rPr>
          <w:rFonts w:hint="eastAsia" w:ascii="微软雅黑" w:hAnsi="微软雅黑" w:eastAsia="微软雅黑"/>
          <w:szCs w:val="21"/>
        </w:rPr>
        <w:t>1、投标人提供的货物制造标准、技术规范等必须符合相应的国家标准、行业标准及规范要求。</w:t>
      </w:r>
    </w:p>
    <w:p w14:paraId="2828BE3D">
      <w:pPr>
        <w:tabs>
          <w:tab w:val="left" w:pos="525"/>
        </w:tabs>
        <w:spacing w:line="400" w:lineRule="exact"/>
        <w:ind w:left="-178" w:leftChars="-85" w:firstLine="411" w:firstLineChars="196"/>
        <w:rPr>
          <w:rFonts w:hint="eastAsia" w:ascii="微软雅黑" w:hAnsi="微软雅黑" w:eastAsia="微软雅黑"/>
          <w:szCs w:val="21"/>
        </w:rPr>
      </w:pPr>
      <w:r>
        <w:rPr>
          <w:rFonts w:hint="eastAsia" w:ascii="微软雅黑" w:hAnsi="微软雅黑" w:eastAsia="微软雅黑"/>
          <w:szCs w:val="21"/>
        </w:rPr>
        <w:t>2、本次采购的货物须为全新的，达到国家规范及标准要求的设备，投标人所提供的货物应符合招标文件的技术要求。</w:t>
      </w:r>
    </w:p>
    <w:p w14:paraId="77872635">
      <w:pPr>
        <w:tabs>
          <w:tab w:val="left" w:pos="525"/>
        </w:tabs>
        <w:spacing w:line="400" w:lineRule="exact"/>
        <w:ind w:left="-178" w:leftChars="-85" w:firstLine="411" w:firstLineChars="196"/>
        <w:rPr>
          <w:rFonts w:hint="eastAsia" w:ascii="微软雅黑" w:hAnsi="微软雅黑" w:eastAsia="微软雅黑"/>
          <w:szCs w:val="21"/>
        </w:rPr>
      </w:pPr>
      <w:r>
        <w:rPr>
          <w:rFonts w:hint="eastAsia" w:ascii="微软雅黑" w:hAnsi="微软雅黑" w:eastAsia="微软雅黑"/>
          <w:szCs w:val="21"/>
        </w:rPr>
        <w:t>3、投标人在报价时所提供货物的性能不得低于招标文件中的技术规格和要求，对于</w:t>
      </w:r>
      <w:r>
        <w:rPr>
          <w:rFonts w:hint="eastAsia" w:ascii="微软雅黑" w:hAnsi="微软雅黑" w:eastAsia="微软雅黑" w:cs="Arial"/>
          <w:bCs/>
          <w:szCs w:val="21"/>
        </w:rPr>
        <w:t>同功能若干台设备要求采用相同品牌型号；对于未要求进口品牌的通用设备要求选择国内常用、知名产品。</w:t>
      </w:r>
    </w:p>
    <w:p w14:paraId="36DAC7BB">
      <w:pPr>
        <w:tabs>
          <w:tab w:val="left" w:pos="525"/>
        </w:tabs>
        <w:spacing w:line="400" w:lineRule="exact"/>
        <w:ind w:left="-178" w:leftChars="-85" w:firstLine="411" w:firstLineChars="196"/>
        <w:rPr>
          <w:rFonts w:hint="eastAsia" w:ascii="微软雅黑" w:hAnsi="微软雅黑" w:eastAsia="微软雅黑"/>
          <w:szCs w:val="21"/>
        </w:rPr>
      </w:pPr>
      <w:r>
        <w:rPr>
          <w:rFonts w:hint="eastAsia" w:ascii="微软雅黑" w:hAnsi="微软雅黑" w:eastAsia="微软雅黑"/>
          <w:szCs w:val="21"/>
        </w:rPr>
        <w:t>4、中标人应保证所提供的货物是全新的、未使用过的原装品牌设备，采用的是最佳材料和第一流的工艺，并在各个方面符合招标文件的质量、规格和性能要求。保证货物经过正确安装、合理操作和维护保养，在货物寿命期内运转良好。</w:t>
      </w:r>
    </w:p>
    <w:p w14:paraId="18AEA1A8">
      <w:pPr>
        <w:tabs>
          <w:tab w:val="left" w:pos="525"/>
        </w:tabs>
        <w:spacing w:line="400" w:lineRule="exact"/>
        <w:ind w:left="-178" w:leftChars="-85" w:firstLine="411" w:firstLineChars="196"/>
        <w:rPr>
          <w:rFonts w:hint="eastAsia" w:ascii="微软雅黑" w:hAnsi="微软雅黑" w:eastAsia="微软雅黑"/>
          <w:szCs w:val="21"/>
        </w:rPr>
      </w:pPr>
      <w:r>
        <w:rPr>
          <w:rFonts w:hint="eastAsia" w:ascii="微软雅黑" w:hAnsi="微软雅黑" w:eastAsia="微软雅黑"/>
          <w:kern w:val="0"/>
          <w:szCs w:val="21"/>
        </w:rPr>
        <w:t>5、设备、材料到货时候必须提供出厂合格证、生产许可证、防爆合格证、产品鉴定证书及生产地特检院的材质检测合格证明及其他证明文件。设备须出具权威机构材质检测证明及出厂合格证明。设备及工艺管线进场施工前需按照当地质监部门要求进行备案，并在施工结束后出具备案证明。</w:t>
      </w:r>
    </w:p>
    <w:p w14:paraId="3FF85306">
      <w:pPr>
        <w:tabs>
          <w:tab w:val="left" w:pos="525"/>
        </w:tabs>
        <w:spacing w:line="400" w:lineRule="exact"/>
        <w:ind w:left="-178" w:leftChars="-85" w:firstLine="411" w:firstLineChars="196"/>
        <w:rPr>
          <w:rFonts w:hint="eastAsia" w:ascii="微软雅黑" w:hAnsi="微软雅黑" w:eastAsia="微软雅黑"/>
          <w:kern w:val="0"/>
          <w:szCs w:val="21"/>
        </w:rPr>
      </w:pPr>
      <w:r>
        <w:rPr>
          <w:rFonts w:hint="eastAsia" w:ascii="微软雅黑" w:hAnsi="微软雅黑" w:eastAsia="微软雅黑"/>
          <w:kern w:val="0"/>
          <w:szCs w:val="21"/>
        </w:rPr>
        <w:t>6、投标人所提供的产品必须具有好的可操作性、维修性及良好的安全性能，不污染环境及危害人身健康。</w:t>
      </w:r>
    </w:p>
    <w:p w14:paraId="6D7D871C">
      <w:pPr>
        <w:pStyle w:val="144"/>
        <w:widowControl w:val="0"/>
        <w:spacing w:before="156" w:beforeLines="50" w:after="120" w:afterLines="0" w:line="400" w:lineRule="exact"/>
        <w:ind w:firstLine="0" w:firstLineChars="0"/>
        <w:rPr>
          <w:rFonts w:hint="eastAsia" w:ascii="微软雅黑" w:hAnsi="微软雅黑" w:eastAsia="微软雅黑"/>
          <w:b/>
          <w:kern w:val="2"/>
          <w:sz w:val="21"/>
          <w:szCs w:val="21"/>
        </w:rPr>
      </w:pPr>
      <w:r>
        <w:rPr>
          <w:rFonts w:hint="eastAsia" w:ascii="微软雅黑" w:hAnsi="微软雅黑" w:eastAsia="微软雅黑"/>
          <w:sz w:val="21"/>
          <w:szCs w:val="21"/>
        </w:rPr>
        <w:t xml:space="preserve"> </w:t>
      </w:r>
      <w:r>
        <w:rPr>
          <w:rFonts w:hint="eastAsia" w:ascii="微软雅黑" w:hAnsi="微软雅黑" w:eastAsia="微软雅黑"/>
          <w:b/>
          <w:kern w:val="2"/>
          <w:sz w:val="21"/>
          <w:szCs w:val="21"/>
        </w:rPr>
        <w:t>（二）安装、调试</w:t>
      </w:r>
    </w:p>
    <w:p w14:paraId="6D2CF8AD">
      <w:pPr>
        <w:spacing w:line="400" w:lineRule="exact"/>
        <w:ind w:firstLine="420" w:firstLineChars="200"/>
        <w:rPr>
          <w:rFonts w:ascii="微软雅黑" w:hAnsi="微软雅黑" w:eastAsia="微软雅黑"/>
          <w:szCs w:val="21"/>
        </w:rPr>
      </w:pPr>
      <w:r>
        <w:rPr>
          <w:rFonts w:hint="eastAsia" w:ascii="微软雅黑" w:hAnsi="微软雅黑" w:eastAsia="微软雅黑"/>
          <w:bCs/>
          <w:szCs w:val="21"/>
        </w:rPr>
        <w:t>1、</w:t>
      </w:r>
      <w:r>
        <w:rPr>
          <w:rFonts w:hint="eastAsia" w:ascii="微软雅黑" w:hAnsi="微软雅黑" w:eastAsia="微软雅黑"/>
          <w:szCs w:val="21"/>
        </w:rPr>
        <w:t xml:space="preserve"> 投标人有责任检查安装现场是否符合产品安装条件，事先提出对安装环境的要求。</w:t>
      </w:r>
    </w:p>
    <w:p w14:paraId="26F0564E">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2、投标人应派采购人认可的有经验和能力、具有相应资质的技术人员，负责系统调试工作，在设备调试中出现的技术问题。</w:t>
      </w:r>
    </w:p>
    <w:p w14:paraId="06192A29">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3、中标人在规定的时间内将所供设备材料运至使用方所在地并负责施工、安装，配合完成系统集成，通过项目的最终验收。现场设备安装和系统集成时，要求由原厂商资深技术工程师负责配合实施系统集成的主要内容。</w:t>
      </w:r>
    </w:p>
    <w:p w14:paraId="1990E51B">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4、投标人应完成供货、安装，并协助用户完成应用系统的切换直到正常、稳定运行。包括：协助用户完成设备安装环境准备验收，负责用户培训，设备系统的初期维护等，完成验收前期的各项准备工作等。</w:t>
      </w:r>
    </w:p>
    <w:p w14:paraId="6248983E">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5、投标人将投标产品与</w:t>
      </w:r>
      <w:r>
        <w:rPr>
          <w:rFonts w:hint="eastAsia" w:ascii="微软雅黑" w:hAnsi="微软雅黑" w:eastAsia="微软雅黑" w:cs="微软雅黑"/>
          <w:kern w:val="0"/>
          <w:szCs w:val="21"/>
          <w:lang w:bidi="ar"/>
        </w:rPr>
        <w:t>加油站管理系统</w:t>
      </w:r>
      <w:r>
        <w:rPr>
          <w:rFonts w:hint="eastAsia" w:ascii="微软雅黑" w:hAnsi="微软雅黑" w:eastAsia="微软雅黑"/>
          <w:bCs/>
          <w:szCs w:val="21"/>
        </w:rPr>
        <w:t>进行集成，所有设备和系统能够连通并正常运转，所有软件能够在中石化管理平台上正常运行，同时达到招标需求的性能和投标产品技术规格中的性能。设备安装、调试所需的工具、仪器及安装材料由投标人负责。</w:t>
      </w:r>
    </w:p>
    <w:p w14:paraId="04D4AA34">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6、在所供货物交付使用时，投标人必须向使用方提供产品说明书、保修卡、使用手册等必须具备的相关资料和必备的附件。</w:t>
      </w:r>
    </w:p>
    <w:p w14:paraId="5E4D4C44">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7、调试所需专用工具设施物料由投标人自备、自费运到现场，完工后自费搬走。</w:t>
      </w:r>
    </w:p>
    <w:p w14:paraId="6C643FBE">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bCs/>
          <w:szCs w:val="21"/>
        </w:rPr>
        <w:t>8、系统试运行期间，投标人应派工程师工作时间进驻项目现场，并负责提供系统维护调试及试运行过程中出现的一切问题的技术支持。</w:t>
      </w:r>
    </w:p>
    <w:p w14:paraId="090078E6">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9、安装调试需经质量技术监督部门或其他管理部门备案或许可的，必须由中标人自行负责，所有费用由中标人承担。</w:t>
      </w:r>
    </w:p>
    <w:p w14:paraId="176D4ED3">
      <w:pPr>
        <w:spacing w:line="400" w:lineRule="exact"/>
        <w:ind w:firstLine="420" w:firstLineChars="200"/>
        <w:rPr>
          <w:rFonts w:hint="eastAsia" w:ascii="微软雅黑" w:hAnsi="微软雅黑" w:eastAsia="微软雅黑"/>
          <w:bCs/>
          <w:szCs w:val="21"/>
        </w:rPr>
      </w:pPr>
      <w:r>
        <w:rPr>
          <w:rFonts w:hint="eastAsia" w:ascii="微软雅黑" w:hAnsi="微软雅黑" w:eastAsia="微软雅黑"/>
          <w:szCs w:val="21"/>
        </w:rPr>
        <w:t>开业经营所需的手续由中标人配合采购人办理。</w:t>
      </w:r>
    </w:p>
    <w:p w14:paraId="7EDEFC67">
      <w:pPr>
        <w:pStyle w:val="144"/>
        <w:widowControl w:val="0"/>
        <w:spacing w:before="156" w:beforeLines="50" w:after="120" w:afterLines="0" w:line="400" w:lineRule="exact"/>
        <w:ind w:firstLine="0" w:firstLineChars="0"/>
        <w:rPr>
          <w:rFonts w:hint="eastAsia" w:ascii="微软雅黑" w:hAnsi="微软雅黑" w:eastAsia="微软雅黑"/>
          <w:b/>
          <w:kern w:val="2"/>
          <w:sz w:val="21"/>
          <w:szCs w:val="21"/>
        </w:rPr>
      </w:pPr>
      <w:r>
        <w:rPr>
          <w:rFonts w:hint="eastAsia" w:ascii="微软雅黑" w:hAnsi="微软雅黑" w:eastAsia="微软雅黑"/>
          <w:b/>
          <w:kern w:val="2"/>
          <w:sz w:val="21"/>
          <w:szCs w:val="21"/>
        </w:rPr>
        <w:t>（三）验收</w:t>
      </w:r>
    </w:p>
    <w:p w14:paraId="638C7F9B">
      <w:pPr>
        <w:spacing w:line="400" w:lineRule="exact"/>
        <w:ind w:firstLine="472" w:firstLineChars="225"/>
        <w:rPr>
          <w:rFonts w:hint="eastAsia" w:ascii="微软雅黑" w:hAnsi="微软雅黑" w:eastAsia="微软雅黑"/>
          <w:bCs/>
          <w:szCs w:val="21"/>
        </w:rPr>
      </w:pPr>
      <w:r>
        <w:rPr>
          <w:rFonts w:hint="eastAsia" w:ascii="微软雅黑" w:hAnsi="微软雅黑" w:eastAsia="微软雅黑"/>
          <w:bCs/>
          <w:szCs w:val="21"/>
        </w:rPr>
        <w:t>1、验收分到货清点验收、竣工验收两个阶段。投标人将所供设备运至交货地点，在使用方人员在场时拆箱，由使用方当场清点进行初步验收。安装调试完毕并试运行正常后，配合完成加油站项目整体竣工验收。</w:t>
      </w:r>
    </w:p>
    <w:p w14:paraId="6A843ED2">
      <w:pPr>
        <w:spacing w:line="400" w:lineRule="exact"/>
        <w:ind w:firstLine="561"/>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加油站项目整体</w:t>
      </w:r>
      <w:r>
        <w:rPr>
          <w:rFonts w:ascii="微软雅黑" w:hAnsi="微软雅黑" w:eastAsia="微软雅黑"/>
          <w:szCs w:val="21"/>
        </w:rPr>
        <w:t>验收合格的条件必须至少满足以下要求：</w:t>
      </w:r>
      <w:r>
        <w:rPr>
          <w:rFonts w:hint="eastAsia" w:ascii="微软雅黑" w:hAnsi="微软雅黑" w:eastAsia="微软雅黑"/>
          <w:szCs w:val="21"/>
        </w:rPr>
        <w:t>通过各管理部门的验收或检测合格；</w:t>
      </w:r>
      <w:r>
        <w:rPr>
          <w:rFonts w:ascii="微软雅黑" w:hAnsi="微软雅黑" w:eastAsia="微软雅黑"/>
          <w:szCs w:val="21"/>
        </w:rPr>
        <w:t>试运行</w:t>
      </w:r>
      <w:r>
        <w:rPr>
          <w:rFonts w:hint="eastAsia" w:ascii="微软雅黑" w:hAnsi="微软雅黑" w:eastAsia="微软雅黑"/>
          <w:szCs w:val="21"/>
        </w:rPr>
        <w:t>（时间不少于3个月）</w:t>
      </w:r>
      <w:r>
        <w:rPr>
          <w:rFonts w:ascii="微软雅黑" w:hAnsi="微软雅黑" w:eastAsia="微软雅黑"/>
          <w:szCs w:val="21"/>
        </w:rPr>
        <w:t>时性能满足</w:t>
      </w:r>
      <w:r>
        <w:rPr>
          <w:rFonts w:hint="eastAsia" w:ascii="微软雅黑" w:hAnsi="微软雅黑" w:eastAsia="微软雅黑"/>
          <w:szCs w:val="21"/>
        </w:rPr>
        <w:t>招标</w:t>
      </w:r>
      <w:r>
        <w:rPr>
          <w:rFonts w:ascii="微软雅黑" w:hAnsi="微软雅黑" w:eastAsia="微软雅黑"/>
          <w:szCs w:val="21"/>
        </w:rPr>
        <w:t>要求；性能测试和试运行验收时出现的问题已被解决；已提供了全部货物和资料</w:t>
      </w:r>
      <w:r>
        <w:rPr>
          <w:rFonts w:hint="eastAsia" w:ascii="微软雅黑" w:hAnsi="微软雅黑" w:eastAsia="微软雅黑"/>
          <w:szCs w:val="21"/>
        </w:rPr>
        <w:t>；已通过相关部门验收合格，并取得各项合格证书和许可证书</w:t>
      </w:r>
      <w:r>
        <w:rPr>
          <w:rFonts w:ascii="微软雅黑" w:hAnsi="微软雅黑" w:eastAsia="微软雅黑"/>
          <w:szCs w:val="21"/>
        </w:rPr>
        <w:t>。</w:t>
      </w:r>
    </w:p>
    <w:p w14:paraId="5B6AD9AE">
      <w:pPr>
        <w:spacing w:line="400" w:lineRule="exact"/>
        <w:ind w:firstLine="561"/>
        <w:rPr>
          <w:rFonts w:hint="eastAsia" w:ascii="微软雅黑" w:hAnsi="微软雅黑" w:eastAsia="微软雅黑"/>
          <w:szCs w:val="21"/>
        </w:rPr>
      </w:pPr>
      <w:r>
        <w:rPr>
          <w:rFonts w:hint="eastAsia" w:ascii="微软雅黑" w:hAnsi="微软雅黑" w:eastAsia="微软雅黑"/>
          <w:szCs w:val="21"/>
        </w:rPr>
        <w:t>▲3、中标人必须配合采购人通过各相关管理部门的验收，取得各项合格证书和许可证书，直至项目整体能安全合格投入使用为止。</w:t>
      </w:r>
    </w:p>
    <w:p w14:paraId="2F953917">
      <w:pPr>
        <w:pStyle w:val="5"/>
        <w:numPr>
          <w:ilvl w:val="1"/>
          <w:numId w:val="0"/>
        </w:numPr>
        <w:spacing w:line="400" w:lineRule="exact"/>
        <w:ind w:firstLine="647" w:firstLineChars="202"/>
        <w:rPr>
          <w:rFonts w:hint="eastAsia" w:ascii="微软雅黑" w:hAnsi="微软雅黑" w:eastAsia="微软雅黑"/>
          <w:color w:val="auto"/>
          <w:szCs w:val="21"/>
        </w:rPr>
      </w:pPr>
      <w:bookmarkStart w:id="19" w:name="_Toc423875585"/>
      <w:bookmarkStart w:id="20" w:name="_Toc404764003"/>
      <w:r>
        <w:rPr>
          <w:rFonts w:hint="eastAsia" w:ascii="微软雅黑" w:hAnsi="微软雅黑" w:eastAsia="微软雅黑"/>
          <w:color w:val="auto"/>
          <w:szCs w:val="21"/>
        </w:rPr>
        <w:t>五、商务要求表</w:t>
      </w:r>
      <w:bookmarkEnd w:id="19"/>
      <w:bookmarkEnd w:id="20"/>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7"/>
        <w:gridCol w:w="7925"/>
      </w:tblGrid>
      <w:tr w14:paraId="23AAE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2B84F015">
            <w:pPr>
              <w:spacing w:line="360" w:lineRule="exact"/>
              <w:jc w:val="center"/>
              <w:rPr>
                <w:rFonts w:ascii="微软雅黑" w:hAnsi="微软雅黑" w:eastAsia="微软雅黑"/>
                <w:szCs w:val="21"/>
              </w:rPr>
            </w:pPr>
            <w:r>
              <w:rPr>
                <w:rFonts w:hint="eastAsia" w:ascii="微软雅黑" w:hAnsi="微软雅黑" w:eastAsia="微软雅黑"/>
                <w:szCs w:val="21"/>
              </w:rPr>
              <w:t>▲质保期</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0212CEFA">
            <w:pPr>
              <w:spacing w:line="360" w:lineRule="exact"/>
              <w:ind w:right="-102"/>
              <w:rPr>
                <w:rFonts w:hint="eastAsia" w:ascii="微软雅黑" w:hAnsi="微软雅黑" w:eastAsia="微软雅黑"/>
                <w:szCs w:val="21"/>
              </w:rPr>
            </w:pPr>
            <w:r>
              <w:rPr>
                <w:rFonts w:hint="eastAsia" w:ascii="微软雅黑" w:hAnsi="微软雅黑" w:eastAsia="微软雅黑"/>
                <w:szCs w:val="21"/>
              </w:rPr>
              <w:t>质保期2年，自项目整体竣工验收合格之日起计。</w:t>
            </w:r>
          </w:p>
          <w:p w14:paraId="760FB56A">
            <w:pPr>
              <w:spacing w:line="360" w:lineRule="exact"/>
              <w:ind w:right="-102"/>
              <w:rPr>
                <w:rFonts w:hint="eastAsia" w:ascii="微软雅黑" w:hAnsi="微软雅黑" w:eastAsia="微软雅黑"/>
                <w:szCs w:val="21"/>
              </w:rPr>
            </w:pPr>
            <w:r>
              <w:rPr>
                <w:rFonts w:hint="eastAsia" w:ascii="微软雅黑" w:hAnsi="微软雅黑" w:eastAsia="微软雅黑"/>
                <w:szCs w:val="21"/>
              </w:rPr>
              <w:t>投标设备原厂商质保期大于2年的，按原厂商标准执行。</w:t>
            </w:r>
          </w:p>
        </w:tc>
      </w:tr>
      <w:tr w14:paraId="2361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2FC47E03">
            <w:pPr>
              <w:spacing w:line="360" w:lineRule="exact"/>
              <w:ind w:right="-102"/>
              <w:jc w:val="center"/>
              <w:rPr>
                <w:rFonts w:ascii="微软雅黑" w:hAnsi="微软雅黑" w:eastAsia="微软雅黑"/>
                <w:szCs w:val="21"/>
              </w:rPr>
            </w:pPr>
            <w:r>
              <w:rPr>
                <w:rFonts w:hint="eastAsia" w:ascii="微软雅黑" w:hAnsi="微软雅黑" w:eastAsia="微软雅黑"/>
                <w:szCs w:val="21"/>
              </w:rPr>
              <w:t>售后技术服务要求</w:t>
            </w:r>
          </w:p>
        </w:tc>
        <w:tc>
          <w:tcPr>
            <w:tcW w:w="7925" w:type="dxa"/>
            <w:tcBorders>
              <w:top w:val="single" w:color="auto" w:sz="4" w:space="0"/>
              <w:left w:val="single" w:color="auto" w:sz="4" w:space="0"/>
              <w:bottom w:val="single" w:color="auto" w:sz="4" w:space="0"/>
              <w:right w:val="single" w:color="auto" w:sz="4" w:space="0"/>
            </w:tcBorders>
            <w:noWrap w:val="0"/>
            <w:vAlign w:val="top"/>
          </w:tcPr>
          <w:p w14:paraId="1A5FA677">
            <w:pPr>
              <w:spacing w:line="360" w:lineRule="exact"/>
              <w:ind w:right="-102"/>
              <w:rPr>
                <w:rFonts w:hint="eastAsia" w:ascii="微软雅黑" w:hAnsi="微软雅黑" w:eastAsia="微软雅黑"/>
                <w:szCs w:val="21"/>
              </w:rPr>
            </w:pPr>
            <w:r>
              <w:rPr>
                <w:rFonts w:hint="eastAsia" w:ascii="微软雅黑" w:hAnsi="微软雅黑" w:eastAsia="微软雅黑"/>
                <w:szCs w:val="21"/>
              </w:rPr>
              <w:t>1、投标人必须为本项目内所供应和安装的产品提供现场售后维护服务、相关系统软件的免费软件升级服务以及提供备品备件服务，保修和售后维护服务时间从验收合格之日起计算。</w:t>
            </w:r>
          </w:p>
          <w:p w14:paraId="62E4B5A9">
            <w:pPr>
              <w:spacing w:line="360" w:lineRule="exact"/>
              <w:ind w:right="-102"/>
              <w:rPr>
                <w:rFonts w:hint="eastAsia" w:ascii="微软雅黑" w:hAnsi="微软雅黑" w:eastAsia="微软雅黑"/>
                <w:szCs w:val="21"/>
              </w:rPr>
            </w:pPr>
            <w:r>
              <w:rPr>
                <w:rFonts w:hint="eastAsia" w:ascii="微软雅黑" w:hAnsi="微软雅黑" w:eastAsia="微软雅黑"/>
                <w:szCs w:val="21"/>
              </w:rPr>
              <w:t xml:space="preserve">2、投标人需在投标书中明确承诺，由投标人配合各制造厂商提供所有相应的投标产品的维修与备品备件服务。 </w:t>
            </w:r>
          </w:p>
          <w:p w14:paraId="3DCC65A0">
            <w:pPr>
              <w:spacing w:line="360" w:lineRule="exact"/>
              <w:ind w:right="-102"/>
              <w:rPr>
                <w:rFonts w:hint="eastAsia" w:ascii="微软雅黑" w:hAnsi="微软雅黑" w:eastAsia="微软雅黑"/>
                <w:szCs w:val="21"/>
              </w:rPr>
            </w:pPr>
            <w:r>
              <w:rPr>
                <w:rFonts w:hint="eastAsia" w:ascii="微软雅黑" w:hAnsi="微软雅黑" w:eastAsia="微软雅黑"/>
                <w:szCs w:val="21"/>
              </w:rPr>
              <w:t xml:space="preserve">3、在保修期内由于设备本身质量原因造成的任何损伤或损坏，投标人须免费负责修理或更换。 </w:t>
            </w:r>
          </w:p>
          <w:p w14:paraId="6E60BB6B">
            <w:pPr>
              <w:spacing w:line="360" w:lineRule="exact"/>
              <w:ind w:right="-102"/>
              <w:rPr>
                <w:rFonts w:hint="eastAsia" w:ascii="微软雅黑" w:hAnsi="微软雅黑" w:eastAsia="微软雅黑"/>
                <w:szCs w:val="21"/>
              </w:rPr>
            </w:pPr>
            <w:r>
              <w:rPr>
                <w:rFonts w:hint="eastAsia" w:ascii="微软雅黑" w:hAnsi="微软雅黑" w:eastAsia="微软雅黑"/>
                <w:szCs w:val="21"/>
              </w:rPr>
              <w:t>4、投标人应具备备件供应能力，在硬件损坏时，备品、备件在12小时之内到达，更换设备的时间最长一般不超过一天，特殊情况不超过三天，并需要提供确保承诺实现的措施。</w:t>
            </w:r>
          </w:p>
          <w:p w14:paraId="4493FA47">
            <w:pPr>
              <w:spacing w:line="360" w:lineRule="exact"/>
              <w:ind w:right="-102"/>
              <w:rPr>
                <w:rFonts w:hint="eastAsia" w:ascii="微软雅黑" w:hAnsi="微软雅黑" w:eastAsia="微软雅黑"/>
                <w:szCs w:val="21"/>
              </w:rPr>
            </w:pPr>
            <w:r>
              <w:rPr>
                <w:rFonts w:hint="eastAsia" w:ascii="微软雅黑" w:hAnsi="微软雅黑" w:eastAsia="微软雅黑"/>
                <w:szCs w:val="21"/>
              </w:rPr>
              <w:t>5、在接到报修通知后，投标人应在30分钟内响应。对于影响系统正常运行的严重故障（包括由系统软硬件等原因引起的），投标人工程师及其它相关技术人员必须在2小时内赶到现场，查找原因，提出解决方案，并工作直至故障排除完全恢复正常服务为止，一般要求保证系统在4小时之内修复，并需要提供确保承诺实现的措施。</w:t>
            </w:r>
          </w:p>
          <w:p w14:paraId="30CED80A">
            <w:pPr>
              <w:spacing w:line="360" w:lineRule="exact"/>
              <w:ind w:right="-102"/>
              <w:rPr>
                <w:rFonts w:hint="eastAsia" w:ascii="微软雅黑" w:hAnsi="微软雅黑" w:eastAsia="微软雅黑"/>
                <w:szCs w:val="21"/>
              </w:rPr>
            </w:pPr>
            <w:r>
              <w:rPr>
                <w:rFonts w:hint="eastAsia" w:ascii="微软雅黑" w:hAnsi="微软雅黑" w:eastAsia="微软雅黑"/>
                <w:szCs w:val="21"/>
              </w:rPr>
              <w:t>6、在保修期结束前，须由投标人工程师和买方代表进行一次全面检查，任何缺陷必须由投标人负责修理，在修理之后，投标人应将缺陷原因、修理内容、完成修理及恢复正常的时间和日期等报告给买方。报告一式两份。</w:t>
            </w:r>
          </w:p>
          <w:p w14:paraId="12338600">
            <w:pPr>
              <w:spacing w:line="360" w:lineRule="exact"/>
              <w:ind w:right="-102"/>
              <w:rPr>
                <w:rFonts w:hint="eastAsia" w:ascii="微软雅黑" w:hAnsi="微软雅黑" w:eastAsia="微软雅黑"/>
                <w:szCs w:val="21"/>
              </w:rPr>
            </w:pPr>
            <w:r>
              <w:rPr>
                <w:rFonts w:hint="eastAsia" w:ascii="微软雅黑" w:hAnsi="微软雅黑" w:eastAsia="微软雅黑"/>
                <w:szCs w:val="21"/>
              </w:rPr>
              <w:t>7、投标设备从项目竣工验收合格之日起3个月内，出现非使用方人为因素造成的无法排除的故障，由投标人予以整机调换。</w:t>
            </w:r>
          </w:p>
          <w:p w14:paraId="5BD62D2E">
            <w:pPr>
              <w:spacing w:line="360" w:lineRule="exact"/>
              <w:ind w:right="-102"/>
              <w:rPr>
                <w:rFonts w:hint="eastAsia" w:ascii="微软雅黑" w:hAnsi="微软雅黑" w:eastAsia="微软雅黑"/>
                <w:szCs w:val="21"/>
              </w:rPr>
            </w:pPr>
            <w:r>
              <w:rPr>
                <w:rFonts w:hint="eastAsia" w:ascii="微软雅黑" w:hAnsi="微软雅黑" w:eastAsia="微软雅黑"/>
                <w:szCs w:val="21"/>
              </w:rPr>
              <w:t>8、培训要求：中标人提供现场技术培训，培训内容包括设备使用、管理和维护培训。中标人必须为所有被培训人员提供原厂商工程师现场培训，培训用文字资料必须是中文，所有的培训教员必须用中文授课。培训日期和人数在合同生效之后由双方协商安排。培训效果以采购人相关操作员及技术人员能熟练使用各软硬件功能为准。投标文件中提供培训方案。</w:t>
            </w:r>
          </w:p>
        </w:tc>
      </w:tr>
      <w:tr w14:paraId="487F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49912564">
            <w:pPr>
              <w:spacing w:line="360" w:lineRule="exact"/>
              <w:ind w:right="-102"/>
              <w:jc w:val="center"/>
              <w:rPr>
                <w:rFonts w:ascii="微软雅黑" w:hAnsi="微软雅黑" w:eastAsia="微软雅黑"/>
                <w:szCs w:val="21"/>
              </w:rPr>
            </w:pPr>
            <w:r>
              <w:rPr>
                <w:rFonts w:hint="eastAsia" w:ascii="微软雅黑" w:hAnsi="微软雅黑" w:eastAsia="微软雅黑"/>
                <w:szCs w:val="21"/>
              </w:rPr>
              <w:t>▲交货、施工时间及地点</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6576879E">
            <w:pPr>
              <w:spacing w:line="360" w:lineRule="exact"/>
              <w:rPr>
                <w:rFonts w:hint="eastAsia" w:ascii="微软雅黑" w:hAnsi="微软雅黑" w:eastAsia="微软雅黑"/>
                <w:szCs w:val="21"/>
              </w:rPr>
            </w:pPr>
            <w:r>
              <w:rPr>
                <w:rFonts w:hint="eastAsia" w:ascii="微软雅黑" w:hAnsi="微软雅黑" w:eastAsia="微软雅黑"/>
                <w:szCs w:val="21"/>
              </w:rPr>
              <w:t>时间：</w:t>
            </w:r>
            <w:r>
              <w:rPr>
                <w:rFonts w:hint="eastAsia" w:ascii="微软雅黑" w:hAnsi="微软雅黑" w:eastAsia="微软雅黑" w:cs="宋体"/>
                <w:kern w:val="0"/>
                <w:szCs w:val="21"/>
              </w:rPr>
              <w:t>配合采购人要求及整体项目其他施工单位的进度实行。</w:t>
            </w:r>
          </w:p>
          <w:p w14:paraId="7C00626C">
            <w:pPr>
              <w:spacing w:line="360" w:lineRule="exact"/>
              <w:rPr>
                <w:rFonts w:ascii="微软雅黑" w:hAnsi="微软雅黑" w:eastAsia="微软雅黑"/>
                <w:szCs w:val="21"/>
              </w:rPr>
            </w:pPr>
            <w:r>
              <w:rPr>
                <w:rFonts w:hint="eastAsia" w:ascii="微软雅黑" w:hAnsi="微软雅黑" w:eastAsia="微软雅黑"/>
                <w:szCs w:val="21"/>
              </w:rPr>
              <w:t>地点：采购人指定地点。</w:t>
            </w:r>
          </w:p>
        </w:tc>
      </w:tr>
      <w:tr w14:paraId="661A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5F378540">
            <w:pPr>
              <w:spacing w:line="360" w:lineRule="exact"/>
              <w:jc w:val="center"/>
              <w:rPr>
                <w:rFonts w:ascii="微软雅黑" w:hAnsi="微软雅黑" w:eastAsia="微软雅黑"/>
                <w:szCs w:val="21"/>
              </w:rPr>
            </w:pPr>
            <w:r>
              <w:rPr>
                <w:rFonts w:hint="eastAsia" w:ascii="微软雅黑" w:hAnsi="微软雅黑" w:eastAsia="微软雅黑"/>
                <w:szCs w:val="21"/>
              </w:rPr>
              <w:t>▲付款条件</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20FA5330">
            <w:pPr>
              <w:spacing w:line="360" w:lineRule="exact"/>
              <w:rPr>
                <w:rFonts w:hint="eastAsia" w:ascii="微软雅黑" w:hAnsi="微软雅黑" w:eastAsia="微软雅黑" w:cs="Times New Roman"/>
                <w:color w:val="FF0000"/>
                <w:szCs w:val="21"/>
                <w:lang w:val="en-US" w:eastAsia="zh-CN"/>
              </w:rPr>
            </w:pPr>
            <w:r>
              <w:rPr>
                <w:rFonts w:hint="eastAsia" w:ascii="微软雅黑" w:hAnsi="微软雅黑" w:eastAsia="微软雅黑" w:cs="Times New Roman"/>
                <w:color w:val="FF0000"/>
                <w:szCs w:val="21"/>
                <w:lang w:val="en-US" w:eastAsia="zh-CN"/>
              </w:rPr>
              <w:t>预付款为合同价款10%；结算审计并经审定后30日内支付至结算造价的98.5%，其余1.5%留作质量保修金，余款待竣工验收合格满两年后一次性付清(不计息)。</w:t>
            </w:r>
          </w:p>
        </w:tc>
      </w:tr>
      <w:tr w14:paraId="52EB0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6F20F05D">
            <w:pPr>
              <w:spacing w:line="360" w:lineRule="exact"/>
              <w:ind w:right="-102"/>
              <w:jc w:val="center"/>
              <w:rPr>
                <w:rFonts w:hint="eastAsia" w:ascii="微软雅黑" w:hAnsi="微软雅黑" w:eastAsia="微软雅黑"/>
                <w:szCs w:val="21"/>
              </w:rPr>
            </w:pPr>
            <w:r>
              <w:rPr>
                <w:rFonts w:hint="eastAsia" w:ascii="微软雅黑" w:hAnsi="微软雅黑" w:eastAsia="微软雅黑"/>
                <w:szCs w:val="21"/>
              </w:rPr>
              <w:t>▲履约保证金和质量保证金</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26ABB31D">
            <w:pPr>
              <w:spacing w:line="360" w:lineRule="exact"/>
              <w:rPr>
                <w:rFonts w:hint="eastAsia" w:ascii="微软雅黑" w:hAnsi="微软雅黑" w:eastAsia="微软雅黑" w:cs="Times New Roman"/>
                <w:color w:val="FF0000"/>
                <w:szCs w:val="21"/>
                <w:lang w:val="en-US" w:eastAsia="zh-CN"/>
              </w:rPr>
            </w:pPr>
            <w:r>
              <w:rPr>
                <w:rFonts w:hint="eastAsia" w:ascii="微软雅黑" w:hAnsi="微软雅黑" w:eastAsia="微软雅黑" w:cs="Times New Roman"/>
                <w:color w:val="FF0000"/>
                <w:szCs w:val="21"/>
                <w:lang w:val="en-US" w:eastAsia="zh-CN"/>
              </w:rPr>
              <w:t>中标人在签订合同前按照合同总额的2%递交履约保证金，项目竣工验收通过后无息退还。</w:t>
            </w:r>
          </w:p>
          <w:p w14:paraId="27E33924">
            <w:pPr>
              <w:spacing w:line="360" w:lineRule="exact"/>
              <w:rPr>
                <w:rFonts w:hint="eastAsia" w:ascii="微软雅黑" w:hAnsi="微软雅黑" w:eastAsia="微软雅黑" w:cs="Times New Roman"/>
                <w:color w:val="FF0000"/>
                <w:szCs w:val="21"/>
                <w:lang w:val="en-US" w:eastAsia="zh-CN"/>
              </w:rPr>
            </w:pPr>
            <w:r>
              <w:rPr>
                <w:rFonts w:hint="eastAsia" w:ascii="微软雅黑" w:hAnsi="微软雅黑" w:eastAsia="微软雅黑" w:cs="Times New Roman"/>
                <w:color w:val="FF0000"/>
                <w:szCs w:val="21"/>
                <w:lang w:val="en-US" w:eastAsia="zh-CN"/>
              </w:rPr>
              <w:t>审计后价款总额的1.5%留作质保金，余款待竣工验收合格满两年后一次性付清(不计息)</w:t>
            </w:r>
          </w:p>
        </w:tc>
      </w:tr>
      <w:tr w14:paraId="6DF9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090ABA9F">
            <w:pPr>
              <w:spacing w:line="360" w:lineRule="exact"/>
              <w:jc w:val="center"/>
              <w:rPr>
                <w:rFonts w:ascii="微软雅黑" w:hAnsi="微软雅黑" w:eastAsia="微软雅黑"/>
                <w:szCs w:val="21"/>
              </w:rPr>
            </w:pPr>
            <w:r>
              <w:rPr>
                <w:rFonts w:hint="eastAsia" w:ascii="微软雅黑" w:hAnsi="微软雅黑" w:eastAsia="微软雅黑"/>
                <w:szCs w:val="21"/>
              </w:rPr>
              <w:t>▲原厂商授权</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60C6CD95">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中标后签订合同前应提供主要设备生产厂家针对本项目出具的授权书原件及</w:t>
            </w:r>
            <w:r>
              <w:rPr>
                <w:rFonts w:hint="eastAsia" w:ascii="微软雅黑" w:hAnsi="微软雅黑" w:eastAsia="微软雅黑"/>
                <w:szCs w:val="21"/>
              </w:rPr>
              <w:t>所投标产品质保函原件</w:t>
            </w:r>
            <w:r>
              <w:rPr>
                <w:rFonts w:hint="eastAsia" w:ascii="微软雅黑" w:hAnsi="微软雅黑" w:eastAsia="微软雅黑" w:cs="宋体"/>
                <w:kern w:val="0"/>
                <w:szCs w:val="21"/>
              </w:rPr>
              <w:t>。否则，采购人有权取消其中标资格。</w:t>
            </w:r>
          </w:p>
        </w:tc>
      </w:tr>
      <w:tr w14:paraId="213E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30D7D2A2">
            <w:pPr>
              <w:spacing w:line="360" w:lineRule="exact"/>
              <w:jc w:val="center"/>
              <w:rPr>
                <w:rFonts w:hint="eastAsia" w:ascii="微软雅黑" w:hAnsi="微软雅黑" w:eastAsia="微软雅黑"/>
                <w:szCs w:val="21"/>
              </w:rPr>
            </w:pPr>
            <w:r>
              <w:rPr>
                <w:rFonts w:hint="eastAsia" w:ascii="微软雅黑" w:hAnsi="微软雅黑" w:eastAsia="微软雅黑"/>
                <w:szCs w:val="21"/>
              </w:rPr>
              <w:t>投标报价</w:t>
            </w:r>
          </w:p>
        </w:tc>
        <w:tc>
          <w:tcPr>
            <w:tcW w:w="7925" w:type="dxa"/>
            <w:tcBorders>
              <w:top w:val="single" w:color="auto" w:sz="4" w:space="0"/>
              <w:left w:val="single" w:color="auto" w:sz="4" w:space="0"/>
              <w:bottom w:val="single" w:color="auto" w:sz="4" w:space="0"/>
              <w:right w:val="single" w:color="auto" w:sz="4" w:space="0"/>
            </w:tcBorders>
            <w:noWrap w:val="0"/>
            <w:vAlign w:val="center"/>
          </w:tcPr>
          <w:p w14:paraId="7BCF51D6">
            <w:pPr>
              <w:widowControl/>
              <w:numPr>
                <w:ilvl w:val="0"/>
                <w:numId w:val="10"/>
              </w:numPr>
              <w:spacing w:line="360" w:lineRule="exact"/>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报价范围为土建施工以外的所有内容。</w:t>
            </w:r>
          </w:p>
          <w:p w14:paraId="16101C04">
            <w:pPr>
              <w:widowControl/>
              <w:numPr>
                <w:ilvl w:val="0"/>
                <w:numId w:val="10"/>
              </w:numPr>
              <w:spacing w:line="360" w:lineRule="exact"/>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报价单价为综合单价，考虑施工、安装、调试、运输、税费、规费等所有因素，中标后单价不得调整。</w:t>
            </w:r>
          </w:p>
          <w:p w14:paraId="69B535EA">
            <w:pPr>
              <w:widowControl/>
              <w:numPr>
                <w:ilvl w:val="0"/>
                <w:numId w:val="10"/>
              </w:numPr>
              <w:spacing w:line="360" w:lineRule="exact"/>
              <w:jc w:val="left"/>
              <w:rPr>
                <w:rFonts w:hint="eastAsia" w:ascii="微软雅黑" w:hAnsi="微软雅黑" w:eastAsia="微软雅黑" w:cs="宋体"/>
                <w:kern w:val="0"/>
                <w:szCs w:val="21"/>
              </w:rPr>
            </w:pPr>
            <w:r>
              <w:rPr>
                <w:rFonts w:hint="eastAsia" w:ascii="微软雅黑" w:hAnsi="微软雅黑" w:eastAsia="微软雅黑" w:cs="宋体"/>
                <w:kern w:val="0"/>
                <w:szCs w:val="21"/>
              </w:rPr>
              <w:t>请按上报格式组织报价，并且分项编制技术配置表和分项组价表。明确价格组成与技术配置。</w:t>
            </w:r>
          </w:p>
          <w:p w14:paraId="24F3636A">
            <w:pPr>
              <w:widowControl/>
              <w:numPr>
                <w:ilvl w:val="0"/>
                <w:numId w:val="10"/>
              </w:numPr>
              <w:spacing w:line="360" w:lineRule="exact"/>
              <w:jc w:val="left"/>
              <w:rPr>
                <w:rFonts w:hint="eastAsia" w:ascii="微软雅黑" w:hAnsi="微软雅黑" w:eastAsia="微软雅黑"/>
                <w:bCs/>
                <w:szCs w:val="21"/>
              </w:rPr>
            </w:pPr>
            <w:r>
              <w:rPr>
                <w:rFonts w:hint="eastAsia" w:ascii="微软雅黑" w:hAnsi="微软雅黑" w:eastAsia="微软雅黑"/>
                <w:bCs/>
                <w:szCs w:val="21"/>
              </w:rPr>
              <w:t>安装调试需经质量技术监督部门或其他管理部门备案或许可的，必须由中标人自行负责，所有费用由中标人承担。</w:t>
            </w:r>
          </w:p>
        </w:tc>
      </w:tr>
    </w:tbl>
    <w:p w14:paraId="62B530F4">
      <w:pPr>
        <w:spacing w:line="400" w:lineRule="exact"/>
        <w:rPr>
          <w:rFonts w:hint="eastAsia" w:ascii="微软雅黑" w:hAnsi="微软雅黑" w:eastAsia="微软雅黑"/>
          <w:b/>
          <w:bCs/>
          <w:szCs w:val="21"/>
        </w:rPr>
      </w:pPr>
    </w:p>
    <w:p w14:paraId="077535EC">
      <w:pPr>
        <w:pStyle w:val="5"/>
        <w:numPr>
          <w:ilvl w:val="1"/>
          <w:numId w:val="0"/>
        </w:numPr>
        <w:spacing w:line="400" w:lineRule="exact"/>
        <w:ind w:firstLine="647" w:firstLineChars="202"/>
        <w:rPr>
          <w:rFonts w:hint="eastAsia" w:ascii="微软雅黑" w:hAnsi="微软雅黑" w:eastAsia="微软雅黑"/>
          <w:color w:val="auto"/>
          <w:szCs w:val="21"/>
        </w:rPr>
      </w:pPr>
      <w:bookmarkStart w:id="21" w:name="_Toc423875587"/>
      <w:bookmarkStart w:id="22" w:name="_Toc404764005"/>
      <w:r>
        <w:rPr>
          <w:rFonts w:hint="eastAsia" w:ascii="微软雅黑" w:hAnsi="微软雅黑" w:eastAsia="微软雅黑"/>
          <w:color w:val="auto"/>
          <w:szCs w:val="21"/>
          <w:lang w:eastAsia="zh-CN"/>
        </w:rPr>
        <w:t>六</w:t>
      </w:r>
      <w:r>
        <w:rPr>
          <w:rFonts w:hint="eastAsia" w:ascii="微软雅黑" w:hAnsi="微软雅黑" w:eastAsia="微软雅黑"/>
          <w:color w:val="auto"/>
          <w:szCs w:val="21"/>
        </w:rPr>
        <w:t>、其它要求</w:t>
      </w:r>
      <w:bookmarkEnd w:id="21"/>
      <w:bookmarkEnd w:id="22"/>
    </w:p>
    <w:p w14:paraId="38E86B31">
      <w:pPr>
        <w:spacing w:line="400" w:lineRule="exact"/>
        <w:ind w:firstLine="472" w:firstLineChars="225"/>
        <w:rPr>
          <w:rFonts w:hint="eastAsia" w:ascii="微软雅黑" w:hAnsi="微软雅黑" w:eastAsia="微软雅黑"/>
          <w:bCs/>
          <w:szCs w:val="21"/>
        </w:rPr>
      </w:pPr>
      <w:r>
        <w:rPr>
          <w:rFonts w:hint="eastAsia" w:ascii="微软雅黑" w:hAnsi="微软雅黑" w:eastAsia="微软雅黑"/>
          <w:bCs/>
          <w:szCs w:val="21"/>
        </w:rPr>
        <w:t>1、投标商品中的硬件设备如需使用特别接头、插座等，由投标人免费提供。如硬件设备的用电保护如果超过一般线路保护，保护设备也由投标人免费提供。</w:t>
      </w:r>
    </w:p>
    <w:p w14:paraId="7A43461A">
      <w:pPr>
        <w:spacing w:line="400" w:lineRule="exact"/>
        <w:ind w:firstLine="472" w:firstLineChars="225"/>
        <w:rPr>
          <w:rFonts w:hint="eastAsia" w:ascii="微软雅黑" w:hAnsi="微软雅黑" w:eastAsia="微软雅黑"/>
          <w:bCs/>
          <w:szCs w:val="21"/>
        </w:rPr>
      </w:pPr>
      <w:r>
        <w:rPr>
          <w:rFonts w:hint="eastAsia" w:ascii="微软雅黑" w:hAnsi="微软雅黑" w:eastAsia="微软雅黑"/>
          <w:bCs/>
          <w:szCs w:val="21"/>
        </w:rPr>
        <w:t>2、投标总价应包括运抵使用方运保费及安装调试费等。</w:t>
      </w:r>
    </w:p>
    <w:p w14:paraId="1B05BB93">
      <w:pPr>
        <w:spacing w:line="400" w:lineRule="exact"/>
        <w:ind w:firstLine="472" w:firstLineChars="225"/>
        <w:rPr>
          <w:rFonts w:hint="eastAsia" w:ascii="微软雅黑" w:hAnsi="微软雅黑" w:eastAsia="微软雅黑"/>
          <w:bCs/>
          <w:szCs w:val="21"/>
        </w:rPr>
      </w:pPr>
      <w:r>
        <w:rPr>
          <w:rFonts w:hint="eastAsia" w:ascii="微软雅黑" w:hAnsi="微软雅黑" w:eastAsia="微软雅黑"/>
          <w:bCs/>
          <w:szCs w:val="21"/>
        </w:rPr>
        <w:t>3、投标人应根据技术需求，提供产品安装的详尽实施方案：包括实施时间、人员安排、具体步骤。提供完善的服务管理体系。</w:t>
      </w:r>
    </w:p>
    <w:p w14:paraId="7ECFF016">
      <w:pPr>
        <w:spacing w:line="400" w:lineRule="exact"/>
        <w:ind w:firstLine="472" w:firstLineChars="225"/>
        <w:rPr>
          <w:rFonts w:ascii="宋体" w:hAnsi="宋体" w:cs="宋体"/>
          <w:sz w:val="24"/>
        </w:rPr>
      </w:pPr>
      <w:r>
        <w:rPr>
          <w:rFonts w:hint="eastAsia" w:ascii="微软雅黑" w:hAnsi="微软雅黑" w:eastAsia="微软雅黑"/>
          <w:bCs/>
          <w:szCs w:val="21"/>
          <w:lang w:val="en-US" w:eastAsia="zh-CN"/>
        </w:rPr>
        <w:t>4</w:t>
      </w:r>
      <w:r>
        <w:rPr>
          <w:rFonts w:hint="eastAsia" w:ascii="微软雅黑" w:hAnsi="微软雅黑" w:eastAsia="微软雅黑"/>
          <w:bCs/>
          <w:szCs w:val="21"/>
        </w:rPr>
        <w:t>、招标文件中标注“★、▲”的条款是招标文件的实质性要求，投标人必须做出实质性响应，并不能负偏离，否则投标无效。</w:t>
      </w:r>
    </w:p>
    <w:p w14:paraId="694998F9">
      <w:pPr>
        <w:rPr>
          <w:rFonts w:cs="宋体" w:asciiTheme="minorEastAsia" w:hAnsiTheme="minorEastAsia" w:eastAsiaTheme="minorEastAsia"/>
          <w:color w:val="FF0000"/>
          <w:sz w:val="24"/>
        </w:rPr>
        <w:sectPr>
          <w:pgSz w:w="11910" w:h="16840"/>
          <w:pgMar w:top="1134" w:right="1344" w:bottom="1134" w:left="1304" w:header="0" w:footer="993" w:gutter="0"/>
          <w:cols w:space="0" w:num="1"/>
        </w:sectPr>
      </w:pPr>
    </w:p>
    <w:p w14:paraId="2B3487A2">
      <w:pPr>
        <w:pStyle w:val="2"/>
        <w:numPr>
          <w:ilvl w:val="0"/>
          <w:numId w:val="11"/>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14:paraId="680E6A22">
      <w:pPr>
        <w:pStyle w:val="2"/>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2"/>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787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14:paraId="7016B20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14:paraId="2549D0C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33B6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4BFFA86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2909A170">
            <w:pPr>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庙山湾综合能园项目10kV供配电工程</w:t>
            </w:r>
          </w:p>
        </w:tc>
      </w:tr>
      <w:tr w14:paraId="0F91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66536BE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1D8C0117">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2711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0EA63A6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7A7D9B42">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66C5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3E97DD0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76758A00">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14:paraId="4B32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5DB6E17D">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1DEFAA88">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color w:val="FF0000"/>
                <w:sz w:val="24"/>
              </w:rPr>
              <w:t>202</w:t>
            </w:r>
            <w:r>
              <w:rPr>
                <w:rFonts w:hint="eastAsia" w:asciiTheme="minorEastAsia" w:hAnsiTheme="minorEastAsia" w:eastAsiaTheme="minorEastAsia"/>
                <w:b/>
                <w:color w:val="FF0000"/>
                <w:sz w:val="24"/>
                <w:lang w:val="en-US" w:eastAsia="zh-CN"/>
              </w:rPr>
              <w:t>4</w:t>
            </w:r>
            <w:r>
              <w:rPr>
                <w:rFonts w:hint="eastAsia" w:asciiTheme="minorEastAsia" w:hAnsiTheme="minorEastAsia" w:eastAsiaTheme="minorEastAsia"/>
                <w:b/>
                <w:color w:val="FF0000"/>
                <w:sz w:val="24"/>
              </w:rPr>
              <w:t>年</w:t>
            </w:r>
            <w:r>
              <w:rPr>
                <w:rFonts w:hint="eastAsia" w:asciiTheme="minorEastAsia" w:hAnsiTheme="minorEastAsia" w:eastAsiaTheme="minorEastAsia"/>
                <w:b/>
                <w:color w:val="FF0000"/>
                <w:sz w:val="24"/>
                <w:lang w:val="en-US" w:eastAsia="zh-CN"/>
              </w:rPr>
              <w:t>12</w:t>
            </w:r>
            <w:r>
              <w:rPr>
                <w:rFonts w:hint="eastAsia" w:asciiTheme="minorEastAsia" w:hAnsiTheme="minorEastAsia" w:eastAsiaTheme="minorEastAsia"/>
                <w:b/>
                <w:color w:val="FF0000"/>
                <w:sz w:val="24"/>
              </w:rPr>
              <w:t>月</w:t>
            </w:r>
            <w:r>
              <w:rPr>
                <w:rFonts w:hint="eastAsia" w:asciiTheme="minorEastAsia" w:hAnsiTheme="minorEastAsia" w:eastAsiaTheme="minorEastAsia"/>
                <w:b/>
                <w:color w:val="FF0000"/>
                <w:sz w:val="24"/>
                <w:lang w:val="en-US" w:eastAsia="zh-CN"/>
              </w:rPr>
              <w:t>02</w:t>
            </w:r>
            <w:r>
              <w:rPr>
                <w:rFonts w:hint="eastAsia" w:asciiTheme="minorEastAsia" w:hAnsiTheme="minorEastAsia" w:eastAsiaTheme="minorEastAsia"/>
                <w:b/>
                <w:color w:val="FF0000"/>
                <w:sz w:val="24"/>
              </w:rPr>
              <w:t>日</w:t>
            </w:r>
            <w:r>
              <w:rPr>
                <w:rFonts w:hint="eastAsia" w:asciiTheme="minorEastAsia" w:hAnsiTheme="minorEastAsia" w:eastAsiaTheme="minorEastAsia"/>
                <w:b/>
                <w:color w:val="FF0000"/>
                <w:sz w:val="24"/>
                <w:lang w:val="en-US" w:eastAsia="zh-CN"/>
              </w:rPr>
              <w:t>17</w:t>
            </w:r>
            <w:r>
              <w:rPr>
                <w:rFonts w:hint="eastAsia" w:asciiTheme="minorEastAsia" w:hAnsiTheme="minorEastAsia" w:eastAsiaTheme="minorEastAsia"/>
                <w:b/>
                <w:color w:val="FF0000"/>
                <w:sz w:val="24"/>
              </w:rPr>
              <w:t>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在浙江政府采购网（https://zfcg.czt.zj.gov.cn/）上发布更正公告，在开标前，</w:t>
            </w:r>
            <w:r>
              <w:rPr>
                <w:rFonts w:hint="eastAsia" w:asciiTheme="minorEastAsia" w:hAnsiTheme="minorEastAsia" w:eastAsiaTheme="minorEastAsia"/>
                <w:sz w:val="24"/>
              </w:rPr>
              <w:t>请投标人自行到网上查看和下载，投标人因漏看带来的后果由投标人自行承担。</w:t>
            </w:r>
          </w:p>
        </w:tc>
      </w:tr>
      <w:tr w14:paraId="2416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1F6C9B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485F6EB0">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640F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D95C65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67A2E1A0">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44C6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23DCA23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14:paraId="69087BD0">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电子交易客户端”，并按照本招标文件和“政府采购云平台”的要求，通过“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7379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00FC5F1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14:paraId="7538F25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244F768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36647FF6">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08E8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2A6EF68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14:paraId="4485134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（但采购人、采购机构不强制或变相强制投标人提交备份磋商响应文件</w:t>
            </w:r>
            <w:r>
              <w:rPr>
                <w:rFonts w:hint="eastAsia" w:ascii="宋体" w:hAnsi="宋体" w:cs="宋体"/>
                <w:sz w:val="24"/>
              </w:rPr>
              <w:t>）</w:t>
            </w:r>
          </w:p>
          <w:p w14:paraId="4ACDAF0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（邮寄地址：桐庐县迎春南路88号桦桐大厦20楼孙鸣收）</w:t>
            </w:r>
          </w:p>
        </w:tc>
      </w:tr>
      <w:tr w14:paraId="4085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B5392C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14:paraId="1D0E940F">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208F270F">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6B263F00">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a.投标供应商应在投标截止时间前将“电子加密投标文件”成功上传递交至“政府采购云平台”，否则投标无效。</w:t>
            </w:r>
          </w:p>
          <w:p w14:paraId="3FF466A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13F8DC03">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113B71B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a.投标供应商在“政府采购云平台”完成“电子加密投标文件”的上传递交后，还可以（邮寄形式）在投标截止时间前递交以介质（U盘）存储的 “备份投标文件”（一份）；</w:t>
            </w:r>
          </w:p>
          <w:p w14:paraId="4DE8D121">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4748EBD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c.通过“政府采购云平台”成功上传递交的“电子加密投标文件”已按时解密的，“备份投标文件”自动失效。投标截止时间前，投标供应商仅递交了“备份投标文件”而</w:t>
            </w:r>
          </w:p>
          <w:p w14:paraId="7C7367A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未将“电子加密投标文件”成功上传至“政府采购云平台”的，投标无效。</w:t>
            </w:r>
          </w:p>
        </w:tc>
      </w:tr>
      <w:tr w14:paraId="758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0A0C7AB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14:paraId="2C4EBC9E">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1546FBE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7F647212">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ED7B335">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（3）投标截止时间前，投标供应商仅递交了“备份投标文件”而未将电子加密投标文件上传至“政府采购云平台”的，投标无效。</w:t>
            </w:r>
          </w:p>
        </w:tc>
      </w:tr>
      <w:tr w14:paraId="65B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51AAD68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14:paraId="370073B8">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潜在供应商需在浙江政府采购网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20"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http://zfcg.czt.zj.gov.cn/进行免费注册，具体详见浙江政府采购网供应商注册要求。</w:t>
            </w:r>
          </w:p>
        </w:tc>
      </w:tr>
      <w:tr w14:paraId="4151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14:paraId="0EF8D9E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14:paraId="29ED3DED">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2024年12月17日10时00分</w:t>
            </w:r>
            <w:r>
              <w:rPr>
                <w:rFonts w:hint="eastAsia" w:asciiTheme="minorEastAsia" w:hAnsiTheme="minorEastAsia" w:eastAsiaTheme="minorEastAsia"/>
                <w:sz w:val="24"/>
              </w:rPr>
              <w:t>。</w:t>
            </w:r>
          </w:p>
          <w:p w14:paraId="43CE20DF">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通过浙江省政府采购网政府采购云平台实行在线投标响应。</w:t>
            </w:r>
          </w:p>
        </w:tc>
      </w:tr>
      <w:tr w14:paraId="61CB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79A6E9F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14:paraId="75ADE3D6">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2024年12月17日10时00分</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tc>
      </w:tr>
      <w:tr w14:paraId="79F4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49DDD2D1">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14:paraId="537A4B12">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5E2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124C3FD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14:paraId="7DC663D2">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14:paraId="1F79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3A38845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14:paraId="14C27483">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7638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74470EA1">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14:paraId="70AFF26D">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796C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1FC3D64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14:paraId="6D3BE8FB">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4B22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7DCDF5B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14:paraId="336B9546">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14:paraId="482F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2809570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22</w:t>
            </w:r>
          </w:p>
        </w:tc>
        <w:tc>
          <w:tcPr>
            <w:tcW w:w="9068" w:type="dxa"/>
            <w:vAlign w:val="center"/>
          </w:tcPr>
          <w:p w14:paraId="0D951B74">
            <w:pPr>
              <w:snapToGrid w:val="0"/>
              <w:rPr>
                <w:rFonts w:asciiTheme="minorEastAsia" w:hAnsiTheme="minorEastAsia" w:eastAsiaTheme="minorEastAsia"/>
                <w:sz w:val="24"/>
              </w:rPr>
            </w:pPr>
            <w:r>
              <w:rPr>
                <w:rFonts w:hint="eastAsia" w:asciiTheme="minorEastAsia" w:hAnsiTheme="minorEastAsia" w:eastAsiaTheme="minorEastAsia"/>
                <w:b/>
                <w:color w:val="FF0000"/>
                <w:sz w:val="24"/>
              </w:rPr>
              <w:t>本次招标设定最高限价，最高限价为人民币：</w:t>
            </w:r>
            <w:r>
              <w:rPr>
                <w:rFonts w:hint="eastAsia" w:asciiTheme="minorEastAsia" w:hAnsiTheme="minorEastAsia" w:eastAsiaTheme="minorEastAsia"/>
                <w:b/>
                <w:color w:val="FF0000"/>
                <w:sz w:val="24"/>
                <w:u w:val="single"/>
                <w:lang w:val="en-US" w:eastAsia="zh-CN"/>
              </w:rPr>
              <w:t>53.0964万元</w:t>
            </w:r>
            <w:r>
              <w:rPr>
                <w:rFonts w:hint="eastAsia" w:asciiTheme="minorEastAsia" w:hAnsiTheme="minorEastAsia" w:eastAsiaTheme="minorEastAsia"/>
                <w:b/>
                <w:color w:val="FF0000"/>
                <w:sz w:val="24"/>
              </w:rPr>
              <w:t>。</w:t>
            </w:r>
          </w:p>
        </w:tc>
      </w:tr>
    </w:tbl>
    <w:p w14:paraId="0EF3D01C">
      <w:pPr>
        <w:pStyle w:val="19"/>
        <w:snapToGrid w:val="0"/>
        <w:spacing w:before="120" w:after="120"/>
        <w:ind w:firstLine="482" w:firstLineChars="200"/>
        <w:rPr>
          <w:rFonts w:asciiTheme="minorEastAsia" w:hAnsiTheme="minorEastAsia" w:eastAsiaTheme="minorEastAsia"/>
          <w:b/>
          <w:sz w:val="24"/>
        </w:rPr>
      </w:pPr>
      <w:bookmarkStart w:id="23" w:name="_Toc91899903"/>
      <w:r>
        <w:rPr>
          <w:rFonts w:hint="eastAsia" w:asciiTheme="minorEastAsia" w:hAnsiTheme="minorEastAsia" w:eastAsiaTheme="minorEastAsia"/>
          <w:b/>
          <w:sz w:val="24"/>
        </w:rPr>
        <w:t>一、总  则</w:t>
      </w:r>
    </w:p>
    <w:p w14:paraId="29C02C9F">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4" w:name="_Toc177825120"/>
      <w:bookmarkStart w:id="25" w:name="_Toc177824939"/>
      <w:bookmarkStart w:id="26" w:name="_Toc177824872"/>
      <w:bookmarkStart w:id="27" w:name="_Toc177870537"/>
      <w:r>
        <w:rPr>
          <w:rFonts w:hint="eastAsia" w:asciiTheme="minorEastAsia" w:hAnsiTheme="minorEastAsia" w:eastAsiaTheme="minorEastAsia"/>
          <w:b/>
          <w:color w:val="000000"/>
          <w:sz w:val="24"/>
        </w:rPr>
        <w:t>（一）适用范围</w:t>
      </w:r>
      <w:bookmarkEnd w:id="24"/>
      <w:bookmarkEnd w:id="25"/>
      <w:bookmarkEnd w:id="26"/>
      <w:bookmarkEnd w:id="27"/>
    </w:p>
    <w:p w14:paraId="086458CB">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u w:val="single"/>
          <w:lang w:eastAsia="zh-CN"/>
        </w:rPr>
        <w:t>庙山湾综合能园项目10kV供配电工程</w:t>
      </w:r>
      <w:r>
        <w:rPr>
          <w:rFonts w:hint="eastAsia" w:asciiTheme="minorEastAsia" w:hAnsiTheme="minorEastAsia" w:eastAsiaTheme="minorEastAsia"/>
          <w:color w:val="000000"/>
          <w:sz w:val="24"/>
        </w:rPr>
        <w:t>的招标、评标、定标、验收、合同履约、付款等（法律、法规另有规定的，从其规定）。</w:t>
      </w:r>
    </w:p>
    <w:p w14:paraId="15BE6AEC">
      <w:pPr>
        <w:snapToGrid w:val="0"/>
        <w:ind w:firstLine="482" w:firstLineChars="200"/>
        <w:jc w:val="left"/>
        <w:outlineLvl w:val="1"/>
        <w:rPr>
          <w:rFonts w:asciiTheme="minorEastAsia" w:hAnsiTheme="minorEastAsia" w:eastAsiaTheme="minorEastAsia"/>
          <w:b/>
          <w:color w:val="000000"/>
          <w:sz w:val="24"/>
        </w:rPr>
      </w:pPr>
      <w:bookmarkStart w:id="28" w:name="_Toc177824940"/>
      <w:bookmarkStart w:id="29" w:name="_Toc177870538"/>
      <w:bookmarkStart w:id="30" w:name="_Toc177825121"/>
      <w:bookmarkStart w:id="31" w:name="_Toc177824873"/>
      <w:r>
        <w:rPr>
          <w:rFonts w:hint="eastAsia" w:asciiTheme="minorEastAsia" w:hAnsiTheme="minorEastAsia" w:eastAsiaTheme="minorEastAsia"/>
          <w:b/>
          <w:color w:val="000000"/>
          <w:sz w:val="24"/>
        </w:rPr>
        <w:t>（二）定义</w:t>
      </w:r>
      <w:bookmarkEnd w:id="28"/>
      <w:bookmarkEnd w:id="29"/>
      <w:bookmarkEnd w:id="30"/>
      <w:bookmarkEnd w:id="31"/>
    </w:p>
    <w:p w14:paraId="6951F6D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5FA99D23">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桐庐县交通发展集团有限公司</w:t>
      </w:r>
      <w:r>
        <w:rPr>
          <w:rFonts w:hint="eastAsia" w:asciiTheme="minorEastAsia" w:hAnsiTheme="minorEastAsia" w:eastAsiaTheme="minorEastAsia"/>
          <w:sz w:val="24"/>
        </w:rPr>
        <w:t>。</w:t>
      </w:r>
    </w:p>
    <w:p w14:paraId="45048A1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3.“采购机构”系指桐庐鸿泰工程咨询有限公司。</w:t>
      </w:r>
    </w:p>
    <w:p w14:paraId="22F884F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6E45ADF2">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5C5F48A0">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4497A2C3">
      <w:pPr>
        <w:snapToGrid w:val="0"/>
        <w:ind w:firstLine="482" w:firstLineChars="200"/>
        <w:jc w:val="left"/>
        <w:outlineLvl w:val="1"/>
        <w:rPr>
          <w:rFonts w:asciiTheme="minorEastAsia" w:hAnsiTheme="minorEastAsia" w:eastAsiaTheme="minorEastAsia"/>
          <w:b/>
          <w:color w:val="000000"/>
          <w:sz w:val="24"/>
        </w:rPr>
      </w:pPr>
      <w:bookmarkStart w:id="32" w:name="_Toc177870539"/>
      <w:r>
        <w:rPr>
          <w:rFonts w:hint="eastAsia" w:asciiTheme="minorEastAsia" w:hAnsiTheme="minorEastAsia" w:eastAsiaTheme="minorEastAsia"/>
          <w:b/>
          <w:color w:val="000000"/>
          <w:sz w:val="24"/>
        </w:rPr>
        <w:t>（三）招标方式</w:t>
      </w:r>
      <w:bookmarkEnd w:id="32"/>
    </w:p>
    <w:p w14:paraId="1884E111">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58776C3A">
      <w:pPr>
        <w:snapToGrid w:val="0"/>
        <w:spacing w:line="360" w:lineRule="auto"/>
        <w:ind w:firstLine="482" w:firstLineChars="200"/>
        <w:jc w:val="left"/>
        <w:rPr>
          <w:rFonts w:asciiTheme="minorEastAsia" w:hAnsiTheme="minorEastAsia" w:eastAsiaTheme="minorEastAsia"/>
          <w:b/>
          <w:sz w:val="24"/>
        </w:rPr>
      </w:pPr>
      <w:bookmarkStart w:id="33" w:name="_Toc177824874"/>
      <w:bookmarkStart w:id="34" w:name="_Toc177824941"/>
      <w:bookmarkStart w:id="35" w:name="_Toc177870540"/>
      <w:bookmarkStart w:id="36" w:name="_Toc177825122"/>
      <w:r>
        <w:rPr>
          <w:rFonts w:hint="eastAsia" w:asciiTheme="minorEastAsia" w:hAnsiTheme="minorEastAsia" w:eastAsiaTheme="minorEastAsia"/>
          <w:b/>
          <w:sz w:val="24"/>
        </w:rPr>
        <w:t>（四）投标委托</w:t>
      </w:r>
      <w:bookmarkEnd w:id="33"/>
      <w:bookmarkEnd w:id="34"/>
      <w:bookmarkEnd w:id="35"/>
      <w:bookmarkEnd w:id="36"/>
    </w:p>
    <w:p w14:paraId="7608E53F">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0B3780A9">
      <w:pPr>
        <w:snapToGrid w:val="0"/>
        <w:spacing w:line="360" w:lineRule="auto"/>
        <w:ind w:firstLine="482" w:firstLineChars="200"/>
        <w:jc w:val="left"/>
        <w:outlineLvl w:val="1"/>
        <w:rPr>
          <w:rFonts w:asciiTheme="minorEastAsia" w:hAnsiTheme="minorEastAsia" w:eastAsiaTheme="minorEastAsia"/>
          <w:b/>
          <w:color w:val="000000"/>
          <w:sz w:val="24"/>
        </w:rPr>
      </w:pPr>
      <w:bookmarkStart w:id="37" w:name="_Toc177824942"/>
      <w:bookmarkStart w:id="38" w:name="_Toc177824875"/>
      <w:bookmarkStart w:id="39" w:name="_Toc177870541"/>
      <w:bookmarkStart w:id="40" w:name="_Toc177825123"/>
      <w:r>
        <w:rPr>
          <w:rFonts w:hint="eastAsia" w:asciiTheme="minorEastAsia" w:hAnsiTheme="minorEastAsia" w:eastAsiaTheme="minorEastAsia"/>
          <w:b/>
          <w:color w:val="000000"/>
          <w:sz w:val="24"/>
        </w:rPr>
        <w:t>（五）投标费用</w:t>
      </w:r>
      <w:bookmarkEnd w:id="37"/>
      <w:bookmarkEnd w:id="38"/>
      <w:bookmarkEnd w:id="39"/>
      <w:bookmarkEnd w:id="40"/>
    </w:p>
    <w:p w14:paraId="547A0C94">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03AA4FD3">
      <w:pPr>
        <w:snapToGrid w:val="0"/>
        <w:spacing w:line="360" w:lineRule="auto"/>
        <w:ind w:firstLine="602" w:firstLineChars="250"/>
        <w:jc w:val="left"/>
        <w:outlineLvl w:val="1"/>
        <w:rPr>
          <w:rFonts w:asciiTheme="minorEastAsia" w:hAnsiTheme="minorEastAsia" w:eastAsiaTheme="minorEastAsia"/>
          <w:b/>
          <w:color w:val="000000"/>
          <w:sz w:val="24"/>
        </w:rPr>
      </w:pPr>
      <w:bookmarkStart w:id="41"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41"/>
    </w:p>
    <w:p w14:paraId="19DAB5D8">
      <w:pPr>
        <w:spacing w:line="360" w:lineRule="auto"/>
        <w:ind w:firstLine="464" w:firstLineChars="220"/>
        <w:rPr>
          <w:rFonts w:cs="宋体" w:asciiTheme="minorEastAsia" w:hAnsiTheme="minorEastAsia" w:eastAsiaTheme="minorEastAsia"/>
          <w:color w:val="FF0000"/>
          <w:sz w:val="24"/>
        </w:rPr>
      </w:pPr>
      <w:bookmarkStart w:id="42"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3F34151D">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0711F22E">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657A27A">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3F84E089">
      <w:pPr>
        <w:pStyle w:val="19"/>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203C4613">
      <w:pPr>
        <w:pStyle w:val="19"/>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42"/>
      <w:r>
        <w:rPr>
          <w:rFonts w:hint="eastAsia" w:asciiTheme="minorEastAsia" w:hAnsiTheme="minorEastAsia" w:eastAsiaTheme="minorEastAsia"/>
          <w:b/>
          <w:bCs/>
          <w:sz w:val="24"/>
        </w:rPr>
        <w:t>和投诉</w:t>
      </w:r>
    </w:p>
    <w:p w14:paraId="567446D0">
      <w:pPr>
        <w:pStyle w:val="19"/>
        <w:snapToGrid w:val="0"/>
        <w:spacing w:line="360" w:lineRule="auto"/>
        <w:ind w:firstLine="480" w:firstLineChars="200"/>
        <w:rPr>
          <w:rFonts w:asciiTheme="minorEastAsia" w:hAnsiTheme="minorEastAsia" w:eastAsiaTheme="minorEastAsia"/>
          <w:sz w:val="24"/>
        </w:rPr>
      </w:pPr>
      <w:bookmarkStart w:id="43"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0F77C0FE">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26F83F8A">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52821E49">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7A268BAB">
      <w:pPr>
        <w:pStyle w:val="19"/>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43"/>
    </w:p>
    <w:p w14:paraId="45BE0254">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09A8B24C">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1564B7F8">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254DFF8C">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2E8797F5">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60DE9D53">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36790D1D">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2563956D">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54211EED">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65A0B33D">
      <w:pPr>
        <w:pStyle w:val="10"/>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6FFDCB16">
      <w:pPr>
        <w:pStyle w:val="19"/>
        <w:snapToGrid w:val="0"/>
        <w:spacing w:line="360" w:lineRule="auto"/>
        <w:ind w:firstLine="436" w:firstLineChars="182"/>
        <w:rPr>
          <w:rFonts w:asciiTheme="minorEastAsia" w:hAnsiTheme="minorEastAsia" w:eastAsiaTheme="minorEastAsia"/>
          <w:sz w:val="24"/>
        </w:rPr>
      </w:pPr>
      <w:bookmarkStart w:id="44"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2397F520">
      <w:pPr>
        <w:pStyle w:val="19"/>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3EBCCB4B">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15E8E437">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75FD61D7">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31B119D7">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3D2512B6">
      <w:pPr>
        <w:pStyle w:val="19"/>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44"/>
      <w:r>
        <w:rPr>
          <w:rFonts w:hint="eastAsia" w:asciiTheme="minorEastAsia" w:hAnsiTheme="minorEastAsia" w:eastAsiaTheme="minorEastAsia"/>
          <w:b/>
          <w:sz w:val="24"/>
        </w:rPr>
        <w:t>的编制</w:t>
      </w:r>
    </w:p>
    <w:p w14:paraId="52283EDA">
      <w:pPr>
        <w:snapToGrid w:val="0"/>
        <w:spacing w:line="360" w:lineRule="auto"/>
        <w:ind w:firstLine="482" w:firstLineChars="200"/>
        <w:jc w:val="left"/>
        <w:outlineLvl w:val="0"/>
        <w:rPr>
          <w:rFonts w:asciiTheme="minorEastAsia" w:hAnsiTheme="minorEastAsia" w:eastAsiaTheme="minorEastAsia"/>
          <w:b/>
          <w:color w:val="000000"/>
          <w:sz w:val="24"/>
        </w:rPr>
      </w:pPr>
      <w:bookmarkStart w:id="45" w:name="_Toc177824876"/>
      <w:bookmarkStart w:id="46" w:name="_Toc177870546"/>
      <w:bookmarkStart w:id="47" w:name="_Toc177825124"/>
      <w:bookmarkStart w:id="48" w:name="_Toc177824943"/>
      <w:r>
        <w:rPr>
          <w:rFonts w:hint="eastAsia" w:asciiTheme="minorEastAsia" w:hAnsiTheme="minorEastAsia" w:eastAsiaTheme="minorEastAsia"/>
          <w:b/>
          <w:color w:val="000000"/>
          <w:sz w:val="24"/>
        </w:rPr>
        <w:t>（一）投标文件的组成</w:t>
      </w:r>
      <w:bookmarkEnd w:id="45"/>
      <w:bookmarkEnd w:id="46"/>
      <w:bookmarkEnd w:id="47"/>
      <w:bookmarkEnd w:id="48"/>
    </w:p>
    <w:p w14:paraId="2175ADFE">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4C1894B6">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5D2ADA03">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742CF457">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352507BC">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10CDE789">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419C3694">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78465A25">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2DAC96C5">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lang w:eastAsia="zh-CN"/>
        </w:rPr>
        <w:t>投标人应具有有效期内的石油化工施工资质或工业管道GC1级安装资质</w:t>
      </w:r>
      <w:r>
        <w:rPr>
          <w:rFonts w:hint="eastAsia" w:asciiTheme="minorEastAsia" w:hAnsiTheme="minorEastAsia" w:eastAsiaTheme="minorEastAsia"/>
          <w:sz w:val="24"/>
        </w:rPr>
        <w:t>。</w:t>
      </w:r>
    </w:p>
    <w:p w14:paraId="03D38294">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254AC79C">
      <w:pPr>
        <w:snapToGrid w:val="0"/>
        <w:spacing w:line="360" w:lineRule="auto"/>
        <w:ind w:firstLine="480" w:firstLineChars="20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供应商自评分表</w:t>
      </w:r>
    </w:p>
    <w:p w14:paraId="42D55808">
      <w:pPr>
        <w:snapToGrid w:val="0"/>
        <w:spacing w:line="360" w:lineRule="auto"/>
        <w:ind w:firstLine="360" w:firstLineChars="150"/>
        <w:rPr>
          <w:rFonts w:ascii="宋体" w:hAnsi="宋体" w:cs="宋体"/>
          <w:sz w:val="24"/>
        </w:rPr>
      </w:pPr>
      <w:r>
        <w:rPr>
          <w:rFonts w:hint="eastAsia" w:ascii="宋体" w:hAnsi="宋体" w:cs="宋体"/>
          <w:sz w:val="24"/>
        </w:rPr>
        <w:t>（2）业绩（格式见附件）；</w:t>
      </w:r>
    </w:p>
    <w:p w14:paraId="2291DED6">
      <w:pPr>
        <w:snapToGrid w:val="0"/>
        <w:spacing w:line="360" w:lineRule="auto"/>
        <w:ind w:firstLine="360" w:firstLineChars="150"/>
        <w:rPr>
          <w:rFonts w:ascii="宋体" w:hAnsi="宋体" w:cs="宋体"/>
          <w:sz w:val="24"/>
        </w:rPr>
      </w:pPr>
      <w:r>
        <w:rPr>
          <w:rFonts w:hint="eastAsia" w:ascii="宋体" w:hAnsi="宋体" w:cs="宋体"/>
          <w:sz w:val="24"/>
        </w:rPr>
        <w:t>（3）拟投入的项目负责人及班组成员证书及社保证明材料（格式见附件）；</w:t>
      </w:r>
    </w:p>
    <w:p w14:paraId="73E57AA7">
      <w:pPr>
        <w:snapToGrid w:val="0"/>
        <w:spacing w:line="360" w:lineRule="auto"/>
        <w:ind w:firstLine="360" w:firstLineChars="150"/>
        <w:rPr>
          <w:rFonts w:ascii="宋体" w:hAnsi="宋体" w:cs="宋体"/>
          <w:sz w:val="24"/>
        </w:rPr>
      </w:pPr>
      <w:r>
        <w:rPr>
          <w:rFonts w:hint="eastAsia" w:ascii="宋体" w:hAnsi="宋体" w:cs="宋体"/>
          <w:sz w:val="24"/>
        </w:rPr>
        <w:t>（4）投标标的清单（格式见附件）</w:t>
      </w:r>
    </w:p>
    <w:p w14:paraId="65F02B1A">
      <w:pPr>
        <w:snapToGrid w:val="0"/>
        <w:spacing w:line="360" w:lineRule="auto"/>
        <w:ind w:firstLine="360" w:firstLineChars="150"/>
        <w:rPr>
          <w:rFonts w:ascii="宋体" w:hAnsi="宋体" w:cs="宋体"/>
          <w:sz w:val="24"/>
        </w:rPr>
      </w:pPr>
      <w:r>
        <w:rPr>
          <w:rFonts w:hint="eastAsia" w:ascii="宋体" w:hAnsi="宋体" w:cs="宋体"/>
          <w:sz w:val="24"/>
        </w:rPr>
        <w:t>（5）实施方案</w:t>
      </w:r>
    </w:p>
    <w:p w14:paraId="5CFBC048">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）各项保证措施保障措施</w:t>
      </w:r>
    </w:p>
    <w:p w14:paraId="0F7AE24E">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）突发事件应急预案</w:t>
      </w:r>
    </w:p>
    <w:p w14:paraId="3F3544B9">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）售后服务</w:t>
      </w:r>
    </w:p>
    <w:p w14:paraId="657F155F">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）投标人认为需要说明的其他文件等。</w:t>
      </w:r>
    </w:p>
    <w:p w14:paraId="165E05A2">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57E264DD">
      <w:pPr>
        <w:spacing w:line="360" w:lineRule="auto"/>
        <w:ind w:firstLine="480" w:firstLineChars="200"/>
        <w:rPr>
          <w:rFonts w:asciiTheme="minorEastAsia" w:hAnsiTheme="minorEastAsia" w:eastAsiaTheme="minorEastAsia"/>
          <w:color w:val="000000"/>
          <w:sz w:val="24"/>
        </w:rPr>
      </w:pPr>
      <w:bookmarkStart w:id="49" w:name="_Toc177870547"/>
      <w:bookmarkStart w:id="50" w:name="_Toc177824944"/>
      <w:bookmarkStart w:id="51" w:name="_Toc177824877"/>
      <w:bookmarkStart w:id="52" w:name="_Toc177825125"/>
      <w:r>
        <w:rPr>
          <w:rFonts w:hint="eastAsia" w:asciiTheme="minorEastAsia" w:hAnsiTheme="minorEastAsia" w:eastAsiaTheme="minorEastAsia"/>
          <w:color w:val="000000"/>
          <w:sz w:val="24"/>
        </w:rPr>
        <w:t>（1）投标函（格式见附件）</w:t>
      </w:r>
    </w:p>
    <w:p w14:paraId="27D13DB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（2）开标一览表（格式见附件）</w:t>
      </w:r>
    </w:p>
    <w:p w14:paraId="46021569">
      <w:pPr>
        <w:pStyle w:val="40"/>
        <w:spacing w:line="360" w:lineRule="auto"/>
        <w:rPr>
          <w:rFonts w:hint="default" w:eastAsiaTheme="minorEastAsia"/>
          <w:lang w:val="en-US" w:eastAsia="zh-CN"/>
        </w:rPr>
      </w:pPr>
      <w:r>
        <w:rPr>
          <w:rFonts w:hint="eastAsia" w:asciiTheme="minorEastAsia" w:hAnsiTheme="minorEastAsia" w:eastAsiaTheme="minorEastAsia"/>
          <w:sz w:val="24"/>
          <w:lang w:val="en-US" w:eastAsia="zh-CN"/>
        </w:rPr>
        <w:t xml:space="preserve">    （3）报价明细表（格式见附件）</w:t>
      </w:r>
    </w:p>
    <w:p w14:paraId="284923A7">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）投标人需要说明的其他文件和说明（格式略）</w:t>
      </w:r>
    </w:p>
    <w:p w14:paraId="7385E7FA">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49"/>
      <w:bookmarkEnd w:id="50"/>
      <w:bookmarkEnd w:id="51"/>
      <w:bookmarkEnd w:id="52"/>
    </w:p>
    <w:p w14:paraId="5064D818">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059D0A8D">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53" w:name="_Toc177870548"/>
      <w:bookmarkStart w:id="54" w:name="_Toc177824945"/>
      <w:bookmarkStart w:id="55" w:name="_Toc177824878"/>
      <w:bookmarkStart w:id="56" w:name="_Toc177825126"/>
    </w:p>
    <w:p w14:paraId="775094B2">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53"/>
      <w:bookmarkEnd w:id="54"/>
      <w:bookmarkEnd w:id="55"/>
      <w:bookmarkEnd w:id="56"/>
    </w:p>
    <w:p w14:paraId="15197B03">
      <w:pPr>
        <w:pStyle w:val="19"/>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020EAF73">
      <w:pPr>
        <w:pStyle w:val="19"/>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0C6FBE9D">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7EC2EEDC">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0CB8C64E">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1C562088">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57" w:name="_Toc177825127"/>
      <w:bookmarkStart w:id="58" w:name="_Toc177824946"/>
      <w:bookmarkStart w:id="59" w:name="_Toc177824879"/>
      <w:bookmarkStart w:id="60" w:name="_Toc177870549"/>
    </w:p>
    <w:p w14:paraId="3C1BFC1F">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57"/>
      <w:bookmarkEnd w:id="58"/>
      <w:bookmarkEnd w:id="59"/>
      <w:bookmarkEnd w:id="60"/>
    </w:p>
    <w:p w14:paraId="213342D3">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61" w:name="_Toc177825128"/>
      <w:bookmarkStart w:id="62" w:name="_Toc177824880"/>
      <w:bookmarkStart w:id="63" w:name="_Toc177824947"/>
      <w:bookmarkStart w:id="64" w:name="_Toc177870550"/>
    </w:p>
    <w:p w14:paraId="36D1A26B">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61"/>
      <w:bookmarkEnd w:id="62"/>
      <w:bookmarkEnd w:id="63"/>
      <w:bookmarkEnd w:id="64"/>
    </w:p>
    <w:p w14:paraId="4FE727F1">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54BA2993">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492530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5A48F8E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1F7A1955">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4B5AD9DD">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08430EA1">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3F22D448">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46FDB91B">
      <w:pPr>
        <w:snapToGrid w:val="0"/>
        <w:spacing w:line="360" w:lineRule="auto"/>
        <w:jc w:val="left"/>
        <w:outlineLvl w:val="0"/>
        <w:rPr>
          <w:rFonts w:asciiTheme="minorEastAsia" w:hAnsiTheme="minorEastAsia" w:eastAsiaTheme="minorEastAsia"/>
          <w:b/>
          <w:color w:val="000000"/>
          <w:sz w:val="24"/>
        </w:rPr>
      </w:pPr>
      <w:bookmarkStart w:id="65" w:name="_Toc177825129"/>
      <w:bookmarkStart w:id="66" w:name="_Toc177824948"/>
      <w:bookmarkStart w:id="67" w:name="_Toc177824881"/>
      <w:bookmarkStart w:id="68" w:name="_Toc177870551"/>
      <w:r>
        <w:rPr>
          <w:rFonts w:hint="eastAsia" w:asciiTheme="minorEastAsia" w:hAnsiTheme="minorEastAsia" w:eastAsiaTheme="minorEastAsia"/>
          <w:b/>
          <w:color w:val="000000"/>
          <w:sz w:val="24"/>
        </w:rPr>
        <w:t xml:space="preserve">   （七）投标文件的签署和份数</w:t>
      </w:r>
      <w:bookmarkEnd w:id="65"/>
      <w:bookmarkEnd w:id="66"/>
      <w:bookmarkEnd w:id="67"/>
      <w:bookmarkEnd w:id="68"/>
    </w:p>
    <w:p w14:paraId="200CD98F">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0D2321E5">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0F3924EC">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615EAC51">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3A75EA76">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322F298F">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0AAC069E">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16FFCB73">
      <w:pPr>
        <w:snapToGrid w:val="0"/>
        <w:spacing w:line="360" w:lineRule="auto"/>
        <w:ind w:firstLine="236" w:firstLineChars="98"/>
        <w:outlineLvl w:val="2"/>
        <w:rPr>
          <w:rFonts w:asciiTheme="minorEastAsia" w:hAnsiTheme="minorEastAsia" w:eastAsiaTheme="minorEastAsia"/>
          <w:b/>
          <w:sz w:val="24"/>
        </w:rPr>
      </w:pPr>
      <w:bookmarkStart w:id="69" w:name="_Toc177870552"/>
      <w:r>
        <w:rPr>
          <w:rFonts w:hint="eastAsia" w:asciiTheme="minorEastAsia" w:hAnsiTheme="minorEastAsia" w:eastAsiaTheme="minorEastAsia"/>
          <w:b/>
          <w:sz w:val="24"/>
        </w:rPr>
        <w:t>（九）投标无效的情形</w:t>
      </w:r>
      <w:bookmarkEnd w:id="69"/>
    </w:p>
    <w:p w14:paraId="54CC457C">
      <w:pPr>
        <w:snapToGrid w:val="0"/>
        <w:spacing w:line="360" w:lineRule="auto"/>
        <w:ind w:firstLine="480" w:firstLineChars="200"/>
        <w:rPr>
          <w:rFonts w:asciiTheme="minorEastAsia" w:hAnsiTheme="minorEastAsia" w:eastAsiaTheme="minorEastAsia"/>
          <w:sz w:val="24"/>
          <w:szCs w:val="20"/>
        </w:rPr>
      </w:pPr>
      <w:bookmarkStart w:id="70"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70"/>
    <w:p w14:paraId="65667A03">
      <w:pPr>
        <w:numPr>
          <w:ilvl w:val="0"/>
          <w:numId w:val="12"/>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04EC1F90">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49CD8B6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1FF558C4">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14D1F5D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56068C4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7A24915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32CB077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2727D6D5">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5E0F3863">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6F512D8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669B4ACE">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3DCF0BCD">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50A7BD03">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34B8B4D3">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56EC44AD">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0A67F72D">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560C87DC">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6B1FA09A">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5CAAD8DF">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7F28DFBF">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10B16B65">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7F916D29">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084E815D">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452359F0">
      <w:pPr>
        <w:pStyle w:val="17"/>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14C1E96D">
      <w:pPr>
        <w:pStyle w:val="17"/>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40A9158D">
      <w:pPr>
        <w:pStyle w:val="17"/>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52FCFA09">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采购组织机构将按照招标文件规定的时间通过“政府采购云平台”组织开标、开启投标文件，所有供应商均应当准时在线参加</w:t>
      </w:r>
    </w:p>
    <w:p w14:paraId="307D8C52">
      <w:pPr>
        <w:pStyle w:val="19"/>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3FB15AC1">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7A46DEE3">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5562BAD">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24425C83">
      <w:pPr>
        <w:pStyle w:val="19"/>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BDD93A2">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02FCA71A">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0CE0A5E0">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766D2663">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1A48BE45">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2AF8170E">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特别说明：如遇“政府采购云平台”电子化开标或评审程序调整的，按调整后程序执行。</w:t>
      </w:r>
    </w:p>
    <w:p w14:paraId="26554FB0">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7D27657F">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1DC989C3">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0625553B">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75EA55D4">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46061854">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6066F97F">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6DB632FB">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57ADABB6">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2158736D">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7A9AEFB3">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441F76EF">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13255C41">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0F5224F9">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54586C09">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404234A8">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751CA8D1">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31C97E83">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5AD7A2D5">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73F6B4CB">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5D0F0BAF">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4D42A972">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3A845DC9">
      <w:pPr>
        <w:pStyle w:val="19"/>
        <w:snapToGrid w:val="0"/>
        <w:spacing w:line="360" w:lineRule="auto"/>
        <w:ind w:firstLine="434" w:firstLineChars="181"/>
        <w:rPr>
          <w:rFonts w:asciiTheme="minorEastAsia" w:hAnsiTheme="minorEastAsia" w:eastAsiaTheme="minorEastAsia"/>
          <w:sz w:val="24"/>
        </w:rPr>
      </w:pPr>
      <w:bookmarkStart w:id="71" w:name="_Toc177870555"/>
      <w:r>
        <w:rPr>
          <w:rFonts w:hint="eastAsia" w:asciiTheme="minorEastAsia" w:hAnsiTheme="minorEastAsia" w:eastAsiaTheme="minorEastAsia"/>
          <w:sz w:val="24"/>
        </w:rPr>
        <w:t>投标文件如果出现计算或表达上的错误，修正错误的原则如下：</w:t>
      </w:r>
    </w:p>
    <w:p w14:paraId="50E23D63">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589728E0">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1FE62BEB">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1C4275F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4D7227AB">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4A4A4627">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6F7479C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3C919C09">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1063BF95">
      <w:pPr>
        <w:pStyle w:val="19"/>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646495A4">
      <w:pPr>
        <w:pStyle w:val="19"/>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5623FF21">
      <w:pPr>
        <w:pStyle w:val="19"/>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71"/>
    <w:p w14:paraId="6E550ABE">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17602A81">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295825E9">
      <w:pPr>
        <w:pStyle w:val="19"/>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45B3DD4E">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5109189D">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69BDBF6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20ABFD51">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386A86E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1C81B60E">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72B1D6AF">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1008BB93">
      <w:pPr>
        <w:pStyle w:val="19"/>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p w14:paraId="176B184E">
      <w:pPr>
        <w:pStyle w:val="19"/>
        <w:snapToGrid w:val="0"/>
        <w:spacing w:after="120" w:line="360" w:lineRule="auto"/>
        <w:ind w:firstLine="472" w:firstLineChars="196"/>
        <w:rPr>
          <w:rFonts w:hAnsi="宋体" w:cs="宋体"/>
          <w:b/>
          <w:bCs/>
          <w:sz w:val="24"/>
        </w:rPr>
      </w:pPr>
      <w:r>
        <w:rPr>
          <w:rFonts w:hint="eastAsia" w:hAnsi="宋体" w:cs="宋体"/>
          <w:b/>
          <w:bCs/>
          <w:sz w:val="24"/>
        </w:rPr>
        <w:t>八、代理服务费</w:t>
      </w:r>
    </w:p>
    <w:p w14:paraId="6C9CD76B">
      <w:pPr>
        <w:snapToGrid w:val="0"/>
        <w:spacing w:line="360" w:lineRule="auto"/>
        <w:ind w:firstLine="600" w:firstLineChars="250"/>
        <w:rPr>
          <w:rFonts w:ascii="宋体" w:hAnsi="宋体"/>
          <w:sz w:val="24"/>
        </w:rPr>
      </w:pPr>
      <w:r>
        <w:rPr>
          <w:rFonts w:hint="eastAsia" w:ascii="宋体" w:hAnsi="宋体"/>
          <w:sz w:val="24"/>
        </w:rPr>
        <w:t>1、本项目招标代理费：收费标准按浙价服〔2003〕77号文件（货物类）收费标准计取；低于4000元的按4000元收取；</w:t>
      </w:r>
    </w:p>
    <w:p w14:paraId="3B565927">
      <w:pPr>
        <w:snapToGrid w:val="0"/>
        <w:spacing w:line="360" w:lineRule="auto"/>
        <w:ind w:firstLine="600" w:firstLineChars="250"/>
        <w:rPr>
          <w:rFonts w:ascii="宋体" w:hAnsi="宋体"/>
          <w:sz w:val="24"/>
        </w:rPr>
      </w:pPr>
      <w:r>
        <w:rPr>
          <w:rFonts w:hint="eastAsia" w:ascii="宋体" w:hAnsi="宋体"/>
          <w:sz w:val="24"/>
        </w:rPr>
        <w:t>2、开标过程中产生的其他费用按实际支出收取；</w:t>
      </w:r>
    </w:p>
    <w:p w14:paraId="38FA4B46">
      <w:pPr>
        <w:pStyle w:val="19"/>
        <w:snapToGrid w:val="0"/>
        <w:spacing w:after="120" w:line="360" w:lineRule="auto"/>
        <w:ind w:firstLine="470" w:firstLineChars="196"/>
        <w:rPr>
          <w:rFonts w:hAnsi="宋体" w:cs="宋体"/>
          <w:b/>
          <w:bCs/>
          <w:sz w:val="24"/>
        </w:rPr>
      </w:pPr>
      <w:r>
        <w:rPr>
          <w:rFonts w:hint="eastAsia" w:hAnsi="宋体"/>
          <w:sz w:val="24"/>
        </w:rPr>
        <w:t>以上费用均由中标单位在领取中标通知书时，一次性支付给代理公司，上述两项费用应含在投标报价中（不得单独列项），投标人在投标报价让利中考虑上述费用。</w:t>
      </w:r>
    </w:p>
    <w:bookmarkEnd w:id="23"/>
    <w:p w14:paraId="44DCF12F">
      <w:pPr>
        <w:autoSpaceDE w:val="0"/>
        <w:autoSpaceDN w:val="0"/>
        <w:adjustRightInd w:val="0"/>
        <w:spacing w:line="360" w:lineRule="auto"/>
        <w:ind w:firstLine="437"/>
        <w:rPr>
          <w:rFonts w:asciiTheme="minorEastAsia" w:hAnsiTheme="minorEastAsia" w:eastAsiaTheme="minorEastAsia"/>
          <w:sz w:val="24"/>
        </w:rPr>
        <w:sectPr>
          <w:pgSz w:w="11910" w:h="16840"/>
          <w:pgMar w:top="1134" w:right="1344" w:bottom="1134" w:left="1304" w:header="0" w:footer="993" w:gutter="0"/>
          <w:cols w:space="0" w:num="1"/>
        </w:sectPr>
      </w:pPr>
      <w:bookmarkStart w:id="72" w:name="_Hlk521930991"/>
    </w:p>
    <w:p w14:paraId="26E28D70">
      <w:pPr>
        <w:pStyle w:val="2"/>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72"/>
    <w:p w14:paraId="34D87B08">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3F504FD8">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548C5C8D">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07F7CA7F">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（一）价格分（30分）</w:t>
      </w:r>
    </w:p>
    <w:p w14:paraId="2F0DB406">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03D990DD">
      <w:pPr>
        <w:autoSpaceDE w:val="0"/>
        <w:autoSpaceDN w:val="0"/>
        <w:adjustRightInd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投标报价）×30</w:t>
      </w:r>
    </w:p>
    <w:p w14:paraId="2715DFF0">
      <w:pPr>
        <w:autoSpaceDE w:val="0"/>
        <w:autoSpaceDN w:val="0"/>
        <w:adjustRightInd w:val="0"/>
        <w:spacing w:line="276" w:lineRule="auto"/>
        <w:ind w:left="557" w:leftChars="208" w:hanging="120" w:hangingChars="5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asciiTheme="minorEastAsia" w:hAnsiTheme="minorEastAsia" w:eastAsiaTheme="minorEastAsia"/>
          <w:b/>
          <w:color w:val="FF0000"/>
          <w:sz w:val="24"/>
          <w:u w:val="single"/>
          <w:lang w:eastAsia="zh-CN"/>
        </w:rPr>
        <w:t>53.0964万元</w:t>
      </w:r>
      <w:r>
        <w:rPr>
          <w:rFonts w:hint="eastAsia" w:cs="宋体" w:asciiTheme="minorEastAsia" w:hAnsiTheme="minorEastAsia" w:eastAsiaTheme="minorEastAsia"/>
          <w:b/>
          <w:bCs/>
          <w:sz w:val="24"/>
        </w:rPr>
        <w:t>。</w:t>
      </w:r>
    </w:p>
    <w:p w14:paraId="66185625">
      <w:pPr>
        <w:tabs>
          <w:tab w:val="left" w:pos="3870"/>
          <w:tab w:val="left" w:pos="4085"/>
        </w:tabs>
        <w:snapToGrid w:val="0"/>
        <w:spacing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3.报价是中标的一个重要因素，但最低报价不是中标的唯一依据。</w:t>
      </w:r>
    </w:p>
    <w:p w14:paraId="3E453585">
      <w:pPr>
        <w:pStyle w:val="19"/>
        <w:adjustRightInd w:val="0"/>
        <w:snapToGri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（二）商务技术部分的评分标准（70分）</w:t>
      </w:r>
    </w:p>
    <w:tbl>
      <w:tblPr>
        <w:tblStyle w:val="32"/>
        <w:tblpPr w:leftFromText="180" w:rightFromText="180" w:vertAnchor="text" w:horzAnchor="page" w:tblpXSpec="center" w:tblpY="105"/>
        <w:tblOverlap w:val="never"/>
        <w:tblW w:w="5954"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Layout w:type="autofit"/>
        <w:tblCellMar>
          <w:top w:w="0" w:type="dxa"/>
          <w:left w:w="108" w:type="dxa"/>
          <w:bottom w:w="0" w:type="dxa"/>
          <w:right w:w="108" w:type="dxa"/>
        </w:tblCellMar>
      </w:tblPr>
      <w:tblGrid>
        <w:gridCol w:w="2206"/>
        <w:gridCol w:w="8342"/>
        <w:gridCol w:w="738"/>
      </w:tblGrid>
      <w:tr w14:paraId="63EA94F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08" w:hRule="atLeast"/>
          <w:jc w:val="center"/>
        </w:trPr>
        <w:tc>
          <w:tcPr>
            <w:tcW w:w="977" w:type="pct"/>
            <w:tcBorders>
              <w:tl2br w:val="nil"/>
              <w:tr2bl w:val="nil"/>
            </w:tcBorders>
            <w:shd w:val="clear" w:color="auto" w:fill="auto"/>
            <w:vAlign w:val="center"/>
          </w:tcPr>
          <w:p w14:paraId="6E9C28B2">
            <w:pPr>
              <w:shd w:val="clear"/>
              <w:snapToGrid w:val="0"/>
              <w:spacing w:before="120" w:beforeLines="50"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评分项目</w:t>
            </w:r>
          </w:p>
        </w:tc>
        <w:tc>
          <w:tcPr>
            <w:tcW w:w="3695" w:type="pct"/>
            <w:tcBorders>
              <w:tl2br w:val="nil"/>
              <w:tr2bl w:val="nil"/>
            </w:tcBorders>
            <w:shd w:val="clear" w:color="auto" w:fill="auto"/>
            <w:vAlign w:val="center"/>
          </w:tcPr>
          <w:p w14:paraId="6EEF09E0">
            <w:pPr>
              <w:shd w:val="clear"/>
              <w:snapToGrid w:val="0"/>
              <w:spacing w:before="120" w:beforeLines="50"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投标文件对应资料</w:t>
            </w:r>
          </w:p>
        </w:tc>
        <w:tc>
          <w:tcPr>
            <w:tcW w:w="327" w:type="pct"/>
            <w:tcBorders>
              <w:tl2br w:val="nil"/>
              <w:tr2bl w:val="nil"/>
            </w:tcBorders>
            <w:shd w:val="clear" w:color="auto" w:fill="auto"/>
            <w:vAlign w:val="center"/>
          </w:tcPr>
          <w:p w14:paraId="5AA89B16">
            <w:pPr>
              <w:shd w:val="clear"/>
              <w:snapToGrid w:val="0"/>
              <w:spacing w:before="120" w:beforeLines="50"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分值</w:t>
            </w:r>
          </w:p>
        </w:tc>
      </w:tr>
      <w:tr w14:paraId="0A53D0A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353414A9">
            <w:pPr>
              <w:shd w:val="clear"/>
              <w:spacing w:line="24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企业业绩</w:t>
            </w:r>
          </w:p>
        </w:tc>
        <w:tc>
          <w:tcPr>
            <w:tcW w:w="3695" w:type="pct"/>
            <w:tcBorders>
              <w:tl2br w:val="nil"/>
              <w:tr2bl w:val="nil"/>
            </w:tcBorders>
            <w:shd w:val="clear" w:color="auto" w:fill="auto"/>
            <w:vAlign w:val="center"/>
          </w:tcPr>
          <w:p w14:paraId="31A0BD1C">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投标人自2021年1月1日以来（以签订合同时间为准），具有类似项目业绩，每个得1分，最高得3分。</w:t>
            </w:r>
          </w:p>
          <w:p w14:paraId="3DCCAEBA">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注：中标通知书、合同及竣工报告扫描件加盖公章，未提供不得分。</w:t>
            </w:r>
          </w:p>
        </w:tc>
        <w:tc>
          <w:tcPr>
            <w:tcW w:w="327" w:type="pct"/>
            <w:tcBorders>
              <w:tl2br w:val="nil"/>
              <w:tr2bl w:val="nil"/>
            </w:tcBorders>
            <w:shd w:val="clear" w:color="auto" w:fill="auto"/>
            <w:vAlign w:val="center"/>
          </w:tcPr>
          <w:p w14:paraId="0A37C362">
            <w:pPr>
              <w:shd w:val="clear"/>
              <w:snapToGrid w:val="0"/>
              <w:spacing w:before="120" w:beforeLines="50"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r>
      <w:tr w14:paraId="039A24D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0E802FC6">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保证项目实施的技术力量和人力资源安排</w:t>
            </w:r>
          </w:p>
        </w:tc>
        <w:tc>
          <w:tcPr>
            <w:tcW w:w="3695" w:type="pct"/>
            <w:tcBorders>
              <w:tl2br w:val="nil"/>
              <w:tr2bl w:val="nil"/>
            </w:tcBorders>
            <w:shd w:val="clear" w:color="auto" w:fill="auto"/>
            <w:vAlign w:val="center"/>
          </w:tcPr>
          <w:p w14:paraId="415A0E48">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拟派的项目负责人同时具备机电工程专业二级及以上建造师（具有B证）和中级工程师职称及以上的得3分。</w:t>
            </w:r>
          </w:p>
          <w:p w14:paraId="2187E1FB">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（2）实施人员中有设备施工员、安全员、设备质量员、资料员、标准员、机械员、劳务员，配备齐全得5分，缺一人不得分。</w:t>
            </w:r>
          </w:p>
          <w:p w14:paraId="5E201544">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注：一人多证的按一个证计算。拟派的项目负责人及实施人员证明材料为相关证书及在投标人企业交纳近三个月的社保证明扫描件加盖公章，未提供不得分。</w:t>
            </w:r>
          </w:p>
        </w:tc>
        <w:tc>
          <w:tcPr>
            <w:tcW w:w="327" w:type="pct"/>
            <w:tcBorders>
              <w:tl2br w:val="nil"/>
              <w:tr2bl w:val="nil"/>
            </w:tcBorders>
            <w:shd w:val="clear" w:color="auto" w:fill="auto"/>
            <w:vAlign w:val="center"/>
          </w:tcPr>
          <w:p w14:paraId="5B9BA0FE">
            <w:pPr>
              <w:shd w:val="clear"/>
              <w:snapToGrid w:val="0"/>
              <w:spacing w:before="120" w:beforeLines="50" w:line="240" w:lineRule="auto"/>
              <w:ind w:left="43"/>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r>
      <w:tr w14:paraId="1B85FD8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4552ED41">
            <w:pPr>
              <w:shd w:val="clear"/>
              <w:spacing w:line="240" w:lineRule="auto"/>
              <w:jc w:val="center"/>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项目理解程度</w:t>
            </w:r>
          </w:p>
        </w:tc>
        <w:tc>
          <w:tcPr>
            <w:tcW w:w="3695" w:type="pct"/>
            <w:tcBorders>
              <w:tl2br w:val="nil"/>
              <w:tr2bl w:val="nil"/>
            </w:tcBorders>
            <w:shd w:val="clear" w:color="auto" w:fill="auto"/>
            <w:vAlign w:val="center"/>
          </w:tcPr>
          <w:p w14:paraId="1016D254">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针对本项目内容，是否充分了解施工场地、实施内容等（提供相关说明或佐证材料）。</w:t>
            </w:r>
          </w:p>
          <w:p w14:paraId="663D0266">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充分了解得3-5分，基本了解得2-2.9分，不太了解得0-1.9分。</w:t>
            </w:r>
          </w:p>
        </w:tc>
        <w:tc>
          <w:tcPr>
            <w:tcW w:w="327" w:type="pct"/>
            <w:tcBorders>
              <w:tl2br w:val="nil"/>
              <w:tr2bl w:val="nil"/>
            </w:tcBorders>
            <w:shd w:val="clear" w:color="auto" w:fill="auto"/>
            <w:vAlign w:val="center"/>
          </w:tcPr>
          <w:p w14:paraId="58158D20">
            <w:pPr>
              <w:shd w:val="clear"/>
              <w:snapToGrid w:val="0"/>
              <w:spacing w:before="120" w:beforeLines="50" w:line="240" w:lineRule="auto"/>
              <w:ind w:left="43"/>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5ECC15C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37404CAC">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重点难点分析及解决方案</w:t>
            </w:r>
          </w:p>
        </w:tc>
        <w:tc>
          <w:tcPr>
            <w:tcW w:w="3695" w:type="pct"/>
            <w:tcBorders>
              <w:tl2br w:val="nil"/>
              <w:tr2bl w:val="nil"/>
            </w:tcBorders>
            <w:shd w:val="clear" w:color="auto" w:fill="auto"/>
            <w:vAlign w:val="center"/>
          </w:tcPr>
          <w:p w14:paraId="1B45ABD1">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根据供应商提供的针对本项目情况找准关键点、并提出切实可行的特殊控制措施的科学性、有效性、可行性、合理性综合评分，本项0-7分。</w:t>
            </w:r>
          </w:p>
        </w:tc>
        <w:tc>
          <w:tcPr>
            <w:tcW w:w="327" w:type="pct"/>
            <w:tcBorders>
              <w:tl2br w:val="nil"/>
              <w:tr2bl w:val="nil"/>
            </w:tcBorders>
            <w:shd w:val="clear" w:color="auto" w:fill="auto"/>
            <w:vAlign w:val="center"/>
          </w:tcPr>
          <w:p w14:paraId="76ABD9D3">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r>
      <w:tr w14:paraId="193DF2F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462B8599">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施工技术方案及关键部位技术措施</w:t>
            </w:r>
          </w:p>
        </w:tc>
        <w:tc>
          <w:tcPr>
            <w:tcW w:w="3695" w:type="pct"/>
            <w:tcBorders>
              <w:tl2br w:val="nil"/>
              <w:tr2bl w:val="nil"/>
            </w:tcBorders>
            <w:shd w:val="clear" w:color="auto" w:fill="auto"/>
            <w:vAlign w:val="center"/>
          </w:tcPr>
          <w:p w14:paraId="4754EC55">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根据投标人的施工方案及关键部位技术措施编制合理、清晰、施工技术方案中编制依据、技术措施等完全符合本项目、关键部位技术措施内容详尽等情况进行综合评分，本项0-7分。</w:t>
            </w:r>
          </w:p>
        </w:tc>
        <w:tc>
          <w:tcPr>
            <w:tcW w:w="327" w:type="pct"/>
            <w:tcBorders>
              <w:tl2br w:val="nil"/>
              <w:tr2bl w:val="nil"/>
            </w:tcBorders>
            <w:shd w:val="clear" w:color="auto" w:fill="auto"/>
            <w:vAlign w:val="center"/>
          </w:tcPr>
          <w:p w14:paraId="2287F3A4">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r>
      <w:tr w14:paraId="376BEBE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5326E693">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工程质量保证措施</w:t>
            </w:r>
          </w:p>
        </w:tc>
        <w:tc>
          <w:tcPr>
            <w:tcW w:w="3695" w:type="pct"/>
            <w:tcBorders>
              <w:tl2br w:val="nil"/>
              <w:tr2bl w:val="nil"/>
            </w:tcBorders>
            <w:shd w:val="clear" w:color="auto" w:fill="auto"/>
            <w:vAlign w:val="center"/>
          </w:tcPr>
          <w:p w14:paraId="58459FAB">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根据投标人的工程质量保证措施（如明确的质量目标、施工质量管理体系、质量控制计划、现场质量检查措施）编制合理有效、符合实际及项目需求进行综合评分，本项0-7分。</w:t>
            </w:r>
          </w:p>
        </w:tc>
        <w:tc>
          <w:tcPr>
            <w:tcW w:w="327" w:type="pct"/>
            <w:tcBorders>
              <w:tl2br w:val="nil"/>
              <w:tr2bl w:val="nil"/>
            </w:tcBorders>
            <w:shd w:val="clear" w:color="auto" w:fill="auto"/>
            <w:vAlign w:val="center"/>
          </w:tcPr>
          <w:p w14:paraId="5288348F">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r>
      <w:tr w14:paraId="4FA5BB5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0A21A920">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保证工期和施工进度的方案和措施</w:t>
            </w:r>
          </w:p>
        </w:tc>
        <w:tc>
          <w:tcPr>
            <w:tcW w:w="3695" w:type="pct"/>
            <w:tcBorders>
              <w:tl2br w:val="nil"/>
              <w:tr2bl w:val="nil"/>
            </w:tcBorders>
            <w:shd w:val="clear" w:color="auto" w:fill="auto"/>
            <w:vAlign w:val="center"/>
          </w:tcPr>
          <w:p w14:paraId="0652B70F">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根据投标人的保证施工进度的方案和措施：提供项目实施计划表、进度表、周期详细计划、具体措施等进行综合评分，本项0-7分。</w:t>
            </w:r>
          </w:p>
        </w:tc>
        <w:tc>
          <w:tcPr>
            <w:tcW w:w="327" w:type="pct"/>
            <w:tcBorders>
              <w:tl2br w:val="nil"/>
              <w:tr2bl w:val="nil"/>
            </w:tcBorders>
            <w:shd w:val="clear" w:color="auto" w:fill="auto"/>
            <w:vAlign w:val="center"/>
          </w:tcPr>
          <w:p w14:paraId="3C61D677">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r>
      <w:tr w14:paraId="59D7B2B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14D95C67">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保证安全和文明施工的方案和措施</w:t>
            </w:r>
          </w:p>
        </w:tc>
        <w:tc>
          <w:tcPr>
            <w:tcW w:w="3695" w:type="pct"/>
            <w:tcBorders>
              <w:tl2br w:val="nil"/>
              <w:tr2bl w:val="nil"/>
            </w:tcBorders>
            <w:shd w:val="clear" w:color="auto" w:fill="auto"/>
            <w:vAlign w:val="center"/>
          </w:tcPr>
          <w:p w14:paraId="2975004D">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根据投标人提出的针对安全生产、设备保护的安全、文明施工保障措施等内容进行综合评分，本项0-7分。</w:t>
            </w:r>
          </w:p>
        </w:tc>
        <w:tc>
          <w:tcPr>
            <w:tcW w:w="327" w:type="pct"/>
            <w:tcBorders>
              <w:tl2br w:val="nil"/>
              <w:tr2bl w:val="nil"/>
            </w:tcBorders>
            <w:shd w:val="clear" w:color="auto" w:fill="auto"/>
            <w:vAlign w:val="center"/>
          </w:tcPr>
          <w:p w14:paraId="75714509">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r>
      <w:tr w14:paraId="621EC49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90" w:hRule="atLeast"/>
          <w:jc w:val="center"/>
        </w:trPr>
        <w:tc>
          <w:tcPr>
            <w:tcW w:w="977" w:type="pct"/>
            <w:tcBorders>
              <w:tl2br w:val="nil"/>
              <w:tr2bl w:val="nil"/>
            </w:tcBorders>
            <w:shd w:val="clear" w:color="auto" w:fill="auto"/>
            <w:vAlign w:val="center"/>
          </w:tcPr>
          <w:p w14:paraId="02C2B447">
            <w:pPr>
              <w:widowControl/>
              <w:shd w:val="clear"/>
              <w:spacing w:line="240" w:lineRule="auto"/>
              <w:jc w:val="center"/>
              <w:rPr>
                <w:rFonts w:hint="eastAsia" w:asciiTheme="minorEastAsia" w:hAnsiTheme="minorEastAsia" w:eastAsiaTheme="minorEastAsia" w:cstheme="minorEastAsia"/>
                <w:b w:val="0"/>
                <w:color w:val="000000"/>
                <w:kern w:val="2"/>
                <w:sz w:val="24"/>
                <w:szCs w:val="24"/>
                <w:highlight w:val="none"/>
                <w:lang w:val="en-US" w:eastAsia="zh-CN" w:bidi="ar-SA"/>
              </w:rPr>
            </w:pPr>
            <w:r>
              <w:rPr>
                <w:rFonts w:hint="eastAsia" w:asciiTheme="minorEastAsia" w:hAnsiTheme="minorEastAsia" w:eastAsiaTheme="minorEastAsia" w:cstheme="minorEastAsia"/>
                <w:b w:val="0"/>
                <w:color w:val="000000"/>
                <w:sz w:val="24"/>
                <w:szCs w:val="24"/>
                <w:highlight w:val="none"/>
                <w:lang w:val="en-US" w:eastAsia="zh-CN"/>
              </w:rPr>
              <w:t>突发事件应急预案</w:t>
            </w:r>
          </w:p>
        </w:tc>
        <w:tc>
          <w:tcPr>
            <w:tcW w:w="3695" w:type="pct"/>
            <w:tcBorders>
              <w:tl2br w:val="nil"/>
              <w:tr2bl w:val="nil"/>
            </w:tcBorders>
            <w:shd w:val="clear" w:color="auto" w:fill="auto"/>
            <w:vAlign w:val="top"/>
          </w:tcPr>
          <w:p w14:paraId="1B1F8DC8">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根据投标人建立运行服务保障应急预案，方案对于项目实施可能遇到的问题考虑全面，应对措施是否具有全面、合理、有效等情况进行综合评分，本项0-6分。</w:t>
            </w:r>
          </w:p>
        </w:tc>
        <w:tc>
          <w:tcPr>
            <w:tcW w:w="327" w:type="pct"/>
            <w:tcBorders>
              <w:tl2br w:val="nil"/>
              <w:tr2bl w:val="nil"/>
            </w:tcBorders>
            <w:shd w:val="clear" w:color="auto" w:fill="auto"/>
            <w:vAlign w:val="center"/>
          </w:tcPr>
          <w:p w14:paraId="603746BA">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r>
      <w:tr w14:paraId="0E16EA7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3" w:hRule="atLeast"/>
          <w:jc w:val="center"/>
        </w:trPr>
        <w:tc>
          <w:tcPr>
            <w:tcW w:w="977" w:type="pct"/>
            <w:tcBorders>
              <w:tl2br w:val="nil"/>
              <w:tr2bl w:val="nil"/>
            </w:tcBorders>
            <w:shd w:val="clear" w:color="auto" w:fill="auto"/>
            <w:vAlign w:val="center"/>
          </w:tcPr>
          <w:p w14:paraId="6A44CEED">
            <w:pP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rPr>
              <w:t>对本项目各系统的合理化建议</w:t>
            </w:r>
          </w:p>
        </w:tc>
        <w:tc>
          <w:tcPr>
            <w:tcW w:w="3695" w:type="pct"/>
            <w:tcBorders>
              <w:tl2br w:val="nil"/>
              <w:tr2bl w:val="nil"/>
            </w:tcBorders>
            <w:shd w:val="clear" w:color="auto" w:fill="auto"/>
            <w:vAlign w:val="center"/>
          </w:tcPr>
          <w:p w14:paraId="25E356E8">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根据投标人提供的合理化建议方案（在原则上响应采购人的采购需求基础上，可提出更优于采购需求的合理化建议方案）综合打分0-5分。</w:t>
            </w:r>
          </w:p>
        </w:tc>
        <w:tc>
          <w:tcPr>
            <w:tcW w:w="327" w:type="pct"/>
            <w:tcBorders>
              <w:tl2br w:val="nil"/>
              <w:tr2bl w:val="nil"/>
            </w:tcBorders>
            <w:shd w:val="clear" w:color="auto" w:fill="auto"/>
            <w:vAlign w:val="center"/>
          </w:tcPr>
          <w:p w14:paraId="15277544">
            <w:pPr>
              <w:shd w:val="clear"/>
              <w:snapToGrid w:val="0"/>
              <w:spacing w:before="120" w:beforeLines="50"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14:paraId="3BFADC3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10" w:hRule="atLeast"/>
          <w:jc w:val="center"/>
        </w:trPr>
        <w:tc>
          <w:tcPr>
            <w:tcW w:w="977" w:type="pct"/>
            <w:tcBorders>
              <w:tl2br w:val="nil"/>
              <w:tr2bl w:val="nil"/>
            </w:tcBorders>
            <w:shd w:val="clear" w:color="auto" w:fill="auto"/>
            <w:vAlign w:val="center"/>
          </w:tcPr>
          <w:p w14:paraId="3DE76D80">
            <w:pP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rPr>
              <w:t>售后服务</w:t>
            </w:r>
          </w:p>
        </w:tc>
        <w:tc>
          <w:tcPr>
            <w:tcW w:w="3695" w:type="pct"/>
            <w:tcBorders>
              <w:tl2br w:val="nil"/>
              <w:tr2bl w:val="nil"/>
            </w:tcBorders>
            <w:shd w:val="clear" w:color="auto" w:fill="auto"/>
            <w:vAlign w:val="center"/>
          </w:tcPr>
          <w:p w14:paraId="070CC7F2">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详细描述服务质量管理、质量保证的实施体系及措施，根据体系和措施的完整性进行评分，本项0-2分。</w:t>
            </w:r>
          </w:p>
          <w:p w14:paraId="534F1A4C">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具有GB/T27922-2011标准规定的五星级要求的售后服务认证证书</w:t>
            </w:r>
          </w:p>
          <w:p w14:paraId="0AC02A86">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的2分。</w:t>
            </w:r>
          </w:p>
          <w:p w14:paraId="61CA919C">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具有售后服务管理师资格证书得1分。</w:t>
            </w:r>
          </w:p>
          <w:p w14:paraId="283CFB26">
            <w:p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证明材料为相关证书及在投标人企业交纳近三个月的社保证明扫描件加盖公章，否未提供不得分。</w:t>
            </w:r>
          </w:p>
        </w:tc>
        <w:tc>
          <w:tcPr>
            <w:tcW w:w="327" w:type="pct"/>
            <w:tcBorders>
              <w:tl2br w:val="nil"/>
              <w:tr2bl w:val="nil"/>
            </w:tcBorders>
            <w:shd w:val="clear" w:color="auto" w:fill="auto"/>
            <w:vAlign w:val="center"/>
          </w:tcPr>
          <w:p w14:paraId="3C81AA85">
            <w:pPr>
              <w:adjustRightInd w:val="0"/>
              <w:snapToGrid w:val="0"/>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14:paraId="5D5622F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2" w:hRule="atLeast"/>
          <w:jc w:val="center"/>
        </w:trPr>
        <w:tc>
          <w:tcPr>
            <w:tcW w:w="977" w:type="pct"/>
            <w:tcBorders>
              <w:tl2br w:val="nil"/>
              <w:tr2bl w:val="nil"/>
            </w:tcBorders>
            <w:shd w:val="clear" w:color="auto" w:fill="auto"/>
            <w:vAlign w:val="center"/>
          </w:tcPr>
          <w:p w14:paraId="062551DB">
            <w:pPr>
              <w:shd w:val="clear"/>
              <w:spacing w:line="240" w:lineRule="auto"/>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维修响应</w:t>
            </w:r>
            <w:r>
              <w:rPr>
                <w:rFonts w:hint="eastAsia" w:asciiTheme="minorEastAsia" w:hAnsiTheme="minorEastAsia" w:eastAsiaTheme="minorEastAsia" w:cstheme="minorEastAsia"/>
                <w:bCs/>
                <w:sz w:val="24"/>
                <w:szCs w:val="24"/>
                <w:highlight w:val="none"/>
                <w:lang w:eastAsia="zh-CN"/>
              </w:rPr>
              <w:t>承诺</w:t>
            </w:r>
          </w:p>
        </w:tc>
        <w:tc>
          <w:tcPr>
            <w:tcW w:w="3695" w:type="pct"/>
            <w:tcBorders>
              <w:tl2br w:val="nil"/>
              <w:tr2bl w:val="nil"/>
            </w:tcBorders>
            <w:shd w:val="clear" w:color="auto" w:fill="auto"/>
            <w:vAlign w:val="center"/>
          </w:tcPr>
          <w:p w14:paraId="7D92C430">
            <w:pPr>
              <w:pStyle w:val="24"/>
              <w:spacing w:beforeLines="0" w:afterLines="0" w:line="240" w:lineRule="auto"/>
              <w:ind w:firstLine="0" w:firstLineChars="0"/>
              <w:rPr>
                <w:rFonts w:hint="eastAsia" w:asciiTheme="minorEastAsia" w:hAnsiTheme="minorEastAsia" w:eastAsiaTheme="minorEastAsia" w:cstheme="minorEastAsia"/>
                <w:kern w:val="2"/>
                <w:sz w:val="24"/>
                <w:szCs w:val="24"/>
                <w:lang w:val="en-US" w:eastAsia="zh-CN" w:bidi="ar-SA"/>
              </w:rPr>
            </w:pPr>
            <w:bookmarkStart w:id="73" w:name="_GoBack"/>
            <w:r>
              <w:rPr>
                <w:rFonts w:hint="eastAsia" w:asciiTheme="minorEastAsia" w:hAnsiTheme="minorEastAsia" w:eastAsiaTheme="minorEastAsia" w:cstheme="minorEastAsia"/>
                <w:kern w:val="2"/>
                <w:sz w:val="24"/>
                <w:szCs w:val="24"/>
                <w:lang w:val="en-US" w:eastAsia="zh-CN" w:bidi="ar-SA"/>
              </w:rPr>
              <w:t>承诺接到采购人保修通知后1小时内到现场维修的，得3分；1.5小时内响应并到现场维修的 ，得2分；2小时内响应并到现场维修的，得1分。注：提供上述内容的承诺，否则不得分。</w:t>
            </w:r>
            <w:bookmarkEnd w:id="73"/>
          </w:p>
        </w:tc>
        <w:tc>
          <w:tcPr>
            <w:tcW w:w="327" w:type="pct"/>
            <w:tcBorders>
              <w:tl2br w:val="nil"/>
              <w:tr2bl w:val="nil"/>
            </w:tcBorders>
            <w:shd w:val="clear" w:color="auto" w:fill="auto"/>
            <w:vAlign w:val="center"/>
          </w:tcPr>
          <w:p w14:paraId="4909A7B1">
            <w:pPr>
              <w:shd w:val="clear"/>
              <w:snapToGrid w:val="0"/>
              <w:spacing w:before="120" w:beforeLines="50" w:line="240" w:lineRule="auto"/>
              <w:ind w:left="43"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r>
    </w:tbl>
    <w:p w14:paraId="5B8CD68A">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14:paraId="69AD7051">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627A8D17">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023793D3">
      <w:pPr>
        <w:spacing w:line="360" w:lineRule="auto"/>
        <w:ind w:left="87" w:right="172"/>
        <w:jc w:val="center"/>
        <w:rPr>
          <w:b/>
          <w:sz w:val="72"/>
        </w:rPr>
        <w:sectPr>
          <w:pgSz w:w="11910" w:h="16840"/>
          <w:pgMar w:top="1134" w:right="1344" w:bottom="1134" w:left="1304" w:header="0" w:footer="993" w:gutter="0"/>
          <w:cols w:space="0" w:num="1"/>
        </w:sectPr>
      </w:pPr>
    </w:p>
    <w:p w14:paraId="106B4DE4">
      <w:pPr>
        <w:pStyle w:val="124"/>
        <w:spacing w:before="0"/>
        <w:ind w:firstLine="320" w:firstLineChars="100"/>
        <w:jc w:val="center"/>
        <w:rPr>
          <w:rFonts w:ascii="宋体" w:hAnsi="宋体"/>
          <w:sz w:val="32"/>
          <w:szCs w:val="32"/>
        </w:rPr>
      </w:pPr>
      <w:r>
        <w:rPr>
          <w:rFonts w:hint="eastAsia" w:ascii="宋体" w:hAnsi="宋体"/>
          <w:sz w:val="32"/>
          <w:szCs w:val="32"/>
        </w:rPr>
        <w:t>第五章采购合同（范本）</w:t>
      </w:r>
    </w:p>
    <w:p w14:paraId="09761BF0">
      <w:pPr>
        <w:pStyle w:val="124"/>
        <w:spacing w:before="0"/>
        <w:ind w:firstLineChars="0"/>
        <w:jc w:val="center"/>
        <w:rPr>
          <w:rFonts w:ascii="Times New Roman" w:hAnsi="Times New Roman"/>
        </w:rPr>
      </w:pPr>
      <w:r>
        <w:rPr>
          <w:rFonts w:ascii="Times New Roman" w:hAnsi="Times New Roman"/>
        </w:rPr>
        <w:t xml:space="preserve">  （具体文本以实际签署的为准）</w:t>
      </w:r>
    </w:p>
    <w:p w14:paraId="0AFFD080">
      <w:pPr>
        <w:pStyle w:val="124"/>
        <w:spacing w:before="0"/>
        <w:ind w:firstLine="0" w:firstLineChars="0"/>
        <w:jc w:val="left"/>
        <w:rPr>
          <w:rFonts w:hAnsi="宋体" w:cs="宋体"/>
        </w:rPr>
      </w:pPr>
      <w:r>
        <w:rPr>
          <w:rFonts w:hint="eastAsia" w:hAnsi="宋体" w:cs="宋体"/>
        </w:rPr>
        <w:t xml:space="preserve">项目名称：                                       </w:t>
      </w:r>
    </w:p>
    <w:p w14:paraId="3E0EE4F8">
      <w:pPr>
        <w:pStyle w:val="19"/>
        <w:snapToGrid w:val="0"/>
        <w:spacing w:line="360" w:lineRule="auto"/>
        <w:rPr>
          <w:rFonts w:hAnsi="宋体" w:cs="宋体"/>
          <w:sz w:val="24"/>
        </w:rPr>
      </w:pPr>
      <w:r>
        <w:rPr>
          <w:rFonts w:hint="eastAsia" w:hAnsi="宋体" w:cs="宋体"/>
          <w:sz w:val="24"/>
        </w:rPr>
        <w:t>项目编号：</w:t>
      </w:r>
    </w:p>
    <w:p w14:paraId="4335DABD">
      <w:pPr>
        <w:pStyle w:val="19"/>
        <w:snapToGrid w:val="0"/>
        <w:spacing w:line="360" w:lineRule="auto"/>
        <w:rPr>
          <w:rFonts w:hAnsi="宋体" w:cs="宋体"/>
          <w:sz w:val="24"/>
        </w:rPr>
      </w:pPr>
      <w:r>
        <w:rPr>
          <w:rFonts w:hint="eastAsia" w:hAnsi="宋体" w:cs="宋体"/>
          <w:sz w:val="24"/>
        </w:rPr>
        <w:t xml:space="preserve">甲方：（买方）                      </w:t>
      </w:r>
      <w:r>
        <w:rPr>
          <w:rFonts w:hint="eastAsia" w:hAnsi="宋体" w:cs="宋体"/>
          <w:color w:val="FF0000"/>
          <w:sz w:val="24"/>
        </w:rPr>
        <w:t xml:space="preserve">   </w:t>
      </w:r>
      <w:r>
        <w:rPr>
          <w:rFonts w:hint="eastAsia" w:hAnsi="宋体" w:cs="宋体"/>
          <w:sz w:val="24"/>
        </w:rPr>
        <w:t xml:space="preserve">          </w:t>
      </w:r>
    </w:p>
    <w:p w14:paraId="5460C401">
      <w:pPr>
        <w:pStyle w:val="19"/>
        <w:snapToGrid w:val="0"/>
        <w:spacing w:line="360" w:lineRule="auto"/>
        <w:rPr>
          <w:rFonts w:hAnsi="宋体" w:cs="宋体"/>
          <w:sz w:val="24"/>
        </w:rPr>
      </w:pPr>
      <w:r>
        <w:rPr>
          <w:rFonts w:hint="eastAsia" w:hAnsi="宋体" w:cs="宋体"/>
          <w:sz w:val="24"/>
        </w:rPr>
        <w:t>乙方：（卖方）</w:t>
      </w:r>
    </w:p>
    <w:p w14:paraId="0C72655E">
      <w:pPr>
        <w:pStyle w:val="19"/>
        <w:snapToGrid w:val="0"/>
        <w:spacing w:line="360" w:lineRule="auto"/>
        <w:ind w:firstLine="480" w:firstLineChars="200"/>
        <w:rPr>
          <w:rFonts w:hAnsi="宋体" w:cs="宋体"/>
          <w:b/>
          <w:sz w:val="24"/>
        </w:rPr>
      </w:pPr>
      <w:r>
        <w:rPr>
          <w:rFonts w:hint="eastAsia" w:hAnsi="宋体" w:cs="宋体"/>
          <w:sz w:val="24"/>
        </w:rPr>
        <w:t>甲、乙双方根据</w:t>
      </w:r>
      <w:r>
        <w:rPr>
          <w:rFonts w:hint="eastAsia" w:hAnsi="宋体" w:cs="宋体"/>
          <w:sz w:val="24"/>
          <w:u w:val="single"/>
        </w:rPr>
        <w:t xml:space="preserve">                            </w:t>
      </w:r>
      <w:r>
        <w:rPr>
          <w:rFonts w:hint="eastAsia" w:hAnsi="宋体" w:cs="宋体"/>
          <w:sz w:val="24"/>
        </w:rPr>
        <w:t>招标的结果，签署本合同。</w:t>
      </w:r>
    </w:p>
    <w:p w14:paraId="4196FD8E">
      <w:pPr>
        <w:pStyle w:val="19"/>
        <w:snapToGrid w:val="0"/>
        <w:spacing w:line="360" w:lineRule="auto"/>
        <w:rPr>
          <w:rFonts w:hAnsi="宋体" w:cs="宋体"/>
          <w:b/>
          <w:sz w:val="24"/>
        </w:rPr>
      </w:pPr>
      <w:r>
        <w:rPr>
          <w:rFonts w:hint="eastAsia" w:hAnsi="宋体" w:cs="宋体"/>
          <w:b/>
          <w:sz w:val="24"/>
        </w:rPr>
        <w:t>一、货物内容</w:t>
      </w:r>
    </w:p>
    <w:p w14:paraId="079CFD09">
      <w:pPr>
        <w:pStyle w:val="19"/>
        <w:snapToGrid w:val="0"/>
        <w:spacing w:line="360" w:lineRule="auto"/>
        <w:ind w:firstLine="480" w:firstLineChars="200"/>
        <w:rPr>
          <w:rFonts w:hAnsi="宋体" w:cs="宋体"/>
          <w:sz w:val="24"/>
        </w:rPr>
      </w:pPr>
      <w:r>
        <w:rPr>
          <w:rFonts w:hint="eastAsia" w:hAnsi="宋体" w:cs="宋体"/>
          <w:sz w:val="24"/>
        </w:rPr>
        <w:t xml:space="preserve">1. 货物名称：                         </w:t>
      </w:r>
    </w:p>
    <w:p w14:paraId="1A5B2E80">
      <w:pPr>
        <w:pStyle w:val="19"/>
        <w:snapToGrid w:val="0"/>
        <w:spacing w:line="360" w:lineRule="auto"/>
        <w:ind w:firstLine="480" w:firstLineChars="200"/>
        <w:rPr>
          <w:rFonts w:hAnsi="宋体" w:cs="宋体"/>
          <w:sz w:val="24"/>
        </w:rPr>
      </w:pPr>
      <w:r>
        <w:rPr>
          <w:rFonts w:hint="eastAsia" w:hAnsi="宋体" w:cs="宋体"/>
          <w:sz w:val="24"/>
        </w:rPr>
        <w:t>2. 型号规格：</w:t>
      </w:r>
    </w:p>
    <w:p w14:paraId="2ABDF96E">
      <w:pPr>
        <w:pStyle w:val="19"/>
        <w:snapToGrid w:val="0"/>
        <w:spacing w:line="360" w:lineRule="auto"/>
        <w:ind w:firstLine="480" w:firstLineChars="200"/>
        <w:rPr>
          <w:rFonts w:hAnsi="宋体" w:cs="宋体"/>
          <w:sz w:val="24"/>
        </w:rPr>
      </w:pPr>
      <w:r>
        <w:rPr>
          <w:rFonts w:hint="eastAsia" w:hAnsi="宋体" w:cs="宋体"/>
          <w:sz w:val="24"/>
        </w:rPr>
        <w:t xml:space="preserve">3. 技术参数：                         </w:t>
      </w:r>
    </w:p>
    <w:p w14:paraId="58E52AF2">
      <w:pPr>
        <w:pStyle w:val="19"/>
        <w:snapToGrid w:val="0"/>
        <w:spacing w:line="360" w:lineRule="auto"/>
        <w:ind w:firstLine="480" w:firstLineChars="200"/>
        <w:rPr>
          <w:rFonts w:hAnsi="宋体" w:cs="宋体"/>
          <w:sz w:val="24"/>
        </w:rPr>
      </w:pPr>
      <w:r>
        <w:rPr>
          <w:rFonts w:hint="eastAsia" w:hAnsi="宋体" w:cs="宋体"/>
          <w:sz w:val="24"/>
        </w:rPr>
        <w:t>4. 数量（单位）：</w:t>
      </w:r>
    </w:p>
    <w:p w14:paraId="79EACF80">
      <w:pPr>
        <w:pStyle w:val="19"/>
        <w:snapToGrid w:val="0"/>
        <w:spacing w:line="360" w:lineRule="auto"/>
        <w:rPr>
          <w:rFonts w:hAnsi="宋体" w:cs="宋体"/>
          <w:b/>
          <w:sz w:val="24"/>
        </w:rPr>
      </w:pPr>
      <w:r>
        <w:rPr>
          <w:rFonts w:hint="eastAsia" w:hAnsi="宋体" w:cs="宋体"/>
          <w:b/>
          <w:sz w:val="24"/>
        </w:rPr>
        <w:t>二、合同金额</w:t>
      </w:r>
    </w:p>
    <w:p w14:paraId="09065D0B">
      <w:pPr>
        <w:pStyle w:val="19"/>
        <w:snapToGrid w:val="0"/>
        <w:spacing w:line="360" w:lineRule="auto"/>
        <w:ind w:left="479" w:leftChars="228" w:firstLine="69" w:firstLineChars="29"/>
        <w:rPr>
          <w:rFonts w:hAnsi="宋体" w:cs="宋体"/>
          <w:sz w:val="24"/>
        </w:rPr>
      </w:pPr>
      <w:r>
        <w:rPr>
          <w:rFonts w:hint="eastAsia" w:hAnsi="宋体" w:cs="宋体"/>
          <w:sz w:val="24"/>
        </w:rPr>
        <w:t>本合同金额为（大写）：________元（￥_______元）人民币。</w:t>
      </w:r>
    </w:p>
    <w:p w14:paraId="75B393B3">
      <w:pPr>
        <w:pStyle w:val="19"/>
        <w:snapToGrid w:val="0"/>
        <w:spacing w:line="360" w:lineRule="auto"/>
        <w:rPr>
          <w:rFonts w:hAnsi="宋体" w:cs="宋体"/>
          <w:b/>
          <w:sz w:val="24"/>
        </w:rPr>
      </w:pPr>
      <w:r>
        <w:rPr>
          <w:rFonts w:hint="eastAsia" w:hAnsi="宋体" w:cs="宋体"/>
          <w:b/>
          <w:sz w:val="24"/>
        </w:rPr>
        <w:t>三、技术资料</w:t>
      </w:r>
    </w:p>
    <w:p w14:paraId="0CD40BF9">
      <w:pPr>
        <w:pStyle w:val="19"/>
        <w:snapToGrid w:val="0"/>
        <w:spacing w:line="360" w:lineRule="auto"/>
        <w:ind w:firstLine="480" w:firstLineChars="200"/>
        <w:rPr>
          <w:rFonts w:hAnsi="宋体" w:cs="宋体"/>
          <w:sz w:val="24"/>
        </w:rPr>
      </w:pPr>
      <w:r>
        <w:rPr>
          <w:rFonts w:hint="eastAsia" w:hAnsi="宋体" w:cs="宋体"/>
          <w:sz w:val="24"/>
        </w:rPr>
        <w:t>1.乙方应按招标文件规定的时间向甲方提供使用货物的有关技术资料。</w:t>
      </w:r>
    </w:p>
    <w:p w14:paraId="6E8D4351">
      <w:pPr>
        <w:snapToGrid w:val="0"/>
        <w:spacing w:line="360" w:lineRule="auto"/>
        <w:ind w:firstLine="480" w:firstLineChars="200"/>
        <w:rPr>
          <w:rFonts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5BDA4B">
      <w:pPr>
        <w:pStyle w:val="19"/>
        <w:snapToGrid w:val="0"/>
        <w:spacing w:line="360" w:lineRule="auto"/>
        <w:ind w:left="412" w:hanging="412" w:hangingChars="171"/>
        <w:rPr>
          <w:rFonts w:hAnsi="宋体" w:cs="宋体"/>
          <w:b/>
          <w:sz w:val="24"/>
        </w:rPr>
      </w:pPr>
      <w:r>
        <w:rPr>
          <w:rFonts w:hint="eastAsia" w:hAnsi="宋体" w:cs="宋体"/>
          <w:b/>
          <w:sz w:val="24"/>
        </w:rPr>
        <w:t>四、知识产权</w:t>
      </w:r>
    </w:p>
    <w:p w14:paraId="01C6CB8A">
      <w:pPr>
        <w:pStyle w:val="19"/>
        <w:snapToGrid w:val="0"/>
        <w:spacing w:line="360" w:lineRule="auto"/>
        <w:ind w:firstLine="480" w:firstLineChars="200"/>
        <w:rPr>
          <w:rFonts w:hAnsi="宋体" w:cs="宋体"/>
          <w:bCs/>
          <w:sz w:val="24"/>
        </w:rPr>
      </w:pPr>
      <w:r>
        <w:rPr>
          <w:rFonts w:hint="eastAsia" w:hAnsi="宋体" w:cs="宋体"/>
          <w:sz w:val="24"/>
        </w:rPr>
        <w:t>乙方应保证所提供的货物或其任何一部分均不会侵犯任何第三方的知识产权</w:t>
      </w:r>
      <w:r>
        <w:rPr>
          <w:rFonts w:hint="eastAsia" w:hAnsi="宋体" w:cs="宋体"/>
          <w:bCs/>
          <w:sz w:val="24"/>
        </w:rPr>
        <w:t>。</w:t>
      </w:r>
    </w:p>
    <w:p w14:paraId="237D859D">
      <w:pPr>
        <w:pStyle w:val="19"/>
        <w:snapToGrid w:val="0"/>
        <w:spacing w:line="360" w:lineRule="auto"/>
        <w:rPr>
          <w:rFonts w:hAnsi="宋体" w:cs="宋体"/>
          <w:sz w:val="24"/>
          <w:u w:val="single"/>
        </w:rPr>
      </w:pPr>
      <w:r>
        <w:rPr>
          <w:rFonts w:hint="eastAsia" w:hAnsi="宋体" w:cs="宋体"/>
          <w:b/>
          <w:sz w:val="24"/>
        </w:rPr>
        <w:t>五、产权担保</w:t>
      </w:r>
    </w:p>
    <w:p w14:paraId="196642C9">
      <w:pPr>
        <w:pStyle w:val="19"/>
        <w:snapToGrid w:val="0"/>
        <w:spacing w:line="360" w:lineRule="auto"/>
        <w:ind w:firstLine="480" w:firstLineChars="200"/>
        <w:rPr>
          <w:rFonts w:hAnsi="宋体" w:cs="宋体"/>
          <w:sz w:val="24"/>
        </w:rPr>
      </w:pPr>
      <w:r>
        <w:rPr>
          <w:rFonts w:hint="eastAsia" w:hAnsi="宋体" w:cs="宋体"/>
          <w:sz w:val="24"/>
        </w:rPr>
        <w:t>乙方保证所交付的货物的所有权完全属于乙方且无任何抵押、查封等产权瑕疵。</w:t>
      </w:r>
    </w:p>
    <w:p w14:paraId="76B2EB76">
      <w:pPr>
        <w:pStyle w:val="19"/>
        <w:widowControl/>
        <w:numPr>
          <w:ilvl w:val="0"/>
          <w:numId w:val="13"/>
        </w:numPr>
        <w:snapToGrid w:val="0"/>
        <w:spacing w:line="360" w:lineRule="auto"/>
        <w:ind w:left="410" w:hanging="410" w:hangingChars="170"/>
        <w:rPr>
          <w:rFonts w:hAnsi="宋体" w:cs="宋体"/>
          <w:b/>
          <w:sz w:val="24"/>
        </w:rPr>
      </w:pPr>
      <w:r>
        <w:rPr>
          <w:rFonts w:hint="eastAsia" w:hAnsi="宋体" w:cs="宋体"/>
          <w:b/>
          <w:sz w:val="24"/>
        </w:rPr>
        <w:t>履约保证金</w:t>
      </w:r>
    </w:p>
    <w:p w14:paraId="2DCC9BED">
      <w:pPr>
        <w:spacing w:line="360" w:lineRule="auto"/>
        <w:ind w:firstLine="480" w:firstLineChars="200"/>
      </w:pPr>
      <w:r>
        <w:rPr>
          <w:rFonts w:hint="eastAsia" w:ascii="宋体" w:hAnsi="宋体" w:cs="宋体"/>
          <w:sz w:val="24"/>
        </w:rPr>
        <w:t>签订合同时，中标人应向采购人交纳合同金额的</w:t>
      </w:r>
      <w:r>
        <w:rPr>
          <w:rFonts w:hint="eastAsia" w:ascii="宋体" w:hAnsi="宋体" w:cs="宋体"/>
          <w:sz w:val="24"/>
          <w:lang w:val="en-US" w:eastAsia="zh-CN"/>
        </w:rPr>
        <w:t>2</w:t>
      </w:r>
      <w:r>
        <w:rPr>
          <w:rFonts w:hint="eastAsia" w:ascii="宋体" w:hAnsi="宋体" w:cs="宋体"/>
          <w:sz w:val="24"/>
        </w:rPr>
        <w:t>%作为履约保证金。中标人应当以支票、汇票、本票或者金融机构、担保机构出具的保函等非现金形式提交。</w:t>
      </w:r>
      <w:r>
        <w:rPr>
          <w:rFonts w:hint="eastAsia" w:ascii="宋体" w:hAnsi="宋体"/>
          <w:sz w:val="24"/>
        </w:rPr>
        <w:t>验收合格之日起30天内无息退还（不计息）。</w:t>
      </w:r>
    </w:p>
    <w:p w14:paraId="3C3CD9A7">
      <w:pPr>
        <w:pStyle w:val="19"/>
        <w:snapToGrid w:val="0"/>
        <w:spacing w:line="360" w:lineRule="auto"/>
        <w:ind w:left="410" w:hanging="410" w:hangingChars="170"/>
        <w:rPr>
          <w:rFonts w:hAnsi="宋体" w:cs="宋体"/>
          <w:b/>
          <w:sz w:val="24"/>
        </w:rPr>
      </w:pPr>
      <w:r>
        <w:rPr>
          <w:rFonts w:hint="eastAsia" w:hAnsi="宋体" w:cs="宋体"/>
          <w:b/>
          <w:sz w:val="24"/>
        </w:rPr>
        <w:t>七、转包或分包</w:t>
      </w:r>
    </w:p>
    <w:p w14:paraId="5964DBC2">
      <w:pPr>
        <w:snapToGrid w:val="0"/>
        <w:spacing w:line="360" w:lineRule="auto"/>
        <w:ind w:firstLine="480" w:firstLineChars="200"/>
        <w:rPr>
          <w:rFonts w:ascii="宋体" w:hAnsi="宋体" w:cs="宋体"/>
          <w:sz w:val="24"/>
        </w:rPr>
      </w:pPr>
      <w:r>
        <w:rPr>
          <w:rFonts w:hint="eastAsia" w:ascii="宋体" w:hAnsi="宋体" w:cs="宋体"/>
          <w:sz w:val="24"/>
        </w:rPr>
        <w:t>1.本合同范围的货物，应由乙方直接供应，不得转让他人供应；</w:t>
      </w:r>
    </w:p>
    <w:p w14:paraId="4E94C8BF">
      <w:pPr>
        <w:snapToGrid w:val="0"/>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2.除非得到甲方的书面同意，乙方不得将本合同范围的货物全部或部分分包给他人供应；</w:t>
      </w:r>
    </w:p>
    <w:p w14:paraId="7A9F3078">
      <w:pPr>
        <w:snapToGrid w:val="0"/>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3.如有转让和未经甲方同意的分包行为，甲方有权解除合同，没收履约保证金并追究乙方的违约责任。因此给甲方造成损失的，由乙方全额赔偿。</w:t>
      </w:r>
    </w:p>
    <w:p w14:paraId="22E72C5B">
      <w:pPr>
        <w:pStyle w:val="19"/>
        <w:snapToGrid w:val="0"/>
        <w:spacing w:line="360" w:lineRule="auto"/>
        <w:rPr>
          <w:rFonts w:hAnsi="宋体" w:cs="宋体"/>
          <w:b/>
          <w:sz w:val="24"/>
        </w:rPr>
      </w:pPr>
      <w:r>
        <w:rPr>
          <w:rFonts w:hint="eastAsia" w:hAnsi="宋体" w:cs="宋体"/>
          <w:b/>
          <w:sz w:val="24"/>
        </w:rPr>
        <w:t>八、质保期和质保金</w:t>
      </w:r>
    </w:p>
    <w:p w14:paraId="6C048F66">
      <w:pPr>
        <w:adjustRightInd w:val="0"/>
        <w:spacing w:line="360" w:lineRule="auto"/>
        <w:ind w:firstLine="480" w:firstLineChars="200"/>
        <w:jc w:val="left"/>
        <w:rPr>
          <w:rFonts w:ascii="宋体" w:hAnsi="宋体" w:cs="宋体"/>
          <w:sz w:val="24"/>
        </w:rPr>
      </w:pPr>
      <w:r>
        <w:rPr>
          <w:rFonts w:hint="eastAsia" w:ascii="宋体" w:hAnsi="宋体" w:cs="宋体"/>
          <w:sz w:val="24"/>
        </w:rPr>
        <w:t>1.质保期</w:t>
      </w:r>
      <w:r>
        <w:rPr>
          <w:rFonts w:hint="eastAsia" w:ascii="宋体" w:hAnsi="宋体" w:cs="宋体"/>
          <w:sz w:val="24"/>
          <w:u w:val="single"/>
        </w:rPr>
        <w:t xml:space="preserve">      </w:t>
      </w:r>
      <w:r>
        <w:rPr>
          <w:rFonts w:hint="eastAsia" w:ascii="宋体" w:hAnsi="宋体" w:cs="宋体"/>
          <w:sz w:val="24"/>
        </w:rPr>
        <w:t>年。（自交货验收合格之日起计）</w:t>
      </w:r>
    </w:p>
    <w:p w14:paraId="1494E6F6">
      <w:pPr>
        <w:adjustRightInd w:val="0"/>
        <w:spacing w:line="360" w:lineRule="auto"/>
        <w:ind w:firstLine="480" w:firstLineChars="200"/>
        <w:jc w:val="left"/>
        <w:rPr>
          <w:rFonts w:ascii="宋体" w:hAnsi="宋体" w:cs="宋体"/>
          <w:b/>
          <w:color w:val="000000"/>
          <w:sz w:val="24"/>
        </w:rPr>
      </w:pPr>
      <w:r>
        <w:rPr>
          <w:rFonts w:hint="eastAsia" w:ascii="宋体" w:hAnsi="宋体" w:cs="宋体"/>
          <w:sz w:val="24"/>
        </w:rPr>
        <w:t>2.质保金</w:t>
      </w:r>
      <w:r>
        <w:rPr>
          <w:rFonts w:hint="eastAsia" w:hAnsi="宋体" w:cs="宋体"/>
          <w:sz w:val="24"/>
          <w:u w:val="single"/>
        </w:rPr>
        <w:t xml:space="preserve">      </w:t>
      </w:r>
      <w:r>
        <w:rPr>
          <w:rFonts w:hint="eastAsia" w:hAnsi="宋体" w:cs="宋体"/>
          <w:sz w:val="24"/>
        </w:rPr>
        <w:t>元</w:t>
      </w:r>
      <w:r>
        <w:rPr>
          <w:rFonts w:hint="eastAsia" w:ascii="宋体" w:hAnsi="宋体" w:cs="宋体"/>
          <w:color w:val="000000"/>
          <w:sz w:val="24"/>
        </w:rPr>
        <w:t>。</w:t>
      </w:r>
    </w:p>
    <w:p w14:paraId="03FFD502">
      <w:pPr>
        <w:pStyle w:val="19"/>
        <w:snapToGrid w:val="0"/>
        <w:spacing w:line="360" w:lineRule="auto"/>
        <w:rPr>
          <w:rFonts w:hAnsi="宋体" w:cs="宋体"/>
          <w:b/>
          <w:sz w:val="24"/>
        </w:rPr>
      </w:pPr>
      <w:r>
        <w:rPr>
          <w:rFonts w:hint="eastAsia" w:hAnsi="宋体" w:cs="宋体"/>
          <w:b/>
          <w:sz w:val="24"/>
        </w:rPr>
        <w:t>九、供货期、交货方式及交货地点</w:t>
      </w:r>
    </w:p>
    <w:p w14:paraId="22F4841A">
      <w:pPr>
        <w:spacing w:line="360" w:lineRule="auto"/>
        <w:ind w:firstLine="480" w:firstLineChars="200"/>
        <w:rPr>
          <w:rFonts w:ascii="宋体" w:hAnsi="宋体" w:cs="宋体"/>
          <w:bCs/>
          <w:sz w:val="24"/>
        </w:rPr>
      </w:pPr>
      <w:r>
        <w:rPr>
          <w:rFonts w:hint="eastAsia" w:ascii="宋体" w:hAnsi="宋体" w:cs="宋体"/>
          <w:bCs/>
          <w:sz w:val="24"/>
        </w:rPr>
        <w:t>1.供货期：</w:t>
      </w:r>
      <w:r>
        <w:rPr>
          <w:rFonts w:hint="eastAsia" w:ascii="宋体" w:hAnsi="宋体" w:cs="宋体"/>
          <w:bCs/>
          <w:sz w:val="24"/>
          <w:lang w:eastAsia="zh-CN"/>
        </w:rPr>
        <w:t>土建单位移交工作面后，</w:t>
      </w:r>
      <w:r>
        <w:rPr>
          <w:rFonts w:hint="eastAsia" w:ascii="宋体" w:hAnsi="宋体" w:cs="宋体"/>
          <w:bCs/>
          <w:sz w:val="24"/>
          <w:lang w:val="en-US" w:eastAsia="zh-CN"/>
        </w:rPr>
        <w:t>15天内完成供货及安装</w:t>
      </w:r>
      <w:r>
        <w:rPr>
          <w:rFonts w:hint="eastAsia" w:ascii="宋体" w:hAnsi="宋体" w:cs="宋体"/>
          <w:bCs/>
          <w:sz w:val="24"/>
        </w:rPr>
        <w:t>。</w:t>
      </w:r>
    </w:p>
    <w:p w14:paraId="134150DC">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2.交货方式：由乙方直接将货物送至现场并由乙方安装完毕，由甲方项目采购人监交、鉴证。               </w:t>
      </w:r>
    </w:p>
    <w:p w14:paraId="19822DCA">
      <w:pPr>
        <w:pStyle w:val="19"/>
        <w:snapToGrid w:val="0"/>
        <w:spacing w:line="360" w:lineRule="auto"/>
        <w:ind w:firstLine="480" w:firstLineChars="200"/>
        <w:rPr>
          <w:rFonts w:hAnsi="宋体" w:cs="宋体"/>
          <w:b/>
          <w:color w:val="000000"/>
          <w:sz w:val="24"/>
        </w:rPr>
      </w:pPr>
      <w:r>
        <w:rPr>
          <w:rFonts w:hint="eastAsia" w:hAnsi="宋体" w:cs="宋体"/>
          <w:bCs/>
          <w:color w:val="000000"/>
          <w:sz w:val="24"/>
        </w:rPr>
        <w:t>3. 交货地点：</w:t>
      </w:r>
      <w:r>
        <w:rPr>
          <w:rFonts w:hint="eastAsia" w:hAnsi="宋体" w:cs="宋体"/>
          <w:sz w:val="24"/>
        </w:rPr>
        <w:t>根据采购人要求送货至指定地点。</w:t>
      </w:r>
    </w:p>
    <w:p w14:paraId="175168F7">
      <w:pPr>
        <w:pStyle w:val="19"/>
        <w:snapToGrid w:val="0"/>
        <w:spacing w:line="360" w:lineRule="auto"/>
        <w:rPr>
          <w:rFonts w:hAnsi="宋体" w:cs="宋体"/>
          <w:b/>
          <w:color w:val="000000"/>
          <w:sz w:val="24"/>
        </w:rPr>
      </w:pPr>
      <w:r>
        <w:rPr>
          <w:rFonts w:hint="eastAsia" w:hAnsi="宋体" w:cs="宋体"/>
          <w:b/>
          <w:color w:val="000000"/>
          <w:sz w:val="24"/>
        </w:rPr>
        <w:t>十、货款支付</w:t>
      </w:r>
    </w:p>
    <w:p w14:paraId="7990E220">
      <w:pPr>
        <w:spacing w:line="360" w:lineRule="auto"/>
        <w:ind w:firstLine="480" w:firstLineChars="200"/>
        <w:rPr>
          <w:rFonts w:hint="eastAsia" w:ascii="宋体" w:hAnsi="宋体" w:eastAsia="宋体" w:cs="宋体"/>
          <w:bCs/>
          <w:color w:val="000000"/>
          <w:kern w:val="2"/>
          <w:sz w:val="24"/>
          <w:szCs w:val="20"/>
          <w:lang w:val="en-US" w:eastAsia="zh-CN" w:bidi="ar-SA"/>
        </w:rPr>
      </w:pPr>
      <w:r>
        <w:rPr>
          <w:rFonts w:hint="eastAsia" w:ascii="宋体" w:hAnsi="宋体" w:eastAsia="宋体" w:cs="宋体"/>
          <w:b w:val="0"/>
          <w:bCs w:val="0"/>
          <w:color w:val="auto"/>
          <w:kern w:val="2"/>
          <w:sz w:val="24"/>
          <w:szCs w:val="24"/>
          <w:lang w:val="en-US" w:eastAsia="zh-CN" w:bidi="ar-SA"/>
        </w:rPr>
        <w:t>工程预付款为合同价款10%；结算审计并经审定后30日内支付至结算造价的98.5%，其余1.5%留作质量保修金，余款待竣工验收合格满两年后一次性付清(不计息)。</w:t>
      </w:r>
    </w:p>
    <w:p w14:paraId="281D354B">
      <w:pPr>
        <w:pStyle w:val="19"/>
        <w:snapToGrid w:val="0"/>
        <w:spacing w:line="360" w:lineRule="auto"/>
        <w:rPr>
          <w:rFonts w:hAnsi="宋体" w:cs="宋体"/>
          <w:b/>
          <w:sz w:val="24"/>
        </w:rPr>
      </w:pPr>
      <w:r>
        <w:rPr>
          <w:rFonts w:hint="eastAsia" w:hAnsi="宋体" w:cs="宋体"/>
          <w:b/>
          <w:sz w:val="24"/>
        </w:rPr>
        <w:t>十一、税费</w:t>
      </w:r>
    </w:p>
    <w:p w14:paraId="122F6DEF">
      <w:pPr>
        <w:pStyle w:val="19"/>
        <w:snapToGrid w:val="0"/>
        <w:spacing w:line="360" w:lineRule="auto"/>
        <w:ind w:firstLine="480" w:firstLineChars="200"/>
        <w:rPr>
          <w:rFonts w:hAnsi="宋体" w:cs="宋体"/>
          <w:bCs/>
          <w:color w:val="000000"/>
          <w:sz w:val="24"/>
        </w:rPr>
      </w:pPr>
      <w:r>
        <w:rPr>
          <w:rFonts w:hint="eastAsia" w:hAnsi="宋体" w:cs="宋体"/>
          <w:bCs/>
          <w:color w:val="000000"/>
          <w:sz w:val="24"/>
        </w:rPr>
        <w:t>本合同执行中相关的一切税费均由乙方负担。</w:t>
      </w:r>
    </w:p>
    <w:p w14:paraId="27194D0A">
      <w:pPr>
        <w:pStyle w:val="19"/>
        <w:snapToGrid w:val="0"/>
        <w:spacing w:line="360" w:lineRule="auto"/>
        <w:ind w:left="412" w:hanging="412" w:hangingChars="171"/>
        <w:rPr>
          <w:rFonts w:hAnsi="宋体" w:cs="宋体"/>
          <w:sz w:val="24"/>
        </w:rPr>
      </w:pPr>
      <w:r>
        <w:rPr>
          <w:rFonts w:hint="eastAsia" w:hAnsi="宋体" w:cs="宋体"/>
          <w:b/>
          <w:sz w:val="24"/>
        </w:rPr>
        <w:t>十二、质量保证及售后服务</w:t>
      </w:r>
    </w:p>
    <w:p w14:paraId="670D0146">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乙方应按招标文件规定的货物性能、技术要求、质量标准向甲方提供未经使用的全新产品。</w:t>
      </w:r>
    </w:p>
    <w:p w14:paraId="0FC58388">
      <w:pPr>
        <w:pStyle w:val="19"/>
        <w:snapToGrid w:val="0"/>
        <w:spacing w:line="360" w:lineRule="auto"/>
        <w:ind w:firstLine="480" w:firstLineChars="200"/>
        <w:rPr>
          <w:rFonts w:hAnsi="宋体" w:cs="宋体"/>
          <w:sz w:val="24"/>
        </w:rPr>
      </w:pPr>
      <w:r>
        <w:rPr>
          <w:rFonts w:hint="eastAsia" w:hAnsi="宋体" w:cs="宋体"/>
          <w:sz w:val="24"/>
        </w:rPr>
        <w:t>2. 乙方提供的货物在质保期内因货物本身的质量问题发生故障，乙方应负责免费更换。对达不到技术要求者，根据实际情况，经双方协商，可按以下办法处理：</w:t>
      </w:r>
    </w:p>
    <w:p w14:paraId="4AAA707D">
      <w:pPr>
        <w:pStyle w:val="19"/>
        <w:snapToGrid w:val="0"/>
        <w:spacing w:line="360" w:lineRule="auto"/>
        <w:ind w:firstLine="480" w:firstLineChars="200"/>
        <w:rPr>
          <w:rFonts w:hAnsi="宋体" w:cs="宋体"/>
          <w:sz w:val="24"/>
        </w:rPr>
      </w:pPr>
      <w:r>
        <w:rPr>
          <w:rFonts w:hint="eastAsia" w:hAnsi="宋体" w:cs="宋体"/>
          <w:sz w:val="24"/>
        </w:rPr>
        <w:t>⑴更换：由乙方承担所发生的全部费用。</w:t>
      </w:r>
    </w:p>
    <w:p w14:paraId="04F9E7E4">
      <w:pPr>
        <w:pStyle w:val="19"/>
        <w:snapToGrid w:val="0"/>
        <w:spacing w:line="360" w:lineRule="auto"/>
        <w:ind w:firstLine="480" w:firstLineChars="200"/>
        <w:rPr>
          <w:rFonts w:hAnsi="宋体" w:cs="宋体"/>
          <w:sz w:val="24"/>
        </w:rPr>
      </w:pPr>
      <w:r>
        <w:rPr>
          <w:rFonts w:hint="eastAsia" w:hAnsi="宋体" w:cs="宋体"/>
          <w:sz w:val="24"/>
        </w:rPr>
        <w:t>⑵贬值处理：由甲乙双方合议定价。</w:t>
      </w:r>
    </w:p>
    <w:p w14:paraId="68F4745F">
      <w:pPr>
        <w:pStyle w:val="19"/>
        <w:snapToGrid w:val="0"/>
        <w:spacing w:line="360" w:lineRule="auto"/>
        <w:ind w:firstLine="480" w:firstLineChars="200"/>
        <w:rPr>
          <w:rFonts w:hAnsi="宋体" w:cs="宋体"/>
          <w:sz w:val="24"/>
        </w:rPr>
      </w:pPr>
      <w:r>
        <w:rPr>
          <w:rFonts w:hint="eastAsia" w:hAnsi="宋体" w:cs="宋体"/>
          <w:sz w:val="24"/>
        </w:rPr>
        <w:t>⑶退货处理：乙方应退还甲方支付的合同款，同时应承担该货物的直接费用（运输、保险、检验、货款利息及银行手续费等）。</w:t>
      </w:r>
    </w:p>
    <w:p w14:paraId="56CA40BD">
      <w:pPr>
        <w:pStyle w:val="19"/>
        <w:snapToGrid w:val="0"/>
        <w:spacing w:line="360" w:lineRule="auto"/>
        <w:ind w:firstLine="480" w:firstLineChars="200"/>
        <w:rPr>
          <w:rFonts w:hAnsi="宋体" w:cs="宋体"/>
          <w:sz w:val="24"/>
        </w:rPr>
      </w:pPr>
      <w:r>
        <w:rPr>
          <w:rFonts w:hint="eastAsia" w:hAnsi="宋体" w:cs="宋体"/>
          <w:sz w:val="24"/>
        </w:rPr>
        <w:t>3. 如在使用过程中发生质量问题，乙方在接到甲方通知后</w:t>
      </w:r>
      <w:r>
        <w:rPr>
          <w:rFonts w:hint="eastAsia" w:hAnsi="宋体" w:cs="宋体"/>
          <w:color w:val="000000"/>
          <w:sz w:val="24"/>
        </w:rPr>
        <w:t>在</w:t>
      </w:r>
      <w:r>
        <w:rPr>
          <w:rFonts w:hint="eastAsia" w:hAnsi="宋体" w:cs="宋体"/>
          <w:color w:val="000000"/>
          <w:sz w:val="24"/>
          <w:u w:val="single"/>
        </w:rPr>
        <w:t xml:space="preserve">  </w:t>
      </w:r>
      <w:r>
        <w:rPr>
          <w:rFonts w:hint="eastAsia" w:hAnsi="宋体" w:cs="宋体"/>
          <w:color w:val="000000"/>
          <w:sz w:val="24"/>
        </w:rPr>
        <w:t>小时</w:t>
      </w:r>
      <w:r>
        <w:rPr>
          <w:rFonts w:hint="eastAsia" w:hAnsi="宋体" w:cs="宋体"/>
          <w:sz w:val="24"/>
        </w:rPr>
        <w:t>内到达甲方现场。</w:t>
      </w:r>
    </w:p>
    <w:p w14:paraId="1661D417">
      <w:pPr>
        <w:pStyle w:val="19"/>
        <w:snapToGrid w:val="0"/>
        <w:spacing w:line="360" w:lineRule="auto"/>
        <w:ind w:firstLine="480" w:firstLineChars="200"/>
        <w:rPr>
          <w:rFonts w:hAnsi="宋体" w:cs="宋体"/>
          <w:sz w:val="24"/>
        </w:rPr>
      </w:pPr>
      <w:r>
        <w:rPr>
          <w:rFonts w:hint="eastAsia" w:hAnsi="宋体" w:cs="宋体"/>
          <w:sz w:val="24"/>
        </w:rPr>
        <w:t>4. 在质保期内，乙方应对货物出现的质量及安全问题负责处理解决并承担一切费用。</w:t>
      </w:r>
    </w:p>
    <w:p w14:paraId="26AED016">
      <w:pPr>
        <w:pStyle w:val="19"/>
        <w:snapToGrid w:val="0"/>
        <w:spacing w:line="360" w:lineRule="auto"/>
        <w:ind w:firstLine="480" w:firstLineChars="200"/>
        <w:rPr>
          <w:rFonts w:hAnsi="宋体" w:cs="宋体"/>
          <w:color w:val="000000"/>
          <w:sz w:val="24"/>
        </w:rPr>
      </w:pPr>
      <w:r>
        <w:rPr>
          <w:rFonts w:hint="eastAsia" w:hAnsi="宋体" w:cs="宋体"/>
          <w:sz w:val="24"/>
        </w:rPr>
        <w:t>5.</w:t>
      </w:r>
      <w:r>
        <w:rPr>
          <w:rFonts w:hint="eastAsia" w:hAnsi="宋体" w:cs="宋体"/>
          <w:color w:val="000000"/>
          <w:sz w:val="24"/>
        </w:rPr>
        <w:t>上述的</w:t>
      </w:r>
      <w:r>
        <w:rPr>
          <w:rFonts w:hint="eastAsia" w:hAnsi="宋体" w:cs="宋体"/>
          <w:sz w:val="24"/>
        </w:rPr>
        <w:t>货物</w:t>
      </w:r>
      <w:r>
        <w:rPr>
          <w:rFonts w:hint="eastAsia" w:hAnsi="宋体" w:cs="宋体"/>
          <w:color w:val="000000"/>
          <w:sz w:val="24"/>
        </w:rPr>
        <w:t>免费保修期为</w:t>
      </w:r>
      <w:r>
        <w:rPr>
          <w:rFonts w:hint="eastAsia" w:hAnsi="宋体" w:cs="宋体"/>
          <w:color w:val="000000"/>
          <w:sz w:val="24"/>
          <w:u w:val="single"/>
        </w:rPr>
        <w:t xml:space="preserve">     </w:t>
      </w:r>
      <w:r>
        <w:rPr>
          <w:rFonts w:hint="eastAsia" w:hAnsi="宋体" w:cs="宋体"/>
          <w:color w:val="000000"/>
          <w:sz w:val="24"/>
        </w:rPr>
        <w:t>年，因人为因素出现的故障不在免费保修范围内。超过保修期的维修时只收部件成本费。</w:t>
      </w:r>
    </w:p>
    <w:p w14:paraId="10850AB2">
      <w:pPr>
        <w:pStyle w:val="19"/>
        <w:snapToGrid w:val="0"/>
        <w:spacing w:line="360" w:lineRule="auto"/>
        <w:rPr>
          <w:rFonts w:hAnsi="宋体" w:cs="宋体"/>
          <w:b/>
          <w:sz w:val="24"/>
        </w:rPr>
      </w:pPr>
      <w:r>
        <w:rPr>
          <w:rFonts w:hint="eastAsia" w:hAnsi="宋体" w:cs="宋体"/>
          <w:b/>
          <w:sz w:val="24"/>
        </w:rPr>
        <w:t>十三、验收</w:t>
      </w:r>
    </w:p>
    <w:p w14:paraId="4CCC4CED">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6585A7D">
      <w:pPr>
        <w:spacing w:line="360" w:lineRule="auto"/>
        <w:ind w:firstLine="480" w:firstLineChars="200"/>
        <w:rPr>
          <w:rFonts w:ascii="宋体" w:hAnsi="宋体" w:cs="宋体"/>
          <w:bCs/>
          <w:color w:val="000000"/>
          <w:sz w:val="24"/>
        </w:rPr>
      </w:pPr>
      <w:r>
        <w:rPr>
          <w:rFonts w:hint="eastAsia" w:ascii="宋体" w:hAnsi="宋体" w:cs="宋体"/>
          <w:bCs/>
          <w:color w:val="000000"/>
          <w:sz w:val="24"/>
        </w:rPr>
        <w:t>2. 乙方交货前应对产品作出全面检查和对验收文件进行整理，并列出清单，作为甲方收货验收和使用的技术条件依据，检验的结果应随货物交甲方。</w:t>
      </w:r>
    </w:p>
    <w:p w14:paraId="35B9D3D2">
      <w:pPr>
        <w:spacing w:line="360" w:lineRule="auto"/>
        <w:ind w:firstLine="480" w:firstLineChars="200"/>
        <w:rPr>
          <w:rFonts w:ascii="宋体" w:hAnsi="宋体" w:cs="宋体"/>
          <w:bCs/>
          <w:color w:val="000000"/>
          <w:sz w:val="24"/>
        </w:rPr>
      </w:pPr>
      <w:r>
        <w:rPr>
          <w:rFonts w:hint="eastAsia" w:ascii="宋体" w:hAnsi="宋体" w:cs="宋体"/>
          <w:bCs/>
          <w:color w:val="000000"/>
          <w:sz w:val="24"/>
        </w:rPr>
        <w:t>3. 甲方对乙方提供的货物在使用前进行调试时，乙方需负责安装并培训甲方的使用操作人员，并协助甲方一起调试，直到符合技术要求，甲方才做最终验</w:t>
      </w:r>
    </w:p>
    <w:p w14:paraId="4F517CEF">
      <w:pPr>
        <w:spacing w:line="360" w:lineRule="auto"/>
        <w:rPr>
          <w:rFonts w:ascii="宋体" w:hAnsi="宋体" w:cs="宋体"/>
          <w:bCs/>
          <w:color w:val="000000"/>
          <w:sz w:val="24"/>
        </w:rPr>
      </w:pPr>
      <w:r>
        <w:rPr>
          <w:rFonts w:hint="eastAsia" w:ascii="宋体" w:hAnsi="宋体" w:cs="宋体"/>
          <w:bCs/>
          <w:color w:val="000000"/>
          <w:sz w:val="24"/>
        </w:rPr>
        <w:t>收。</w:t>
      </w:r>
    </w:p>
    <w:p w14:paraId="38A4D509">
      <w:pPr>
        <w:spacing w:line="360" w:lineRule="auto"/>
        <w:ind w:firstLine="480" w:firstLineChars="200"/>
        <w:rPr>
          <w:rFonts w:ascii="宋体" w:hAnsi="宋体" w:cs="宋体"/>
          <w:bCs/>
          <w:color w:val="000000"/>
          <w:sz w:val="24"/>
        </w:rPr>
      </w:pPr>
      <w:r>
        <w:rPr>
          <w:rFonts w:hint="eastAsia" w:ascii="宋体" w:hAnsi="宋体" w:cs="宋体"/>
          <w:bCs/>
          <w:color w:val="000000"/>
          <w:sz w:val="24"/>
        </w:rPr>
        <w:t>4. 验收时乙方必须在现场，验收完毕后作出验收结果报告；验收费用由乙方负责。</w:t>
      </w:r>
    </w:p>
    <w:p w14:paraId="6088764E">
      <w:pPr>
        <w:pStyle w:val="19"/>
        <w:snapToGrid w:val="0"/>
        <w:spacing w:line="360" w:lineRule="auto"/>
        <w:rPr>
          <w:rFonts w:hAnsi="宋体" w:cs="宋体"/>
          <w:b/>
          <w:sz w:val="24"/>
        </w:rPr>
      </w:pPr>
      <w:r>
        <w:rPr>
          <w:rFonts w:hint="eastAsia" w:hAnsi="宋体" w:cs="宋体"/>
          <w:b/>
          <w:sz w:val="24"/>
        </w:rPr>
        <w:t>十四、货物包装、发运及运输</w:t>
      </w:r>
    </w:p>
    <w:p w14:paraId="5EA37F4A">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乙方应在货物发运前对其进行满足运输距离、防潮、防震、防锈和防破损装卸等要求包装，以保证货物安全运达甲方指定地点。</w:t>
      </w:r>
    </w:p>
    <w:p w14:paraId="1E5F44C5">
      <w:pPr>
        <w:spacing w:line="360" w:lineRule="auto"/>
        <w:ind w:firstLine="480" w:firstLineChars="200"/>
        <w:rPr>
          <w:rFonts w:ascii="宋体" w:hAnsi="宋体" w:cs="宋体"/>
          <w:bCs/>
          <w:color w:val="000000"/>
          <w:sz w:val="24"/>
        </w:rPr>
      </w:pPr>
      <w:r>
        <w:rPr>
          <w:rFonts w:hint="eastAsia" w:ascii="宋体" w:hAnsi="宋体" w:cs="宋体"/>
          <w:bCs/>
          <w:color w:val="000000"/>
          <w:sz w:val="24"/>
        </w:rPr>
        <w:t>2. 使用说明书、质量检验证明书、随配附件和工具以及清单一并附于货物内。</w:t>
      </w:r>
    </w:p>
    <w:p w14:paraId="0E8FABA3">
      <w:pPr>
        <w:spacing w:line="360" w:lineRule="auto"/>
        <w:ind w:firstLine="480" w:firstLineChars="200"/>
        <w:rPr>
          <w:rFonts w:ascii="宋体" w:hAnsi="宋体" w:cs="宋体"/>
          <w:bCs/>
          <w:color w:val="000000"/>
          <w:sz w:val="24"/>
        </w:rPr>
      </w:pPr>
      <w:r>
        <w:rPr>
          <w:rFonts w:hint="eastAsia" w:ascii="宋体" w:hAnsi="宋体" w:cs="宋体"/>
          <w:bCs/>
          <w:color w:val="000000"/>
          <w:sz w:val="24"/>
        </w:rPr>
        <w:t>3. 乙方在货物发运手续办理完毕后24小时内或货到甲方48小时前通知甲方，以准备接货。</w:t>
      </w:r>
    </w:p>
    <w:p w14:paraId="5ABAB2FE">
      <w:pPr>
        <w:spacing w:line="360" w:lineRule="auto"/>
        <w:ind w:firstLine="480" w:firstLineChars="200"/>
        <w:rPr>
          <w:rFonts w:ascii="宋体" w:hAnsi="宋体" w:cs="宋体"/>
          <w:bCs/>
          <w:color w:val="000000"/>
          <w:sz w:val="24"/>
        </w:rPr>
      </w:pPr>
      <w:r>
        <w:rPr>
          <w:rFonts w:hint="eastAsia" w:ascii="宋体" w:hAnsi="宋体" w:cs="宋体"/>
          <w:bCs/>
          <w:color w:val="000000"/>
          <w:sz w:val="24"/>
        </w:rPr>
        <w:t>4. 货物在交付甲方前发生的风险均由乙方负责。</w:t>
      </w:r>
    </w:p>
    <w:p w14:paraId="54DEB366">
      <w:pPr>
        <w:spacing w:line="360" w:lineRule="auto"/>
        <w:ind w:firstLine="480" w:firstLineChars="200"/>
        <w:rPr>
          <w:rFonts w:ascii="宋体" w:hAnsi="宋体" w:cs="宋体"/>
          <w:bCs/>
          <w:color w:val="000000"/>
          <w:sz w:val="24"/>
        </w:rPr>
      </w:pPr>
      <w:r>
        <w:rPr>
          <w:rFonts w:hint="eastAsia" w:ascii="宋体" w:hAnsi="宋体" w:cs="宋体"/>
          <w:bCs/>
          <w:color w:val="000000"/>
          <w:sz w:val="24"/>
        </w:rPr>
        <w:t>5. 货物在规定的交付期限内由乙方送达甲方指定的地点视为交付，乙方同时需通知甲方货物已送达。</w:t>
      </w:r>
    </w:p>
    <w:p w14:paraId="12DF818F">
      <w:pPr>
        <w:pStyle w:val="19"/>
        <w:snapToGrid w:val="0"/>
        <w:spacing w:line="360" w:lineRule="auto"/>
        <w:rPr>
          <w:rFonts w:hAnsi="宋体" w:cs="宋体"/>
          <w:b/>
          <w:sz w:val="24"/>
        </w:rPr>
      </w:pPr>
      <w:r>
        <w:rPr>
          <w:rFonts w:hint="eastAsia" w:hAnsi="宋体" w:cs="宋体"/>
          <w:b/>
          <w:sz w:val="24"/>
        </w:rPr>
        <w:t>十五、违约责任</w:t>
      </w:r>
    </w:p>
    <w:p w14:paraId="2248001B">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甲方无正当理由拒收货物的，甲方向乙方偿付拒收货款总值的百分之五违约金。</w:t>
      </w:r>
    </w:p>
    <w:p w14:paraId="0DEA1660">
      <w:pPr>
        <w:spacing w:line="360" w:lineRule="auto"/>
        <w:ind w:firstLine="480" w:firstLineChars="200"/>
        <w:rPr>
          <w:rFonts w:ascii="宋体" w:hAnsi="宋体" w:cs="宋体"/>
          <w:bCs/>
          <w:color w:val="000000"/>
          <w:sz w:val="24"/>
        </w:rPr>
      </w:pPr>
      <w:r>
        <w:rPr>
          <w:rFonts w:hint="eastAsia" w:ascii="宋体" w:hAnsi="宋体" w:cs="宋体"/>
          <w:bCs/>
          <w:color w:val="000000"/>
          <w:sz w:val="24"/>
        </w:rPr>
        <w:t>2. 甲方无故逾期验收和办理货款支付手续的,甲方应按逾期付款总额每日万分之五向乙方支付违约金。</w:t>
      </w:r>
    </w:p>
    <w:p w14:paraId="214584FC">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45186EC">
      <w:pPr>
        <w:spacing w:line="360" w:lineRule="auto"/>
        <w:ind w:firstLine="480" w:firstLineChars="200"/>
        <w:rPr>
          <w:rFonts w:ascii="宋体" w:hAnsi="宋体" w:cs="宋体"/>
          <w:bCs/>
          <w:color w:val="000000"/>
          <w:sz w:val="24"/>
        </w:rPr>
      </w:pPr>
      <w:r>
        <w:rPr>
          <w:rFonts w:hint="eastAsia" w:ascii="宋体" w:hAnsi="宋体" w:cs="宋体"/>
          <w:bCs/>
          <w:color w:val="000000"/>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34FB6F">
      <w:pPr>
        <w:pStyle w:val="19"/>
        <w:snapToGrid w:val="0"/>
        <w:spacing w:line="360" w:lineRule="auto"/>
        <w:rPr>
          <w:rFonts w:hAnsi="宋体" w:cs="宋体"/>
          <w:b/>
          <w:sz w:val="24"/>
        </w:rPr>
      </w:pPr>
      <w:r>
        <w:rPr>
          <w:rFonts w:hint="eastAsia" w:hAnsi="宋体" w:cs="宋体"/>
          <w:b/>
          <w:sz w:val="24"/>
        </w:rPr>
        <w:t>十六、不可抗力事件处理</w:t>
      </w:r>
    </w:p>
    <w:p w14:paraId="1AD9E823">
      <w:pPr>
        <w:spacing w:line="360" w:lineRule="auto"/>
        <w:ind w:firstLine="480" w:firstLineChars="200"/>
        <w:rPr>
          <w:rFonts w:ascii="宋体" w:hAnsi="宋体" w:cs="宋体"/>
          <w:bCs/>
          <w:color w:val="000000"/>
          <w:sz w:val="24"/>
        </w:rPr>
      </w:pPr>
      <w:r>
        <w:rPr>
          <w:rFonts w:hint="eastAsia" w:ascii="宋体" w:hAnsi="宋体" w:cs="宋体"/>
          <w:bCs/>
          <w:color w:val="000000"/>
          <w:sz w:val="24"/>
        </w:rPr>
        <w:t>1.在合同有效期内，任何一方因不可抗力事件导致不能履行合同，则合同履行期可延长，其延长期与不可抗力影响期相同。</w:t>
      </w:r>
    </w:p>
    <w:p w14:paraId="0A52478F">
      <w:pPr>
        <w:spacing w:line="360" w:lineRule="auto"/>
        <w:ind w:firstLine="480" w:firstLineChars="200"/>
        <w:rPr>
          <w:rFonts w:ascii="宋体" w:hAnsi="宋体" w:cs="宋体"/>
          <w:bCs/>
          <w:color w:val="000000"/>
          <w:sz w:val="24"/>
        </w:rPr>
      </w:pPr>
      <w:r>
        <w:rPr>
          <w:rFonts w:hint="eastAsia" w:ascii="宋体" w:hAnsi="宋体" w:cs="宋体"/>
          <w:bCs/>
          <w:color w:val="000000"/>
          <w:sz w:val="24"/>
        </w:rPr>
        <w:t>2.不可抗力事件发生后，应立即通知对方，并寄送有关权威机构出具的证明。</w:t>
      </w:r>
    </w:p>
    <w:p w14:paraId="33D0CE2E">
      <w:pPr>
        <w:spacing w:line="360" w:lineRule="auto"/>
        <w:ind w:firstLine="480" w:firstLineChars="200"/>
        <w:rPr>
          <w:rFonts w:ascii="宋体" w:hAnsi="宋体" w:cs="宋体"/>
          <w:bCs/>
          <w:color w:val="000000"/>
          <w:sz w:val="24"/>
        </w:rPr>
      </w:pPr>
      <w:r>
        <w:rPr>
          <w:rFonts w:hint="eastAsia" w:ascii="宋体" w:hAnsi="宋体" w:cs="宋体"/>
          <w:bCs/>
          <w:color w:val="000000"/>
          <w:sz w:val="24"/>
        </w:rPr>
        <w:t>3.不可抗力事件延续120天以上，双方应通过友好协商，确定是否继续履行合同。</w:t>
      </w:r>
    </w:p>
    <w:p w14:paraId="471F705E">
      <w:pPr>
        <w:pStyle w:val="19"/>
        <w:snapToGrid w:val="0"/>
        <w:spacing w:line="360" w:lineRule="auto"/>
        <w:rPr>
          <w:rFonts w:hAnsi="宋体" w:cs="宋体"/>
          <w:b/>
          <w:sz w:val="24"/>
        </w:rPr>
      </w:pPr>
      <w:r>
        <w:rPr>
          <w:rFonts w:hint="eastAsia" w:hAnsi="宋体" w:cs="宋体"/>
          <w:b/>
          <w:sz w:val="24"/>
        </w:rPr>
        <w:t>十七、诉讼</w:t>
      </w:r>
    </w:p>
    <w:p w14:paraId="1A99EF24">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 双方在执行合同中所发生的一切争议，应通过协商解决。如协商不成，可向甲方所在地法院起诉。</w:t>
      </w:r>
    </w:p>
    <w:p w14:paraId="0A35D031">
      <w:pPr>
        <w:pStyle w:val="19"/>
        <w:snapToGrid w:val="0"/>
        <w:spacing w:line="360" w:lineRule="auto"/>
        <w:rPr>
          <w:rFonts w:hAnsi="宋体" w:cs="宋体"/>
          <w:b/>
          <w:sz w:val="24"/>
        </w:rPr>
      </w:pPr>
      <w:r>
        <w:rPr>
          <w:rFonts w:hint="eastAsia" w:hAnsi="宋体" w:cs="宋体"/>
          <w:b/>
          <w:sz w:val="24"/>
        </w:rPr>
        <w:t>十八、合同生效及其它</w:t>
      </w:r>
    </w:p>
    <w:p w14:paraId="57568677">
      <w:pPr>
        <w:pStyle w:val="19"/>
        <w:snapToGrid w:val="0"/>
        <w:spacing w:line="360" w:lineRule="auto"/>
        <w:ind w:firstLine="480" w:firstLineChars="200"/>
        <w:rPr>
          <w:rFonts w:hAnsi="宋体" w:cs="宋体"/>
          <w:sz w:val="24"/>
        </w:rPr>
      </w:pPr>
      <w:r>
        <w:rPr>
          <w:rFonts w:hint="eastAsia" w:hAnsi="宋体" w:cs="宋体"/>
          <w:sz w:val="24"/>
        </w:rPr>
        <w:t>1.合同经双方法定代表人或授权代表签字并加盖单位公章后生效。</w:t>
      </w:r>
    </w:p>
    <w:p w14:paraId="587538A1">
      <w:pPr>
        <w:pStyle w:val="19"/>
        <w:snapToGrid w:val="0"/>
        <w:spacing w:line="360" w:lineRule="auto"/>
        <w:ind w:firstLine="480" w:firstLineChars="200"/>
        <w:rPr>
          <w:rFonts w:hAnsi="宋体" w:cs="宋体"/>
          <w:sz w:val="24"/>
        </w:rPr>
      </w:pPr>
      <w:r>
        <w:rPr>
          <w:rFonts w:hint="eastAsia" w:hAnsi="宋体" w:cs="宋体"/>
          <w:sz w:val="24"/>
        </w:rPr>
        <w:t>2.合同执行中涉及采购资金和采购内容修改或补充的，须经财政部门审批，并签书面补充协议报政府采购监督管理部门备案，方可作为主合同不可分割的一部分。</w:t>
      </w:r>
    </w:p>
    <w:p w14:paraId="4902CF8F">
      <w:pPr>
        <w:pStyle w:val="19"/>
        <w:snapToGrid w:val="0"/>
        <w:spacing w:line="360" w:lineRule="auto"/>
        <w:ind w:left="479" w:leftChars="228"/>
        <w:rPr>
          <w:rFonts w:hAnsi="宋体" w:cs="宋体"/>
          <w:sz w:val="24"/>
        </w:rPr>
      </w:pPr>
      <w:r>
        <w:rPr>
          <w:rFonts w:hint="eastAsia" w:hAnsi="宋体" w:cs="宋体"/>
          <w:sz w:val="24"/>
        </w:rPr>
        <w:t>3.本合同未尽事宜，遵照《民法典》有关条文执行。</w:t>
      </w:r>
    </w:p>
    <w:p w14:paraId="7BF4027C">
      <w:pPr>
        <w:pStyle w:val="19"/>
        <w:snapToGrid w:val="0"/>
        <w:spacing w:line="360" w:lineRule="auto"/>
        <w:ind w:firstLine="480" w:firstLineChars="200"/>
        <w:jc w:val="left"/>
        <w:rPr>
          <w:rFonts w:hAnsi="宋体" w:cs="宋体"/>
          <w:sz w:val="24"/>
        </w:rPr>
      </w:pPr>
      <w:r>
        <w:rPr>
          <w:rFonts w:hint="eastAsia" w:hAnsi="宋体" w:cs="宋体"/>
          <w:sz w:val="24"/>
        </w:rPr>
        <w:t>4.本合同正本一式</w:t>
      </w:r>
      <w:r>
        <w:rPr>
          <w:rFonts w:hint="eastAsia" w:hAnsi="宋体" w:cs="宋体"/>
          <w:sz w:val="24"/>
          <w:u w:val="single"/>
        </w:rPr>
        <w:t xml:space="preserve">    </w:t>
      </w:r>
      <w:r>
        <w:rPr>
          <w:rFonts w:hint="eastAsia" w:hAnsi="宋体" w:cs="宋体"/>
          <w:sz w:val="24"/>
        </w:rPr>
        <w:t>份，甲方执</w:t>
      </w:r>
      <w:r>
        <w:rPr>
          <w:rFonts w:hint="eastAsia" w:hAnsi="宋体" w:cs="宋体"/>
          <w:sz w:val="24"/>
          <w:u w:val="single"/>
        </w:rPr>
        <w:t xml:space="preserve">    </w:t>
      </w:r>
      <w:r>
        <w:rPr>
          <w:rFonts w:hint="eastAsia" w:hAnsi="宋体" w:cs="宋体"/>
          <w:sz w:val="24"/>
        </w:rPr>
        <w:t>份，乙方执</w:t>
      </w:r>
      <w:r>
        <w:rPr>
          <w:rFonts w:hint="eastAsia" w:hAnsi="宋体" w:cs="宋体"/>
          <w:sz w:val="24"/>
          <w:u w:val="single"/>
        </w:rPr>
        <w:t xml:space="preserve">    </w:t>
      </w:r>
      <w:r>
        <w:rPr>
          <w:rFonts w:hint="eastAsia" w:hAnsi="宋体" w:cs="宋体"/>
          <w:sz w:val="24"/>
        </w:rPr>
        <w:t>份，具同等法律效力。</w:t>
      </w:r>
    </w:p>
    <w:p w14:paraId="223ABBD9">
      <w:pPr>
        <w:pStyle w:val="19"/>
        <w:snapToGrid w:val="0"/>
        <w:spacing w:line="360" w:lineRule="auto"/>
        <w:ind w:left="479" w:leftChars="114" w:hanging="240" w:hangingChars="100"/>
        <w:rPr>
          <w:rFonts w:hAnsi="宋体" w:cs="宋体"/>
          <w:sz w:val="24"/>
        </w:rPr>
      </w:pPr>
      <w:r>
        <w:rPr>
          <w:rFonts w:hint="eastAsia" w:hAnsi="宋体" w:cs="宋体"/>
          <w:sz w:val="24"/>
        </w:rPr>
        <w:t xml:space="preserve">甲方：                                   乙方： </w:t>
      </w:r>
    </w:p>
    <w:p w14:paraId="4A7D7254">
      <w:pPr>
        <w:pStyle w:val="19"/>
        <w:snapToGrid w:val="0"/>
        <w:spacing w:line="360" w:lineRule="auto"/>
        <w:rPr>
          <w:rFonts w:hAnsi="宋体" w:cs="宋体"/>
          <w:sz w:val="24"/>
        </w:rPr>
      </w:pPr>
      <w:r>
        <w:rPr>
          <w:rFonts w:hint="eastAsia" w:hAnsi="宋体" w:cs="宋体"/>
          <w:sz w:val="24"/>
        </w:rPr>
        <w:t xml:space="preserve">  地址：                                   地址：</w:t>
      </w:r>
    </w:p>
    <w:p w14:paraId="122565C6">
      <w:pPr>
        <w:pStyle w:val="19"/>
        <w:snapToGrid w:val="0"/>
        <w:spacing w:line="360" w:lineRule="auto"/>
        <w:ind w:firstLine="240" w:firstLineChars="100"/>
        <w:rPr>
          <w:rFonts w:hAnsi="宋体" w:cs="宋体"/>
          <w:sz w:val="24"/>
        </w:rPr>
      </w:pPr>
      <w:r>
        <w:rPr>
          <w:rFonts w:hint="eastAsia" w:hAnsi="宋体" w:cs="宋体"/>
          <w:sz w:val="24"/>
        </w:rPr>
        <w:t xml:space="preserve">法定（授权）代表人：                     法定（授权）代表人：    </w:t>
      </w:r>
    </w:p>
    <w:p w14:paraId="3FE1438E">
      <w:pPr>
        <w:pStyle w:val="19"/>
        <w:snapToGrid w:val="0"/>
        <w:spacing w:line="360" w:lineRule="auto"/>
        <w:jc w:val="center"/>
        <w:rPr>
          <w:rFonts w:hAnsi="宋体" w:cs="宋体"/>
          <w:sz w:val="24"/>
        </w:rPr>
      </w:pPr>
      <w:r>
        <w:rPr>
          <w:rFonts w:hint="eastAsia" w:hAnsi="宋体" w:cs="宋体"/>
          <w:sz w:val="24"/>
        </w:rPr>
        <w:t xml:space="preserve">                           开户银行：</w:t>
      </w:r>
    </w:p>
    <w:p w14:paraId="31122A69">
      <w:pPr>
        <w:pStyle w:val="19"/>
        <w:snapToGrid w:val="0"/>
        <w:spacing w:line="360" w:lineRule="auto"/>
        <w:jc w:val="center"/>
        <w:rPr>
          <w:rFonts w:hAnsi="宋体" w:cs="宋体"/>
          <w:sz w:val="24"/>
        </w:rPr>
      </w:pPr>
      <w:r>
        <w:rPr>
          <w:rFonts w:hint="eastAsia" w:hAnsi="宋体" w:cs="宋体"/>
          <w:sz w:val="24"/>
        </w:rPr>
        <w:t xml:space="preserve">                           银行账号：</w:t>
      </w:r>
    </w:p>
    <w:p w14:paraId="54371123">
      <w:pPr>
        <w:pStyle w:val="19"/>
        <w:snapToGrid w:val="0"/>
        <w:spacing w:line="360" w:lineRule="auto"/>
        <w:ind w:firstLine="5280" w:firstLineChars="2200"/>
        <w:rPr>
          <w:rFonts w:hAnsi="宋体" w:cs="宋体"/>
          <w:sz w:val="24"/>
        </w:rPr>
      </w:pPr>
      <w:r>
        <w:rPr>
          <w:rFonts w:hint="eastAsia" w:hAnsi="宋体" w:cs="宋体"/>
          <w:sz w:val="24"/>
        </w:rPr>
        <w:t>联系电话：</w:t>
      </w:r>
    </w:p>
    <w:p w14:paraId="19514640">
      <w:pPr>
        <w:spacing w:line="360" w:lineRule="auto"/>
        <w:ind w:firstLine="240" w:firstLineChars="100"/>
        <w:rPr>
          <w:rFonts w:hAnsi="宋体"/>
          <w:sz w:val="24"/>
        </w:rPr>
      </w:pPr>
      <w:r>
        <w:rPr>
          <w:rFonts w:hint="eastAsia" w:hAnsi="宋体" w:cs="宋体"/>
          <w:sz w:val="24"/>
        </w:rPr>
        <w:t>签字日期：      年  月  日               签字日期：      年  月  日</w:t>
      </w:r>
    </w:p>
    <w:p w14:paraId="643911D0">
      <w:pPr>
        <w:spacing w:line="360" w:lineRule="auto"/>
        <w:outlineLvl w:val="0"/>
        <w:rPr>
          <w:rFonts w:cs="宋体" w:asciiTheme="minorEastAsia" w:hAnsiTheme="minorEastAsia" w:eastAsiaTheme="minorEastAsia"/>
          <w:b/>
          <w:sz w:val="36"/>
          <w:szCs w:val="20"/>
        </w:rPr>
        <w:sectPr>
          <w:headerReference r:id="rId13" w:type="first"/>
          <w:footerReference r:id="rId15" w:type="first"/>
          <w:headerReference r:id="rId12" w:type="default"/>
          <w:footerReference r:id="rId14" w:type="default"/>
          <w:pgSz w:w="11906" w:h="16838"/>
          <w:pgMar w:top="1440" w:right="1418" w:bottom="1440" w:left="1418" w:header="851" w:footer="992" w:gutter="0"/>
          <w:cols w:space="0" w:num="1"/>
          <w:titlePg/>
          <w:docGrid w:linePitch="312" w:charSpace="0"/>
        </w:sectPr>
      </w:pPr>
    </w:p>
    <w:p w14:paraId="3E2935CA">
      <w:pPr>
        <w:pStyle w:val="124"/>
        <w:spacing w:before="0"/>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14:paraId="0BCFCE75">
      <w:pPr>
        <w:snapToGrid w:val="0"/>
        <w:spacing w:beforeLines="50" w:after="50" w:line="380" w:lineRule="exact"/>
        <w:ind w:firstLine="645"/>
        <w:jc w:val="center"/>
        <w:rPr>
          <w:rFonts w:asciiTheme="minorEastAsia" w:hAnsiTheme="minorEastAsia" w:eastAsiaTheme="minorEastAsia"/>
          <w:bCs/>
          <w:sz w:val="24"/>
        </w:rPr>
      </w:pPr>
    </w:p>
    <w:p w14:paraId="68B65C91">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618B2D35">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209B0B82">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0F099EE1">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372A042B">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3B7410F1">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41478098">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3CBC0DA7">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10D71358">
      <w:pPr>
        <w:snapToGrid w:val="0"/>
        <w:spacing w:beforeLines="50" w:after="50" w:line="360" w:lineRule="exact"/>
        <w:ind w:firstLine="4080" w:firstLineChars="1700"/>
        <w:rPr>
          <w:rFonts w:asciiTheme="minorEastAsia" w:hAnsiTheme="minorEastAsia" w:eastAsiaTheme="minorEastAsia"/>
          <w:sz w:val="24"/>
        </w:rPr>
      </w:pPr>
    </w:p>
    <w:p w14:paraId="24D8E491">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4F356217">
      <w:pPr>
        <w:snapToGrid w:val="0"/>
        <w:spacing w:beforeLines="50" w:after="50" w:line="360" w:lineRule="exact"/>
        <w:ind w:firstLine="645"/>
        <w:jc w:val="center"/>
        <w:rPr>
          <w:rFonts w:asciiTheme="minorEastAsia" w:hAnsiTheme="minorEastAsia" w:eastAsiaTheme="minorEastAsia"/>
          <w:bCs/>
          <w:sz w:val="24"/>
        </w:rPr>
      </w:pPr>
    </w:p>
    <w:p w14:paraId="6103BED2">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77DDABEF">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7236CD81">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634811B6">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49961B0F">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4C514AED">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73BDDFAC">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09460A79">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78CABE5E">
      <w:pPr>
        <w:snapToGrid w:val="0"/>
        <w:spacing w:line="360" w:lineRule="auto"/>
        <w:ind w:firstLine="360" w:firstLineChars="150"/>
        <w:rPr>
          <w:rFonts w:asciiTheme="minorEastAsia" w:hAnsiTheme="minorEastAsia" w:eastAsiaTheme="minorEastAsia"/>
          <w:b/>
          <w:sz w:val="36"/>
          <w:szCs w:val="36"/>
        </w:rPr>
        <w:sectPr>
          <w:pgSz w:w="11906" w:h="16838"/>
          <w:pgMar w:top="1400" w:right="1531" w:bottom="471" w:left="1531" w:header="851" w:footer="851" w:gutter="0"/>
          <w:pgNumType w:chapStyle="1" w:chapSep="colon"/>
          <w:cols w:space="720" w:num="1"/>
        </w:sectPr>
      </w:pPr>
      <w:r>
        <w:rPr>
          <w:rFonts w:hint="eastAsia" w:asciiTheme="minorEastAsia" w:hAnsiTheme="minorEastAsia" w:eastAsiaTheme="minorEastAsia"/>
          <w:sz w:val="24"/>
        </w:rPr>
        <w:t>（7）</w:t>
      </w:r>
      <w:r>
        <w:rPr>
          <w:rFonts w:hint="eastAsia" w:cs="宋体" w:asciiTheme="minorEastAsia" w:hAnsiTheme="minorEastAsia" w:eastAsiaTheme="minorEastAsia"/>
          <w:sz w:val="24"/>
          <w:lang w:eastAsia="zh-CN"/>
        </w:rPr>
        <w:t>投标人应具有有效期内的石油化工施工资质或工业管道GC1级安装资质。</w:t>
      </w:r>
    </w:p>
    <w:p w14:paraId="5049352B">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14:paraId="5DA40953">
      <w:pPr>
        <w:snapToGrid w:val="0"/>
        <w:spacing w:beforeLines="50" w:after="50"/>
        <w:jc w:val="center"/>
        <w:rPr>
          <w:rFonts w:asciiTheme="minorEastAsia" w:hAnsiTheme="minorEastAsia" w:eastAsiaTheme="minorEastAsia"/>
          <w:b/>
          <w:sz w:val="30"/>
          <w:szCs w:val="30"/>
        </w:rPr>
      </w:pPr>
    </w:p>
    <w:p w14:paraId="03D177AC">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rPr>
        <w:t>桐庐鸿泰工程咨询有限公司：</w:t>
      </w:r>
    </w:p>
    <w:p w14:paraId="113258B2">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0319A5B5">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17F0E796">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0488AF88">
      <w:pPr>
        <w:snapToGrid w:val="0"/>
        <w:spacing w:beforeLines="50" w:after="50" w:line="460" w:lineRule="exact"/>
        <w:ind w:firstLine="480"/>
        <w:rPr>
          <w:rFonts w:asciiTheme="minorEastAsia" w:hAnsiTheme="minorEastAsia" w:eastAsiaTheme="minorEastAsia"/>
          <w:sz w:val="30"/>
          <w:szCs w:val="30"/>
        </w:rPr>
      </w:pPr>
    </w:p>
    <w:p w14:paraId="53DE841E">
      <w:pPr>
        <w:snapToGrid w:val="0"/>
        <w:spacing w:beforeLines="50" w:after="50" w:line="460" w:lineRule="exact"/>
        <w:ind w:firstLine="480"/>
        <w:rPr>
          <w:rFonts w:asciiTheme="minorEastAsia" w:hAnsiTheme="minorEastAsia" w:eastAsiaTheme="minorEastAsia"/>
          <w:sz w:val="24"/>
        </w:rPr>
      </w:pPr>
    </w:p>
    <w:p w14:paraId="3FF049E4">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5E2194B1">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0DB1B36C">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20C542D6">
      <w:pPr>
        <w:snapToGrid w:val="0"/>
        <w:spacing w:beforeLines="50" w:after="50" w:line="460" w:lineRule="exact"/>
        <w:rPr>
          <w:rFonts w:asciiTheme="minorEastAsia" w:hAnsiTheme="minorEastAsia" w:eastAsiaTheme="minorEastAsia"/>
          <w:sz w:val="24"/>
        </w:rPr>
      </w:pPr>
    </w:p>
    <w:p w14:paraId="71B3B164">
      <w:pPr>
        <w:snapToGrid w:val="0"/>
        <w:spacing w:beforeLines="50" w:after="50" w:line="460" w:lineRule="exact"/>
        <w:rPr>
          <w:rFonts w:asciiTheme="minorEastAsia" w:hAnsiTheme="minorEastAsia" w:eastAsiaTheme="minorEastAsia"/>
          <w:sz w:val="24"/>
        </w:rPr>
      </w:pPr>
    </w:p>
    <w:p w14:paraId="65C09E5E">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4992D2F6">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34D1D5CB">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 标 声 明 书</w:t>
      </w:r>
    </w:p>
    <w:p w14:paraId="6FE878CC">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致：桐庐鸿泰工程咨询有限公司：</w:t>
      </w:r>
    </w:p>
    <w:p w14:paraId="1D8B9E4C">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系中华人民共和国合法企业，经营地址。</w:t>
      </w:r>
    </w:p>
    <w:p w14:paraId="7AEA8160">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的法定代表人，我方愿意参加贵方组织的</w:t>
      </w:r>
      <w:r>
        <w:rPr>
          <w:rFonts w:hint="eastAsia" w:asciiTheme="minorEastAsia" w:hAnsiTheme="minorEastAsia" w:eastAsiaTheme="minorEastAsia"/>
          <w:sz w:val="24"/>
          <w:u w:val="single"/>
        </w:rPr>
        <w:t>（项目名称）（编号为</w:t>
      </w:r>
      <w:r>
        <w:rPr>
          <w:rFonts w:hint="eastAsia" w:asciiTheme="minorEastAsia" w:hAnsiTheme="minorEastAsia" w:eastAsiaTheme="minorEastAsia"/>
          <w:sz w:val="24"/>
          <w:u w:val="single"/>
          <w:lang w:eastAsia="zh-CN"/>
        </w:rPr>
        <w:t>TLHT-CG-2024-037</w:t>
      </w:r>
      <w:r>
        <w:rPr>
          <w:rFonts w:hint="eastAsia" w:asciiTheme="minorEastAsia" w:hAnsiTheme="minorEastAsia" w:eastAsiaTheme="minorEastAsia"/>
          <w:sz w:val="24"/>
          <w:u w:val="single"/>
        </w:rPr>
        <w:t>）</w:t>
      </w:r>
      <w:r>
        <w:rPr>
          <w:rFonts w:hint="eastAsia" w:asciiTheme="minorEastAsia" w:hAnsiTheme="minorEastAsia" w:eastAsiaTheme="minorEastAsia"/>
          <w:sz w:val="24"/>
        </w:rPr>
        <w:t>的投标，为此，我方就本次投标有关事项郑重声明如下：</w:t>
      </w:r>
    </w:p>
    <w:p w14:paraId="25D7F5BF">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1、我方已详细审查全部磋商文件，同意磋商文件的各项要求。</w:t>
      </w:r>
    </w:p>
    <w:p w14:paraId="57F5EBFB">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2、我方向贵方提交的所有响应文件、资料都是准确的和真实的。</w:t>
      </w:r>
    </w:p>
    <w:p w14:paraId="31843AB6">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3、若中标，我方将按磋商文件规定履行合同责任和义务。</w:t>
      </w:r>
    </w:p>
    <w:p w14:paraId="130E4826">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4、我方不是采购人的附属机构；在获知本项目采购信息后，与采购人聘请的为此项目提供咨询服务的公司及其附属机构没有任何联系。</w:t>
      </w:r>
    </w:p>
    <w:p w14:paraId="68E9ECB8">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5、响应文件自开标日起有效期为90天。</w:t>
      </w:r>
    </w:p>
    <w:p w14:paraId="56D1426D">
      <w:pPr>
        <w:snapToGrid w:val="0"/>
        <w:spacing w:line="460" w:lineRule="exact"/>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6、我方参与本项目前3年内的经营活动中没有重大违法记录；</w:t>
      </w:r>
    </w:p>
    <w:p w14:paraId="6BCF92DF">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7、我方通过“信用中国”网站（www.creditchina.gov.cn）、中国政府采购网（www.ccgp.gov.cn）查询，未被列入失信被执行人、重大税收违法案件当事人名单、政府采购严重违法失信行为记录名单。</w:t>
      </w:r>
    </w:p>
    <w:p w14:paraId="454813A3">
      <w:pPr>
        <w:snapToGrid w:val="0"/>
        <w:spacing w:beforeLines="50" w:after="50" w:line="4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8、以上事项如有虚假或隐瞒，我方愿意承担一切后果，并不再寻求任何旨在减轻或免除法律责任的辩解。</w:t>
      </w:r>
    </w:p>
    <w:p w14:paraId="57C8254D">
      <w:pPr>
        <w:snapToGrid w:val="0"/>
        <w:spacing w:beforeLines="50" w:after="50" w:line="460" w:lineRule="exact"/>
        <w:ind w:firstLine="120" w:firstLineChars="50"/>
        <w:jc w:val="right"/>
        <w:rPr>
          <w:rFonts w:asciiTheme="minorEastAsia" w:hAnsiTheme="minorEastAsia" w:eastAsiaTheme="minorEastAsia"/>
          <w:sz w:val="24"/>
        </w:rPr>
      </w:pPr>
    </w:p>
    <w:p w14:paraId="588149D6">
      <w:pPr>
        <w:snapToGrid w:val="0"/>
        <w:spacing w:beforeLines="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投标人（盖章）：</w:t>
      </w:r>
    </w:p>
    <w:p w14:paraId="135AA943">
      <w:pPr>
        <w:widowControl/>
        <w:spacing w:line="360" w:lineRule="auto"/>
        <w:jc w:val="right"/>
        <w:rPr>
          <w:rFonts w:asciiTheme="minorEastAsia" w:hAnsiTheme="minorEastAsia" w:eastAsiaTheme="minorEastAsia"/>
          <w:b/>
          <w:sz w:val="36"/>
          <w:szCs w:val="36"/>
        </w:rPr>
        <w:sectPr>
          <w:pgSz w:w="11906" w:h="16838"/>
          <w:pgMar w:top="1418" w:right="1134" w:bottom="1134" w:left="1418" w:header="851" w:footer="992" w:gutter="0"/>
          <w:cols w:space="425" w:num="1"/>
          <w:docGrid w:type="lines" w:linePitch="312" w:charSpace="0"/>
        </w:sectPr>
      </w:pPr>
      <w:r>
        <w:rPr>
          <w:rFonts w:hint="eastAsia" w:cs="宋体" w:asciiTheme="minorEastAsia" w:hAnsiTheme="minorEastAsia" w:eastAsiaTheme="minorEastAsia"/>
          <w:color w:val="000000"/>
          <w:kern w:val="0"/>
          <w:sz w:val="24"/>
        </w:rPr>
        <w:t>日期：年月日</w:t>
      </w:r>
    </w:p>
    <w:p w14:paraId="128EB854">
      <w:pPr>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t>2.商务技术文件目录</w:t>
      </w:r>
    </w:p>
    <w:p w14:paraId="298121CA">
      <w:pPr>
        <w:snapToGrid w:val="0"/>
        <w:spacing w:line="360" w:lineRule="auto"/>
        <w:ind w:firstLine="480" w:firstLineChars="20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供应商自评分表</w:t>
      </w:r>
    </w:p>
    <w:p w14:paraId="1F452E6F">
      <w:pPr>
        <w:snapToGrid w:val="0"/>
        <w:spacing w:line="360" w:lineRule="auto"/>
        <w:ind w:firstLine="360" w:firstLineChars="150"/>
        <w:rPr>
          <w:rFonts w:ascii="宋体" w:hAnsi="宋体" w:cs="宋体"/>
          <w:sz w:val="24"/>
        </w:rPr>
      </w:pPr>
      <w:r>
        <w:rPr>
          <w:rFonts w:hint="eastAsia" w:ascii="宋体" w:hAnsi="宋体" w:cs="宋体"/>
          <w:sz w:val="24"/>
        </w:rPr>
        <w:t>（2）业绩（格式见附件）；</w:t>
      </w:r>
    </w:p>
    <w:p w14:paraId="6B8655B4">
      <w:pPr>
        <w:snapToGrid w:val="0"/>
        <w:spacing w:line="360" w:lineRule="auto"/>
        <w:ind w:firstLine="360" w:firstLineChars="150"/>
        <w:rPr>
          <w:rFonts w:ascii="宋体" w:hAnsi="宋体" w:cs="宋体"/>
          <w:sz w:val="24"/>
        </w:rPr>
      </w:pPr>
      <w:r>
        <w:rPr>
          <w:rFonts w:hint="eastAsia" w:ascii="宋体" w:hAnsi="宋体" w:cs="宋体"/>
          <w:sz w:val="24"/>
        </w:rPr>
        <w:t>（3）拟投入的项目负责人及班组成员证书及社保证明材料（格式见附件）；</w:t>
      </w:r>
    </w:p>
    <w:p w14:paraId="698E18BF">
      <w:pPr>
        <w:snapToGrid w:val="0"/>
        <w:spacing w:line="360" w:lineRule="auto"/>
        <w:ind w:firstLine="360" w:firstLineChars="150"/>
        <w:rPr>
          <w:rFonts w:ascii="宋体" w:hAnsi="宋体" w:cs="宋体"/>
          <w:sz w:val="24"/>
        </w:rPr>
      </w:pPr>
      <w:r>
        <w:rPr>
          <w:rFonts w:hint="eastAsia" w:ascii="宋体" w:hAnsi="宋体" w:cs="宋体"/>
          <w:sz w:val="24"/>
        </w:rPr>
        <w:t>（4）投标标的清单（格式见附件）</w:t>
      </w:r>
    </w:p>
    <w:p w14:paraId="56ECF742">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）实施方案</w:t>
      </w:r>
    </w:p>
    <w:p w14:paraId="1ED79B45">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）各项保证措施保障措施</w:t>
      </w:r>
    </w:p>
    <w:p w14:paraId="5511A3EF">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）突发事件应急预案</w:t>
      </w:r>
    </w:p>
    <w:p w14:paraId="0E001CC9">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）售后服务</w:t>
      </w:r>
    </w:p>
    <w:p w14:paraId="2A581450">
      <w:pPr>
        <w:snapToGrid w:val="0"/>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）投标人认为需要说明的其他文件等。</w:t>
      </w:r>
    </w:p>
    <w:p w14:paraId="55DCFCBE">
      <w:pPr>
        <w:spacing w:line="360" w:lineRule="auto"/>
        <w:rPr>
          <w:rFonts w:asciiTheme="minorEastAsia" w:hAnsiTheme="minorEastAsia" w:eastAsiaTheme="minorEastAsia"/>
          <w:b/>
          <w:sz w:val="24"/>
        </w:rPr>
        <w:sectPr>
          <w:footerReference r:id="rId18" w:type="first"/>
          <w:headerReference r:id="rId16" w:type="default"/>
          <w:footerReference r:id="rId17" w:type="default"/>
          <w:pgSz w:w="11906" w:h="16838"/>
          <w:pgMar w:top="1440" w:right="1440" w:bottom="1440" w:left="1440" w:header="851" w:footer="992" w:gutter="0"/>
          <w:pgNumType w:start="1"/>
          <w:cols w:space="720" w:num="1"/>
          <w:titlePg/>
          <w:docGrid w:linePitch="312" w:charSpace="0"/>
        </w:sectPr>
      </w:pPr>
    </w:p>
    <w:p w14:paraId="0CC7BB4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2345"/>
      </w:tblGrid>
      <w:tr w14:paraId="16C9D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67A96EA0">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06D6C17D">
            <w:pPr>
              <w:spacing w:line="580" w:lineRule="exact"/>
              <w:rPr>
                <w:rFonts w:ascii="宋体" w:hAnsi="宋体" w:cs="宋体"/>
                <w:sz w:val="24"/>
              </w:rPr>
            </w:pPr>
            <w:r>
              <w:rPr>
                <w:rFonts w:hint="eastAsia" w:ascii="宋体" w:hAnsi="宋体" w:cs="宋体"/>
                <w:sz w:val="24"/>
              </w:rPr>
              <w:t>投标文件对应资料</w:t>
            </w:r>
          </w:p>
        </w:tc>
        <w:tc>
          <w:tcPr>
            <w:tcW w:w="2345" w:type="dxa"/>
            <w:tcBorders>
              <w:top w:val="single" w:color="auto" w:sz="4" w:space="0"/>
              <w:left w:val="nil"/>
              <w:bottom w:val="single" w:color="auto" w:sz="4" w:space="0"/>
              <w:right w:val="single" w:color="auto" w:sz="4" w:space="0"/>
            </w:tcBorders>
            <w:vAlign w:val="center"/>
          </w:tcPr>
          <w:p w14:paraId="69CE0568">
            <w:pPr>
              <w:spacing w:line="580" w:lineRule="exact"/>
              <w:rPr>
                <w:rFonts w:ascii="宋体" w:hAnsi="宋体" w:cs="宋体"/>
                <w:sz w:val="24"/>
              </w:rPr>
            </w:pPr>
            <w:r>
              <w:rPr>
                <w:rFonts w:hint="eastAsia" w:ascii="宋体" w:hAnsi="宋体" w:cs="宋体"/>
                <w:sz w:val="24"/>
              </w:rPr>
              <w:t>投标文件页码</w:t>
            </w:r>
          </w:p>
        </w:tc>
      </w:tr>
      <w:tr w14:paraId="0D505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4357FFF">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7673A8FC">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56FE1219">
            <w:pPr>
              <w:spacing w:line="580" w:lineRule="exact"/>
              <w:rPr>
                <w:rFonts w:ascii="宋体" w:hAnsi="宋体" w:cs="宋体"/>
                <w:sz w:val="24"/>
              </w:rPr>
            </w:pPr>
          </w:p>
        </w:tc>
      </w:tr>
      <w:tr w14:paraId="164C4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FD7B3DA">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323B8E2A">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4A150774">
            <w:pPr>
              <w:spacing w:line="580" w:lineRule="exact"/>
              <w:rPr>
                <w:rFonts w:ascii="宋体" w:hAnsi="宋体" w:cs="宋体"/>
                <w:sz w:val="24"/>
              </w:rPr>
            </w:pPr>
          </w:p>
        </w:tc>
      </w:tr>
      <w:tr w14:paraId="6B1BD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0B1FDD7">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0C8E27DE">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5E136178">
            <w:pPr>
              <w:spacing w:line="580" w:lineRule="exact"/>
              <w:rPr>
                <w:rFonts w:ascii="宋体" w:hAnsi="宋体" w:cs="宋体"/>
                <w:sz w:val="24"/>
              </w:rPr>
            </w:pPr>
          </w:p>
        </w:tc>
      </w:tr>
      <w:tr w14:paraId="713CA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6C0113C">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1199E38C">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4BAE5E10">
            <w:pPr>
              <w:spacing w:line="580" w:lineRule="exact"/>
              <w:rPr>
                <w:rFonts w:ascii="宋体" w:hAnsi="宋体" w:cs="宋体"/>
                <w:sz w:val="24"/>
              </w:rPr>
            </w:pPr>
          </w:p>
        </w:tc>
      </w:tr>
      <w:tr w14:paraId="64BD9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46A4390">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EE9FB0A">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09F7E2F9">
            <w:pPr>
              <w:spacing w:line="580" w:lineRule="exact"/>
              <w:rPr>
                <w:rFonts w:ascii="宋体" w:hAnsi="宋体" w:cs="宋体"/>
                <w:sz w:val="24"/>
              </w:rPr>
            </w:pPr>
          </w:p>
        </w:tc>
      </w:tr>
      <w:tr w14:paraId="42637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76B9EBB">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CE71E00">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605C1294">
            <w:pPr>
              <w:spacing w:line="580" w:lineRule="exact"/>
              <w:rPr>
                <w:rFonts w:ascii="宋体" w:hAnsi="宋体" w:cs="宋体"/>
                <w:sz w:val="24"/>
              </w:rPr>
            </w:pPr>
          </w:p>
        </w:tc>
      </w:tr>
      <w:tr w14:paraId="685D3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B19A484">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9F45960">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37445ADB">
            <w:pPr>
              <w:spacing w:line="580" w:lineRule="exact"/>
              <w:rPr>
                <w:rFonts w:ascii="宋体" w:hAnsi="宋体" w:cs="宋体"/>
                <w:sz w:val="24"/>
              </w:rPr>
            </w:pPr>
          </w:p>
        </w:tc>
      </w:tr>
      <w:tr w14:paraId="3752E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38CF6DE">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50DB39C4">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66FC3405">
            <w:pPr>
              <w:spacing w:line="580" w:lineRule="exact"/>
              <w:rPr>
                <w:rFonts w:ascii="宋体" w:hAnsi="宋体" w:cs="宋体"/>
                <w:sz w:val="24"/>
              </w:rPr>
            </w:pPr>
          </w:p>
        </w:tc>
      </w:tr>
      <w:tr w14:paraId="0883F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1D4383F6">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40AF182">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57F23CD1">
            <w:pPr>
              <w:spacing w:line="580" w:lineRule="exact"/>
              <w:rPr>
                <w:rFonts w:ascii="宋体" w:hAnsi="宋体" w:cs="宋体"/>
                <w:sz w:val="24"/>
              </w:rPr>
            </w:pPr>
          </w:p>
        </w:tc>
      </w:tr>
    </w:tbl>
    <w:p w14:paraId="0B81D1DC">
      <w:pPr>
        <w:snapToGrid w:val="0"/>
        <w:spacing w:beforeLines="50" w:after="50" w:line="360" w:lineRule="auto"/>
        <w:rPr>
          <w:rFonts w:ascii="宋体" w:hAnsi="宋体" w:cs="宋体"/>
          <w:sz w:val="24"/>
        </w:rPr>
      </w:pPr>
    </w:p>
    <w:p w14:paraId="6FE196A9">
      <w:pPr>
        <w:snapToGrid w:val="0"/>
        <w:spacing w:beforeLines="50" w:after="50" w:line="360" w:lineRule="auto"/>
        <w:rPr>
          <w:rFonts w:ascii="宋体" w:hAnsi="宋体" w:cs="宋体"/>
          <w:sz w:val="24"/>
        </w:rPr>
      </w:pPr>
    </w:p>
    <w:p w14:paraId="0CD37041">
      <w:pPr>
        <w:snapToGrid w:val="0"/>
        <w:spacing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14:paraId="530ACCA2">
      <w:pPr>
        <w:spacing w:beforeLines="5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14:paraId="5749A737">
      <w:pPr>
        <w:spacing w:line="360" w:lineRule="auto"/>
        <w:jc w:val="right"/>
        <w:rPr>
          <w:rFonts w:ascii="宋体" w:hAnsi="宋体" w:cs="宋体"/>
          <w:sz w:val="24"/>
        </w:rPr>
      </w:pPr>
      <w:r>
        <w:rPr>
          <w:rFonts w:hint="eastAsia" w:ascii="宋体" w:hAnsi="宋体" w:cs="宋体"/>
          <w:sz w:val="24"/>
        </w:rPr>
        <w:t>日 期：</w:t>
      </w:r>
    </w:p>
    <w:p w14:paraId="1B005753">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5453216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拟派本项目主要团队成员表</w:t>
      </w:r>
    </w:p>
    <w:p w14:paraId="6CD5BC8A">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05D2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917C9FD">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4587D1CE">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058E2B12">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6B249B8B">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2E58CDC8">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14:paraId="39022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2B02555">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AEFF2C9">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4C30925">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517FD24">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C506291">
            <w:pPr>
              <w:spacing w:line="360" w:lineRule="auto"/>
              <w:ind w:firstLine="480"/>
              <w:rPr>
                <w:rFonts w:asciiTheme="minorEastAsia" w:hAnsiTheme="minorEastAsia" w:eastAsiaTheme="minorEastAsia"/>
                <w:bCs/>
                <w:sz w:val="24"/>
              </w:rPr>
            </w:pPr>
          </w:p>
        </w:tc>
      </w:tr>
      <w:tr w14:paraId="4C5AF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0A22D4F">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8928BF5">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919B79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916C177">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6F015DC">
            <w:pPr>
              <w:spacing w:line="360" w:lineRule="auto"/>
              <w:ind w:firstLine="480"/>
              <w:rPr>
                <w:rFonts w:asciiTheme="minorEastAsia" w:hAnsiTheme="minorEastAsia" w:eastAsiaTheme="minorEastAsia"/>
                <w:bCs/>
                <w:sz w:val="24"/>
              </w:rPr>
            </w:pPr>
          </w:p>
        </w:tc>
      </w:tr>
      <w:tr w14:paraId="428D8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D1A03F0">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2241899B">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97CF111">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D5C7A7B">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4FAB6BC">
            <w:pPr>
              <w:spacing w:line="360" w:lineRule="auto"/>
              <w:ind w:firstLine="480"/>
              <w:rPr>
                <w:rFonts w:asciiTheme="minorEastAsia" w:hAnsiTheme="minorEastAsia" w:eastAsiaTheme="minorEastAsia"/>
                <w:bCs/>
                <w:sz w:val="24"/>
              </w:rPr>
            </w:pPr>
          </w:p>
        </w:tc>
      </w:tr>
      <w:tr w14:paraId="4EE62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6590C4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45620A9">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584F19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3969570">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3622155">
            <w:pPr>
              <w:spacing w:line="360" w:lineRule="auto"/>
              <w:ind w:firstLine="480"/>
              <w:rPr>
                <w:rFonts w:asciiTheme="minorEastAsia" w:hAnsiTheme="minorEastAsia" w:eastAsiaTheme="minorEastAsia"/>
                <w:bCs/>
                <w:sz w:val="24"/>
              </w:rPr>
            </w:pPr>
          </w:p>
        </w:tc>
      </w:tr>
      <w:tr w14:paraId="3F7B1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20C47D5">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0AED02A">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B9CE06A">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EB4DDBC">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ACC4581">
            <w:pPr>
              <w:spacing w:line="360" w:lineRule="auto"/>
              <w:ind w:firstLine="480"/>
              <w:rPr>
                <w:rFonts w:asciiTheme="minorEastAsia" w:hAnsiTheme="minorEastAsia" w:eastAsiaTheme="minorEastAsia"/>
                <w:bCs/>
                <w:sz w:val="24"/>
              </w:rPr>
            </w:pPr>
          </w:p>
        </w:tc>
      </w:tr>
      <w:tr w14:paraId="5AB30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042D66F">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94D1FB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49D9E6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CD2429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019D184">
            <w:pPr>
              <w:spacing w:line="360" w:lineRule="auto"/>
              <w:ind w:firstLine="480"/>
              <w:rPr>
                <w:rFonts w:asciiTheme="minorEastAsia" w:hAnsiTheme="minorEastAsia" w:eastAsiaTheme="minorEastAsia"/>
                <w:bCs/>
                <w:sz w:val="24"/>
              </w:rPr>
            </w:pPr>
          </w:p>
        </w:tc>
      </w:tr>
      <w:tr w14:paraId="66815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028EE2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27CABC60">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312F6AB">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C4BE564">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7392B496">
            <w:pPr>
              <w:spacing w:line="360" w:lineRule="auto"/>
              <w:ind w:firstLine="480"/>
              <w:rPr>
                <w:rFonts w:asciiTheme="minorEastAsia" w:hAnsiTheme="minorEastAsia" w:eastAsiaTheme="minorEastAsia"/>
                <w:bCs/>
                <w:sz w:val="24"/>
              </w:rPr>
            </w:pPr>
          </w:p>
        </w:tc>
      </w:tr>
      <w:tr w14:paraId="6334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9CEF8F0">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513DC8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5A840A0">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6ED64DC">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1B09FF3">
            <w:pPr>
              <w:spacing w:line="360" w:lineRule="auto"/>
              <w:ind w:firstLine="480"/>
              <w:rPr>
                <w:rFonts w:asciiTheme="minorEastAsia" w:hAnsiTheme="minorEastAsia" w:eastAsiaTheme="minorEastAsia"/>
                <w:bCs/>
                <w:sz w:val="24"/>
              </w:rPr>
            </w:pPr>
          </w:p>
        </w:tc>
      </w:tr>
      <w:tr w14:paraId="03F3B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C632F51">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3A8969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62716EB">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C45E035">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3E49E09">
            <w:pPr>
              <w:spacing w:line="360" w:lineRule="auto"/>
              <w:ind w:firstLine="480"/>
              <w:rPr>
                <w:rFonts w:asciiTheme="minorEastAsia" w:hAnsiTheme="minorEastAsia" w:eastAsiaTheme="minorEastAsia"/>
                <w:bCs/>
                <w:sz w:val="24"/>
              </w:rPr>
            </w:pPr>
          </w:p>
        </w:tc>
      </w:tr>
      <w:tr w14:paraId="03289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6AF5CBD">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4A75A7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7B338C72">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3C6FFD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E41ADDE">
            <w:pPr>
              <w:spacing w:line="360" w:lineRule="auto"/>
              <w:ind w:firstLine="480"/>
              <w:rPr>
                <w:rFonts w:asciiTheme="minorEastAsia" w:hAnsiTheme="minorEastAsia" w:eastAsiaTheme="minorEastAsia"/>
                <w:bCs/>
                <w:sz w:val="24"/>
              </w:rPr>
            </w:pPr>
          </w:p>
        </w:tc>
      </w:tr>
      <w:tr w14:paraId="6CEB6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D3A258C">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197FF64">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F989865">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570F6B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C571CCE">
            <w:pPr>
              <w:spacing w:line="360" w:lineRule="auto"/>
              <w:ind w:firstLine="480"/>
              <w:rPr>
                <w:rFonts w:asciiTheme="minorEastAsia" w:hAnsiTheme="minorEastAsia" w:eastAsiaTheme="minorEastAsia"/>
                <w:bCs/>
                <w:sz w:val="24"/>
              </w:rPr>
            </w:pPr>
          </w:p>
        </w:tc>
      </w:tr>
      <w:tr w14:paraId="64364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6F67AC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2E289804">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0C3B3E1">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CA7EB5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73897FEA">
            <w:pPr>
              <w:spacing w:line="360" w:lineRule="auto"/>
              <w:ind w:firstLine="480"/>
              <w:rPr>
                <w:rFonts w:asciiTheme="minorEastAsia" w:hAnsiTheme="minorEastAsia" w:eastAsiaTheme="minorEastAsia"/>
                <w:bCs/>
                <w:sz w:val="24"/>
              </w:rPr>
            </w:pPr>
          </w:p>
        </w:tc>
      </w:tr>
      <w:tr w14:paraId="6CBFE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E436E41">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062BC6C">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80E5A4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BC4F904">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E019742">
            <w:pPr>
              <w:spacing w:line="360" w:lineRule="auto"/>
              <w:ind w:firstLine="480"/>
              <w:rPr>
                <w:rFonts w:asciiTheme="minorEastAsia" w:hAnsiTheme="minorEastAsia" w:eastAsiaTheme="minorEastAsia"/>
                <w:bCs/>
                <w:sz w:val="24"/>
              </w:rPr>
            </w:pPr>
          </w:p>
        </w:tc>
      </w:tr>
    </w:tbl>
    <w:p w14:paraId="703B243C">
      <w:pPr>
        <w:spacing w:line="360" w:lineRule="auto"/>
        <w:ind w:firstLine="480"/>
        <w:rPr>
          <w:rFonts w:asciiTheme="minorEastAsia" w:hAnsiTheme="minorEastAsia" w:eastAsiaTheme="minorEastAsia"/>
          <w:bCs/>
          <w:sz w:val="24"/>
        </w:rPr>
      </w:pPr>
    </w:p>
    <w:p w14:paraId="491CA829">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14:paraId="557F87B4">
      <w:pPr>
        <w:spacing w:line="360" w:lineRule="auto"/>
        <w:ind w:firstLine="480"/>
        <w:rPr>
          <w:rFonts w:asciiTheme="minorEastAsia" w:hAnsiTheme="minorEastAsia" w:eastAsiaTheme="minorEastAsia"/>
          <w:bCs/>
          <w:sz w:val="24"/>
        </w:rPr>
      </w:pPr>
    </w:p>
    <w:p w14:paraId="18BFE7D5">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747C170F">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14:paraId="59D2D110">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14:paraId="291C6C28">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14:paraId="4A445752">
      <w:pPr>
        <w:spacing w:line="360" w:lineRule="auto"/>
        <w:outlineLvl w:val="3"/>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7E1CB236">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（3）企业业绩</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2"/>
        <w:gridCol w:w="1984"/>
        <w:gridCol w:w="1985"/>
        <w:gridCol w:w="2693"/>
      </w:tblGrid>
      <w:tr w14:paraId="2DBB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75A940B3">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2002" w:type="dxa"/>
            <w:noWrap/>
            <w:vAlign w:val="center"/>
          </w:tcPr>
          <w:p w14:paraId="156BE896">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984" w:type="dxa"/>
            <w:noWrap/>
            <w:vAlign w:val="center"/>
          </w:tcPr>
          <w:p w14:paraId="19F5D91C">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985" w:type="dxa"/>
            <w:noWrap/>
            <w:vAlign w:val="center"/>
          </w:tcPr>
          <w:p w14:paraId="5BDD9237">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2693" w:type="dxa"/>
            <w:noWrap/>
            <w:vAlign w:val="center"/>
          </w:tcPr>
          <w:p w14:paraId="7467E8E1">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14:paraId="577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2E3B1D85">
            <w:pPr>
              <w:snapToGrid w:val="0"/>
              <w:spacing w:line="360" w:lineRule="auto"/>
              <w:jc w:val="center"/>
              <w:rPr>
                <w:rFonts w:asciiTheme="minorEastAsia" w:hAnsiTheme="minorEastAsia" w:eastAsiaTheme="minorEastAsia"/>
                <w:sz w:val="24"/>
              </w:rPr>
            </w:pPr>
          </w:p>
        </w:tc>
        <w:tc>
          <w:tcPr>
            <w:tcW w:w="2002" w:type="dxa"/>
            <w:noWrap/>
          </w:tcPr>
          <w:p w14:paraId="53FE4E45">
            <w:pPr>
              <w:snapToGrid w:val="0"/>
              <w:spacing w:line="360" w:lineRule="auto"/>
              <w:jc w:val="center"/>
              <w:rPr>
                <w:rFonts w:asciiTheme="minorEastAsia" w:hAnsiTheme="minorEastAsia" w:eastAsiaTheme="minorEastAsia"/>
                <w:sz w:val="24"/>
              </w:rPr>
            </w:pPr>
          </w:p>
        </w:tc>
        <w:tc>
          <w:tcPr>
            <w:tcW w:w="1984" w:type="dxa"/>
            <w:noWrap/>
          </w:tcPr>
          <w:p w14:paraId="67DA81E3">
            <w:pPr>
              <w:snapToGrid w:val="0"/>
              <w:spacing w:line="360" w:lineRule="auto"/>
              <w:rPr>
                <w:rFonts w:asciiTheme="minorEastAsia" w:hAnsiTheme="minorEastAsia" w:eastAsiaTheme="minorEastAsia"/>
                <w:sz w:val="24"/>
              </w:rPr>
            </w:pPr>
          </w:p>
        </w:tc>
        <w:tc>
          <w:tcPr>
            <w:tcW w:w="1985" w:type="dxa"/>
            <w:noWrap/>
          </w:tcPr>
          <w:p w14:paraId="1A2AC1F2">
            <w:pPr>
              <w:snapToGrid w:val="0"/>
              <w:spacing w:line="360" w:lineRule="auto"/>
              <w:jc w:val="center"/>
              <w:rPr>
                <w:rFonts w:asciiTheme="minorEastAsia" w:hAnsiTheme="minorEastAsia" w:eastAsiaTheme="minorEastAsia"/>
                <w:sz w:val="24"/>
              </w:rPr>
            </w:pPr>
          </w:p>
        </w:tc>
        <w:tc>
          <w:tcPr>
            <w:tcW w:w="2693" w:type="dxa"/>
            <w:noWrap/>
          </w:tcPr>
          <w:p w14:paraId="6A223060">
            <w:pPr>
              <w:snapToGrid w:val="0"/>
              <w:spacing w:line="360" w:lineRule="auto"/>
              <w:jc w:val="center"/>
              <w:rPr>
                <w:rFonts w:asciiTheme="minorEastAsia" w:hAnsiTheme="minorEastAsia" w:eastAsiaTheme="minorEastAsia"/>
                <w:sz w:val="24"/>
              </w:rPr>
            </w:pPr>
          </w:p>
        </w:tc>
      </w:tr>
      <w:tr w14:paraId="03B3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D47D992">
            <w:pPr>
              <w:snapToGrid w:val="0"/>
              <w:spacing w:line="360" w:lineRule="auto"/>
              <w:jc w:val="center"/>
              <w:rPr>
                <w:rFonts w:asciiTheme="minorEastAsia" w:hAnsiTheme="minorEastAsia" w:eastAsiaTheme="minorEastAsia"/>
                <w:sz w:val="24"/>
              </w:rPr>
            </w:pPr>
          </w:p>
        </w:tc>
        <w:tc>
          <w:tcPr>
            <w:tcW w:w="2002" w:type="dxa"/>
            <w:noWrap/>
          </w:tcPr>
          <w:p w14:paraId="609DF2A8">
            <w:pPr>
              <w:snapToGrid w:val="0"/>
              <w:spacing w:line="360" w:lineRule="auto"/>
              <w:jc w:val="center"/>
              <w:rPr>
                <w:rFonts w:asciiTheme="minorEastAsia" w:hAnsiTheme="minorEastAsia" w:eastAsiaTheme="minorEastAsia"/>
                <w:sz w:val="24"/>
              </w:rPr>
            </w:pPr>
          </w:p>
        </w:tc>
        <w:tc>
          <w:tcPr>
            <w:tcW w:w="1984" w:type="dxa"/>
            <w:noWrap/>
          </w:tcPr>
          <w:p w14:paraId="36DB3AE9">
            <w:pPr>
              <w:snapToGrid w:val="0"/>
              <w:spacing w:line="360" w:lineRule="auto"/>
              <w:rPr>
                <w:rFonts w:asciiTheme="minorEastAsia" w:hAnsiTheme="minorEastAsia" w:eastAsiaTheme="minorEastAsia"/>
                <w:sz w:val="24"/>
              </w:rPr>
            </w:pPr>
          </w:p>
        </w:tc>
        <w:tc>
          <w:tcPr>
            <w:tcW w:w="1985" w:type="dxa"/>
            <w:noWrap/>
          </w:tcPr>
          <w:p w14:paraId="407A1FF3">
            <w:pPr>
              <w:snapToGrid w:val="0"/>
              <w:spacing w:line="360" w:lineRule="auto"/>
              <w:jc w:val="center"/>
              <w:rPr>
                <w:rFonts w:asciiTheme="minorEastAsia" w:hAnsiTheme="minorEastAsia" w:eastAsiaTheme="minorEastAsia"/>
                <w:sz w:val="24"/>
              </w:rPr>
            </w:pPr>
          </w:p>
        </w:tc>
        <w:tc>
          <w:tcPr>
            <w:tcW w:w="2693" w:type="dxa"/>
            <w:noWrap/>
          </w:tcPr>
          <w:p w14:paraId="17C0B1E1">
            <w:pPr>
              <w:snapToGrid w:val="0"/>
              <w:spacing w:line="360" w:lineRule="auto"/>
              <w:jc w:val="center"/>
              <w:rPr>
                <w:rFonts w:asciiTheme="minorEastAsia" w:hAnsiTheme="minorEastAsia" w:eastAsiaTheme="minorEastAsia"/>
                <w:sz w:val="24"/>
              </w:rPr>
            </w:pPr>
          </w:p>
        </w:tc>
      </w:tr>
      <w:tr w14:paraId="58A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4C7C2BEC">
            <w:pPr>
              <w:snapToGrid w:val="0"/>
              <w:spacing w:line="360" w:lineRule="auto"/>
              <w:jc w:val="center"/>
              <w:rPr>
                <w:rFonts w:asciiTheme="minorEastAsia" w:hAnsiTheme="minorEastAsia" w:eastAsiaTheme="minorEastAsia"/>
                <w:sz w:val="24"/>
              </w:rPr>
            </w:pPr>
          </w:p>
        </w:tc>
        <w:tc>
          <w:tcPr>
            <w:tcW w:w="2002" w:type="dxa"/>
            <w:noWrap/>
          </w:tcPr>
          <w:p w14:paraId="4AA17414">
            <w:pPr>
              <w:snapToGrid w:val="0"/>
              <w:spacing w:line="360" w:lineRule="auto"/>
              <w:jc w:val="center"/>
              <w:rPr>
                <w:rFonts w:asciiTheme="minorEastAsia" w:hAnsiTheme="minorEastAsia" w:eastAsiaTheme="minorEastAsia"/>
                <w:sz w:val="24"/>
              </w:rPr>
            </w:pPr>
          </w:p>
        </w:tc>
        <w:tc>
          <w:tcPr>
            <w:tcW w:w="1984" w:type="dxa"/>
            <w:noWrap/>
          </w:tcPr>
          <w:p w14:paraId="136C4D29">
            <w:pPr>
              <w:snapToGrid w:val="0"/>
              <w:spacing w:line="360" w:lineRule="auto"/>
              <w:rPr>
                <w:rFonts w:asciiTheme="minorEastAsia" w:hAnsiTheme="minorEastAsia" w:eastAsiaTheme="minorEastAsia"/>
                <w:sz w:val="24"/>
              </w:rPr>
            </w:pPr>
          </w:p>
        </w:tc>
        <w:tc>
          <w:tcPr>
            <w:tcW w:w="1985" w:type="dxa"/>
            <w:noWrap/>
          </w:tcPr>
          <w:p w14:paraId="26764522">
            <w:pPr>
              <w:snapToGrid w:val="0"/>
              <w:spacing w:line="360" w:lineRule="auto"/>
              <w:jc w:val="center"/>
              <w:rPr>
                <w:rFonts w:asciiTheme="minorEastAsia" w:hAnsiTheme="minorEastAsia" w:eastAsiaTheme="minorEastAsia"/>
                <w:sz w:val="24"/>
              </w:rPr>
            </w:pPr>
          </w:p>
        </w:tc>
        <w:tc>
          <w:tcPr>
            <w:tcW w:w="2693" w:type="dxa"/>
            <w:noWrap/>
          </w:tcPr>
          <w:p w14:paraId="40892B10">
            <w:pPr>
              <w:snapToGrid w:val="0"/>
              <w:spacing w:line="360" w:lineRule="auto"/>
              <w:jc w:val="center"/>
              <w:rPr>
                <w:rFonts w:asciiTheme="minorEastAsia" w:hAnsiTheme="minorEastAsia" w:eastAsiaTheme="minorEastAsia"/>
                <w:sz w:val="24"/>
              </w:rPr>
            </w:pPr>
          </w:p>
        </w:tc>
      </w:tr>
      <w:tr w14:paraId="0216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7D227202">
            <w:pPr>
              <w:snapToGrid w:val="0"/>
              <w:spacing w:line="360" w:lineRule="auto"/>
              <w:jc w:val="center"/>
              <w:rPr>
                <w:rFonts w:asciiTheme="minorEastAsia" w:hAnsiTheme="minorEastAsia" w:eastAsiaTheme="minorEastAsia"/>
                <w:sz w:val="24"/>
              </w:rPr>
            </w:pPr>
          </w:p>
        </w:tc>
        <w:tc>
          <w:tcPr>
            <w:tcW w:w="2002" w:type="dxa"/>
            <w:noWrap/>
          </w:tcPr>
          <w:p w14:paraId="558811DE">
            <w:pPr>
              <w:snapToGrid w:val="0"/>
              <w:spacing w:line="360" w:lineRule="auto"/>
              <w:jc w:val="center"/>
              <w:rPr>
                <w:rFonts w:asciiTheme="minorEastAsia" w:hAnsiTheme="minorEastAsia" w:eastAsiaTheme="minorEastAsia"/>
                <w:sz w:val="24"/>
              </w:rPr>
            </w:pPr>
          </w:p>
        </w:tc>
        <w:tc>
          <w:tcPr>
            <w:tcW w:w="1984" w:type="dxa"/>
            <w:noWrap/>
          </w:tcPr>
          <w:p w14:paraId="10AC3F70">
            <w:pPr>
              <w:snapToGrid w:val="0"/>
              <w:spacing w:line="360" w:lineRule="auto"/>
              <w:rPr>
                <w:rFonts w:asciiTheme="minorEastAsia" w:hAnsiTheme="minorEastAsia" w:eastAsiaTheme="minorEastAsia"/>
                <w:sz w:val="24"/>
              </w:rPr>
            </w:pPr>
          </w:p>
        </w:tc>
        <w:tc>
          <w:tcPr>
            <w:tcW w:w="1985" w:type="dxa"/>
            <w:noWrap/>
          </w:tcPr>
          <w:p w14:paraId="3309B90B">
            <w:pPr>
              <w:snapToGrid w:val="0"/>
              <w:spacing w:line="360" w:lineRule="auto"/>
              <w:jc w:val="center"/>
              <w:rPr>
                <w:rFonts w:asciiTheme="minorEastAsia" w:hAnsiTheme="minorEastAsia" w:eastAsiaTheme="minorEastAsia"/>
                <w:sz w:val="24"/>
              </w:rPr>
            </w:pPr>
          </w:p>
        </w:tc>
        <w:tc>
          <w:tcPr>
            <w:tcW w:w="2693" w:type="dxa"/>
            <w:noWrap/>
          </w:tcPr>
          <w:p w14:paraId="5A494578">
            <w:pPr>
              <w:snapToGrid w:val="0"/>
              <w:spacing w:line="360" w:lineRule="auto"/>
              <w:jc w:val="center"/>
              <w:rPr>
                <w:rFonts w:asciiTheme="minorEastAsia" w:hAnsiTheme="minorEastAsia" w:eastAsiaTheme="minorEastAsia"/>
                <w:sz w:val="24"/>
              </w:rPr>
            </w:pPr>
          </w:p>
        </w:tc>
      </w:tr>
      <w:tr w14:paraId="67A1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2771A4AE">
            <w:pPr>
              <w:snapToGrid w:val="0"/>
              <w:spacing w:line="360" w:lineRule="auto"/>
              <w:jc w:val="center"/>
              <w:rPr>
                <w:rFonts w:asciiTheme="minorEastAsia" w:hAnsiTheme="minorEastAsia" w:eastAsiaTheme="minorEastAsia"/>
                <w:sz w:val="24"/>
              </w:rPr>
            </w:pPr>
          </w:p>
        </w:tc>
        <w:tc>
          <w:tcPr>
            <w:tcW w:w="2002" w:type="dxa"/>
            <w:noWrap/>
          </w:tcPr>
          <w:p w14:paraId="5D062F7A">
            <w:pPr>
              <w:snapToGrid w:val="0"/>
              <w:spacing w:line="360" w:lineRule="auto"/>
              <w:jc w:val="center"/>
              <w:rPr>
                <w:rFonts w:asciiTheme="minorEastAsia" w:hAnsiTheme="minorEastAsia" w:eastAsiaTheme="minorEastAsia"/>
                <w:sz w:val="24"/>
              </w:rPr>
            </w:pPr>
          </w:p>
        </w:tc>
        <w:tc>
          <w:tcPr>
            <w:tcW w:w="1984" w:type="dxa"/>
            <w:noWrap/>
          </w:tcPr>
          <w:p w14:paraId="69A0C998">
            <w:pPr>
              <w:snapToGrid w:val="0"/>
              <w:spacing w:line="360" w:lineRule="auto"/>
              <w:rPr>
                <w:rFonts w:asciiTheme="minorEastAsia" w:hAnsiTheme="minorEastAsia" w:eastAsiaTheme="minorEastAsia"/>
                <w:sz w:val="24"/>
              </w:rPr>
            </w:pPr>
          </w:p>
        </w:tc>
        <w:tc>
          <w:tcPr>
            <w:tcW w:w="1985" w:type="dxa"/>
            <w:noWrap/>
          </w:tcPr>
          <w:p w14:paraId="66062237">
            <w:pPr>
              <w:snapToGrid w:val="0"/>
              <w:spacing w:line="360" w:lineRule="auto"/>
              <w:jc w:val="center"/>
              <w:rPr>
                <w:rFonts w:asciiTheme="minorEastAsia" w:hAnsiTheme="minorEastAsia" w:eastAsiaTheme="minorEastAsia"/>
                <w:sz w:val="24"/>
              </w:rPr>
            </w:pPr>
          </w:p>
        </w:tc>
        <w:tc>
          <w:tcPr>
            <w:tcW w:w="2693" w:type="dxa"/>
            <w:noWrap/>
          </w:tcPr>
          <w:p w14:paraId="34B0290D">
            <w:pPr>
              <w:snapToGrid w:val="0"/>
              <w:spacing w:line="360" w:lineRule="auto"/>
              <w:jc w:val="center"/>
              <w:rPr>
                <w:rFonts w:asciiTheme="minorEastAsia" w:hAnsiTheme="minorEastAsia" w:eastAsiaTheme="minorEastAsia"/>
                <w:sz w:val="24"/>
              </w:rPr>
            </w:pPr>
          </w:p>
        </w:tc>
      </w:tr>
      <w:tr w14:paraId="5E6D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0245B74">
            <w:pPr>
              <w:snapToGrid w:val="0"/>
              <w:spacing w:line="360" w:lineRule="auto"/>
              <w:jc w:val="center"/>
              <w:rPr>
                <w:rFonts w:asciiTheme="minorEastAsia" w:hAnsiTheme="minorEastAsia" w:eastAsiaTheme="minorEastAsia"/>
                <w:sz w:val="24"/>
              </w:rPr>
            </w:pPr>
          </w:p>
        </w:tc>
        <w:tc>
          <w:tcPr>
            <w:tcW w:w="2002" w:type="dxa"/>
            <w:noWrap/>
          </w:tcPr>
          <w:p w14:paraId="65BDBDE7">
            <w:pPr>
              <w:snapToGrid w:val="0"/>
              <w:spacing w:line="360" w:lineRule="auto"/>
              <w:jc w:val="center"/>
              <w:rPr>
                <w:rFonts w:asciiTheme="minorEastAsia" w:hAnsiTheme="minorEastAsia" w:eastAsiaTheme="minorEastAsia"/>
                <w:sz w:val="24"/>
              </w:rPr>
            </w:pPr>
          </w:p>
        </w:tc>
        <w:tc>
          <w:tcPr>
            <w:tcW w:w="1984" w:type="dxa"/>
            <w:noWrap/>
          </w:tcPr>
          <w:p w14:paraId="5C987C55">
            <w:pPr>
              <w:snapToGrid w:val="0"/>
              <w:spacing w:line="360" w:lineRule="auto"/>
              <w:rPr>
                <w:rFonts w:asciiTheme="minorEastAsia" w:hAnsiTheme="minorEastAsia" w:eastAsiaTheme="minorEastAsia"/>
                <w:sz w:val="24"/>
              </w:rPr>
            </w:pPr>
          </w:p>
        </w:tc>
        <w:tc>
          <w:tcPr>
            <w:tcW w:w="1985" w:type="dxa"/>
            <w:noWrap/>
          </w:tcPr>
          <w:p w14:paraId="6000F86C">
            <w:pPr>
              <w:snapToGrid w:val="0"/>
              <w:spacing w:line="360" w:lineRule="auto"/>
              <w:jc w:val="center"/>
              <w:rPr>
                <w:rFonts w:asciiTheme="minorEastAsia" w:hAnsiTheme="minorEastAsia" w:eastAsiaTheme="minorEastAsia"/>
                <w:sz w:val="24"/>
              </w:rPr>
            </w:pPr>
          </w:p>
        </w:tc>
        <w:tc>
          <w:tcPr>
            <w:tcW w:w="2693" w:type="dxa"/>
            <w:noWrap/>
          </w:tcPr>
          <w:p w14:paraId="4F29C10A">
            <w:pPr>
              <w:snapToGrid w:val="0"/>
              <w:spacing w:line="360" w:lineRule="auto"/>
              <w:jc w:val="center"/>
              <w:rPr>
                <w:rFonts w:asciiTheme="minorEastAsia" w:hAnsiTheme="minorEastAsia" w:eastAsiaTheme="minorEastAsia"/>
                <w:sz w:val="24"/>
              </w:rPr>
            </w:pPr>
          </w:p>
        </w:tc>
      </w:tr>
      <w:tr w14:paraId="1FB1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5EC0BD4">
            <w:pPr>
              <w:snapToGrid w:val="0"/>
              <w:spacing w:line="360" w:lineRule="auto"/>
              <w:jc w:val="center"/>
              <w:rPr>
                <w:rFonts w:asciiTheme="minorEastAsia" w:hAnsiTheme="minorEastAsia" w:eastAsiaTheme="minorEastAsia"/>
                <w:sz w:val="24"/>
              </w:rPr>
            </w:pPr>
          </w:p>
        </w:tc>
        <w:tc>
          <w:tcPr>
            <w:tcW w:w="2002" w:type="dxa"/>
            <w:noWrap/>
          </w:tcPr>
          <w:p w14:paraId="354E87DB">
            <w:pPr>
              <w:snapToGrid w:val="0"/>
              <w:spacing w:line="360" w:lineRule="auto"/>
              <w:jc w:val="center"/>
              <w:rPr>
                <w:rFonts w:asciiTheme="minorEastAsia" w:hAnsiTheme="minorEastAsia" w:eastAsiaTheme="minorEastAsia"/>
                <w:sz w:val="24"/>
              </w:rPr>
            </w:pPr>
          </w:p>
        </w:tc>
        <w:tc>
          <w:tcPr>
            <w:tcW w:w="1984" w:type="dxa"/>
            <w:noWrap/>
          </w:tcPr>
          <w:p w14:paraId="7A2450F1">
            <w:pPr>
              <w:snapToGrid w:val="0"/>
              <w:spacing w:line="360" w:lineRule="auto"/>
              <w:rPr>
                <w:rFonts w:asciiTheme="minorEastAsia" w:hAnsiTheme="minorEastAsia" w:eastAsiaTheme="minorEastAsia"/>
                <w:sz w:val="24"/>
              </w:rPr>
            </w:pPr>
          </w:p>
        </w:tc>
        <w:tc>
          <w:tcPr>
            <w:tcW w:w="1985" w:type="dxa"/>
            <w:noWrap/>
          </w:tcPr>
          <w:p w14:paraId="054ECCDD">
            <w:pPr>
              <w:snapToGrid w:val="0"/>
              <w:spacing w:line="360" w:lineRule="auto"/>
              <w:jc w:val="center"/>
              <w:rPr>
                <w:rFonts w:asciiTheme="minorEastAsia" w:hAnsiTheme="minorEastAsia" w:eastAsiaTheme="minorEastAsia"/>
                <w:sz w:val="24"/>
              </w:rPr>
            </w:pPr>
          </w:p>
        </w:tc>
        <w:tc>
          <w:tcPr>
            <w:tcW w:w="2693" w:type="dxa"/>
            <w:noWrap/>
          </w:tcPr>
          <w:p w14:paraId="0E9A696C">
            <w:pPr>
              <w:snapToGrid w:val="0"/>
              <w:spacing w:line="360" w:lineRule="auto"/>
              <w:jc w:val="center"/>
              <w:rPr>
                <w:rFonts w:asciiTheme="minorEastAsia" w:hAnsiTheme="minorEastAsia" w:eastAsiaTheme="minorEastAsia"/>
                <w:sz w:val="24"/>
              </w:rPr>
            </w:pPr>
          </w:p>
        </w:tc>
      </w:tr>
    </w:tbl>
    <w:p w14:paraId="01CA11B8">
      <w:pPr>
        <w:snapToGrid w:val="0"/>
        <w:spacing w:line="360" w:lineRule="auto"/>
        <w:ind w:firstLine="540"/>
        <w:rPr>
          <w:rFonts w:ascii="宋体" w:hAnsi="宋体"/>
          <w:sz w:val="24"/>
        </w:rPr>
      </w:pPr>
    </w:p>
    <w:p w14:paraId="32C2AD09">
      <w:pPr>
        <w:snapToGrid w:val="0"/>
        <w:spacing w:line="360" w:lineRule="auto"/>
        <w:ind w:firstLine="540"/>
        <w:rPr>
          <w:rFonts w:ascii="宋体" w:hAnsi="宋体"/>
          <w:sz w:val="24"/>
        </w:rPr>
      </w:pPr>
    </w:p>
    <w:p w14:paraId="2E14E2C2">
      <w:pPr>
        <w:snapToGrid w:val="0"/>
        <w:spacing w:line="360" w:lineRule="auto"/>
        <w:ind w:firstLine="540"/>
        <w:rPr>
          <w:rFonts w:ascii="宋体" w:hAnsi="宋体"/>
          <w:sz w:val="24"/>
        </w:rPr>
      </w:pPr>
      <w:r>
        <w:rPr>
          <w:rFonts w:hint="eastAsia" w:ascii="宋体" w:hAnsi="宋体"/>
          <w:sz w:val="24"/>
        </w:rPr>
        <w:t>供应商：                     （盖章）</w:t>
      </w:r>
    </w:p>
    <w:p w14:paraId="685B0228">
      <w:pPr>
        <w:snapToGrid w:val="0"/>
        <w:spacing w:line="360" w:lineRule="auto"/>
        <w:ind w:firstLine="540"/>
        <w:rPr>
          <w:rFonts w:ascii="宋体" w:hAnsi="宋体"/>
          <w:sz w:val="24"/>
        </w:rPr>
      </w:pPr>
      <w:r>
        <w:rPr>
          <w:rFonts w:hint="eastAsia" w:ascii="宋体" w:hAnsi="宋体"/>
          <w:sz w:val="24"/>
        </w:rPr>
        <w:t>法定代表人或委托代理人：                （签字或盖章）</w:t>
      </w:r>
    </w:p>
    <w:p w14:paraId="01D1233F">
      <w:pPr>
        <w:snapToGrid w:val="0"/>
        <w:spacing w:line="360" w:lineRule="auto"/>
        <w:ind w:firstLine="540"/>
        <w:rPr>
          <w:rFonts w:ascii="宋体" w:hAnsi="宋体"/>
          <w:sz w:val="24"/>
        </w:rPr>
      </w:pPr>
      <w:r>
        <w:rPr>
          <w:rFonts w:hint="eastAsia" w:ascii="宋体" w:hAnsi="宋体"/>
          <w:sz w:val="24"/>
        </w:rPr>
        <w:t xml:space="preserve">日 期：                    </w:t>
      </w:r>
    </w:p>
    <w:p w14:paraId="19FB8BF9">
      <w:pPr>
        <w:spacing w:line="580" w:lineRule="exact"/>
        <w:rPr>
          <w:rFonts w:asciiTheme="minorEastAsia" w:hAnsiTheme="minorEastAsia" w:eastAsiaTheme="minorEastAsia"/>
          <w:sz w:val="24"/>
        </w:rPr>
      </w:pPr>
      <w:r>
        <w:rPr>
          <w:rFonts w:hint="eastAsia" w:ascii="宋体" w:hAnsi="宋体"/>
          <w:b/>
          <w:spacing w:val="20"/>
          <w:position w:val="2"/>
          <w:sz w:val="24"/>
        </w:rPr>
        <w:br w:type="page"/>
      </w:r>
    </w:p>
    <w:p w14:paraId="1A7B884C">
      <w:pPr>
        <w:spacing w:line="360" w:lineRule="auto"/>
        <w:outlineLvl w:val="3"/>
        <w:rPr>
          <w:rFonts w:ascii="宋体" w:hAnsi="宋体"/>
          <w:b/>
          <w:sz w:val="24"/>
        </w:rPr>
      </w:pPr>
      <w:r>
        <w:rPr>
          <w:rFonts w:hint="eastAsia" w:asciiTheme="minorEastAsia" w:hAnsiTheme="minorEastAsia" w:eastAsiaTheme="minorEastAsia"/>
          <w:b/>
          <w:sz w:val="24"/>
        </w:rPr>
        <w:t>（4）</w:t>
      </w:r>
      <w:r>
        <w:rPr>
          <w:rFonts w:hint="eastAsia" w:ascii="宋体" w:hAnsi="宋体"/>
          <w:b/>
          <w:sz w:val="24"/>
        </w:rPr>
        <w:t>投标标的清单</w:t>
      </w:r>
    </w:p>
    <w:tbl>
      <w:tblPr>
        <w:tblStyle w:val="3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39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BEF06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5054E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DEAA7A0">
            <w:pPr>
              <w:spacing w:line="360" w:lineRule="auto"/>
              <w:jc w:val="center"/>
              <w:rPr>
                <w:rFonts w:ascii="宋体" w:hAnsi="宋体" w:cs="宋体"/>
                <w:b/>
                <w:sz w:val="24"/>
              </w:rPr>
            </w:pPr>
          </w:p>
          <w:p w14:paraId="42814F9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4AEEC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4E64CD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C7D4623">
            <w:pPr>
              <w:spacing w:line="360" w:lineRule="auto"/>
              <w:jc w:val="center"/>
              <w:rPr>
                <w:rFonts w:ascii="宋体" w:hAnsi="宋体" w:cs="宋体"/>
                <w:b/>
                <w:sz w:val="24"/>
              </w:rPr>
            </w:pPr>
            <w:r>
              <w:rPr>
                <w:rFonts w:hint="eastAsia" w:ascii="宋体" w:hAnsi="宋体" w:cs="宋体"/>
                <w:b/>
                <w:sz w:val="24"/>
              </w:rPr>
              <w:t>备注</w:t>
            </w:r>
          </w:p>
        </w:tc>
      </w:tr>
      <w:tr w14:paraId="0F3C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78DE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0B5CC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6DC8C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832CB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8AC94E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9CB6DFA">
            <w:pPr>
              <w:spacing w:line="360" w:lineRule="auto"/>
              <w:jc w:val="center"/>
              <w:rPr>
                <w:rFonts w:ascii="宋体" w:hAnsi="宋体" w:cs="宋体"/>
                <w:sz w:val="24"/>
              </w:rPr>
            </w:pPr>
          </w:p>
        </w:tc>
      </w:tr>
      <w:tr w14:paraId="245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21956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8AF0A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E75D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34E52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17C95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CE3C69F">
            <w:pPr>
              <w:spacing w:line="360" w:lineRule="auto"/>
              <w:jc w:val="center"/>
              <w:rPr>
                <w:rFonts w:ascii="宋体" w:hAnsi="宋体" w:cs="宋体"/>
                <w:sz w:val="24"/>
              </w:rPr>
            </w:pPr>
          </w:p>
        </w:tc>
      </w:tr>
      <w:tr w14:paraId="7B3D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97840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089F60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AE1FE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77A53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94150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39826A">
            <w:pPr>
              <w:spacing w:line="360" w:lineRule="auto"/>
              <w:jc w:val="center"/>
              <w:rPr>
                <w:rFonts w:ascii="宋体" w:hAnsi="宋体" w:cs="宋体"/>
                <w:sz w:val="24"/>
              </w:rPr>
            </w:pPr>
          </w:p>
        </w:tc>
      </w:tr>
    </w:tbl>
    <w:p w14:paraId="1403B1AC">
      <w:pPr>
        <w:spacing w:line="360" w:lineRule="auto"/>
        <w:ind w:firstLine="643" w:firstLineChars="200"/>
        <w:rPr>
          <w:rFonts w:ascii="宋体" w:hAnsi="宋体" w:cs="宋体"/>
          <w:b/>
          <w:bCs/>
          <w:sz w:val="32"/>
          <w:szCs w:val="32"/>
        </w:rPr>
        <w:sectPr>
          <w:pgSz w:w="11906" w:h="16838"/>
          <w:pgMar w:top="1440" w:right="1440" w:bottom="1440" w:left="1440" w:header="851" w:footer="992" w:gutter="0"/>
          <w:pgNumType w:start="1"/>
          <w:cols w:space="720" w:num="1"/>
          <w:titlePg/>
          <w:docGrid w:linePitch="312" w:charSpace="0"/>
        </w:sectPr>
      </w:pPr>
    </w:p>
    <w:p w14:paraId="65A2F088">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6916D3D3">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（1）投标函（格式见附件）</w:t>
      </w:r>
    </w:p>
    <w:p w14:paraId="025ADA9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（2）开标一览表（</w:t>
      </w:r>
      <w:r>
        <w:rPr>
          <w:rFonts w:hint="eastAsia" w:asciiTheme="minorEastAsia" w:hAnsiTheme="minorEastAsia" w:eastAsiaTheme="minorEastAsia"/>
          <w:sz w:val="24"/>
          <w:lang w:eastAsia="zh-CN"/>
        </w:rPr>
        <w:t>以电子投标格式为准</w:t>
      </w:r>
      <w:r>
        <w:rPr>
          <w:rFonts w:hint="eastAsia" w:asciiTheme="minorEastAsia" w:hAnsiTheme="minorEastAsia" w:eastAsiaTheme="minorEastAsia"/>
          <w:sz w:val="24"/>
        </w:rPr>
        <w:t>）</w:t>
      </w:r>
    </w:p>
    <w:p w14:paraId="5A23A903">
      <w:pPr>
        <w:pStyle w:val="40"/>
        <w:spacing w:line="360" w:lineRule="auto"/>
        <w:ind w:firstLine="480" w:firstLineChars="200"/>
        <w:rPr>
          <w:rFonts w:hint="eastAsia" w:eastAsiaTheme="minorEastAsia"/>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）报价明细表（格式见附件）</w:t>
      </w:r>
    </w:p>
    <w:p w14:paraId="395DF8B3">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（3）投标人需要说明的其他文件和说明（格式略）</w:t>
      </w:r>
    </w:p>
    <w:p w14:paraId="699DBD7F">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5BD7855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（1）投 标 函</w:t>
      </w:r>
    </w:p>
    <w:p w14:paraId="7A59FEFE">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致：桐庐鸿泰工程咨询有限公司</w:t>
      </w:r>
    </w:p>
    <w:p w14:paraId="49F6EF51">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根据贵方招标文件的要求，正式授权下述签字人</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 xml:space="preserve">代表投标人 </w:t>
      </w:r>
      <w:r>
        <w:rPr>
          <w:rFonts w:hint="eastAsia" w:asciiTheme="minorEastAsia" w:hAnsiTheme="minorEastAsia" w:eastAsiaTheme="minorEastAsia"/>
          <w:sz w:val="24"/>
          <w:u w:val="single"/>
        </w:rPr>
        <w:t xml:space="preserve">（投标人名称） </w:t>
      </w:r>
      <w:r>
        <w:rPr>
          <w:rFonts w:hint="eastAsia" w:asciiTheme="minorEastAsia" w:hAnsiTheme="minorEastAsia" w:eastAsiaTheme="minorEastAsia"/>
          <w:sz w:val="24"/>
        </w:rPr>
        <w:t>，提交下述文件。据此函，签字人兹宣布同意如下：</w:t>
      </w:r>
    </w:p>
    <w:p w14:paraId="4089ABF4">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1.我方已仔细研究了(项目名称) 的招标文件的全部内容，愿意以承诺以下内容：</w:t>
      </w:r>
    </w:p>
    <w:p w14:paraId="73E1B25D">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人民币(大写)元（小写 元）的投标总报价。</w:t>
      </w:r>
    </w:p>
    <w:p w14:paraId="2285A0B9">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2.我方在投标之前已经与贵方进行了充分的沟通，完全理解并接受招标文件的各项规定和要求，对招标文件的合理性、合法性不再有异议。（包括修改文件）</w:t>
      </w:r>
    </w:p>
    <w:p w14:paraId="29769C4B">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1D216437">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0FEE81D6">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53295AEB">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69E5EBB4">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3FB8C56B">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3B968BEF">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382C0765">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2）在合同约定的期限内完成并移交全部合同工程。</w:t>
      </w:r>
    </w:p>
    <w:p w14:paraId="4F7FC317">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5E95E6D8">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3E6C75CF">
      <w:pPr>
        <w:snapToGrid w:val="0"/>
        <w:spacing w:line="360" w:lineRule="auto"/>
        <w:ind w:left="2940" w:leftChars="257" w:hanging="2400" w:hangingChars="1000"/>
        <w:rPr>
          <w:rFonts w:asciiTheme="minorEastAsia" w:hAnsiTheme="minorEastAsia" w:eastAsiaTheme="minorEastAsia"/>
          <w:sz w:val="24"/>
        </w:rPr>
      </w:pPr>
      <w:r>
        <w:rPr>
          <w:rFonts w:hint="eastAsia" w:asciiTheme="minorEastAsia" w:hAnsiTheme="minorEastAsia" w:eastAsiaTheme="minorEastAsia"/>
          <w:sz w:val="24"/>
        </w:rPr>
        <w:t xml:space="preserve">7.（投标人认为需要的其他补充说明）。 </w:t>
      </w:r>
    </w:p>
    <w:p w14:paraId="520C7DAD">
      <w:pPr>
        <w:snapToGrid w:val="0"/>
        <w:spacing w:line="360" w:lineRule="auto"/>
        <w:ind w:firstLine="2880" w:firstLineChars="1200"/>
        <w:jc w:val="right"/>
        <w:rPr>
          <w:rFonts w:asciiTheme="minorEastAsia" w:hAnsiTheme="minorEastAsia" w:eastAsiaTheme="minorEastAsia"/>
          <w:sz w:val="24"/>
        </w:rPr>
      </w:pPr>
      <w:r>
        <w:rPr>
          <w:rFonts w:hint="eastAsia" w:asciiTheme="minorEastAsia" w:hAnsiTheme="minorEastAsia" w:eastAsiaTheme="minorEastAsia"/>
          <w:sz w:val="24"/>
        </w:rPr>
        <w:t xml:space="preserve">投标人：（盖章） </w:t>
      </w:r>
    </w:p>
    <w:p w14:paraId="1D8AF4D1">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法定代表人：（签字或盖章）</w:t>
      </w:r>
    </w:p>
    <w:p w14:paraId="37DAE5FE">
      <w:pPr>
        <w:snapToGrid w:val="0"/>
        <w:spacing w:line="360" w:lineRule="auto"/>
        <w:ind w:firstLine="2868" w:firstLineChars="1195"/>
        <w:jc w:val="right"/>
        <w:rPr>
          <w:rFonts w:asciiTheme="minorEastAsia" w:hAnsiTheme="minorEastAsia" w:eastAsiaTheme="minorEastAsia"/>
          <w:sz w:val="24"/>
          <w:u w:val="single"/>
        </w:rPr>
      </w:pPr>
      <w:r>
        <w:rPr>
          <w:rFonts w:hint="eastAsia" w:asciiTheme="minorEastAsia" w:hAnsiTheme="minorEastAsia" w:eastAsiaTheme="minorEastAsia"/>
          <w:sz w:val="24"/>
        </w:rPr>
        <w:t>电话：</w:t>
      </w:r>
    </w:p>
    <w:p w14:paraId="20274761">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日期：</w:t>
      </w:r>
    </w:p>
    <w:p w14:paraId="176BAC81">
      <w:pPr>
        <w:spacing w:beforeLines="50" w:afterLines="50" w:line="480" w:lineRule="exact"/>
        <w:ind w:right="105" w:rightChars="50"/>
        <w:rPr>
          <w:rFonts w:asciiTheme="minorEastAsia" w:hAnsiTheme="minorEastAsia" w:eastAsiaTheme="minorEastAsia"/>
          <w:b/>
          <w:spacing w:val="20"/>
          <w:position w:val="2"/>
          <w:sz w:val="24"/>
        </w:rPr>
      </w:pPr>
    </w:p>
    <w:p w14:paraId="7CB666E8">
      <w:pPr>
        <w:pStyle w:val="40"/>
        <w:rPr>
          <w:rFonts w:asciiTheme="minorEastAsia" w:hAnsiTheme="minorEastAsia" w:eastAsiaTheme="minorEastAsia"/>
          <w:b/>
          <w:spacing w:val="20"/>
          <w:position w:val="2"/>
          <w:sz w:val="24"/>
        </w:rPr>
      </w:pPr>
    </w:p>
    <w:p w14:paraId="266135CD">
      <w:pPr>
        <w:pStyle w:val="40"/>
        <w:rPr>
          <w:rFonts w:asciiTheme="minorEastAsia" w:hAnsiTheme="minorEastAsia" w:eastAsiaTheme="minorEastAsia"/>
          <w:b/>
          <w:spacing w:val="20"/>
          <w:position w:val="2"/>
          <w:sz w:val="24"/>
        </w:rPr>
      </w:pPr>
    </w:p>
    <w:p w14:paraId="1BB4E4CF">
      <w:pPr>
        <w:pStyle w:val="40"/>
        <w:rPr>
          <w:rFonts w:asciiTheme="minorEastAsia" w:hAnsiTheme="minorEastAsia" w:eastAsiaTheme="minorEastAsia"/>
          <w:b/>
          <w:spacing w:val="20"/>
          <w:position w:val="2"/>
          <w:sz w:val="24"/>
        </w:rPr>
      </w:pPr>
    </w:p>
    <w:p w14:paraId="5DAB3E68">
      <w:pPr>
        <w:pStyle w:val="40"/>
        <w:rPr>
          <w:rFonts w:asciiTheme="minorEastAsia" w:hAnsiTheme="minorEastAsia" w:eastAsiaTheme="minorEastAsia"/>
          <w:b/>
          <w:spacing w:val="20"/>
          <w:position w:val="2"/>
          <w:sz w:val="24"/>
        </w:rPr>
        <w:sectPr>
          <w:pgSz w:w="11906" w:h="16838"/>
          <w:pgMar w:top="1440" w:right="1440" w:bottom="1440" w:left="1440" w:header="851" w:footer="992" w:gutter="0"/>
          <w:pgNumType w:start="1"/>
          <w:cols w:space="720" w:num="1"/>
          <w:titlePg/>
          <w:docGrid w:linePitch="312" w:charSpace="0"/>
        </w:sectPr>
      </w:pPr>
    </w:p>
    <w:p w14:paraId="1172B26C">
      <w:pPr>
        <w:spacing w:beforeLines="50" w:afterLines="50" w:line="480" w:lineRule="exact"/>
        <w:ind w:right="105" w:rightChars="50"/>
        <w:rPr>
          <w:rFonts w:hint="eastAsia" w:asciiTheme="minorEastAsia" w:hAnsiTheme="minorEastAsia" w:eastAsiaTheme="minorEastAsia"/>
          <w:b/>
          <w:spacing w:val="20"/>
          <w:position w:val="2"/>
          <w:sz w:val="24"/>
          <w:lang w:eastAsia="zh-CN"/>
        </w:rPr>
      </w:pPr>
      <w:r>
        <w:rPr>
          <w:rFonts w:hint="eastAsia" w:asciiTheme="minorEastAsia" w:hAnsiTheme="minorEastAsia" w:eastAsiaTheme="minorEastAsia"/>
          <w:b/>
          <w:spacing w:val="20"/>
          <w:position w:val="2"/>
          <w:sz w:val="24"/>
        </w:rPr>
        <w:t>（</w:t>
      </w:r>
      <w:r>
        <w:rPr>
          <w:rFonts w:hint="eastAsia" w:asciiTheme="minorEastAsia" w:hAnsiTheme="minorEastAsia" w:eastAsiaTheme="minorEastAsia"/>
          <w:b/>
          <w:spacing w:val="20"/>
          <w:position w:val="2"/>
          <w:sz w:val="24"/>
          <w:lang w:val="en-US" w:eastAsia="zh-CN"/>
        </w:rPr>
        <w:t>2</w:t>
      </w:r>
      <w:r>
        <w:rPr>
          <w:rFonts w:hint="eastAsia" w:asciiTheme="minorEastAsia" w:hAnsiTheme="minorEastAsia" w:eastAsiaTheme="minorEastAsia"/>
          <w:b/>
          <w:spacing w:val="20"/>
          <w:position w:val="2"/>
          <w:sz w:val="24"/>
        </w:rPr>
        <w:t>）</w:t>
      </w:r>
      <w:r>
        <w:rPr>
          <w:rFonts w:hint="eastAsia" w:asciiTheme="minorEastAsia" w:hAnsiTheme="minorEastAsia" w:eastAsiaTheme="minorEastAsia"/>
          <w:b/>
          <w:spacing w:val="20"/>
          <w:position w:val="2"/>
          <w:sz w:val="24"/>
          <w:lang w:eastAsia="zh-CN"/>
        </w:rPr>
        <w:t>报价明细表</w:t>
      </w:r>
    </w:p>
    <w:p w14:paraId="3EE4470C">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投标人名称：</w:t>
      </w:r>
    </w:p>
    <w:p w14:paraId="4BBE1117">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项目名称：</w:t>
      </w:r>
    </w:p>
    <w:p w14:paraId="64C770E9">
      <w:pPr>
        <w:snapToGrid w:val="0"/>
        <w:spacing w:before="50" w:after="5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招标编号：</w:t>
      </w:r>
    </w:p>
    <w:p w14:paraId="0A755972">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64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322942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3D2E977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2EE76E0C">
            <w:pPr>
              <w:spacing w:line="360" w:lineRule="auto"/>
              <w:jc w:val="center"/>
              <w:rPr>
                <w:rFonts w:cs="宋体" w:asciiTheme="minorEastAsia" w:hAnsiTheme="minorEastAsia" w:eastAsiaTheme="minorEastAsia"/>
                <w:b/>
                <w:sz w:val="24"/>
              </w:rPr>
            </w:pPr>
          </w:p>
          <w:p w14:paraId="3C9CE24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747DD2F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273A747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2E3D7F0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5D401BE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138CAA30">
            <w:pPr>
              <w:spacing w:line="360" w:lineRule="auto"/>
              <w:jc w:val="center"/>
              <w:rPr>
                <w:rFonts w:cs="宋体" w:asciiTheme="minorEastAsia" w:hAnsiTheme="minorEastAsia" w:eastAsiaTheme="minorEastAsia"/>
                <w:b/>
                <w:sz w:val="24"/>
              </w:rPr>
            </w:pPr>
          </w:p>
          <w:p w14:paraId="4C27026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4E8D3DAD">
            <w:pPr>
              <w:spacing w:line="360" w:lineRule="auto"/>
              <w:jc w:val="center"/>
              <w:rPr>
                <w:rFonts w:cs="宋体" w:asciiTheme="minorEastAsia" w:hAnsiTheme="minorEastAsia" w:eastAsiaTheme="minorEastAsia"/>
                <w:b/>
                <w:sz w:val="24"/>
              </w:rPr>
            </w:pPr>
          </w:p>
        </w:tc>
      </w:tr>
      <w:tr w14:paraId="689C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50F68CF">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6F2E9E49">
            <w:pPr>
              <w:snapToGrid w:val="0"/>
              <w:spacing w:line="360" w:lineRule="auto"/>
              <w:jc w:val="center"/>
              <w:rPr>
                <w:rFonts w:cs="宋体" w:asciiTheme="minorEastAsia" w:hAnsiTheme="minorEastAsia" w:eastAsiaTheme="minorEastAsia"/>
                <w:sz w:val="24"/>
              </w:rPr>
            </w:pPr>
          </w:p>
        </w:tc>
        <w:tc>
          <w:tcPr>
            <w:tcW w:w="1843" w:type="dxa"/>
            <w:vAlign w:val="center"/>
          </w:tcPr>
          <w:p w14:paraId="1CC75162">
            <w:pPr>
              <w:snapToGrid w:val="0"/>
              <w:spacing w:line="360" w:lineRule="auto"/>
              <w:jc w:val="center"/>
              <w:rPr>
                <w:rFonts w:cs="宋体" w:asciiTheme="minorEastAsia" w:hAnsiTheme="minorEastAsia" w:eastAsiaTheme="minorEastAsia"/>
                <w:sz w:val="24"/>
              </w:rPr>
            </w:pPr>
          </w:p>
        </w:tc>
        <w:tc>
          <w:tcPr>
            <w:tcW w:w="3118" w:type="dxa"/>
            <w:vAlign w:val="center"/>
          </w:tcPr>
          <w:p w14:paraId="4E443A6D">
            <w:pPr>
              <w:snapToGrid w:val="0"/>
              <w:spacing w:line="360" w:lineRule="auto"/>
              <w:jc w:val="center"/>
              <w:rPr>
                <w:rFonts w:cs="宋体" w:asciiTheme="minorEastAsia" w:hAnsiTheme="minorEastAsia" w:eastAsiaTheme="minorEastAsia"/>
                <w:sz w:val="24"/>
              </w:rPr>
            </w:pPr>
          </w:p>
        </w:tc>
        <w:tc>
          <w:tcPr>
            <w:tcW w:w="993" w:type="dxa"/>
            <w:vAlign w:val="center"/>
          </w:tcPr>
          <w:p w14:paraId="400510E8">
            <w:pPr>
              <w:snapToGrid w:val="0"/>
              <w:spacing w:line="360" w:lineRule="auto"/>
              <w:jc w:val="center"/>
              <w:rPr>
                <w:rFonts w:cs="宋体" w:asciiTheme="minorEastAsia" w:hAnsiTheme="minorEastAsia" w:eastAsiaTheme="minorEastAsia"/>
                <w:sz w:val="24"/>
              </w:rPr>
            </w:pPr>
          </w:p>
        </w:tc>
        <w:tc>
          <w:tcPr>
            <w:tcW w:w="1559" w:type="dxa"/>
            <w:vAlign w:val="center"/>
          </w:tcPr>
          <w:p w14:paraId="44B291C1">
            <w:pPr>
              <w:spacing w:line="360" w:lineRule="auto"/>
              <w:jc w:val="center"/>
              <w:rPr>
                <w:rFonts w:cs="宋体" w:asciiTheme="minorEastAsia" w:hAnsiTheme="minorEastAsia" w:eastAsiaTheme="minorEastAsia"/>
                <w:sz w:val="24"/>
              </w:rPr>
            </w:pPr>
          </w:p>
        </w:tc>
        <w:tc>
          <w:tcPr>
            <w:tcW w:w="1984" w:type="dxa"/>
            <w:vAlign w:val="center"/>
          </w:tcPr>
          <w:p w14:paraId="03EA07D8">
            <w:pPr>
              <w:spacing w:line="360" w:lineRule="auto"/>
              <w:jc w:val="center"/>
              <w:rPr>
                <w:rFonts w:cs="宋体" w:asciiTheme="minorEastAsia" w:hAnsiTheme="minorEastAsia" w:eastAsiaTheme="minorEastAsia"/>
                <w:sz w:val="24"/>
              </w:rPr>
            </w:pPr>
          </w:p>
        </w:tc>
        <w:tc>
          <w:tcPr>
            <w:tcW w:w="3119" w:type="dxa"/>
            <w:vAlign w:val="center"/>
          </w:tcPr>
          <w:p w14:paraId="76EC8E31">
            <w:pPr>
              <w:spacing w:line="360" w:lineRule="auto"/>
              <w:jc w:val="center"/>
              <w:rPr>
                <w:rFonts w:cs="宋体" w:asciiTheme="minorEastAsia" w:hAnsiTheme="minorEastAsia" w:eastAsiaTheme="minorEastAsia"/>
                <w:sz w:val="24"/>
              </w:rPr>
            </w:pPr>
          </w:p>
        </w:tc>
      </w:tr>
      <w:tr w14:paraId="72A9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BA30A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29AC4AD5">
            <w:pPr>
              <w:snapToGrid w:val="0"/>
              <w:spacing w:line="360" w:lineRule="auto"/>
              <w:jc w:val="center"/>
              <w:rPr>
                <w:rFonts w:cs="宋体" w:asciiTheme="minorEastAsia" w:hAnsiTheme="minorEastAsia" w:eastAsiaTheme="minorEastAsia"/>
                <w:sz w:val="24"/>
              </w:rPr>
            </w:pPr>
          </w:p>
        </w:tc>
        <w:tc>
          <w:tcPr>
            <w:tcW w:w="1843" w:type="dxa"/>
            <w:vAlign w:val="center"/>
          </w:tcPr>
          <w:p w14:paraId="7FABB976">
            <w:pPr>
              <w:snapToGrid w:val="0"/>
              <w:spacing w:line="360" w:lineRule="auto"/>
              <w:jc w:val="center"/>
              <w:rPr>
                <w:rFonts w:cs="宋体" w:asciiTheme="minorEastAsia" w:hAnsiTheme="minorEastAsia" w:eastAsiaTheme="minorEastAsia"/>
                <w:sz w:val="24"/>
              </w:rPr>
            </w:pPr>
          </w:p>
        </w:tc>
        <w:tc>
          <w:tcPr>
            <w:tcW w:w="3118" w:type="dxa"/>
            <w:vAlign w:val="center"/>
          </w:tcPr>
          <w:p w14:paraId="06BB6122">
            <w:pPr>
              <w:snapToGrid w:val="0"/>
              <w:spacing w:line="360" w:lineRule="auto"/>
              <w:jc w:val="center"/>
              <w:rPr>
                <w:rFonts w:cs="宋体" w:asciiTheme="minorEastAsia" w:hAnsiTheme="minorEastAsia" w:eastAsiaTheme="minorEastAsia"/>
                <w:sz w:val="24"/>
              </w:rPr>
            </w:pPr>
          </w:p>
        </w:tc>
        <w:tc>
          <w:tcPr>
            <w:tcW w:w="993" w:type="dxa"/>
            <w:vAlign w:val="center"/>
          </w:tcPr>
          <w:p w14:paraId="2EEBFA6D">
            <w:pPr>
              <w:snapToGrid w:val="0"/>
              <w:spacing w:line="360" w:lineRule="auto"/>
              <w:jc w:val="center"/>
              <w:rPr>
                <w:rFonts w:cs="宋体" w:asciiTheme="minorEastAsia" w:hAnsiTheme="minorEastAsia" w:eastAsiaTheme="minorEastAsia"/>
                <w:sz w:val="24"/>
              </w:rPr>
            </w:pPr>
          </w:p>
        </w:tc>
        <w:tc>
          <w:tcPr>
            <w:tcW w:w="1559" w:type="dxa"/>
            <w:vAlign w:val="center"/>
          </w:tcPr>
          <w:p w14:paraId="281A1E20">
            <w:pPr>
              <w:spacing w:line="360" w:lineRule="auto"/>
              <w:jc w:val="center"/>
              <w:rPr>
                <w:rFonts w:cs="宋体" w:asciiTheme="minorEastAsia" w:hAnsiTheme="minorEastAsia" w:eastAsiaTheme="minorEastAsia"/>
                <w:sz w:val="24"/>
              </w:rPr>
            </w:pPr>
          </w:p>
        </w:tc>
        <w:tc>
          <w:tcPr>
            <w:tcW w:w="1984" w:type="dxa"/>
            <w:vAlign w:val="center"/>
          </w:tcPr>
          <w:p w14:paraId="400A3884">
            <w:pPr>
              <w:spacing w:line="360" w:lineRule="auto"/>
              <w:jc w:val="center"/>
              <w:rPr>
                <w:rFonts w:cs="宋体" w:asciiTheme="minorEastAsia" w:hAnsiTheme="minorEastAsia" w:eastAsiaTheme="minorEastAsia"/>
                <w:sz w:val="24"/>
              </w:rPr>
            </w:pPr>
          </w:p>
        </w:tc>
        <w:tc>
          <w:tcPr>
            <w:tcW w:w="3119" w:type="dxa"/>
            <w:vAlign w:val="center"/>
          </w:tcPr>
          <w:p w14:paraId="5CF90D35">
            <w:pPr>
              <w:spacing w:line="360" w:lineRule="auto"/>
              <w:jc w:val="center"/>
              <w:rPr>
                <w:rFonts w:cs="宋体" w:asciiTheme="minorEastAsia" w:hAnsiTheme="minorEastAsia" w:eastAsiaTheme="minorEastAsia"/>
                <w:sz w:val="24"/>
              </w:rPr>
            </w:pPr>
          </w:p>
        </w:tc>
      </w:tr>
      <w:tr w14:paraId="68EA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CFBCE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011F1A97">
            <w:pPr>
              <w:snapToGrid w:val="0"/>
              <w:spacing w:line="360" w:lineRule="auto"/>
              <w:jc w:val="center"/>
              <w:rPr>
                <w:rFonts w:cs="宋体" w:asciiTheme="minorEastAsia" w:hAnsiTheme="minorEastAsia" w:eastAsiaTheme="minorEastAsia"/>
                <w:sz w:val="24"/>
              </w:rPr>
            </w:pPr>
          </w:p>
        </w:tc>
        <w:tc>
          <w:tcPr>
            <w:tcW w:w="1843" w:type="dxa"/>
            <w:vAlign w:val="center"/>
          </w:tcPr>
          <w:p w14:paraId="5357138D">
            <w:pPr>
              <w:snapToGrid w:val="0"/>
              <w:spacing w:line="360" w:lineRule="auto"/>
              <w:jc w:val="center"/>
              <w:rPr>
                <w:rFonts w:cs="宋体" w:asciiTheme="minorEastAsia" w:hAnsiTheme="minorEastAsia" w:eastAsiaTheme="minorEastAsia"/>
                <w:sz w:val="24"/>
              </w:rPr>
            </w:pPr>
          </w:p>
        </w:tc>
        <w:tc>
          <w:tcPr>
            <w:tcW w:w="3118" w:type="dxa"/>
            <w:vAlign w:val="center"/>
          </w:tcPr>
          <w:p w14:paraId="7AC3A1AB">
            <w:pPr>
              <w:snapToGrid w:val="0"/>
              <w:spacing w:line="360" w:lineRule="auto"/>
              <w:jc w:val="center"/>
              <w:rPr>
                <w:rFonts w:cs="宋体" w:asciiTheme="minorEastAsia" w:hAnsiTheme="minorEastAsia" w:eastAsiaTheme="minorEastAsia"/>
                <w:sz w:val="24"/>
              </w:rPr>
            </w:pPr>
          </w:p>
        </w:tc>
        <w:tc>
          <w:tcPr>
            <w:tcW w:w="993" w:type="dxa"/>
            <w:vAlign w:val="center"/>
          </w:tcPr>
          <w:p w14:paraId="43B6BDFA">
            <w:pPr>
              <w:snapToGrid w:val="0"/>
              <w:spacing w:line="360" w:lineRule="auto"/>
              <w:jc w:val="center"/>
              <w:rPr>
                <w:rFonts w:cs="宋体" w:asciiTheme="minorEastAsia" w:hAnsiTheme="minorEastAsia" w:eastAsiaTheme="minorEastAsia"/>
                <w:sz w:val="24"/>
              </w:rPr>
            </w:pPr>
          </w:p>
        </w:tc>
        <w:tc>
          <w:tcPr>
            <w:tcW w:w="1559" w:type="dxa"/>
            <w:vAlign w:val="center"/>
          </w:tcPr>
          <w:p w14:paraId="7D3B0113">
            <w:pPr>
              <w:spacing w:line="360" w:lineRule="auto"/>
              <w:jc w:val="center"/>
              <w:rPr>
                <w:rFonts w:cs="宋体" w:asciiTheme="minorEastAsia" w:hAnsiTheme="minorEastAsia" w:eastAsiaTheme="minorEastAsia"/>
                <w:sz w:val="24"/>
              </w:rPr>
            </w:pPr>
          </w:p>
        </w:tc>
        <w:tc>
          <w:tcPr>
            <w:tcW w:w="1984" w:type="dxa"/>
            <w:vAlign w:val="center"/>
          </w:tcPr>
          <w:p w14:paraId="70AF2EDA">
            <w:pPr>
              <w:spacing w:line="360" w:lineRule="auto"/>
              <w:jc w:val="center"/>
              <w:rPr>
                <w:rFonts w:cs="宋体" w:asciiTheme="minorEastAsia" w:hAnsiTheme="minorEastAsia" w:eastAsiaTheme="minorEastAsia"/>
                <w:sz w:val="24"/>
              </w:rPr>
            </w:pPr>
          </w:p>
        </w:tc>
        <w:tc>
          <w:tcPr>
            <w:tcW w:w="3119" w:type="dxa"/>
            <w:vAlign w:val="center"/>
          </w:tcPr>
          <w:p w14:paraId="13AE7893">
            <w:pPr>
              <w:spacing w:line="360" w:lineRule="auto"/>
              <w:jc w:val="center"/>
              <w:rPr>
                <w:rFonts w:cs="宋体" w:asciiTheme="minorEastAsia" w:hAnsiTheme="minorEastAsia" w:eastAsiaTheme="minorEastAsia"/>
                <w:sz w:val="24"/>
              </w:rPr>
            </w:pPr>
          </w:p>
        </w:tc>
      </w:tr>
      <w:tr w14:paraId="4C4E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6ED0A5">
            <w:pPr>
              <w:spacing w:line="360" w:lineRule="auto"/>
              <w:jc w:val="center"/>
              <w:rPr>
                <w:rFonts w:cs="宋体" w:asciiTheme="minorEastAsia" w:hAnsiTheme="minorEastAsia" w:eastAsiaTheme="minorEastAsia"/>
                <w:sz w:val="24"/>
              </w:rPr>
            </w:pPr>
          </w:p>
        </w:tc>
        <w:tc>
          <w:tcPr>
            <w:tcW w:w="1417" w:type="dxa"/>
            <w:vAlign w:val="center"/>
          </w:tcPr>
          <w:p w14:paraId="5334CA9D">
            <w:pPr>
              <w:snapToGrid w:val="0"/>
              <w:spacing w:line="360" w:lineRule="auto"/>
              <w:jc w:val="center"/>
              <w:rPr>
                <w:rFonts w:cs="宋体" w:asciiTheme="minorEastAsia" w:hAnsiTheme="minorEastAsia" w:eastAsiaTheme="minorEastAsia"/>
                <w:sz w:val="24"/>
              </w:rPr>
            </w:pPr>
          </w:p>
        </w:tc>
        <w:tc>
          <w:tcPr>
            <w:tcW w:w="1843" w:type="dxa"/>
            <w:vAlign w:val="center"/>
          </w:tcPr>
          <w:p w14:paraId="6312E056">
            <w:pPr>
              <w:snapToGrid w:val="0"/>
              <w:spacing w:line="360" w:lineRule="auto"/>
              <w:jc w:val="center"/>
              <w:rPr>
                <w:rFonts w:cs="宋体" w:asciiTheme="minorEastAsia" w:hAnsiTheme="minorEastAsia" w:eastAsiaTheme="minorEastAsia"/>
                <w:sz w:val="24"/>
              </w:rPr>
            </w:pPr>
          </w:p>
        </w:tc>
        <w:tc>
          <w:tcPr>
            <w:tcW w:w="3118" w:type="dxa"/>
            <w:vAlign w:val="center"/>
          </w:tcPr>
          <w:p w14:paraId="3B369E29">
            <w:pPr>
              <w:snapToGrid w:val="0"/>
              <w:spacing w:line="360" w:lineRule="auto"/>
              <w:jc w:val="center"/>
              <w:rPr>
                <w:rFonts w:cs="宋体" w:asciiTheme="minorEastAsia" w:hAnsiTheme="minorEastAsia" w:eastAsiaTheme="minorEastAsia"/>
                <w:sz w:val="24"/>
              </w:rPr>
            </w:pPr>
          </w:p>
        </w:tc>
        <w:tc>
          <w:tcPr>
            <w:tcW w:w="993" w:type="dxa"/>
            <w:vAlign w:val="center"/>
          </w:tcPr>
          <w:p w14:paraId="12BA8284">
            <w:pPr>
              <w:snapToGrid w:val="0"/>
              <w:spacing w:line="360" w:lineRule="auto"/>
              <w:jc w:val="center"/>
              <w:rPr>
                <w:rFonts w:cs="宋体" w:asciiTheme="minorEastAsia" w:hAnsiTheme="minorEastAsia" w:eastAsiaTheme="minorEastAsia"/>
                <w:sz w:val="24"/>
              </w:rPr>
            </w:pPr>
          </w:p>
        </w:tc>
        <w:tc>
          <w:tcPr>
            <w:tcW w:w="1559" w:type="dxa"/>
            <w:vAlign w:val="center"/>
          </w:tcPr>
          <w:p w14:paraId="483987F4">
            <w:pPr>
              <w:spacing w:line="360" w:lineRule="auto"/>
              <w:jc w:val="center"/>
              <w:rPr>
                <w:rFonts w:cs="宋体" w:asciiTheme="minorEastAsia" w:hAnsiTheme="minorEastAsia" w:eastAsiaTheme="minorEastAsia"/>
                <w:sz w:val="24"/>
              </w:rPr>
            </w:pPr>
          </w:p>
        </w:tc>
        <w:tc>
          <w:tcPr>
            <w:tcW w:w="1984" w:type="dxa"/>
            <w:vAlign w:val="center"/>
          </w:tcPr>
          <w:p w14:paraId="59C4A914">
            <w:pPr>
              <w:spacing w:line="360" w:lineRule="auto"/>
              <w:jc w:val="center"/>
              <w:rPr>
                <w:rFonts w:cs="宋体" w:asciiTheme="minorEastAsia" w:hAnsiTheme="minorEastAsia" w:eastAsiaTheme="minorEastAsia"/>
                <w:sz w:val="24"/>
              </w:rPr>
            </w:pPr>
          </w:p>
        </w:tc>
        <w:tc>
          <w:tcPr>
            <w:tcW w:w="3119" w:type="dxa"/>
            <w:vAlign w:val="center"/>
          </w:tcPr>
          <w:p w14:paraId="3F051E50">
            <w:pPr>
              <w:spacing w:line="360" w:lineRule="auto"/>
              <w:jc w:val="center"/>
              <w:rPr>
                <w:rFonts w:cs="宋体" w:asciiTheme="minorEastAsia" w:hAnsiTheme="minorEastAsia" w:eastAsiaTheme="minorEastAsia"/>
                <w:sz w:val="24"/>
              </w:rPr>
            </w:pPr>
          </w:p>
        </w:tc>
      </w:tr>
      <w:tr w14:paraId="355E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A6D3D8">
            <w:pPr>
              <w:spacing w:line="360" w:lineRule="auto"/>
              <w:jc w:val="center"/>
              <w:rPr>
                <w:rFonts w:cs="宋体" w:asciiTheme="minorEastAsia" w:hAnsiTheme="minorEastAsia" w:eastAsiaTheme="minorEastAsia"/>
                <w:sz w:val="24"/>
              </w:rPr>
            </w:pPr>
          </w:p>
        </w:tc>
        <w:tc>
          <w:tcPr>
            <w:tcW w:w="1417" w:type="dxa"/>
            <w:vAlign w:val="center"/>
          </w:tcPr>
          <w:p w14:paraId="41F9BE38">
            <w:pPr>
              <w:snapToGrid w:val="0"/>
              <w:spacing w:line="360" w:lineRule="auto"/>
              <w:jc w:val="center"/>
              <w:rPr>
                <w:rFonts w:cs="宋体" w:asciiTheme="minorEastAsia" w:hAnsiTheme="minorEastAsia" w:eastAsiaTheme="minorEastAsia"/>
                <w:sz w:val="24"/>
              </w:rPr>
            </w:pPr>
          </w:p>
        </w:tc>
        <w:tc>
          <w:tcPr>
            <w:tcW w:w="1843" w:type="dxa"/>
            <w:vAlign w:val="center"/>
          </w:tcPr>
          <w:p w14:paraId="62B6FB5A">
            <w:pPr>
              <w:snapToGrid w:val="0"/>
              <w:spacing w:line="360" w:lineRule="auto"/>
              <w:jc w:val="center"/>
              <w:rPr>
                <w:rFonts w:cs="宋体" w:asciiTheme="minorEastAsia" w:hAnsiTheme="minorEastAsia" w:eastAsiaTheme="minorEastAsia"/>
                <w:sz w:val="24"/>
              </w:rPr>
            </w:pPr>
          </w:p>
        </w:tc>
        <w:tc>
          <w:tcPr>
            <w:tcW w:w="3118" w:type="dxa"/>
            <w:vAlign w:val="center"/>
          </w:tcPr>
          <w:p w14:paraId="05363E83">
            <w:pPr>
              <w:snapToGrid w:val="0"/>
              <w:spacing w:line="360" w:lineRule="auto"/>
              <w:jc w:val="center"/>
              <w:rPr>
                <w:rFonts w:cs="宋体" w:asciiTheme="minorEastAsia" w:hAnsiTheme="minorEastAsia" w:eastAsiaTheme="minorEastAsia"/>
                <w:sz w:val="24"/>
              </w:rPr>
            </w:pPr>
          </w:p>
        </w:tc>
        <w:tc>
          <w:tcPr>
            <w:tcW w:w="993" w:type="dxa"/>
            <w:vAlign w:val="center"/>
          </w:tcPr>
          <w:p w14:paraId="1BDC95E1">
            <w:pPr>
              <w:snapToGrid w:val="0"/>
              <w:spacing w:line="360" w:lineRule="auto"/>
              <w:jc w:val="center"/>
              <w:rPr>
                <w:rFonts w:cs="宋体" w:asciiTheme="minorEastAsia" w:hAnsiTheme="minorEastAsia" w:eastAsiaTheme="minorEastAsia"/>
                <w:sz w:val="24"/>
              </w:rPr>
            </w:pPr>
          </w:p>
        </w:tc>
        <w:tc>
          <w:tcPr>
            <w:tcW w:w="1559" w:type="dxa"/>
            <w:vAlign w:val="center"/>
          </w:tcPr>
          <w:p w14:paraId="121ADF69">
            <w:pPr>
              <w:spacing w:line="360" w:lineRule="auto"/>
              <w:jc w:val="center"/>
              <w:rPr>
                <w:rFonts w:cs="宋体" w:asciiTheme="minorEastAsia" w:hAnsiTheme="minorEastAsia" w:eastAsiaTheme="minorEastAsia"/>
                <w:sz w:val="24"/>
              </w:rPr>
            </w:pPr>
          </w:p>
        </w:tc>
        <w:tc>
          <w:tcPr>
            <w:tcW w:w="1984" w:type="dxa"/>
            <w:vAlign w:val="center"/>
          </w:tcPr>
          <w:p w14:paraId="4A7A2C1A">
            <w:pPr>
              <w:spacing w:line="360" w:lineRule="auto"/>
              <w:jc w:val="center"/>
              <w:rPr>
                <w:rFonts w:cs="宋体" w:asciiTheme="minorEastAsia" w:hAnsiTheme="minorEastAsia" w:eastAsiaTheme="minorEastAsia"/>
                <w:sz w:val="24"/>
              </w:rPr>
            </w:pPr>
          </w:p>
        </w:tc>
        <w:tc>
          <w:tcPr>
            <w:tcW w:w="3119" w:type="dxa"/>
            <w:vAlign w:val="center"/>
          </w:tcPr>
          <w:p w14:paraId="77266966">
            <w:pPr>
              <w:spacing w:line="360" w:lineRule="auto"/>
              <w:jc w:val="center"/>
              <w:rPr>
                <w:rFonts w:cs="宋体" w:asciiTheme="minorEastAsia" w:hAnsiTheme="minorEastAsia" w:eastAsiaTheme="minorEastAsia"/>
                <w:sz w:val="24"/>
              </w:rPr>
            </w:pPr>
          </w:p>
        </w:tc>
      </w:tr>
      <w:tr w14:paraId="6A49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C6E8AF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0C173D45">
            <w:pPr>
              <w:spacing w:line="360" w:lineRule="auto"/>
              <w:jc w:val="center"/>
              <w:rPr>
                <w:rFonts w:cs="宋体" w:asciiTheme="minorEastAsia" w:hAnsiTheme="minorEastAsia" w:eastAsiaTheme="minorEastAsia"/>
                <w:sz w:val="24"/>
              </w:rPr>
            </w:pPr>
          </w:p>
        </w:tc>
      </w:tr>
      <w:tr w14:paraId="1A66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DDE23D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4A975AD8">
            <w:pPr>
              <w:spacing w:line="360" w:lineRule="auto"/>
              <w:jc w:val="center"/>
              <w:rPr>
                <w:rFonts w:cs="宋体" w:asciiTheme="minorEastAsia" w:hAnsiTheme="minorEastAsia" w:eastAsiaTheme="minorEastAsia"/>
                <w:sz w:val="24"/>
              </w:rPr>
            </w:pPr>
          </w:p>
        </w:tc>
      </w:tr>
    </w:tbl>
    <w:p w14:paraId="31015006">
      <w:pPr>
        <w:spacing w:line="360" w:lineRule="auto"/>
        <w:ind w:left="-2" w:leftChars="-1" w:firstLine="480" w:firstLineChars="200"/>
        <w:rPr>
          <w:rFonts w:hint="eastAsia" w:ascii="宋体" w:hAnsi="宋体"/>
          <w:sz w:val="24"/>
        </w:rPr>
      </w:pPr>
      <w:r>
        <w:rPr>
          <w:rFonts w:hint="eastAsia" w:ascii="宋体" w:hAnsi="宋体"/>
          <w:sz w:val="24"/>
        </w:rPr>
        <w:t>注</w:t>
      </w:r>
      <w:r>
        <w:rPr>
          <w:rFonts w:ascii="宋体" w:hAnsi="宋体"/>
          <w:sz w:val="24"/>
        </w:rPr>
        <w:t xml:space="preserve">: </w:t>
      </w:r>
    </w:p>
    <w:p w14:paraId="66AFA57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2F1397AF">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377FBC4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14:paraId="2602FFE5">
      <w:pPr>
        <w:snapToGrid w:val="0"/>
        <w:spacing w:before="50" w:after="50" w:line="360" w:lineRule="auto"/>
        <w:jc w:val="left"/>
        <w:rPr>
          <w:rFonts w:ascii="宋体" w:hAnsi="宋体"/>
          <w:kern w:val="0"/>
          <w:sz w:val="24"/>
        </w:rPr>
      </w:pPr>
      <w:r>
        <w:rPr>
          <w:rFonts w:hint="eastAsia" w:ascii="宋体" w:hAnsi="宋体" w:cs="FangSong_GB2312"/>
          <w:kern w:val="0"/>
          <w:sz w:val="24"/>
          <w:lang w:val="zh-CN"/>
        </w:rPr>
        <w:t>法定代表人（签字或盖章）：</w:t>
      </w:r>
    </w:p>
    <w:p w14:paraId="69ACCA6C">
      <w:pPr>
        <w:autoSpaceDE w:val="0"/>
        <w:autoSpaceDN w:val="0"/>
        <w:adjustRightInd w:val="0"/>
        <w:spacing w:line="360" w:lineRule="auto"/>
        <w:rPr>
          <w:rFonts w:ascii="宋体" w:hAnsi="宋体" w:cs="FangSong_GB2312"/>
          <w:kern w:val="0"/>
          <w:sz w:val="24"/>
          <w:u w:val="single"/>
          <w:lang w:val="zh-CN"/>
        </w:rPr>
      </w:pPr>
      <w:r>
        <w:rPr>
          <w:rFonts w:hint="eastAsia" w:ascii="宋体" w:hAnsi="宋体" w:cs="FangSong_GB2312"/>
          <w:kern w:val="0"/>
          <w:sz w:val="24"/>
          <w:lang w:val="zh-CN"/>
        </w:rPr>
        <w:t>授权委托人签字：</w:t>
      </w:r>
    </w:p>
    <w:p w14:paraId="2ACF1A4F">
      <w:pPr>
        <w:autoSpaceDE w:val="0"/>
        <w:autoSpaceDN w:val="0"/>
        <w:adjustRightInd w:val="0"/>
        <w:spacing w:line="360" w:lineRule="auto"/>
        <w:rPr>
          <w:rFonts w:ascii="宋体" w:hAnsi="宋体" w:cs="FangSong_GB2312"/>
          <w:kern w:val="0"/>
          <w:sz w:val="24"/>
          <w:u w:val="single"/>
          <w:lang w:val="zh-CN"/>
        </w:rPr>
      </w:pPr>
      <w:r>
        <w:rPr>
          <w:rFonts w:hint="eastAsia" w:ascii="宋体" w:hAnsi="宋体" w:cs="FangSong_GB2312"/>
          <w:kern w:val="0"/>
          <w:sz w:val="24"/>
          <w:lang w:val="zh-CN"/>
        </w:rPr>
        <w:t>公司盖章</w:t>
      </w:r>
      <w:r>
        <w:rPr>
          <w:rFonts w:ascii="宋体" w:hAnsi="宋体" w:cs="FangSong_GB2312"/>
          <w:kern w:val="0"/>
          <w:sz w:val="24"/>
          <w:lang w:val="zh-CN"/>
        </w:rPr>
        <w:t>:</w:t>
      </w:r>
    </w:p>
    <w:p w14:paraId="158F396E">
      <w:pPr>
        <w:spacing w:beforeLines="50" w:afterLines="50" w:line="360" w:lineRule="auto"/>
        <w:ind w:right="105" w:rightChars="50"/>
        <w:rPr>
          <w:rFonts w:ascii="宋体" w:hAnsi="宋体"/>
          <w:b/>
          <w:bCs/>
          <w:szCs w:val="21"/>
        </w:rPr>
      </w:pPr>
      <w:r>
        <w:rPr>
          <w:rFonts w:hint="eastAsia" w:ascii="宋体" w:hAnsi="宋体" w:cs="FangSong_GB2312"/>
          <w:kern w:val="0"/>
          <w:sz w:val="24"/>
          <w:lang w:val="zh-CN"/>
        </w:rPr>
        <w:t>日期</w:t>
      </w:r>
      <w:r>
        <w:rPr>
          <w:rFonts w:hint="eastAsia" w:ascii="宋体" w:hAnsi="宋体" w:cs="FangSong_GB2312"/>
          <w:kern w:val="0"/>
          <w:sz w:val="24"/>
        </w:rPr>
        <w:t>：</w:t>
      </w:r>
      <w:r>
        <w:rPr>
          <w:rFonts w:hint="eastAsia" w:ascii="宋体" w:hAnsi="宋体" w:cs="FangSong_GB2312"/>
          <w:kern w:val="0"/>
          <w:sz w:val="24"/>
          <w:lang w:val="zh-CN"/>
        </w:rPr>
        <w:t>年月日</w:t>
      </w:r>
      <w:r>
        <w:rPr>
          <w:rFonts w:ascii="宋体" w:hAnsi="宋体"/>
          <w:b/>
          <w:bCs/>
          <w:szCs w:val="21"/>
        </w:rPr>
        <w:t xml:space="preserve"> </w:t>
      </w:r>
    </w:p>
    <w:p w14:paraId="6E79B8C9">
      <w:pPr>
        <w:pStyle w:val="40"/>
        <w:rPr>
          <w:rFonts w:ascii="宋体" w:hAnsi="宋体"/>
          <w:b/>
          <w:bCs/>
          <w:szCs w:val="21"/>
        </w:rPr>
      </w:pPr>
    </w:p>
    <w:p w14:paraId="673BEBA3">
      <w:pPr>
        <w:pStyle w:val="40"/>
        <w:rPr>
          <w:rFonts w:ascii="宋体" w:hAnsi="宋体"/>
          <w:b/>
          <w:bCs/>
          <w:szCs w:val="21"/>
        </w:rPr>
      </w:pPr>
    </w:p>
    <w:p w14:paraId="15ACC106">
      <w:pPr>
        <w:pStyle w:val="40"/>
        <w:rPr>
          <w:rFonts w:ascii="宋体" w:hAnsi="宋体"/>
          <w:b/>
          <w:bCs/>
          <w:szCs w:val="21"/>
        </w:rPr>
      </w:pPr>
    </w:p>
    <w:p w14:paraId="63894ADC">
      <w:pPr>
        <w:pStyle w:val="40"/>
        <w:rPr>
          <w:rFonts w:ascii="宋体" w:hAnsi="宋体"/>
          <w:b/>
          <w:bCs/>
          <w:szCs w:val="21"/>
        </w:rPr>
      </w:pPr>
    </w:p>
    <w:p w14:paraId="3DE8690A">
      <w:pPr>
        <w:pStyle w:val="40"/>
        <w:rPr>
          <w:rFonts w:ascii="宋体" w:hAnsi="宋体"/>
          <w:b/>
          <w:bCs/>
          <w:szCs w:val="21"/>
        </w:rPr>
      </w:pPr>
    </w:p>
    <w:p w14:paraId="7C858EF4">
      <w:pPr>
        <w:pStyle w:val="40"/>
        <w:rPr>
          <w:rFonts w:ascii="宋体" w:hAnsi="宋体"/>
          <w:b/>
          <w:bCs/>
          <w:szCs w:val="21"/>
        </w:rPr>
      </w:pPr>
    </w:p>
    <w:p w14:paraId="082F7791">
      <w:pPr>
        <w:pStyle w:val="40"/>
        <w:rPr>
          <w:rFonts w:ascii="宋体" w:hAnsi="宋体"/>
          <w:b/>
          <w:bCs/>
          <w:szCs w:val="21"/>
        </w:rPr>
      </w:pPr>
    </w:p>
    <w:p w14:paraId="73A54C4A">
      <w:pPr>
        <w:pStyle w:val="40"/>
        <w:rPr>
          <w:rFonts w:ascii="宋体" w:hAnsi="宋体"/>
          <w:b/>
          <w:bCs/>
          <w:szCs w:val="21"/>
        </w:rPr>
      </w:pPr>
    </w:p>
    <w:p w14:paraId="782768E6">
      <w:pPr>
        <w:pStyle w:val="40"/>
        <w:rPr>
          <w:rFonts w:ascii="宋体" w:hAnsi="宋体"/>
          <w:b/>
          <w:bCs/>
          <w:szCs w:val="21"/>
        </w:rPr>
      </w:pPr>
    </w:p>
    <w:p w14:paraId="18D1530B">
      <w:pPr>
        <w:pStyle w:val="40"/>
        <w:rPr>
          <w:rFonts w:ascii="宋体" w:hAnsi="宋体"/>
          <w:b/>
          <w:bCs/>
          <w:szCs w:val="21"/>
        </w:rPr>
      </w:pPr>
    </w:p>
    <w:p w14:paraId="70671372">
      <w:pPr>
        <w:pStyle w:val="40"/>
        <w:rPr>
          <w:rFonts w:ascii="宋体" w:hAnsi="宋体"/>
          <w:b/>
          <w:bCs/>
          <w:szCs w:val="21"/>
        </w:rPr>
      </w:pPr>
    </w:p>
    <w:p w14:paraId="05DF15D6">
      <w:pPr>
        <w:pStyle w:val="40"/>
        <w:rPr>
          <w:rFonts w:ascii="宋体" w:hAnsi="宋体"/>
          <w:b/>
          <w:bCs/>
          <w:szCs w:val="21"/>
        </w:rPr>
      </w:pPr>
    </w:p>
    <w:p w14:paraId="5C6D70F4">
      <w:pPr>
        <w:pStyle w:val="40"/>
        <w:rPr>
          <w:rFonts w:ascii="宋体" w:hAnsi="宋体"/>
          <w:b/>
          <w:bCs/>
          <w:szCs w:val="21"/>
        </w:rPr>
      </w:pPr>
    </w:p>
    <w:p w14:paraId="04F58064">
      <w:pPr>
        <w:pStyle w:val="40"/>
        <w:numPr>
          <w:ilvl w:val="0"/>
          <w:numId w:val="0"/>
        </w:numPr>
        <w:rPr>
          <w:rFonts w:hint="eastAsia" w:ascii="宋体" w:hAnsi="宋体"/>
          <w:b/>
          <w:bCs/>
          <w:szCs w:val="21"/>
          <w:lang w:eastAsia="zh-CN"/>
        </w:rPr>
      </w:pPr>
    </w:p>
    <w:sectPr>
      <w:pgSz w:w="16838" w:h="11906" w:orient="landscape"/>
      <w:pgMar w:top="1440" w:right="1440" w:bottom="1440" w:left="1440" w:header="851" w:footer="992" w:gutter="0"/>
      <w:pgNumType w:start="1"/>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8A90">
    <w:pPr>
      <w:pStyle w:val="2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42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8FB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0844"/>
      <w:docPartObj>
        <w:docPartGallery w:val="autotext"/>
      </w:docPartObj>
    </w:sdtPr>
    <w:sdtContent>
      <w:p w14:paraId="3BA48CDD">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14:paraId="293758C7">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B282">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8C8557D">
                          <w:pPr>
                            <w:pStyle w:val="22"/>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qv7o+UBAADIAwAA&#10;DgAAAAAAAAABACAAAAAeAQAAZHJzL2Uyb0RvYy54bWxQSwUGAAAAAAYABgBZAQAAdQUAAAAA&#10;">
              <v:fill on="f" focussize="0,0"/>
              <v:stroke on="f"/>
              <v:imagedata o:title=""/>
              <o:lock v:ext="edit" aspectratio="f"/>
              <v:textbox inset="0mm,0mm,0mm,0mm" style="mso-fit-shape-to-text:t;">
                <w:txbxContent>
                  <w:p w14:paraId="78C8557D">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18FE">
    <w:pPr>
      <w:rPr>
        <w:rFonts w:ascii="FangSong_GB2312" w:eastAsia="FangSong_GB2312"/>
      </w:rPr>
    </w:pPr>
    <w:r>
      <w:rPr>
        <w:rFonts w:ascii="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0C8186">
                          <w:pPr>
                            <w:pStyle w:val="22"/>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45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90C8186">
                    <w:pPr>
                      <w:pStyle w:val="22"/>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45</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AB06">
    <w:pPr>
      <w:rPr>
        <w:rFonts w:ascii="FangSong_GB2312" w:eastAsia="FangSong_GB2312"/>
      </w:rPr>
    </w:pPr>
    <w:r>
      <w:rPr>
        <w:rFonts w:ascii="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35F6A">
                          <w:pPr>
                            <w:pStyle w:val="22"/>
                          </w:pPr>
                          <w:r>
                            <w:t>第</w:t>
                          </w:r>
                          <w:r>
                            <w:fldChar w:fldCharType="begin"/>
                          </w:r>
                          <w:r>
                            <w:instrText xml:space="preserve"> PAGE  \* MERGEFORMAT </w:instrText>
                          </w:r>
                          <w:r>
                            <w:fldChar w:fldCharType="separate"/>
                          </w:r>
                          <w:r>
                            <w:t>26</w:t>
                          </w:r>
                          <w:r>
                            <w:fldChar w:fldCharType="end"/>
                          </w:r>
                          <w:r>
                            <w:t>页共</w:t>
                          </w:r>
                          <w:r>
                            <w:fldChar w:fldCharType="begin"/>
                          </w:r>
                          <w:r>
                            <w:instrText xml:space="preserve"> NUMPAGES  \* MERGEFORMAT </w:instrText>
                          </w:r>
                          <w:r>
                            <w:fldChar w:fldCharType="separate"/>
                          </w:r>
                          <w:r>
                            <w:t>45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6A35F6A">
                    <w:pPr>
                      <w:pStyle w:val="22"/>
                    </w:pPr>
                    <w:r>
                      <w:t>第</w:t>
                    </w:r>
                    <w:r>
                      <w:fldChar w:fldCharType="begin"/>
                    </w:r>
                    <w:r>
                      <w:instrText xml:space="preserve"> PAGE  \* MERGEFORMAT </w:instrText>
                    </w:r>
                    <w:r>
                      <w:fldChar w:fldCharType="separate"/>
                    </w:r>
                    <w:r>
                      <w:t>26</w:t>
                    </w:r>
                    <w:r>
                      <w:fldChar w:fldCharType="end"/>
                    </w:r>
                    <w:r>
                      <w:t>页共</w:t>
                    </w:r>
                    <w:r>
                      <w:fldChar w:fldCharType="begin"/>
                    </w:r>
                    <w:r>
                      <w:instrText xml:space="preserve"> NUMPAGES  \* MERGEFORMAT </w:instrText>
                    </w:r>
                    <w:r>
                      <w:fldChar w:fldCharType="separate"/>
                    </w:r>
                    <w:r>
                      <w:t>45</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DD88">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1C6D36FA">
                          <w:pPr>
                            <w:pStyle w:val="22"/>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0288;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14:paraId="1C6D36FA">
                    <w:pPr>
                      <w:pStyle w:val="22"/>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FE22">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18D18B66">
                          <w:pPr>
                            <w:pStyle w:val="22"/>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14:paraId="18D18B66">
                    <w:pPr>
                      <w:pStyle w:val="22"/>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9EE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10B8">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93DF">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192C6">
    <w:pPr>
      <w:pStyle w:val="23"/>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0642">
    <w:pPr>
      <w:pStyle w:val="23"/>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0AD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645DC"/>
    <w:multiLevelType w:val="singleLevel"/>
    <w:tmpl w:val="C9D645DC"/>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ind w:left="7447"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10"/>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4"/>
      <w:suff w:val="nothing"/>
      <w:lvlText w:val="%1、"/>
      <w:lvlJc w:val="left"/>
      <w:pPr>
        <w:ind w:left="425" w:hanging="425"/>
      </w:pPr>
      <w:rPr>
        <w:rFonts w:hint="eastAsia"/>
        <w:lang w:val="en-US"/>
      </w:rPr>
    </w:lvl>
    <w:lvl w:ilvl="1" w:tentative="0">
      <w:start w:val="1"/>
      <w:numFmt w:val="chineseCountingThousand"/>
      <w:pStyle w:val="5"/>
      <w:suff w:val="nothing"/>
      <w:lvlText w:val="（%2）"/>
      <w:lvlJc w:val="left"/>
      <w:pPr>
        <w:ind w:left="992" w:hanging="992"/>
      </w:pPr>
      <w:rPr>
        <w:rFonts w:hint="eastAsia"/>
      </w:rPr>
    </w:lvl>
    <w:lvl w:ilvl="2" w:tentative="0">
      <w:start w:val="1"/>
      <w:numFmt w:val="decimal"/>
      <w:pStyle w:val="6"/>
      <w:suff w:val="space"/>
      <w:lvlText w:val="%3."/>
      <w:lvlJc w:val="left"/>
      <w:pPr>
        <w:ind w:left="1418" w:hanging="1418"/>
      </w:pPr>
      <w:rPr>
        <w:rFonts w:hint="eastAsia"/>
      </w:rPr>
    </w:lvl>
    <w:lvl w:ilvl="3" w:tentative="0">
      <w:start w:val="1"/>
      <w:numFmt w:val="decimal"/>
      <w:pStyle w:val="7"/>
      <w:suff w:val="nothing"/>
      <w:lvlText w:val="（%4）"/>
      <w:lvlJc w:val="left"/>
      <w:pPr>
        <w:ind w:left="1984" w:hanging="1984"/>
      </w:pPr>
      <w:rPr>
        <w:rFonts w:hint="eastAsia"/>
      </w:rPr>
    </w:lvl>
    <w:lvl w:ilvl="4" w:tentative="0">
      <w:start w:val="1"/>
      <w:numFmt w:val="decimal"/>
      <w:pStyle w:val="8"/>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9"/>
    <w:multiLevelType w:val="singleLevel"/>
    <w:tmpl w:val="00000009"/>
    <w:lvl w:ilvl="0" w:tentative="0">
      <w:start w:val="3"/>
      <w:numFmt w:val="chineseCounting"/>
      <w:suff w:val="space"/>
      <w:lvlText w:val="第%1章"/>
      <w:lvlJc w:val="left"/>
    </w:lvl>
  </w:abstractNum>
  <w:abstractNum w:abstractNumId="9">
    <w:nsid w:val="0000000A"/>
    <w:multiLevelType w:val="singleLevel"/>
    <w:tmpl w:val="0000000A"/>
    <w:lvl w:ilvl="0" w:tentative="0">
      <w:start w:val="1"/>
      <w:numFmt w:val="decimal"/>
      <w:suff w:val="nothing"/>
      <w:lvlText w:val="%1."/>
      <w:lvlJc w:val="left"/>
      <w:rPr>
        <w:lang w:val="en-US" w:eastAsia="zh-CN"/>
      </w:rPr>
    </w:lvl>
  </w:abstractNum>
  <w:abstractNum w:abstractNumId="10">
    <w:nsid w:val="17EC9BD4"/>
    <w:multiLevelType w:val="singleLevel"/>
    <w:tmpl w:val="17EC9BD4"/>
    <w:lvl w:ilvl="0" w:tentative="0">
      <w:start w:val="1"/>
      <w:numFmt w:val="decimal"/>
      <w:suff w:val="nothing"/>
      <w:lvlText w:val="%1、"/>
      <w:lvlJc w:val="left"/>
    </w:lvl>
  </w:abstractNum>
  <w:abstractNum w:abstractNumId="11">
    <w:nsid w:val="5A5C46FD"/>
    <w:multiLevelType w:val="multilevel"/>
    <w:tmpl w:val="5A5C46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41EDAF"/>
    <w:multiLevelType w:val="singleLevel"/>
    <w:tmpl w:val="6A41EDAF"/>
    <w:lvl w:ilvl="0" w:tentative="0">
      <w:start w:val="6"/>
      <w:numFmt w:val="chineseCounting"/>
      <w:suff w:val="nothing"/>
      <w:lvlText w:val="%1、"/>
      <w:lvlJc w:val="left"/>
      <w:rPr>
        <w:rFonts w:hint="eastAsia"/>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 w:numId="8">
    <w:abstractNumId w:val="7"/>
  </w:num>
  <w:num w:numId="9">
    <w:abstractNumId w:val="10"/>
  </w:num>
  <w:num w:numId="10">
    <w:abstractNumId w:val="11"/>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WY2YzExNDZkM2U4OGIyZTAwMzhiYmRjMDY3NjYifQ=="/>
  </w:docVars>
  <w:rsids>
    <w:rsidRoot w:val="001649B9"/>
    <w:rsid w:val="00002036"/>
    <w:rsid w:val="000024FB"/>
    <w:rsid w:val="00002AC3"/>
    <w:rsid w:val="000126C5"/>
    <w:rsid w:val="000247CD"/>
    <w:rsid w:val="000369B5"/>
    <w:rsid w:val="00036B23"/>
    <w:rsid w:val="00040D36"/>
    <w:rsid w:val="0005014F"/>
    <w:rsid w:val="00054604"/>
    <w:rsid w:val="00054DDA"/>
    <w:rsid w:val="00055C8F"/>
    <w:rsid w:val="000720AC"/>
    <w:rsid w:val="00072340"/>
    <w:rsid w:val="000749EB"/>
    <w:rsid w:val="00074F6C"/>
    <w:rsid w:val="000769E6"/>
    <w:rsid w:val="000862F2"/>
    <w:rsid w:val="000921AE"/>
    <w:rsid w:val="000944AD"/>
    <w:rsid w:val="000B677B"/>
    <w:rsid w:val="000B7938"/>
    <w:rsid w:val="000C2619"/>
    <w:rsid w:val="000D1A8C"/>
    <w:rsid w:val="000D2A00"/>
    <w:rsid w:val="000D38E1"/>
    <w:rsid w:val="000E1229"/>
    <w:rsid w:val="000E3923"/>
    <w:rsid w:val="000E4490"/>
    <w:rsid w:val="000F048B"/>
    <w:rsid w:val="000F647F"/>
    <w:rsid w:val="00112643"/>
    <w:rsid w:val="001176AC"/>
    <w:rsid w:val="00117B88"/>
    <w:rsid w:val="00121500"/>
    <w:rsid w:val="00121DBC"/>
    <w:rsid w:val="001253CD"/>
    <w:rsid w:val="00136FFF"/>
    <w:rsid w:val="0014111A"/>
    <w:rsid w:val="00142C67"/>
    <w:rsid w:val="00151BEB"/>
    <w:rsid w:val="00152E0B"/>
    <w:rsid w:val="001530C5"/>
    <w:rsid w:val="0015468B"/>
    <w:rsid w:val="00155160"/>
    <w:rsid w:val="00155801"/>
    <w:rsid w:val="001576E0"/>
    <w:rsid w:val="00163DAF"/>
    <w:rsid w:val="001649B9"/>
    <w:rsid w:val="0016635D"/>
    <w:rsid w:val="00167113"/>
    <w:rsid w:val="00174156"/>
    <w:rsid w:val="00181CE5"/>
    <w:rsid w:val="001842D1"/>
    <w:rsid w:val="0018583D"/>
    <w:rsid w:val="00192387"/>
    <w:rsid w:val="00192563"/>
    <w:rsid w:val="0019367C"/>
    <w:rsid w:val="00193AAD"/>
    <w:rsid w:val="00193D41"/>
    <w:rsid w:val="001963CB"/>
    <w:rsid w:val="00196FAF"/>
    <w:rsid w:val="001B0CC5"/>
    <w:rsid w:val="001B1C40"/>
    <w:rsid w:val="001B36CB"/>
    <w:rsid w:val="001B3A4B"/>
    <w:rsid w:val="001B7359"/>
    <w:rsid w:val="001C407E"/>
    <w:rsid w:val="001C6B6A"/>
    <w:rsid w:val="001D2BC3"/>
    <w:rsid w:val="001D4E0A"/>
    <w:rsid w:val="001D7320"/>
    <w:rsid w:val="001F0D51"/>
    <w:rsid w:val="001F3AF1"/>
    <w:rsid w:val="001F5323"/>
    <w:rsid w:val="002015A0"/>
    <w:rsid w:val="00201852"/>
    <w:rsid w:val="00202AC6"/>
    <w:rsid w:val="00202CB9"/>
    <w:rsid w:val="00212F33"/>
    <w:rsid w:val="00213585"/>
    <w:rsid w:val="00217EFC"/>
    <w:rsid w:val="002219F4"/>
    <w:rsid w:val="002223AC"/>
    <w:rsid w:val="00226A49"/>
    <w:rsid w:val="00237E2E"/>
    <w:rsid w:val="00244777"/>
    <w:rsid w:val="00245F16"/>
    <w:rsid w:val="00246189"/>
    <w:rsid w:val="00246D1B"/>
    <w:rsid w:val="002523BC"/>
    <w:rsid w:val="00254695"/>
    <w:rsid w:val="002571CE"/>
    <w:rsid w:val="0025758C"/>
    <w:rsid w:val="00260850"/>
    <w:rsid w:val="00267213"/>
    <w:rsid w:val="00267A49"/>
    <w:rsid w:val="00267E9D"/>
    <w:rsid w:val="00271830"/>
    <w:rsid w:val="00275487"/>
    <w:rsid w:val="00277C20"/>
    <w:rsid w:val="0028628D"/>
    <w:rsid w:val="002901BE"/>
    <w:rsid w:val="00292026"/>
    <w:rsid w:val="002A1CAD"/>
    <w:rsid w:val="002A2530"/>
    <w:rsid w:val="002A2787"/>
    <w:rsid w:val="002A52C6"/>
    <w:rsid w:val="002A6599"/>
    <w:rsid w:val="002B1EB6"/>
    <w:rsid w:val="002B1F87"/>
    <w:rsid w:val="002B5FBE"/>
    <w:rsid w:val="002C33AE"/>
    <w:rsid w:val="002C6E7F"/>
    <w:rsid w:val="002D1415"/>
    <w:rsid w:val="002D7CF6"/>
    <w:rsid w:val="002E3647"/>
    <w:rsid w:val="002F023A"/>
    <w:rsid w:val="002F0507"/>
    <w:rsid w:val="002F087F"/>
    <w:rsid w:val="002F1075"/>
    <w:rsid w:val="002F6442"/>
    <w:rsid w:val="002F72F1"/>
    <w:rsid w:val="00307887"/>
    <w:rsid w:val="003101FC"/>
    <w:rsid w:val="0032205A"/>
    <w:rsid w:val="00325260"/>
    <w:rsid w:val="00327BB2"/>
    <w:rsid w:val="00330FFF"/>
    <w:rsid w:val="003316B6"/>
    <w:rsid w:val="00333D05"/>
    <w:rsid w:val="0033796D"/>
    <w:rsid w:val="003406CC"/>
    <w:rsid w:val="00344C1E"/>
    <w:rsid w:val="00347887"/>
    <w:rsid w:val="00350661"/>
    <w:rsid w:val="00353B57"/>
    <w:rsid w:val="00355619"/>
    <w:rsid w:val="0036160C"/>
    <w:rsid w:val="00362058"/>
    <w:rsid w:val="00370089"/>
    <w:rsid w:val="00372297"/>
    <w:rsid w:val="003743D1"/>
    <w:rsid w:val="00377BC5"/>
    <w:rsid w:val="00381A1F"/>
    <w:rsid w:val="00381A7A"/>
    <w:rsid w:val="00384E91"/>
    <w:rsid w:val="00385D7B"/>
    <w:rsid w:val="0039017D"/>
    <w:rsid w:val="003A1D5C"/>
    <w:rsid w:val="003A480A"/>
    <w:rsid w:val="003A4CA9"/>
    <w:rsid w:val="003A5730"/>
    <w:rsid w:val="003B4691"/>
    <w:rsid w:val="003C3597"/>
    <w:rsid w:val="003C5315"/>
    <w:rsid w:val="003C63A0"/>
    <w:rsid w:val="003C7E05"/>
    <w:rsid w:val="003D00BB"/>
    <w:rsid w:val="003D3A61"/>
    <w:rsid w:val="003D4B49"/>
    <w:rsid w:val="003E18A4"/>
    <w:rsid w:val="003E4FA4"/>
    <w:rsid w:val="003F0970"/>
    <w:rsid w:val="003F1E35"/>
    <w:rsid w:val="00400270"/>
    <w:rsid w:val="004039E9"/>
    <w:rsid w:val="00416A97"/>
    <w:rsid w:val="00423024"/>
    <w:rsid w:val="0042712E"/>
    <w:rsid w:val="00437B8B"/>
    <w:rsid w:val="004440E5"/>
    <w:rsid w:val="004527EB"/>
    <w:rsid w:val="0045776F"/>
    <w:rsid w:val="00457E24"/>
    <w:rsid w:val="00460A06"/>
    <w:rsid w:val="00464100"/>
    <w:rsid w:val="0047077A"/>
    <w:rsid w:val="00472C46"/>
    <w:rsid w:val="00491C63"/>
    <w:rsid w:val="0049207C"/>
    <w:rsid w:val="0049303C"/>
    <w:rsid w:val="00495E83"/>
    <w:rsid w:val="004A03C7"/>
    <w:rsid w:val="004A12B0"/>
    <w:rsid w:val="004A3ABC"/>
    <w:rsid w:val="004B57C0"/>
    <w:rsid w:val="004B57DE"/>
    <w:rsid w:val="004C19A8"/>
    <w:rsid w:val="004C5C71"/>
    <w:rsid w:val="004D2CA6"/>
    <w:rsid w:val="004D388B"/>
    <w:rsid w:val="004D395E"/>
    <w:rsid w:val="004E10BF"/>
    <w:rsid w:val="004E259C"/>
    <w:rsid w:val="004E488E"/>
    <w:rsid w:val="004E7D18"/>
    <w:rsid w:val="004E7D52"/>
    <w:rsid w:val="004F08E4"/>
    <w:rsid w:val="004F66B2"/>
    <w:rsid w:val="00500CCD"/>
    <w:rsid w:val="00502C28"/>
    <w:rsid w:val="00505910"/>
    <w:rsid w:val="00512DFD"/>
    <w:rsid w:val="0051377B"/>
    <w:rsid w:val="00526515"/>
    <w:rsid w:val="00534025"/>
    <w:rsid w:val="00534FCA"/>
    <w:rsid w:val="005428BA"/>
    <w:rsid w:val="00543E17"/>
    <w:rsid w:val="0054459C"/>
    <w:rsid w:val="00544635"/>
    <w:rsid w:val="00553A1B"/>
    <w:rsid w:val="00565A48"/>
    <w:rsid w:val="00571686"/>
    <w:rsid w:val="00576A42"/>
    <w:rsid w:val="005866DC"/>
    <w:rsid w:val="00586D29"/>
    <w:rsid w:val="005A1ECE"/>
    <w:rsid w:val="005B05A4"/>
    <w:rsid w:val="005B1695"/>
    <w:rsid w:val="005B553A"/>
    <w:rsid w:val="005C3C6A"/>
    <w:rsid w:val="005D554C"/>
    <w:rsid w:val="005D5D45"/>
    <w:rsid w:val="005D63E6"/>
    <w:rsid w:val="00602011"/>
    <w:rsid w:val="00602F07"/>
    <w:rsid w:val="00604954"/>
    <w:rsid w:val="006100D6"/>
    <w:rsid w:val="00610A15"/>
    <w:rsid w:val="006160A8"/>
    <w:rsid w:val="00622467"/>
    <w:rsid w:val="0062461A"/>
    <w:rsid w:val="00637F35"/>
    <w:rsid w:val="00640B6B"/>
    <w:rsid w:val="00641997"/>
    <w:rsid w:val="00647F61"/>
    <w:rsid w:val="0065105A"/>
    <w:rsid w:val="0065575B"/>
    <w:rsid w:val="00655E13"/>
    <w:rsid w:val="006562A0"/>
    <w:rsid w:val="006571BD"/>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1341"/>
    <w:rsid w:val="006C4130"/>
    <w:rsid w:val="006C7317"/>
    <w:rsid w:val="006D14E0"/>
    <w:rsid w:val="006D15C4"/>
    <w:rsid w:val="006D2552"/>
    <w:rsid w:val="006D7D19"/>
    <w:rsid w:val="006E2F63"/>
    <w:rsid w:val="007002F5"/>
    <w:rsid w:val="00702F63"/>
    <w:rsid w:val="00707ED9"/>
    <w:rsid w:val="00713737"/>
    <w:rsid w:val="00715CC4"/>
    <w:rsid w:val="00721505"/>
    <w:rsid w:val="0072239D"/>
    <w:rsid w:val="0072388F"/>
    <w:rsid w:val="00724AB3"/>
    <w:rsid w:val="00726597"/>
    <w:rsid w:val="007307DB"/>
    <w:rsid w:val="00731BAB"/>
    <w:rsid w:val="00733C52"/>
    <w:rsid w:val="007441C7"/>
    <w:rsid w:val="007517E4"/>
    <w:rsid w:val="007550BE"/>
    <w:rsid w:val="007577AB"/>
    <w:rsid w:val="00761FDA"/>
    <w:rsid w:val="00765CE2"/>
    <w:rsid w:val="00767A9D"/>
    <w:rsid w:val="007711EA"/>
    <w:rsid w:val="00773F9C"/>
    <w:rsid w:val="00776F77"/>
    <w:rsid w:val="0078454B"/>
    <w:rsid w:val="007870DD"/>
    <w:rsid w:val="00791299"/>
    <w:rsid w:val="007A7E22"/>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2EC7"/>
    <w:rsid w:val="00833AD4"/>
    <w:rsid w:val="00833DDB"/>
    <w:rsid w:val="008416DB"/>
    <w:rsid w:val="00846DC6"/>
    <w:rsid w:val="00860AB7"/>
    <w:rsid w:val="008617C7"/>
    <w:rsid w:val="00863B28"/>
    <w:rsid w:val="00864F16"/>
    <w:rsid w:val="0086564C"/>
    <w:rsid w:val="008719F8"/>
    <w:rsid w:val="00872824"/>
    <w:rsid w:val="00874EC2"/>
    <w:rsid w:val="00882EF4"/>
    <w:rsid w:val="008923CF"/>
    <w:rsid w:val="008A1EA5"/>
    <w:rsid w:val="008A2399"/>
    <w:rsid w:val="008A592B"/>
    <w:rsid w:val="008A7C9F"/>
    <w:rsid w:val="008B4E45"/>
    <w:rsid w:val="008B5C0F"/>
    <w:rsid w:val="008B7C7F"/>
    <w:rsid w:val="008C2335"/>
    <w:rsid w:val="008C4449"/>
    <w:rsid w:val="008C5EB4"/>
    <w:rsid w:val="008C75B5"/>
    <w:rsid w:val="008C7BAE"/>
    <w:rsid w:val="008C7DA2"/>
    <w:rsid w:val="008D5A3D"/>
    <w:rsid w:val="008D6B10"/>
    <w:rsid w:val="008D7211"/>
    <w:rsid w:val="008D79C0"/>
    <w:rsid w:val="008E02CA"/>
    <w:rsid w:val="008E4CE4"/>
    <w:rsid w:val="008F11B2"/>
    <w:rsid w:val="008F1AB6"/>
    <w:rsid w:val="008F2769"/>
    <w:rsid w:val="009003A4"/>
    <w:rsid w:val="00904200"/>
    <w:rsid w:val="00904308"/>
    <w:rsid w:val="0090712D"/>
    <w:rsid w:val="0091023C"/>
    <w:rsid w:val="0091388C"/>
    <w:rsid w:val="00917427"/>
    <w:rsid w:val="00920119"/>
    <w:rsid w:val="00921031"/>
    <w:rsid w:val="009218AF"/>
    <w:rsid w:val="00922EA4"/>
    <w:rsid w:val="009414C6"/>
    <w:rsid w:val="009424D1"/>
    <w:rsid w:val="00943B08"/>
    <w:rsid w:val="00950202"/>
    <w:rsid w:val="009626ED"/>
    <w:rsid w:val="00963516"/>
    <w:rsid w:val="00963527"/>
    <w:rsid w:val="00970853"/>
    <w:rsid w:val="00970B25"/>
    <w:rsid w:val="00973C27"/>
    <w:rsid w:val="009838E9"/>
    <w:rsid w:val="0098543E"/>
    <w:rsid w:val="00987738"/>
    <w:rsid w:val="00992F69"/>
    <w:rsid w:val="00993A67"/>
    <w:rsid w:val="009A3592"/>
    <w:rsid w:val="009A51FF"/>
    <w:rsid w:val="009B433F"/>
    <w:rsid w:val="009C6CCB"/>
    <w:rsid w:val="009D1BE8"/>
    <w:rsid w:val="009D3CFE"/>
    <w:rsid w:val="009D4C42"/>
    <w:rsid w:val="009D6752"/>
    <w:rsid w:val="009E26DF"/>
    <w:rsid w:val="009E544E"/>
    <w:rsid w:val="009E74B7"/>
    <w:rsid w:val="009F4CB1"/>
    <w:rsid w:val="00A007E9"/>
    <w:rsid w:val="00A00A75"/>
    <w:rsid w:val="00A01327"/>
    <w:rsid w:val="00A04AF2"/>
    <w:rsid w:val="00A13272"/>
    <w:rsid w:val="00A16F4F"/>
    <w:rsid w:val="00A177C0"/>
    <w:rsid w:val="00A25A1D"/>
    <w:rsid w:val="00A319F3"/>
    <w:rsid w:val="00A45E45"/>
    <w:rsid w:val="00A46F27"/>
    <w:rsid w:val="00A50941"/>
    <w:rsid w:val="00A60A7D"/>
    <w:rsid w:val="00A61555"/>
    <w:rsid w:val="00A64780"/>
    <w:rsid w:val="00A665FA"/>
    <w:rsid w:val="00A66F8A"/>
    <w:rsid w:val="00A70C01"/>
    <w:rsid w:val="00A70DFB"/>
    <w:rsid w:val="00A87B8C"/>
    <w:rsid w:val="00A90967"/>
    <w:rsid w:val="00A938DD"/>
    <w:rsid w:val="00A953AE"/>
    <w:rsid w:val="00A9685F"/>
    <w:rsid w:val="00AA0DE5"/>
    <w:rsid w:val="00AA7012"/>
    <w:rsid w:val="00AA74FE"/>
    <w:rsid w:val="00AC2961"/>
    <w:rsid w:val="00AD0832"/>
    <w:rsid w:val="00AD3F90"/>
    <w:rsid w:val="00AD7591"/>
    <w:rsid w:val="00AE2DAA"/>
    <w:rsid w:val="00AE2F4E"/>
    <w:rsid w:val="00AF220B"/>
    <w:rsid w:val="00AF4343"/>
    <w:rsid w:val="00AF466C"/>
    <w:rsid w:val="00AF52BF"/>
    <w:rsid w:val="00B02770"/>
    <w:rsid w:val="00B031A0"/>
    <w:rsid w:val="00B038EF"/>
    <w:rsid w:val="00B06BF7"/>
    <w:rsid w:val="00B079ED"/>
    <w:rsid w:val="00B114FD"/>
    <w:rsid w:val="00B1498B"/>
    <w:rsid w:val="00B157B7"/>
    <w:rsid w:val="00B1600A"/>
    <w:rsid w:val="00B168A0"/>
    <w:rsid w:val="00B17053"/>
    <w:rsid w:val="00B17900"/>
    <w:rsid w:val="00B17BEF"/>
    <w:rsid w:val="00B206D8"/>
    <w:rsid w:val="00B238BC"/>
    <w:rsid w:val="00B40CE9"/>
    <w:rsid w:val="00B441B1"/>
    <w:rsid w:val="00B45145"/>
    <w:rsid w:val="00B4565B"/>
    <w:rsid w:val="00B56089"/>
    <w:rsid w:val="00B76AD1"/>
    <w:rsid w:val="00B81A8B"/>
    <w:rsid w:val="00B825CF"/>
    <w:rsid w:val="00B83C79"/>
    <w:rsid w:val="00B841CA"/>
    <w:rsid w:val="00B849A5"/>
    <w:rsid w:val="00B912BF"/>
    <w:rsid w:val="00B928BD"/>
    <w:rsid w:val="00B929C4"/>
    <w:rsid w:val="00B95BD8"/>
    <w:rsid w:val="00B978A1"/>
    <w:rsid w:val="00BA442A"/>
    <w:rsid w:val="00BB00D2"/>
    <w:rsid w:val="00BB0E1E"/>
    <w:rsid w:val="00BB1150"/>
    <w:rsid w:val="00BC70F0"/>
    <w:rsid w:val="00BD4537"/>
    <w:rsid w:val="00BD61EC"/>
    <w:rsid w:val="00BE579A"/>
    <w:rsid w:val="00BE62BE"/>
    <w:rsid w:val="00C023CB"/>
    <w:rsid w:val="00C07457"/>
    <w:rsid w:val="00C10515"/>
    <w:rsid w:val="00C33197"/>
    <w:rsid w:val="00C34CAF"/>
    <w:rsid w:val="00C3618F"/>
    <w:rsid w:val="00C36A24"/>
    <w:rsid w:val="00C4507D"/>
    <w:rsid w:val="00C46B77"/>
    <w:rsid w:val="00C5341A"/>
    <w:rsid w:val="00C56DF7"/>
    <w:rsid w:val="00C60791"/>
    <w:rsid w:val="00C60F97"/>
    <w:rsid w:val="00C62BF2"/>
    <w:rsid w:val="00C62C90"/>
    <w:rsid w:val="00C770A9"/>
    <w:rsid w:val="00C82EA6"/>
    <w:rsid w:val="00C8439A"/>
    <w:rsid w:val="00C866E2"/>
    <w:rsid w:val="00C9053C"/>
    <w:rsid w:val="00C9211A"/>
    <w:rsid w:val="00C96EFC"/>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15AB1"/>
    <w:rsid w:val="00D21B28"/>
    <w:rsid w:val="00D25225"/>
    <w:rsid w:val="00D274CA"/>
    <w:rsid w:val="00D33620"/>
    <w:rsid w:val="00D33F64"/>
    <w:rsid w:val="00D345F3"/>
    <w:rsid w:val="00D34ED0"/>
    <w:rsid w:val="00D40BA9"/>
    <w:rsid w:val="00D45BF9"/>
    <w:rsid w:val="00D47381"/>
    <w:rsid w:val="00D560CC"/>
    <w:rsid w:val="00D61E14"/>
    <w:rsid w:val="00D74256"/>
    <w:rsid w:val="00D75059"/>
    <w:rsid w:val="00D82E7F"/>
    <w:rsid w:val="00D854FA"/>
    <w:rsid w:val="00D90008"/>
    <w:rsid w:val="00D928B1"/>
    <w:rsid w:val="00DA4C14"/>
    <w:rsid w:val="00DA6765"/>
    <w:rsid w:val="00DB33F5"/>
    <w:rsid w:val="00DB66BA"/>
    <w:rsid w:val="00DB6C50"/>
    <w:rsid w:val="00DB7202"/>
    <w:rsid w:val="00DB7CB8"/>
    <w:rsid w:val="00DD18F9"/>
    <w:rsid w:val="00DD29CF"/>
    <w:rsid w:val="00DD3B61"/>
    <w:rsid w:val="00DE1222"/>
    <w:rsid w:val="00DE6656"/>
    <w:rsid w:val="00E0472E"/>
    <w:rsid w:val="00E0506E"/>
    <w:rsid w:val="00E05092"/>
    <w:rsid w:val="00E127C3"/>
    <w:rsid w:val="00E14797"/>
    <w:rsid w:val="00E22EB3"/>
    <w:rsid w:val="00E2606E"/>
    <w:rsid w:val="00E3097A"/>
    <w:rsid w:val="00E31956"/>
    <w:rsid w:val="00E35563"/>
    <w:rsid w:val="00E35C9D"/>
    <w:rsid w:val="00E4352F"/>
    <w:rsid w:val="00E466C2"/>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F01E1B"/>
    <w:rsid w:val="00F032A1"/>
    <w:rsid w:val="00F067D7"/>
    <w:rsid w:val="00F12B1E"/>
    <w:rsid w:val="00F152A5"/>
    <w:rsid w:val="00F15A19"/>
    <w:rsid w:val="00F17E35"/>
    <w:rsid w:val="00F22592"/>
    <w:rsid w:val="00F41208"/>
    <w:rsid w:val="00F42A86"/>
    <w:rsid w:val="00F50A5E"/>
    <w:rsid w:val="00F52D8B"/>
    <w:rsid w:val="00F6147D"/>
    <w:rsid w:val="00F65FF6"/>
    <w:rsid w:val="00F667EC"/>
    <w:rsid w:val="00F775D2"/>
    <w:rsid w:val="00F90C8F"/>
    <w:rsid w:val="00F91D8F"/>
    <w:rsid w:val="00F926AE"/>
    <w:rsid w:val="00F930A7"/>
    <w:rsid w:val="00F96113"/>
    <w:rsid w:val="00FA08DB"/>
    <w:rsid w:val="00FA5942"/>
    <w:rsid w:val="00FB2176"/>
    <w:rsid w:val="00FB4123"/>
    <w:rsid w:val="00FB6E45"/>
    <w:rsid w:val="00FC2B38"/>
    <w:rsid w:val="00FC42D7"/>
    <w:rsid w:val="00FC7F3C"/>
    <w:rsid w:val="00FE0B29"/>
    <w:rsid w:val="00FE25CB"/>
    <w:rsid w:val="00FF4E05"/>
    <w:rsid w:val="00FF7CD1"/>
    <w:rsid w:val="01030BC5"/>
    <w:rsid w:val="01B315B0"/>
    <w:rsid w:val="021A27AB"/>
    <w:rsid w:val="021F6013"/>
    <w:rsid w:val="022920B8"/>
    <w:rsid w:val="0456200F"/>
    <w:rsid w:val="056B197B"/>
    <w:rsid w:val="05955D32"/>
    <w:rsid w:val="06974875"/>
    <w:rsid w:val="06D1633E"/>
    <w:rsid w:val="06DF2215"/>
    <w:rsid w:val="07800368"/>
    <w:rsid w:val="08343DB7"/>
    <w:rsid w:val="08A74631"/>
    <w:rsid w:val="0A581885"/>
    <w:rsid w:val="0A7E5C43"/>
    <w:rsid w:val="0AFC1E0C"/>
    <w:rsid w:val="0BBC48D3"/>
    <w:rsid w:val="0CEF17A8"/>
    <w:rsid w:val="0D2A1F49"/>
    <w:rsid w:val="0E4137B5"/>
    <w:rsid w:val="0E7106D6"/>
    <w:rsid w:val="0F3F7CF5"/>
    <w:rsid w:val="107C7D8C"/>
    <w:rsid w:val="110D3084"/>
    <w:rsid w:val="123276A5"/>
    <w:rsid w:val="129E2F84"/>
    <w:rsid w:val="13884335"/>
    <w:rsid w:val="13D2498D"/>
    <w:rsid w:val="140D728C"/>
    <w:rsid w:val="142B2443"/>
    <w:rsid w:val="15892C2E"/>
    <w:rsid w:val="16840AEE"/>
    <w:rsid w:val="16970C0D"/>
    <w:rsid w:val="17200C8C"/>
    <w:rsid w:val="18D5309D"/>
    <w:rsid w:val="19DC38F9"/>
    <w:rsid w:val="1AC401AD"/>
    <w:rsid w:val="1BD12B17"/>
    <w:rsid w:val="1CD203FA"/>
    <w:rsid w:val="1DE66E3C"/>
    <w:rsid w:val="1E2D635B"/>
    <w:rsid w:val="1E800366"/>
    <w:rsid w:val="1E85324A"/>
    <w:rsid w:val="1EE937D9"/>
    <w:rsid w:val="1EFE2F32"/>
    <w:rsid w:val="228A2034"/>
    <w:rsid w:val="234A5B06"/>
    <w:rsid w:val="23F67F1C"/>
    <w:rsid w:val="2406030B"/>
    <w:rsid w:val="243E3C10"/>
    <w:rsid w:val="24594597"/>
    <w:rsid w:val="258B03A7"/>
    <w:rsid w:val="264562B9"/>
    <w:rsid w:val="268818DC"/>
    <w:rsid w:val="27510A04"/>
    <w:rsid w:val="279844D8"/>
    <w:rsid w:val="29FB62B0"/>
    <w:rsid w:val="2A534A43"/>
    <w:rsid w:val="2A6C3543"/>
    <w:rsid w:val="2CF33A75"/>
    <w:rsid w:val="2D454ECA"/>
    <w:rsid w:val="2DA779C2"/>
    <w:rsid w:val="2E4D4C86"/>
    <w:rsid w:val="2E541F88"/>
    <w:rsid w:val="2EDC604A"/>
    <w:rsid w:val="312F7801"/>
    <w:rsid w:val="340F388A"/>
    <w:rsid w:val="3454129D"/>
    <w:rsid w:val="353B0B1D"/>
    <w:rsid w:val="35980CEA"/>
    <w:rsid w:val="359A7184"/>
    <w:rsid w:val="35C12A64"/>
    <w:rsid w:val="361D14F9"/>
    <w:rsid w:val="368E2D4F"/>
    <w:rsid w:val="37611329"/>
    <w:rsid w:val="38842791"/>
    <w:rsid w:val="3C520DC5"/>
    <w:rsid w:val="3CAF36AA"/>
    <w:rsid w:val="3D002BCE"/>
    <w:rsid w:val="3DA04BA5"/>
    <w:rsid w:val="3FC45D40"/>
    <w:rsid w:val="3FEF0B19"/>
    <w:rsid w:val="41A01FC6"/>
    <w:rsid w:val="41DB4DAC"/>
    <w:rsid w:val="42846E8E"/>
    <w:rsid w:val="42A33B1C"/>
    <w:rsid w:val="43D9531B"/>
    <w:rsid w:val="49384C5E"/>
    <w:rsid w:val="49E51A63"/>
    <w:rsid w:val="49E656AA"/>
    <w:rsid w:val="4ADC727B"/>
    <w:rsid w:val="4B585530"/>
    <w:rsid w:val="4B5E1082"/>
    <w:rsid w:val="4C6C50A2"/>
    <w:rsid w:val="4D553C64"/>
    <w:rsid w:val="4D846E33"/>
    <w:rsid w:val="4E0A4780"/>
    <w:rsid w:val="4EB23895"/>
    <w:rsid w:val="502E087F"/>
    <w:rsid w:val="503069BE"/>
    <w:rsid w:val="5045242D"/>
    <w:rsid w:val="51E21470"/>
    <w:rsid w:val="52A5743C"/>
    <w:rsid w:val="52D21D13"/>
    <w:rsid w:val="53A72FD1"/>
    <w:rsid w:val="53C161BA"/>
    <w:rsid w:val="53E06252"/>
    <w:rsid w:val="547057D6"/>
    <w:rsid w:val="55210D67"/>
    <w:rsid w:val="553F5E3D"/>
    <w:rsid w:val="5632548A"/>
    <w:rsid w:val="56B74BBF"/>
    <w:rsid w:val="57AE5F29"/>
    <w:rsid w:val="58407993"/>
    <w:rsid w:val="5B3D5498"/>
    <w:rsid w:val="5B423504"/>
    <w:rsid w:val="5C0E3323"/>
    <w:rsid w:val="5F19620E"/>
    <w:rsid w:val="5F544E26"/>
    <w:rsid w:val="5F6B37BB"/>
    <w:rsid w:val="5F814D8D"/>
    <w:rsid w:val="60CE4C92"/>
    <w:rsid w:val="619C01E2"/>
    <w:rsid w:val="61AF3E33"/>
    <w:rsid w:val="62295E1F"/>
    <w:rsid w:val="62DA6F42"/>
    <w:rsid w:val="6300246C"/>
    <w:rsid w:val="65B57676"/>
    <w:rsid w:val="690C2DBD"/>
    <w:rsid w:val="69F56B4F"/>
    <w:rsid w:val="6A51101C"/>
    <w:rsid w:val="6E883A26"/>
    <w:rsid w:val="7002147B"/>
    <w:rsid w:val="70A1703D"/>
    <w:rsid w:val="71341C5F"/>
    <w:rsid w:val="71790EBA"/>
    <w:rsid w:val="744C1F7B"/>
    <w:rsid w:val="7478113F"/>
    <w:rsid w:val="74980757"/>
    <w:rsid w:val="749D5D6D"/>
    <w:rsid w:val="74C460BA"/>
    <w:rsid w:val="75DC1208"/>
    <w:rsid w:val="76AA651F"/>
    <w:rsid w:val="79012C69"/>
    <w:rsid w:val="79D9569C"/>
    <w:rsid w:val="7A62350D"/>
    <w:rsid w:val="7A855718"/>
    <w:rsid w:val="7B3C1B82"/>
    <w:rsid w:val="7BF12F4B"/>
    <w:rsid w:val="7CD11A50"/>
    <w:rsid w:val="7D08121C"/>
    <w:rsid w:val="7FCE0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autoRedefine/>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6">
    <w:name w:val="heading 3"/>
    <w:basedOn w:val="1"/>
    <w:next w:val="1"/>
    <w:link w:val="66"/>
    <w:autoRedefine/>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44"/>
    <w:autoRedefine/>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52"/>
    <w:autoRedefine/>
    <w:qFormat/>
    <w:uiPriority w:val="0"/>
    <w:pPr>
      <w:keepNext/>
      <w:keepLines/>
      <w:numPr>
        <w:ilvl w:val="4"/>
        <w:numId w:val="1"/>
      </w:numPr>
      <w:spacing w:before="280" w:after="290" w:line="360" w:lineRule="auto"/>
      <w:jc w:val="left"/>
      <w:outlineLvl w:val="4"/>
    </w:pPr>
    <w:rPr>
      <w:b/>
      <w:bCs/>
      <w:kern w:val="0"/>
      <w:sz w:val="24"/>
      <w:szCs w:val="28"/>
    </w:rPr>
  </w:style>
  <w:style w:type="paragraph" w:styleId="9">
    <w:name w:val="heading 6"/>
    <w:basedOn w:val="1"/>
    <w:next w:val="1"/>
    <w:link w:val="53"/>
    <w:autoRedefine/>
    <w:qFormat/>
    <w:uiPriority w:val="0"/>
    <w:pPr>
      <w:keepNext/>
      <w:keepLines/>
      <w:spacing w:before="240" w:after="64" w:line="320" w:lineRule="auto"/>
      <w:outlineLvl w:val="5"/>
    </w:pPr>
    <w:rPr>
      <w:rFonts w:ascii="Cambria" w:hAnsi="Cambria"/>
      <w:b/>
      <w:bCs/>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1"/>
    <w:autoRedefine/>
    <w:qFormat/>
    <w:uiPriority w:val="0"/>
    <w:pPr>
      <w:spacing w:after="120"/>
    </w:pPr>
  </w:style>
  <w:style w:type="paragraph" w:styleId="10">
    <w:name w:val="List Number"/>
    <w:basedOn w:val="1"/>
    <w:autoRedefine/>
    <w:qFormat/>
    <w:uiPriority w:val="0"/>
    <w:pPr>
      <w:widowControl/>
      <w:numPr>
        <w:ilvl w:val="0"/>
        <w:numId w:val="2"/>
      </w:numPr>
      <w:tabs>
        <w:tab w:val="clear" w:pos="980"/>
      </w:tabs>
      <w:spacing w:afterLines="50"/>
      <w:ind w:left="454" w:hanging="284"/>
      <w:jc w:val="left"/>
    </w:pPr>
    <w:rPr>
      <w:kern w:val="0"/>
      <w:sz w:val="24"/>
      <w:szCs w:val="20"/>
    </w:rPr>
  </w:style>
  <w:style w:type="paragraph" w:styleId="11">
    <w:name w:val="Normal Indent"/>
    <w:basedOn w:val="1"/>
    <w:link w:val="42"/>
    <w:autoRedefine/>
    <w:qFormat/>
    <w:uiPriority w:val="99"/>
    <w:pPr>
      <w:ind w:firstLine="420" w:firstLineChars="200"/>
    </w:p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List Bullet"/>
    <w:basedOn w:val="1"/>
    <w:autoRedefine/>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4">
    <w:name w:val="Document Map"/>
    <w:basedOn w:val="1"/>
    <w:autoRedefine/>
    <w:qFormat/>
    <w:uiPriority w:val="0"/>
    <w:pPr>
      <w:shd w:val="clear" w:color="auto" w:fill="000080"/>
    </w:pPr>
  </w:style>
  <w:style w:type="paragraph" w:styleId="15">
    <w:name w:val="annotation text"/>
    <w:basedOn w:val="1"/>
    <w:link w:val="64"/>
    <w:autoRedefine/>
    <w:qFormat/>
    <w:uiPriority w:val="0"/>
    <w:pPr>
      <w:spacing w:line="240" w:lineRule="auto"/>
      <w:jc w:val="left"/>
    </w:pPr>
    <w:rPr>
      <w:szCs w:val="22"/>
    </w:rPr>
  </w:style>
  <w:style w:type="paragraph" w:styleId="16">
    <w:name w:val="Body Text 3"/>
    <w:basedOn w:val="1"/>
    <w:autoRedefine/>
    <w:qFormat/>
    <w:uiPriority w:val="0"/>
    <w:pPr>
      <w:spacing w:after="120"/>
    </w:pPr>
    <w:rPr>
      <w:sz w:val="16"/>
      <w:szCs w:val="16"/>
    </w:rPr>
  </w:style>
  <w:style w:type="paragraph" w:styleId="17">
    <w:name w:val="Body Text Indent"/>
    <w:basedOn w:val="1"/>
    <w:link w:val="51"/>
    <w:autoRedefine/>
    <w:qFormat/>
    <w:uiPriority w:val="0"/>
    <w:pPr>
      <w:spacing w:after="120"/>
      <w:ind w:left="420" w:leftChars="200"/>
    </w:pPr>
  </w:style>
  <w:style w:type="paragraph" w:styleId="18">
    <w:name w:val="List 2"/>
    <w:basedOn w:val="1"/>
    <w:autoRedefine/>
    <w:qFormat/>
    <w:uiPriority w:val="0"/>
    <w:pPr>
      <w:ind w:left="100" w:leftChars="200" w:hanging="200" w:hangingChars="200"/>
    </w:pPr>
  </w:style>
  <w:style w:type="paragraph" w:styleId="19">
    <w:name w:val="Plain Text"/>
    <w:basedOn w:val="1"/>
    <w:link w:val="54"/>
    <w:autoRedefine/>
    <w:qFormat/>
    <w:uiPriority w:val="0"/>
    <w:rPr>
      <w:rFonts w:ascii="宋体" w:hAnsi="Courier New"/>
      <w:szCs w:val="20"/>
    </w:rPr>
  </w:style>
  <w:style w:type="paragraph" w:styleId="20">
    <w:name w:val="Date"/>
    <w:basedOn w:val="1"/>
    <w:next w:val="1"/>
    <w:autoRedefine/>
    <w:qFormat/>
    <w:uiPriority w:val="0"/>
    <w:pPr>
      <w:ind w:left="100"/>
    </w:pPr>
    <w:rPr>
      <w:sz w:val="28"/>
      <w:szCs w:val="20"/>
    </w:rPr>
  </w:style>
  <w:style w:type="paragraph" w:styleId="21">
    <w:name w:val="Balloon Text"/>
    <w:basedOn w:val="1"/>
    <w:link w:val="41"/>
    <w:autoRedefine/>
    <w:qFormat/>
    <w:uiPriority w:val="99"/>
    <w:rPr>
      <w:sz w:val="18"/>
      <w:szCs w:val="18"/>
    </w:rPr>
  </w:style>
  <w:style w:type="paragraph" w:styleId="22">
    <w:name w:val="footer"/>
    <w:basedOn w:val="1"/>
    <w:link w:val="65"/>
    <w:autoRedefine/>
    <w:qFormat/>
    <w:uiPriority w:val="99"/>
    <w:pPr>
      <w:tabs>
        <w:tab w:val="center" w:pos="4153"/>
        <w:tab w:val="right" w:pos="8306"/>
      </w:tabs>
      <w:snapToGrid w:val="0"/>
      <w:jc w:val="left"/>
    </w:pPr>
    <w:rPr>
      <w:sz w:val="18"/>
      <w:szCs w:val="18"/>
    </w:rPr>
  </w:style>
  <w:style w:type="paragraph" w:styleId="23">
    <w:name w:val="header"/>
    <w:basedOn w:val="1"/>
    <w:link w:val="177"/>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5">
    <w:name w:val="List"/>
    <w:basedOn w:val="1"/>
    <w:autoRedefine/>
    <w:qFormat/>
    <w:uiPriority w:val="0"/>
    <w:pPr>
      <w:ind w:left="200" w:hanging="200" w:hangingChars="200"/>
    </w:pPr>
    <w:rPr>
      <w:sz w:val="28"/>
    </w:rPr>
  </w:style>
  <w:style w:type="paragraph" w:styleId="26">
    <w:name w:val="Body Text Indent 3"/>
    <w:basedOn w:val="1"/>
    <w:link w:val="43"/>
    <w:autoRedefine/>
    <w:qFormat/>
    <w:uiPriority w:val="0"/>
    <w:pPr>
      <w:spacing w:after="120"/>
      <w:ind w:left="420" w:leftChars="200"/>
    </w:pPr>
    <w:rPr>
      <w:sz w:val="16"/>
      <w:szCs w:val="16"/>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165"/>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annotation subject"/>
    <w:basedOn w:val="15"/>
    <w:next w:val="15"/>
    <w:link w:val="74"/>
    <w:autoRedefine/>
    <w:qFormat/>
    <w:uiPriority w:val="0"/>
    <w:pPr>
      <w:spacing w:line="348" w:lineRule="auto"/>
    </w:pPr>
    <w:rPr>
      <w:b/>
      <w:bCs/>
      <w:szCs w:val="24"/>
    </w:rPr>
  </w:style>
  <w:style w:type="paragraph" w:styleId="31">
    <w:name w:val="Body Text First Indent 2"/>
    <w:basedOn w:val="17"/>
    <w:link w:val="170"/>
    <w:autoRedefine/>
    <w:unhideWhenUsed/>
    <w:qFormat/>
    <w:uiPriority w:val="99"/>
    <w:pPr>
      <w:spacing w:line="240" w:lineRule="auto"/>
      <w:ind w:firstLine="420" w:firstLineChars="20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20"/>
    <w:rPr>
      <w:color w:val="CC0000"/>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Default"/>
    <w:autoRedefine/>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character" w:customStyle="1" w:styleId="41">
    <w:name w:val="批注框文本 Char"/>
    <w:link w:val="21"/>
    <w:autoRedefine/>
    <w:qFormat/>
    <w:uiPriority w:val="99"/>
    <w:rPr>
      <w:kern w:val="2"/>
      <w:sz w:val="18"/>
      <w:szCs w:val="18"/>
    </w:rPr>
  </w:style>
  <w:style w:type="character" w:customStyle="1" w:styleId="42">
    <w:name w:val="正文缩进 Char"/>
    <w:link w:val="11"/>
    <w:autoRedefine/>
    <w:qFormat/>
    <w:uiPriority w:val="99"/>
    <w:rPr>
      <w:kern w:val="2"/>
      <w:sz w:val="21"/>
      <w:szCs w:val="24"/>
    </w:rPr>
  </w:style>
  <w:style w:type="character" w:customStyle="1" w:styleId="43">
    <w:name w:val="正文文本缩进 3 Char"/>
    <w:link w:val="26"/>
    <w:autoRedefine/>
    <w:qFormat/>
    <w:uiPriority w:val="0"/>
    <w:rPr>
      <w:kern w:val="2"/>
      <w:sz w:val="16"/>
      <w:szCs w:val="16"/>
    </w:rPr>
  </w:style>
  <w:style w:type="character" w:customStyle="1" w:styleId="44">
    <w:name w:val="标题 4 Char"/>
    <w:link w:val="7"/>
    <w:autoRedefine/>
    <w:qFormat/>
    <w:uiPriority w:val="9"/>
    <w:rPr>
      <w:rFonts w:ascii="Cambria" w:hAnsi="Cambria"/>
      <w:b/>
      <w:bCs/>
      <w:kern w:val="2"/>
      <w:sz w:val="28"/>
      <w:szCs w:val="28"/>
    </w:rPr>
  </w:style>
  <w:style w:type="character" w:customStyle="1" w:styleId="45">
    <w:name w:val="正文2 Char Char"/>
    <w:autoRedefine/>
    <w:qFormat/>
    <w:uiPriority w:val="0"/>
    <w:rPr>
      <w:kern w:val="2"/>
      <w:sz w:val="24"/>
    </w:rPr>
  </w:style>
  <w:style w:type="character" w:customStyle="1" w:styleId="46">
    <w:name w:val="18"/>
    <w:basedOn w:val="34"/>
    <w:autoRedefine/>
    <w:qFormat/>
    <w:uiPriority w:val="0"/>
    <w:rPr>
      <w:rFonts w:hint="eastAsia" w:ascii="宋体" w:hAnsi="宋体" w:eastAsia="宋体"/>
      <w:color w:val="000000"/>
      <w:sz w:val="24"/>
      <w:szCs w:val="24"/>
      <w:vertAlign w:val="superscript"/>
    </w:rPr>
  </w:style>
  <w:style w:type="character" w:customStyle="1" w:styleId="47">
    <w:name w:val="15"/>
    <w:basedOn w:val="34"/>
    <w:autoRedefine/>
    <w:qFormat/>
    <w:uiPriority w:val="0"/>
    <w:rPr>
      <w:rFonts w:hint="eastAsia" w:ascii="宋体" w:hAnsi="宋体" w:eastAsia="宋体"/>
      <w:color w:val="000000"/>
      <w:sz w:val="22"/>
      <w:szCs w:val="22"/>
    </w:rPr>
  </w:style>
  <w:style w:type="character" w:customStyle="1" w:styleId="48">
    <w:name w:val="纯文本 Char1"/>
    <w:autoRedefine/>
    <w:qFormat/>
    <w:uiPriority w:val="0"/>
    <w:rPr>
      <w:rFonts w:ascii="宋体" w:hAnsi="Courier New" w:eastAsia="宋体"/>
      <w:kern w:val="2"/>
      <w:sz w:val="21"/>
      <w:lang w:val="en-US" w:eastAsia="zh-CN"/>
    </w:rPr>
  </w:style>
  <w:style w:type="character" w:customStyle="1" w:styleId="49">
    <w:name w:val="Char Char Char"/>
    <w:autoRedefine/>
    <w:qFormat/>
    <w:uiPriority w:val="0"/>
    <w:rPr>
      <w:rFonts w:ascii="宋体" w:hAnsi="Courier New" w:eastAsia="宋体"/>
      <w:kern w:val="2"/>
      <w:sz w:val="21"/>
      <w:lang w:val="en-US" w:eastAsia="zh-CN" w:bidi="ar-SA"/>
    </w:rPr>
  </w:style>
  <w:style w:type="character" w:customStyle="1" w:styleId="50">
    <w:name w:val="表正文 Char"/>
    <w:autoRedefine/>
    <w:qFormat/>
    <w:uiPriority w:val="0"/>
    <w:rPr>
      <w:rFonts w:eastAsia="宋体"/>
      <w:kern w:val="2"/>
      <w:sz w:val="21"/>
      <w:szCs w:val="24"/>
      <w:lang w:val="en-US" w:eastAsia="zh-CN" w:bidi="ar-SA"/>
    </w:rPr>
  </w:style>
  <w:style w:type="character" w:customStyle="1" w:styleId="51">
    <w:name w:val="正文文本缩进 Char"/>
    <w:link w:val="17"/>
    <w:autoRedefine/>
    <w:qFormat/>
    <w:uiPriority w:val="0"/>
    <w:rPr>
      <w:rFonts w:eastAsia="宋体"/>
      <w:kern w:val="2"/>
      <w:sz w:val="21"/>
      <w:szCs w:val="24"/>
      <w:lang w:val="en-US" w:eastAsia="zh-CN" w:bidi="ar-SA"/>
    </w:rPr>
  </w:style>
  <w:style w:type="character" w:customStyle="1" w:styleId="52">
    <w:name w:val="标题 5 Char"/>
    <w:link w:val="8"/>
    <w:autoRedefine/>
    <w:qFormat/>
    <w:uiPriority w:val="0"/>
    <w:rPr>
      <w:b/>
      <w:bCs/>
      <w:sz w:val="24"/>
      <w:szCs w:val="28"/>
    </w:rPr>
  </w:style>
  <w:style w:type="character" w:customStyle="1" w:styleId="53">
    <w:name w:val="标题 6 Char"/>
    <w:link w:val="9"/>
    <w:autoRedefine/>
    <w:qFormat/>
    <w:uiPriority w:val="0"/>
    <w:rPr>
      <w:rFonts w:ascii="Cambria" w:hAnsi="Cambria" w:eastAsia="宋体" w:cs="Times New Roman"/>
      <w:b/>
      <w:bCs/>
      <w:kern w:val="2"/>
      <w:sz w:val="24"/>
      <w:szCs w:val="24"/>
    </w:rPr>
  </w:style>
  <w:style w:type="character" w:customStyle="1" w:styleId="54">
    <w:name w:val="纯文本 Char"/>
    <w:link w:val="19"/>
    <w:autoRedefine/>
    <w:qFormat/>
    <w:uiPriority w:val="0"/>
    <w:rPr>
      <w:rFonts w:ascii="宋体" w:hAnsi="Courier New" w:eastAsia="宋体"/>
      <w:kern w:val="2"/>
      <w:sz w:val="21"/>
      <w:lang w:val="en-US" w:eastAsia="zh-CN" w:bidi="ar-SA"/>
    </w:rPr>
  </w:style>
  <w:style w:type="character" w:customStyle="1" w:styleId="55">
    <w:name w:val="纯文本 Char3"/>
    <w:autoRedefine/>
    <w:qFormat/>
    <w:uiPriority w:val="0"/>
    <w:rPr>
      <w:rFonts w:ascii="宋体" w:hAnsi="Courier New" w:eastAsia="宋体"/>
      <w:kern w:val="2"/>
      <w:sz w:val="21"/>
      <w:lang w:val="en-US" w:eastAsia="zh-CN" w:bidi="ar-SA"/>
    </w:rPr>
  </w:style>
  <w:style w:type="character" w:customStyle="1" w:styleId="56">
    <w:name w:val="NormalCharacter"/>
    <w:link w:val="57"/>
    <w:autoRedefine/>
    <w:qFormat/>
    <w:uiPriority w:val="0"/>
    <w:rPr>
      <w:rFonts w:ascii="Tahoma" w:hAnsi="Tahoma"/>
      <w:sz w:val="24"/>
    </w:rPr>
  </w:style>
  <w:style w:type="paragraph" w:customStyle="1" w:styleId="57">
    <w:name w:val="UserStyle_13"/>
    <w:basedOn w:val="1"/>
    <w:link w:val="56"/>
    <w:autoRedefine/>
    <w:qFormat/>
    <w:uiPriority w:val="0"/>
    <w:pPr>
      <w:widowControl/>
      <w:spacing w:line="360" w:lineRule="auto"/>
      <w:ind w:firstLine="200" w:firstLineChars="200"/>
    </w:pPr>
    <w:rPr>
      <w:rFonts w:ascii="Tahoma" w:hAnsi="Tahoma"/>
      <w:kern w:val="0"/>
      <w:sz w:val="24"/>
      <w:szCs w:val="20"/>
    </w:rPr>
  </w:style>
  <w:style w:type="character" w:customStyle="1" w:styleId="58">
    <w:name w:val="正文2 Char"/>
    <w:link w:val="59"/>
    <w:autoRedefine/>
    <w:qFormat/>
    <w:uiPriority w:val="0"/>
    <w:rPr>
      <w:kern w:val="2"/>
      <w:sz w:val="24"/>
    </w:rPr>
  </w:style>
  <w:style w:type="paragraph" w:customStyle="1" w:styleId="59">
    <w:name w:val="正文2"/>
    <w:basedOn w:val="1"/>
    <w:link w:val="58"/>
    <w:autoRedefine/>
    <w:qFormat/>
    <w:uiPriority w:val="0"/>
    <w:pPr>
      <w:spacing w:before="156" w:line="360" w:lineRule="auto"/>
      <w:ind w:firstLine="510" w:firstLineChars="200"/>
    </w:pPr>
    <w:rPr>
      <w:sz w:val="24"/>
      <w:szCs w:val="20"/>
    </w:rPr>
  </w:style>
  <w:style w:type="character" w:customStyle="1" w:styleId="60">
    <w:name w:val="列出段落 Char"/>
    <w:link w:val="61"/>
    <w:autoRedefine/>
    <w:qFormat/>
    <w:uiPriority w:val="34"/>
    <w:rPr>
      <w:rFonts w:ascii="Calibri" w:hAnsi="Calibri" w:eastAsia="宋体" w:cs="Times New Roman"/>
      <w:kern w:val="2"/>
      <w:sz w:val="21"/>
      <w:szCs w:val="22"/>
    </w:rPr>
  </w:style>
  <w:style w:type="paragraph" w:styleId="61">
    <w:name w:val="List Paragraph"/>
    <w:basedOn w:val="1"/>
    <w:link w:val="60"/>
    <w:autoRedefine/>
    <w:qFormat/>
    <w:uiPriority w:val="34"/>
    <w:pPr>
      <w:spacing w:line="240" w:lineRule="auto"/>
      <w:ind w:firstLine="420" w:firstLineChars="200"/>
    </w:pPr>
    <w:rPr>
      <w:szCs w:val="22"/>
    </w:rPr>
  </w:style>
  <w:style w:type="character" w:customStyle="1" w:styleId="62">
    <w:name w:val="居中表格内容 Char"/>
    <w:link w:val="63"/>
    <w:autoRedefine/>
    <w:qFormat/>
    <w:uiPriority w:val="0"/>
    <w:rPr>
      <w:rFonts w:cs="宋体"/>
      <w:color w:val="000000"/>
      <w:sz w:val="21"/>
      <w:szCs w:val="24"/>
    </w:rPr>
  </w:style>
  <w:style w:type="paragraph" w:customStyle="1" w:styleId="63">
    <w:name w:val="居中表格内容"/>
    <w:basedOn w:val="1"/>
    <w:next w:val="1"/>
    <w:link w:val="62"/>
    <w:autoRedefine/>
    <w:qFormat/>
    <w:uiPriority w:val="0"/>
    <w:pPr>
      <w:widowControl/>
      <w:spacing w:line="240" w:lineRule="auto"/>
    </w:pPr>
    <w:rPr>
      <w:color w:val="000000"/>
      <w:kern w:val="0"/>
    </w:rPr>
  </w:style>
  <w:style w:type="character" w:customStyle="1" w:styleId="64">
    <w:name w:val="批注文字 Char"/>
    <w:link w:val="15"/>
    <w:autoRedefine/>
    <w:qFormat/>
    <w:uiPriority w:val="0"/>
    <w:rPr>
      <w:rFonts w:ascii="Calibri" w:hAnsi="Calibri" w:eastAsia="宋体" w:cs="Times New Roman"/>
      <w:kern w:val="2"/>
      <w:sz w:val="21"/>
      <w:szCs w:val="22"/>
    </w:rPr>
  </w:style>
  <w:style w:type="character" w:customStyle="1" w:styleId="65">
    <w:name w:val="页脚 Char"/>
    <w:link w:val="22"/>
    <w:autoRedefine/>
    <w:qFormat/>
    <w:uiPriority w:val="99"/>
    <w:rPr>
      <w:kern w:val="2"/>
      <w:sz w:val="18"/>
      <w:szCs w:val="18"/>
    </w:rPr>
  </w:style>
  <w:style w:type="character" w:customStyle="1" w:styleId="66">
    <w:name w:val="标题 3 Char"/>
    <w:link w:val="6"/>
    <w:autoRedefine/>
    <w:qFormat/>
    <w:uiPriority w:val="9"/>
    <w:rPr>
      <w:b/>
      <w:bCs/>
      <w:kern w:val="2"/>
      <w:sz w:val="32"/>
      <w:szCs w:val="32"/>
    </w:rPr>
  </w:style>
  <w:style w:type="character" w:customStyle="1" w:styleId="67">
    <w:name w:val="正文加粗 字符"/>
    <w:link w:val="68"/>
    <w:autoRedefine/>
    <w:qFormat/>
    <w:uiPriority w:val="0"/>
    <w:rPr>
      <w:rFonts w:ascii="微软雅黑" w:hAnsi="等线" w:eastAsia="微软雅黑"/>
      <w:b/>
      <w:kern w:val="2"/>
      <w:sz w:val="24"/>
      <w:szCs w:val="22"/>
    </w:rPr>
  </w:style>
  <w:style w:type="paragraph" w:customStyle="1" w:styleId="68">
    <w:name w:val="正文加粗"/>
    <w:basedOn w:val="1"/>
    <w:link w:val="67"/>
    <w:autoRedefine/>
    <w:qFormat/>
    <w:uiPriority w:val="0"/>
    <w:pPr>
      <w:spacing w:line="360" w:lineRule="auto"/>
      <w:ind w:firstLine="480" w:firstLineChars="200"/>
      <w:jc w:val="left"/>
    </w:pPr>
    <w:rPr>
      <w:rFonts w:ascii="微软雅黑" w:hAnsi="等线" w:eastAsia="微软雅黑"/>
      <w:b/>
      <w:sz w:val="24"/>
      <w:szCs w:val="22"/>
    </w:rPr>
  </w:style>
  <w:style w:type="character" w:customStyle="1" w:styleId="69">
    <w:name w:val="列出段落 Char1"/>
    <w:autoRedefine/>
    <w:qFormat/>
    <w:uiPriority w:val="0"/>
    <w:rPr>
      <w:rFonts w:ascii="Calibri" w:hAnsi="Calibri"/>
      <w:kern w:val="2"/>
      <w:sz w:val="21"/>
      <w:szCs w:val="22"/>
    </w:rPr>
  </w:style>
  <w:style w:type="character" w:customStyle="1" w:styleId="70">
    <w:name w:val="17"/>
    <w:basedOn w:val="34"/>
    <w:autoRedefine/>
    <w:qFormat/>
    <w:uiPriority w:val="0"/>
    <w:rPr>
      <w:rFonts w:hint="default" w:ascii="Arial" w:hAnsi="Arial" w:cs="Arial"/>
      <w:color w:val="000000"/>
      <w:sz w:val="22"/>
      <w:szCs w:val="22"/>
    </w:rPr>
  </w:style>
  <w:style w:type="character" w:customStyle="1" w:styleId="71">
    <w:name w:val="font61"/>
    <w:basedOn w:val="34"/>
    <w:autoRedefine/>
    <w:qFormat/>
    <w:uiPriority w:val="0"/>
    <w:rPr>
      <w:rFonts w:hint="eastAsia" w:ascii="宋体" w:hAnsi="宋体" w:eastAsia="宋体" w:cs="宋体"/>
      <w:color w:val="000000"/>
      <w:sz w:val="24"/>
      <w:szCs w:val="24"/>
      <w:u w:val="none"/>
    </w:rPr>
  </w:style>
  <w:style w:type="character" w:customStyle="1" w:styleId="72">
    <w:name w:val="纯文本 Char2"/>
    <w:autoRedefine/>
    <w:qFormat/>
    <w:uiPriority w:val="0"/>
    <w:rPr>
      <w:rFonts w:ascii="宋体" w:hAnsi="Courier New" w:eastAsia="宋体" w:cs="Courier New"/>
      <w:sz w:val="21"/>
      <w:szCs w:val="21"/>
    </w:rPr>
  </w:style>
  <w:style w:type="character" w:customStyle="1" w:styleId="73">
    <w:name w:val="16"/>
    <w:basedOn w:val="34"/>
    <w:autoRedefine/>
    <w:qFormat/>
    <w:uiPriority w:val="0"/>
    <w:rPr>
      <w:rFonts w:hint="eastAsia" w:ascii="宋体" w:hAnsi="宋体" w:eastAsia="宋体"/>
      <w:color w:val="000000"/>
      <w:sz w:val="24"/>
      <w:szCs w:val="24"/>
    </w:rPr>
  </w:style>
  <w:style w:type="character" w:customStyle="1" w:styleId="74">
    <w:name w:val="批注主题 Char"/>
    <w:link w:val="30"/>
    <w:autoRedefine/>
    <w:qFormat/>
    <w:uiPriority w:val="0"/>
    <w:rPr>
      <w:rFonts w:ascii="Calibri" w:hAnsi="Calibri" w:eastAsia="宋体" w:cs="Times New Roman"/>
      <w:b/>
      <w:bCs/>
      <w:kern w:val="2"/>
      <w:sz w:val="21"/>
      <w:szCs w:val="24"/>
    </w:rPr>
  </w:style>
  <w:style w:type="character" w:customStyle="1" w:styleId="75">
    <w:name w:val="1.5倍行距 Char"/>
    <w:link w:val="76"/>
    <w:autoRedefine/>
    <w:qFormat/>
    <w:uiPriority w:val="0"/>
    <w:rPr>
      <w:rFonts w:ascii="宋体" w:hAnsi="宋体"/>
      <w:kern w:val="2"/>
      <w:sz w:val="24"/>
      <w:szCs w:val="24"/>
    </w:rPr>
  </w:style>
  <w:style w:type="paragraph" w:customStyle="1" w:styleId="76">
    <w:name w:val="1.5倍行距"/>
    <w:basedOn w:val="1"/>
    <w:link w:val="75"/>
    <w:autoRedefine/>
    <w:qFormat/>
    <w:uiPriority w:val="0"/>
    <w:pPr>
      <w:spacing w:line="360" w:lineRule="auto"/>
      <w:ind w:firstLine="480" w:firstLineChars="200"/>
    </w:pPr>
    <w:rPr>
      <w:rFonts w:ascii="宋体" w:hAnsi="宋体"/>
      <w:sz w:val="24"/>
    </w:rPr>
  </w:style>
  <w:style w:type="character" w:customStyle="1" w:styleId="77">
    <w:name w:val="样式4 Char"/>
    <w:link w:val="78"/>
    <w:autoRedefine/>
    <w:qFormat/>
    <w:uiPriority w:val="0"/>
    <w:rPr>
      <w:rFonts w:ascii="Calibri" w:hAnsi="Calibri"/>
      <w:kern w:val="2"/>
      <w:sz w:val="24"/>
      <w:szCs w:val="22"/>
    </w:rPr>
  </w:style>
  <w:style w:type="paragraph" w:customStyle="1" w:styleId="78">
    <w:name w:val="样式4"/>
    <w:basedOn w:val="1"/>
    <w:link w:val="77"/>
    <w:autoRedefine/>
    <w:qFormat/>
    <w:uiPriority w:val="0"/>
    <w:pPr>
      <w:spacing w:line="360" w:lineRule="auto"/>
    </w:pPr>
    <w:rPr>
      <w:sz w:val="24"/>
      <w:szCs w:val="22"/>
    </w:rPr>
  </w:style>
  <w:style w:type="character" w:customStyle="1" w:styleId="79">
    <w:name w:val="font21"/>
    <w:basedOn w:val="34"/>
    <w:autoRedefine/>
    <w:qFormat/>
    <w:uiPriority w:val="0"/>
    <w:rPr>
      <w:rFonts w:hint="default" w:ascii="Times New Roman" w:hAnsi="Times New Roman" w:cs="Times New Roman"/>
      <w:color w:val="000000"/>
      <w:sz w:val="24"/>
      <w:szCs w:val="24"/>
      <w:u w:val="none"/>
    </w:rPr>
  </w:style>
  <w:style w:type="character" w:customStyle="1" w:styleId="80">
    <w:name w:val="正文首行缩进2字符 Char"/>
    <w:link w:val="81"/>
    <w:autoRedefine/>
    <w:qFormat/>
    <w:uiPriority w:val="0"/>
    <w:rPr>
      <w:rFonts w:ascii="宋体" w:hAnsi="宋体" w:eastAsia="宋体" w:cs="Times New Roman"/>
      <w:kern w:val="2"/>
      <w:sz w:val="24"/>
      <w:szCs w:val="28"/>
    </w:rPr>
  </w:style>
  <w:style w:type="paragraph" w:customStyle="1" w:styleId="81">
    <w:name w:val="正文首行缩进2字符"/>
    <w:basedOn w:val="1"/>
    <w:link w:val="80"/>
    <w:autoRedefine/>
    <w:qFormat/>
    <w:uiPriority w:val="0"/>
    <w:pPr>
      <w:spacing w:line="360" w:lineRule="auto"/>
      <w:ind w:firstLine="480" w:firstLineChars="200"/>
    </w:pPr>
    <w:rPr>
      <w:rFonts w:ascii="宋体" w:hAnsi="宋体"/>
      <w:sz w:val="24"/>
      <w:szCs w:val="28"/>
    </w:rPr>
  </w:style>
  <w:style w:type="paragraph" w:customStyle="1" w:styleId="82">
    <w:name w:val="cm4"/>
    <w:basedOn w:val="1"/>
    <w:autoRedefine/>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3">
    <w:name w:val="修订1"/>
    <w:autoRedefine/>
    <w:qFormat/>
    <w:uiPriority w:val="99"/>
    <w:rPr>
      <w:rFonts w:ascii="Calibri" w:hAnsi="Calibri" w:eastAsia="宋体" w:cs="Times New Roman"/>
      <w:kern w:val="2"/>
      <w:sz w:val="21"/>
      <w:szCs w:val="24"/>
      <w:lang w:val="en-US" w:eastAsia="zh-CN" w:bidi="ar-SA"/>
    </w:rPr>
  </w:style>
  <w:style w:type="paragraph" w:customStyle="1" w:styleId="84">
    <w:name w:val="reader-word-layer reader-word-s8-6 reader-word-s8-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纯文本1"/>
    <w:basedOn w:val="1"/>
    <w:autoRedefine/>
    <w:qFormat/>
    <w:uiPriority w:val="99"/>
    <w:rPr>
      <w:rFonts w:ascii="宋体" w:hAnsi="Courier New"/>
    </w:rPr>
  </w:style>
  <w:style w:type="paragraph" w:customStyle="1" w:styleId="86">
    <w:name w:val="reader-word-layer reader-word-s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1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8-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段"/>
    <w:autoRedefine/>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1">
    <w:name w:val="reader-word-layer reader-word-s1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19-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Char2"/>
    <w:basedOn w:val="1"/>
    <w:autoRedefine/>
    <w:qFormat/>
    <w:uiPriority w:val="0"/>
    <w:rPr>
      <w:rFonts w:ascii="FangSong_GB2312" w:eastAsia="FangSong_GB2312"/>
      <w:b/>
      <w:sz w:val="32"/>
      <w:szCs w:val="32"/>
    </w:rPr>
  </w:style>
  <w:style w:type="paragraph" w:customStyle="1" w:styleId="95">
    <w:name w:val="reader-word-layer reader-word-s9-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列表内容"/>
    <w:basedOn w:val="1"/>
    <w:next w:val="1"/>
    <w:autoRedefine/>
    <w:qFormat/>
    <w:uiPriority w:val="0"/>
    <w:pPr>
      <w:widowControl/>
      <w:numPr>
        <w:ilvl w:val="0"/>
        <w:numId w:val="4"/>
      </w:numPr>
      <w:jc w:val="left"/>
    </w:pPr>
    <w:rPr>
      <w:kern w:val="0"/>
      <w:sz w:val="18"/>
    </w:rPr>
  </w:style>
  <w:style w:type="paragraph" w:customStyle="1" w:styleId="97">
    <w:name w:val="reader-word-layer reader-word-s19-16 reader-word-s1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1"/>
    <w:basedOn w:val="1"/>
    <w:autoRedefine/>
    <w:qFormat/>
    <w:uiPriority w:val="0"/>
    <w:pPr>
      <w:spacing w:line="240" w:lineRule="auto"/>
      <w:ind w:firstLine="420" w:firstLineChars="200"/>
    </w:pPr>
  </w:style>
  <w:style w:type="paragraph" w:customStyle="1" w:styleId="99">
    <w:name w:val="reader-word-layer reader-word-s19-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正文 A"/>
    <w:autoRedefine/>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1">
    <w:name w:val="reader-word-layer reader-word-s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reader-word-layer reader-word-s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19-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正文1"/>
    <w:autoRedefine/>
    <w:qFormat/>
    <w:uiPriority w:val="0"/>
    <w:pPr>
      <w:jc w:val="both"/>
    </w:pPr>
    <w:rPr>
      <w:rFonts w:ascii="Calibri" w:hAnsi="Calibri" w:eastAsia="宋体" w:cs="Times New Roman"/>
      <w:kern w:val="2"/>
      <w:sz w:val="21"/>
      <w:szCs w:val="21"/>
      <w:lang w:val="en-US" w:eastAsia="zh-CN" w:bidi="ar-SA"/>
    </w:rPr>
  </w:style>
  <w:style w:type="paragraph" w:customStyle="1" w:styleId="106">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7">
    <w:name w:val="reader-word-layer reader-word-s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List Paragraph1"/>
    <w:basedOn w:val="1"/>
    <w:autoRedefine/>
    <w:qFormat/>
    <w:uiPriority w:val="0"/>
    <w:pPr>
      <w:spacing w:line="240" w:lineRule="auto"/>
      <w:ind w:firstLine="420" w:firstLineChars="200"/>
    </w:pPr>
    <w:rPr>
      <w:szCs w:val="22"/>
    </w:rPr>
  </w:style>
  <w:style w:type="paragraph" w:customStyle="1" w:styleId="109">
    <w:name w:val="reader-word-layer reader-word-s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reader-word-layer reader-word-s1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reader-word-layer reader-word-s1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9-15 reader-word-s19-19 reader-word-s19-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p0"/>
    <w:basedOn w:val="1"/>
    <w:autoRedefine/>
    <w:qFormat/>
    <w:uiPriority w:val="0"/>
    <w:pPr>
      <w:widowControl/>
    </w:pPr>
    <w:rPr>
      <w:kern w:val="0"/>
      <w:szCs w:val="20"/>
    </w:rPr>
  </w:style>
  <w:style w:type="paragraph" w:customStyle="1" w:styleId="117">
    <w:name w:val="大转播车"/>
    <w:basedOn w:val="1"/>
    <w:autoRedefine/>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18">
    <w:name w:val="标书正文"/>
    <w:basedOn w:val="1"/>
    <w:autoRedefine/>
    <w:qFormat/>
    <w:uiPriority w:val="0"/>
    <w:pPr>
      <w:spacing w:line="360" w:lineRule="auto"/>
      <w:ind w:firstLine="480" w:firstLineChars="200"/>
    </w:pPr>
    <w:rPr>
      <w:rFonts w:ascii="宋体" w:cs="宋体"/>
      <w:sz w:val="24"/>
    </w:rPr>
  </w:style>
  <w:style w:type="paragraph" w:customStyle="1" w:styleId="119">
    <w:name w:val="reader-word-layer reader-word-s1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reader-word-layer reader-word-s8-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2 Char Char Char"/>
    <w:basedOn w:val="1"/>
    <w:autoRedefine/>
    <w:qFormat/>
    <w:uiPriority w:val="0"/>
    <w:rPr>
      <w:rFonts w:ascii="FangSong_GB2312" w:eastAsia="FangSong_GB2312"/>
      <w:b/>
      <w:sz w:val="32"/>
      <w:szCs w:val="32"/>
    </w:rPr>
  </w:style>
  <w:style w:type="paragraph" w:customStyle="1" w:styleId="122">
    <w:name w:val="reader-word-layer reader-word-s18-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方案正文"/>
    <w:basedOn w:val="1"/>
    <w:autoRedefine/>
    <w:qFormat/>
    <w:uiPriority w:val="0"/>
    <w:pPr>
      <w:spacing w:line="360" w:lineRule="auto"/>
      <w:ind w:firstLine="200" w:firstLineChars="200"/>
    </w:pPr>
    <w:rPr>
      <w:sz w:val="24"/>
    </w:rPr>
  </w:style>
  <w:style w:type="paragraph" w:customStyle="1" w:styleId="124">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125">
    <w:name w:val="_Style 10"/>
    <w:basedOn w:val="3"/>
    <w:next w:val="2"/>
    <w:autoRedefine/>
    <w:qFormat/>
    <w:uiPriority w:val="0"/>
    <w:pPr>
      <w:ind w:firstLine="420" w:firstLineChars="100"/>
    </w:pPr>
    <w:rPr>
      <w:kern w:val="0"/>
      <w:sz w:val="20"/>
      <w:szCs w:val="21"/>
    </w:rPr>
  </w:style>
  <w:style w:type="paragraph" w:customStyle="1" w:styleId="126">
    <w:name w:val="reader-word-layer reader-word-s8-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reader-word-layer reader-word-s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正文01"/>
    <w:basedOn w:val="1"/>
    <w:autoRedefine/>
    <w:qFormat/>
    <w:uiPriority w:val="0"/>
    <w:pPr>
      <w:spacing w:line="560" w:lineRule="exact"/>
      <w:ind w:firstLine="200" w:firstLineChars="200"/>
    </w:pPr>
    <w:rPr>
      <w:rFonts w:eastAsia="FangSong_GB2312"/>
      <w:color w:val="000000"/>
      <w:sz w:val="32"/>
      <w:szCs w:val="32"/>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reader-word-layer reader-word-s9-4 reader-word-s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2">
    <w:name w:val="reader-word-layer reader-word-s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34">
    <w:name w:val="reader-word-layer reader-word-s9-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reader-word-layer reader-word-s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reader-word-layer reader-word-s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8 reader-word-s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1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1">
    <w:name w:val="reader-word-layer reader-word-s19-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8-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
    <w:name w:val="正文段"/>
    <w:basedOn w:val="1"/>
    <w:autoRedefine/>
    <w:qFormat/>
    <w:uiPriority w:val="0"/>
    <w:pPr>
      <w:widowControl/>
      <w:snapToGrid w:val="0"/>
      <w:spacing w:afterLines="50"/>
      <w:ind w:firstLine="200" w:firstLineChars="200"/>
    </w:pPr>
    <w:rPr>
      <w:kern w:val="0"/>
      <w:sz w:val="24"/>
      <w:szCs w:val="20"/>
    </w:rPr>
  </w:style>
  <w:style w:type="paragraph" w:customStyle="1" w:styleId="145">
    <w:name w:val="Char Char Char Char Char Char"/>
    <w:basedOn w:val="1"/>
    <w:autoRedefine/>
    <w:qFormat/>
    <w:uiPriority w:val="0"/>
  </w:style>
  <w:style w:type="paragraph" w:customStyle="1" w:styleId="146">
    <w:name w:val="af17cgridlangnp1033langf"/>
    <w:autoRedefine/>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47">
    <w:name w:val="reader-word-layer reader-word-s8-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8">
    <w:name w:val="reader-word-layer reader-word-s1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MM Topic 3"/>
    <w:basedOn w:val="6"/>
    <w:autoRedefine/>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0">
    <w:name w:val="reader-word-layer reader-word-s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1">
    <w:name w:val="Char Char6 Char Char Char Char"/>
    <w:basedOn w:val="1"/>
    <w:autoRedefine/>
    <w:qFormat/>
    <w:uiPriority w:val="0"/>
  </w:style>
  <w:style w:type="paragraph" w:customStyle="1" w:styleId="152">
    <w:name w:val="reader-word-layer reader-word-s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3">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4">
    <w:name w:val="reader-word-layer reader-word-s6-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5">
    <w:name w:val="reader-word-layer reader-word-s8-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Char Char Char1"/>
    <w:basedOn w:val="1"/>
    <w:autoRedefine/>
    <w:qFormat/>
    <w:uiPriority w:val="0"/>
    <w:rPr>
      <w:szCs w:val="21"/>
    </w:rPr>
  </w:style>
  <w:style w:type="paragraph" w:customStyle="1" w:styleId="157">
    <w:name w:val="Char"/>
    <w:basedOn w:val="1"/>
    <w:autoRedefine/>
    <w:qFormat/>
    <w:uiPriority w:val="0"/>
    <w:rPr>
      <w:szCs w:val="20"/>
    </w:rPr>
  </w:style>
  <w:style w:type="paragraph" w:customStyle="1" w:styleId="158">
    <w:name w:val="reader-word-layer reader-word-s19-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reader-word-s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0">
    <w:name w:val="reader-word-layer reader-word-s1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1">
    <w:name w:val="Char1"/>
    <w:basedOn w:val="1"/>
    <w:autoRedefine/>
    <w:qFormat/>
    <w:uiPriority w:val="0"/>
    <w:rPr>
      <w:szCs w:val="20"/>
    </w:rPr>
  </w:style>
  <w:style w:type="paragraph" w:customStyle="1" w:styleId="162">
    <w:name w:val="表内文字"/>
    <w:basedOn w:val="1"/>
    <w:autoRedefine/>
    <w:qFormat/>
    <w:uiPriority w:val="0"/>
    <w:pPr>
      <w:snapToGrid w:val="0"/>
      <w:spacing w:before="50" w:after="50"/>
      <w:jc w:val="center"/>
    </w:pPr>
    <w:rPr>
      <w:rFonts w:ascii="宋体" w:hAnsi="宋体"/>
      <w:sz w:val="24"/>
      <w:szCs w:val="20"/>
    </w:rPr>
  </w:style>
  <w:style w:type="paragraph" w:customStyle="1" w:styleId="163">
    <w:name w:val="reader-word-layer reader-word-s19-1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64">
    <w:name w:val="批注文字 Char1"/>
    <w:basedOn w:val="34"/>
    <w:autoRedefine/>
    <w:qFormat/>
    <w:uiPriority w:val="99"/>
    <w:rPr>
      <w:rFonts w:ascii="Times New Roman" w:hAnsi="Times New Roman" w:eastAsia="宋体" w:cs="Times New Roman"/>
      <w:szCs w:val="24"/>
    </w:rPr>
  </w:style>
  <w:style w:type="character" w:customStyle="1" w:styleId="165">
    <w:name w:val="标题 Char"/>
    <w:basedOn w:val="34"/>
    <w:link w:val="29"/>
    <w:autoRedefine/>
    <w:qFormat/>
    <w:uiPriority w:val="0"/>
    <w:rPr>
      <w:rFonts w:ascii="Arial" w:hAnsi="Arial" w:cs="Arial"/>
      <w:b/>
      <w:bCs/>
      <w:kern w:val="2"/>
      <w:sz w:val="28"/>
      <w:szCs w:val="32"/>
    </w:rPr>
  </w:style>
  <w:style w:type="character" w:customStyle="1" w:styleId="166">
    <w:name w:val="招标正文 字符"/>
    <w:link w:val="167"/>
    <w:autoRedefine/>
    <w:qFormat/>
    <w:uiPriority w:val="0"/>
    <w:rPr>
      <w:rFonts w:ascii="宋体" w:hAnsi="宋体"/>
      <w:color w:val="000000"/>
      <w:sz w:val="24"/>
      <w:szCs w:val="21"/>
    </w:rPr>
  </w:style>
  <w:style w:type="paragraph" w:customStyle="1" w:styleId="167">
    <w:name w:val="招标正文"/>
    <w:basedOn w:val="144"/>
    <w:link w:val="166"/>
    <w:autoRedefine/>
    <w:qFormat/>
    <w:uiPriority w:val="0"/>
    <w:pPr>
      <w:widowControl w:val="0"/>
      <w:adjustRightInd w:val="0"/>
      <w:spacing w:afterLines="0" w:line="360" w:lineRule="auto"/>
      <w:ind w:firstLine="480"/>
    </w:pPr>
    <w:rPr>
      <w:rFonts w:ascii="宋体" w:hAnsi="宋体"/>
      <w:color w:val="000000"/>
      <w:szCs w:val="21"/>
    </w:rPr>
  </w:style>
  <w:style w:type="character" w:customStyle="1" w:styleId="168">
    <w:name w:val="正文缩进 Char1"/>
    <w:autoRedefine/>
    <w:qFormat/>
    <w:locked/>
    <w:uiPriority w:val="0"/>
    <w:rPr>
      <w:kern w:val="2"/>
      <w:sz w:val="21"/>
      <w:szCs w:val="24"/>
      <w:lang w:val="en-US" w:eastAsia="zh-CN" w:bidi="ar-SA"/>
    </w:rPr>
  </w:style>
  <w:style w:type="paragraph" w:customStyle="1" w:styleId="169">
    <w:name w:val="Table Paragraph"/>
    <w:basedOn w:val="1"/>
    <w:autoRedefine/>
    <w:qFormat/>
    <w:uiPriority w:val="1"/>
    <w:pPr>
      <w:spacing w:line="240" w:lineRule="auto"/>
    </w:pPr>
    <w:rPr>
      <w:rFonts w:ascii="宋体" w:hAnsi="宋体" w:cs="宋体"/>
      <w:lang w:val="zh-CN" w:bidi="zh-CN"/>
    </w:rPr>
  </w:style>
  <w:style w:type="character" w:customStyle="1" w:styleId="170">
    <w:name w:val="正文首行缩进 2 Char"/>
    <w:basedOn w:val="51"/>
    <w:link w:val="31"/>
    <w:autoRedefine/>
    <w:qFormat/>
    <w:uiPriority w:val="99"/>
    <w:rPr>
      <w:rFonts w:ascii="Times New Roman" w:hAnsi="Times New Roman"/>
    </w:rPr>
  </w:style>
  <w:style w:type="paragraph" w:customStyle="1" w:styleId="171">
    <w:name w:val="纯文本_0_0"/>
    <w:basedOn w:val="1"/>
    <w:link w:val="172"/>
    <w:autoRedefine/>
    <w:unhideWhenUsed/>
    <w:qFormat/>
    <w:uiPriority w:val="0"/>
    <w:pPr>
      <w:spacing w:line="240" w:lineRule="auto"/>
    </w:pPr>
    <w:rPr>
      <w:rFonts w:ascii="宋体" w:hAnsi="Courier New"/>
      <w:szCs w:val="21"/>
    </w:rPr>
  </w:style>
  <w:style w:type="character" w:customStyle="1" w:styleId="172">
    <w:name w:val="纯文本 Char_0_0"/>
    <w:link w:val="171"/>
    <w:autoRedefine/>
    <w:qFormat/>
    <w:uiPriority w:val="0"/>
    <w:rPr>
      <w:rFonts w:ascii="宋体" w:hAnsi="Courier New"/>
      <w:kern w:val="2"/>
      <w:sz w:val="21"/>
      <w:szCs w:val="21"/>
    </w:rPr>
  </w:style>
  <w:style w:type="paragraph" w:customStyle="1" w:styleId="173">
    <w:name w:val="纯文本2"/>
    <w:basedOn w:val="1"/>
    <w:autoRedefine/>
    <w:qFormat/>
    <w:uiPriority w:val="0"/>
    <w:pPr>
      <w:adjustRightInd w:val="0"/>
      <w:spacing w:line="240" w:lineRule="auto"/>
      <w:textAlignment w:val="baseline"/>
    </w:pPr>
    <w:rPr>
      <w:rFonts w:ascii="宋体" w:hAnsi="Courier New" w:eastAsia="楷体_GB2312"/>
      <w:sz w:val="26"/>
      <w:szCs w:val="20"/>
    </w:rPr>
  </w:style>
  <w:style w:type="paragraph" w:customStyle="1" w:styleId="174">
    <w:name w:val="[Normal]"/>
    <w:autoRedefine/>
    <w:qFormat/>
    <w:uiPriority w:val="0"/>
    <w:rPr>
      <w:rFonts w:ascii="宋体" w:hAnsi="宋体" w:eastAsia="宋体" w:cs="Times New Roman"/>
      <w:sz w:val="24"/>
      <w:szCs w:val="22"/>
      <w:lang w:val="zh-CN" w:eastAsia="zh-CN" w:bidi="ar-SA"/>
    </w:rPr>
  </w:style>
  <w:style w:type="character" w:customStyle="1" w:styleId="175">
    <w:name w:val="页脚 Char1"/>
    <w:autoRedefine/>
    <w:qFormat/>
    <w:locked/>
    <w:uiPriority w:val="99"/>
    <w:rPr>
      <w:rFonts w:ascii="Times New Roman" w:hAnsi="Times New Roman" w:eastAsia="宋体" w:cs="Times New Roman"/>
      <w:sz w:val="18"/>
      <w:szCs w:val="18"/>
    </w:rPr>
  </w:style>
  <w:style w:type="character" w:customStyle="1" w:styleId="176">
    <w:name w:val="页脚 Char2"/>
    <w:autoRedefine/>
    <w:qFormat/>
    <w:locked/>
    <w:uiPriority w:val="99"/>
    <w:rPr>
      <w:kern w:val="2"/>
      <w:sz w:val="18"/>
      <w:szCs w:val="18"/>
    </w:rPr>
  </w:style>
  <w:style w:type="character" w:customStyle="1" w:styleId="177">
    <w:name w:val="页眉 Char"/>
    <w:link w:val="23"/>
    <w:autoRedefine/>
    <w:qFormat/>
    <w:uiPriority w:val="99"/>
    <w:rPr>
      <w:kern w:val="2"/>
      <w:sz w:val="18"/>
      <w:szCs w:val="18"/>
    </w:rPr>
  </w:style>
  <w:style w:type="paragraph" w:customStyle="1" w:styleId="178">
    <w:name w:val="索引 11"/>
    <w:basedOn w:val="1"/>
    <w:next w:val="1"/>
    <w:autoRedefine/>
    <w:qFormat/>
    <w:uiPriority w:val="99"/>
    <w:pPr>
      <w:spacing w:line="360" w:lineRule="auto"/>
    </w:pPr>
    <w:rPr>
      <w:rFonts w:ascii="FangSong_GB2312" w:hAnsi="Times New Roman" w:eastAsia="FangSong_GB2312"/>
      <w:sz w:val="24"/>
      <w:szCs w:val="20"/>
    </w:rPr>
  </w:style>
  <w:style w:type="paragraph" w:customStyle="1" w:styleId="179">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41</Pages>
  <Words>15380</Words>
  <Characters>15946</Characters>
  <Lines>176</Lines>
  <Paragraphs>49</Paragraphs>
  <TotalTime>21</TotalTime>
  <ScaleCrop>false</ScaleCrop>
  <LinksUpToDate>false</LinksUpToDate>
  <CharactersWithSpaces>17135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子小口鸟先森</cp:lastModifiedBy>
  <cp:lastPrinted>2023-04-21T07:04:00Z</cp:lastPrinted>
  <dcterms:modified xsi:type="dcterms:W3CDTF">2024-11-26T01:29:32Z</dcterms:modified>
  <dc:title>桐庐县疾病预防控制中心</dc:title>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FA3844B5B8D14DF1BBFB94C4C6DB43C7_13</vt:lpwstr>
  </property>
</Properties>
</file>